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7"/>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757"/>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 开 招 标 文 件</w:t>
      </w:r>
      <w:r>
        <w:rPr>
          <w:rFonts w:hint="eastAsia" w:ascii="黑体" w:hAnsi="华文中宋" w:eastAsia="黑体"/>
          <w:bCs/>
          <w:color w:val="000000"/>
          <w:spacing w:val="20"/>
          <w:sz w:val="84"/>
          <w:szCs w:val="84"/>
          <w:highlight w:val="none"/>
        </w:rPr>
      </w:r>
      <w:r/>
    </w:p>
    <w:p>
      <w:pPr>
        <w:pStyle w:val="757"/>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757"/>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57"/>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757"/>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670"/>
        <w:ind w:firstLine="1920"/>
        <w:jc w:val="left"/>
        <w:rPr>
          <w:rFonts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项目编号：JSZC-320214-JZCG-G202</w:t>
      </w:r>
      <w:r>
        <w:rPr>
          <w:rFonts w:hint="eastAsia" w:ascii="黑体" w:hAnsi="华文中宋" w:eastAsia="黑体"/>
          <w:bCs/>
          <w:color w:val="000000"/>
          <w:sz w:val="32"/>
          <w:szCs w:val="32"/>
          <w:highlight w:val="none"/>
          <w:lang w:val="en-US" w:eastAsia="zh-CN"/>
        </w:rPr>
        <w:t xml:space="preserve">5</w:t>
      </w:r>
      <w:r>
        <w:rPr>
          <w:rFonts w:hint="eastAsia" w:ascii="黑体" w:hAnsi="华文中宋" w:eastAsia="黑体"/>
          <w:bCs/>
          <w:color w:val="000000"/>
          <w:sz w:val="32"/>
          <w:szCs w:val="32"/>
          <w:highlight w:val="none"/>
        </w:rPr>
        <w:t xml:space="preserve">-00</w:t>
      </w:r>
      <w:r>
        <w:rPr>
          <w:rFonts w:hint="eastAsia" w:ascii="黑体" w:hAnsi="华文中宋" w:eastAsia="黑体"/>
          <w:bCs/>
          <w:color w:val="000000"/>
          <w:sz w:val="32"/>
          <w:szCs w:val="32"/>
          <w:highlight w:val="none"/>
          <w:lang w:val="en-US" w:eastAsia="zh-CN"/>
        </w:rPr>
        <w:t xml:space="preserve">0</w:t>
      </w:r>
      <w:r>
        <w:rPr>
          <w:rFonts w:hint="eastAsia" w:ascii="黑体" w:hAnsi="华文中宋" w:eastAsia="黑体"/>
          <w:bCs/>
          <w:color w:val="000000"/>
          <w:sz w:val="32"/>
          <w:szCs w:val="32"/>
          <w:highlight w:val="none"/>
          <w:lang w:val="en-US" w:eastAsia="zh-CN"/>
        </w:rPr>
        <w:t xml:space="preserve">5</w:t>
      </w:r>
      <w:r>
        <w:rPr>
          <w:rFonts w:ascii="黑体" w:hAnsi="华文中宋" w:eastAsia="黑体"/>
          <w:bCs/>
          <w:color w:val="000000"/>
          <w:sz w:val="32"/>
          <w:szCs w:val="32"/>
          <w:highlight w:val="none"/>
          <w:lang w:val="en-US" w:eastAsia="zh-CN"/>
        </w:rPr>
      </w:r>
      <w:r/>
    </w:p>
    <w:p>
      <w:pPr>
        <w:pStyle w:val="670"/>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项目名称：无锡科技职业学院智慧实训室</w:t>
      </w:r>
      <w:r>
        <w:rPr>
          <w:rFonts w:hint="eastAsia" w:ascii="黑体" w:hAnsi="华文中宋" w:eastAsia="黑体"/>
          <w:bCs/>
          <w:color w:val="000000"/>
          <w:sz w:val="32"/>
          <w:szCs w:val="32"/>
          <w:highlight w:val="none"/>
        </w:rPr>
      </w:r>
      <w:r/>
    </w:p>
    <w:p>
      <w:pPr>
        <w:pStyle w:val="670"/>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采 购 人：无锡科技职业学院</w:t>
      </w:r>
      <w:r>
        <w:rPr>
          <w:rFonts w:hint="eastAsia" w:ascii="黑体" w:hAnsi="华文中宋" w:eastAsia="黑体"/>
          <w:bCs/>
          <w:color w:val="000000"/>
          <w:sz w:val="32"/>
          <w:szCs w:val="32"/>
          <w:highlight w:val="none"/>
        </w:rPr>
      </w:r>
      <w:r/>
    </w:p>
    <w:p>
      <w:pPr>
        <w:pStyle w:val="670"/>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57"/>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采购代理机构：无锡市公共资源交易中心新吴分中心</w:t>
      </w:r>
      <w:r>
        <w:rPr>
          <w:rFonts w:hint="eastAsia" w:ascii="宋体" w:hAnsi="宋体"/>
          <w:color w:val="000000"/>
          <w:sz w:val="32"/>
          <w:szCs w:val="32"/>
          <w:highlight w:val="none"/>
          <w:shd w:val="clear" w:color="ffffff" w:fill="d9d9d9"/>
        </w:rPr>
      </w:r>
      <w:r/>
    </w:p>
    <w:p>
      <w:pPr>
        <w:pStyle w:val="757"/>
        <w:ind w:firstLine="0"/>
        <w:jc w:val="center"/>
        <w:spacing w:before="0" w:after="0"/>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年一月</w:t>
      </w:r>
      <w:r>
        <w:rPr>
          <w:rFonts w:hint="eastAsia" w:ascii="黑体" w:hAnsi="华文中宋" w:eastAsia="黑体"/>
          <w:bCs/>
          <w:color w:val="000000"/>
          <w:sz w:val="32"/>
          <w:szCs w:val="32"/>
          <w:highlight w:val="none"/>
        </w:rPr>
      </w:r>
      <w:r/>
    </w:p>
    <w:p>
      <w:pPr>
        <w:pStyle w:val="757"/>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670"/>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670"/>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投标邀请-------------------------------------（2）</w:t>
      </w:r>
      <w:r>
        <w:rPr>
          <w:rFonts w:hint="eastAsia" w:ascii="宋体" w:hAnsi="宋体"/>
          <w:color w:val="000000"/>
          <w:sz w:val="30"/>
          <w:szCs w:val="30"/>
          <w:highlight w:val="none"/>
        </w:rPr>
      </w:r>
      <w:r/>
    </w:p>
    <w:p>
      <w:pPr>
        <w:pStyle w:val="670"/>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rPr>
        <w:t xml:space="preserve">）</w:t>
      </w:r>
      <w:r>
        <w:rPr>
          <w:rFonts w:hint="eastAsia" w:ascii="宋体" w:hAnsi="宋体"/>
          <w:color w:val="000000"/>
          <w:sz w:val="30"/>
          <w:szCs w:val="30"/>
          <w:highlight w:val="none"/>
        </w:rPr>
      </w:r>
      <w:r/>
    </w:p>
    <w:p>
      <w:pPr>
        <w:pStyle w:val="670"/>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val="en-US" w:eastAsia="zh-CN"/>
        </w:rPr>
        <w:t xml:space="preserve">18</w:t>
      </w:r>
      <w:r>
        <w:rPr>
          <w:rFonts w:hint="eastAsia" w:ascii="宋体" w:hAnsi="宋体"/>
          <w:color w:val="000000"/>
          <w:sz w:val="30"/>
          <w:szCs w:val="30"/>
          <w:highlight w:val="none"/>
        </w:rPr>
        <w:t xml:space="preserve">）</w:t>
      </w:r>
      <w:r>
        <w:rPr>
          <w:rFonts w:hint="eastAsia" w:ascii="宋体" w:hAnsi="宋体"/>
          <w:color w:val="000000"/>
          <w:sz w:val="30"/>
          <w:szCs w:val="30"/>
          <w:highlight w:val="none"/>
        </w:rPr>
      </w:r>
      <w:r/>
    </w:p>
    <w:p>
      <w:pPr>
        <w:pStyle w:val="670"/>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val="en-US" w:eastAsia="zh-CN"/>
        </w:rPr>
        <w:t xml:space="preserve">22</w:t>
      </w:r>
      <w:r>
        <w:rPr>
          <w:rFonts w:hint="eastAsia" w:ascii="宋体" w:hAnsi="宋体"/>
          <w:color w:val="000000"/>
          <w:sz w:val="30"/>
          <w:szCs w:val="30"/>
          <w:highlight w:val="none"/>
        </w:rPr>
        <w:t xml:space="preserve">）</w:t>
      </w:r>
      <w:r>
        <w:rPr>
          <w:rFonts w:hint="eastAsia" w:ascii="宋体" w:hAnsi="宋体"/>
          <w:color w:val="000000"/>
          <w:sz w:val="30"/>
          <w:szCs w:val="30"/>
          <w:highlight w:val="none"/>
        </w:rPr>
      </w:r>
      <w:r/>
    </w:p>
    <w:p>
      <w:pPr>
        <w:pStyle w:val="670"/>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val="en-US" w:eastAsia="zh-CN"/>
        </w:rPr>
        <w:t xml:space="preserve">45</w:t>
      </w:r>
      <w:r>
        <w:rPr>
          <w:rFonts w:hint="eastAsia" w:ascii="宋体" w:hAnsi="宋体"/>
          <w:color w:val="000000"/>
          <w:sz w:val="30"/>
          <w:szCs w:val="30"/>
          <w:highlight w:val="none"/>
        </w:rPr>
        <w:t xml:space="preserve">）</w:t>
      </w:r>
      <w:r>
        <w:rPr>
          <w:rFonts w:hint="eastAsia" w:ascii="宋体" w:hAnsi="宋体"/>
          <w:color w:val="000000"/>
          <w:sz w:val="30"/>
          <w:szCs w:val="30"/>
          <w:highlight w:val="none"/>
        </w:rPr>
      </w:r>
      <w:r/>
    </w:p>
    <w:p>
      <w:pPr>
        <w:pStyle w:val="670"/>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val="en-US" w:eastAsia="zh-CN"/>
        </w:rPr>
        <w:t xml:space="preserve">51</w:t>
      </w:r>
      <w:r>
        <w:rPr>
          <w:rFonts w:hint="eastAsia" w:ascii="宋体" w:hAnsi="宋体"/>
          <w:color w:val="000000"/>
          <w:sz w:val="30"/>
          <w:szCs w:val="30"/>
          <w:highlight w:val="none"/>
        </w:rPr>
        <w:t xml:space="preserve">）</w:t>
      </w:r>
      <w:r>
        <w:rPr>
          <w:rFonts w:hint="eastAsia" w:ascii="宋体" w:hAnsi="宋体"/>
          <w:color w:val="000000"/>
          <w:sz w:val="30"/>
          <w:szCs w:val="30"/>
          <w:highlight w:val="none"/>
        </w:rPr>
      </w:r>
      <w:r/>
    </w:p>
    <w:p>
      <w:pPr>
        <w:pStyle w:val="670"/>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670"/>
        <w:ind w:firstLine="480"/>
        <w:spacing w:line="500" w:lineRule="exact"/>
        <w:rPr>
          <w:rFonts w:hint="eastAsia" w:ascii="宋体" w:hAnsi="宋体"/>
          <w:color w:val="000000"/>
          <w:sz w:val="24"/>
          <w:szCs w:val="24"/>
          <w:highlight w:val="none"/>
        </w:rPr>
      </w:pPr>
      <w:r/>
      <w:bookmarkEnd w:id="0"/>
      <w:r>
        <w:rPr>
          <w:rFonts w:hint="eastAsia" w:ascii="宋体" w:hAnsi="宋体"/>
          <w:color w:val="000000"/>
          <w:sz w:val="24"/>
          <w:szCs w:val="24"/>
          <w:highlight w:val="none"/>
        </w:rPr>
        <w:t xml:space="preserve">受无锡科技职业学院的委托，无锡市公共资源交易中心新吴分中心就无锡科技职业学院智慧实训室（JSZC-320214-JZCG-G202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-00</w:t>
      </w:r>
      <w:r>
        <w:rPr>
          <w:rFonts w:hint="eastAsia" w:ascii="宋体" w:hAnsi="宋体"/>
          <w:color w:val="000000"/>
          <w:sz w:val="24"/>
          <w:szCs w:val="24"/>
          <w:highlight w:val="none"/>
          <w:lang w:val="en-US" w:eastAsia="zh-CN"/>
        </w:rPr>
        <w:t xml:space="preserve">05</w:t>
      </w:r>
      <w:r>
        <w:rPr>
          <w:rFonts w:hint="eastAsia" w:ascii="宋体" w:hAnsi="宋体"/>
          <w:color w:val="000000"/>
          <w:sz w:val="24"/>
          <w:szCs w:val="24"/>
          <w:highlight w:val="none"/>
        </w:rPr>
        <w:t xml:space="preserve">）进行公开招标采购，欢迎符合条件的供应商投标。</w:t>
      </w:r>
      <w:r>
        <w:rPr>
          <w:rFonts w:hint="eastAsia"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670"/>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无锡科技职业学院智慧实训室采购项目的潜在投标人应在“无锡政府采购网”“江苏政府采购网”自行浏览招标文件，如有投标意向须在本招标文件有效获取期内通过登录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w:t>
      </w:r>
      <w:r>
        <w:rPr>
          <w:rFonts w:hint="eastAsia" w:ascii="宋体" w:hAnsi="宋体"/>
          <w:color w:val="000000"/>
          <w:sz w:val="24"/>
          <w:szCs w:val="24"/>
          <w:highlight w:val="none"/>
          <w:lang w:val="en-US" w:eastAsia="zh-CN"/>
        </w:rPr>
        <w:t xml:space="preserve">25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3"/>
        <w:ind w:firstLine="452"/>
        <w:keepLines w:val="0"/>
        <w:keepNext w:val="0"/>
        <w:spacing w:before="0" w:after="0" w:line="500" w:lineRule="exact"/>
        <w:rPr>
          <w:color w:val="000000"/>
          <w:sz w:val="30"/>
          <w:szCs w:val="30"/>
          <w:highlight w:val="none"/>
        </w:rPr>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670"/>
        <w:ind w:firstLine="48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1.项目编号：JSZC-320214-JZCG-G202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-00</w:t>
      </w:r>
      <w:r>
        <w:rPr>
          <w:rFonts w:hint="eastAsia" w:ascii="宋体" w:hAnsi="宋体"/>
          <w:color w:val="000000"/>
          <w:sz w:val="24"/>
          <w:szCs w:val="24"/>
          <w:highlight w:val="none"/>
          <w:lang w:val="en-US" w:eastAsia="zh-CN"/>
        </w:rPr>
        <w:t xml:space="preserve">05</w:t>
      </w:r>
      <w:r>
        <w:rPr>
          <w:rFonts w:ascii="宋体" w:hAnsi="宋体" w:eastAsia="宋体"/>
          <w:color w:val="000000"/>
          <w:sz w:val="24"/>
          <w:szCs w:val="24"/>
          <w:highlight w:val="none"/>
          <w:lang w:val="en-US" w:eastAsia="zh-CN"/>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2.项目名称：无锡科技职业学院智慧实训室</w:t>
      </w:r>
      <w:r>
        <w:rPr>
          <w:rFonts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bookmarkEnd w:id="11"/>
      <w:r>
        <w:rPr>
          <w:rFonts w:hint="eastAsia" w:ascii="宋体" w:hAnsi="宋体"/>
          <w:color w:val="000000"/>
          <w:sz w:val="24"/>
          <w:szCs w:val="24"/>
          <w:highlight w:val="none"/>
        </w:rPr>
        <w:t xml:space="preserve">3.项目预算金额：144.269万元</w:t>
      </w:r>
      <w:r>
        <w:rPr>
          <w:rFonts w:hint="eastAsia"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4.项目最高限价：144.269万元</w:t>
      </w:r>
      <w:r>
        <w:rPr>
          <w:rFonts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w:t>
      </w:r>
      <w:r>
        <w:rPr>
          <w:rFonts w:ascii="宋体" w:hAnsi="宋体" w:cs="宋体"/>
          <w:color w:val="000000"/>
          <w:sz w:val="24"/>
          <w:szCs w:val="24"/>
          <w:highlight w:val="none"/>
        </w:rPr>
      </w:r>
      <w:r/>
    </w:p>
    <w:p>
      <w:pPr>
        <w:pStyle w:val="673"/>
        <w:ind w:firstLine="452"/>
        <w:keepLines w:val="0"/>
        <w:keepNext w:val="0"/>
        <w:spacing w:before="0" w:after="0" w:line="500" w:lineRule="exact"/>
        <w:rPr>
          <w:color w:val="000000"/>
          <w:sz w:val="30"/>
          <w:szCs w:val="30"/>
          <w:highlight w:val="none"/>
        </w:rPr>
      </w:pPr>
      <w:r/>
      <w:bookmarkStart w:id="12" w:name="_Toc28359003"/>
      <w:r/>
      <w:bookmarkStart w:id="13" w:name="_Toc38985264"/>
      <w:r/>
      <w:bookmarkStart w:id="14" w:name="_Toc28359080"/>
      <w:r/>
      <w:bookmarkStart w:id="15" w:name="_Toc35393622"/>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670"/>
        <w:ind w:firstLine="480"/>
        <w:spacing w:line="500" w:lineRule="exact"/>
        <w:rPr>
          <w:rFonts w:ascii="宋体" w:hAnsi="宋体"/>
          <w:color w:val="000000"/>
          <w:sz w:val="24"/>
          <w:szCs w:val="24"/>
          <w:highlight w:val="none"/>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670"/>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w:t>
      </w:r>
      <w:r>
        <w:rPr>
          <w:rFonts w:hint="eastAsia" w:ascii="宋体" w:hAnsi="宋体"/>
          <w:color w:val="000000"/>
          <w:sz w:val="24"/>
          <w:szCs w:val="24"/>
          <w:highlight w:val="none"/>
          <w:lang w:val="en-US" w:eastAsia="zh-CN"/>
        </w:rPr>
        <w:t xml:space="preserve">无</w:t>
      </w:r>
      <w:r>
        <w:rPr>
          <w:rFonts w:hint="eastAsia" w:ascii="宋体" w:hAnsi="宋体" w:eastAsia="宋体"/>
          <w:color w:val="000000"/>
          <w:sz w:val="24"/>
          <w:szCs w:val="24"/>
          <w:highlight w:val="none"/>
          <w:lang w:eastAsia="zh-CN"/>
        </w:rPr>
      </w:r>
      <w:r/>
    </w:p>
    <w:p>
      <w:pPr>
        <w:pStyle w:val="670"/>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4.本项目的特定资格要求：无</w:t>
      </w:r>
      <w:r>
        <w:rPr>
          <w:rFonts w:ascii="宋体" w:hAnsi="宋体" w:cs="宋体"/>
          <w:color w:val="000000"/>
          <w:sz w:val="24"/>
          <w:szCs w:val="24"/>
          <w:highlight w:val="none"/>
        </w:rPr>
      </w:r>
      <w:r/>
    </w:p>
    <w:p>
      <w:pPr>
        <w:pStyle w:val="67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670"/>
        <w:ind w:firstLine="540"/>
        <w:spacing w:line="500" w:lineRule="exact"/>
        <w:rPr>
          <w:rFonts w:hint="eastAsia" w:ascii="宋体" w:hAnsi="宋体" w:cs="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w:t>
      </w:r>
      <w:r>
        <w:rPr>
          <w:rFonts w:hint="eastAsia" w:ascii="宋体" w:hAnsi="宋体" w:cs="宋体"/>
          <w:color w:val="000000"/>
          <w:sz w:val="24"/>
          <w:szCs w:val="24"/>
          <w:highlight w:val="none"/>
        </w:rPr>
        <w:t xml:space="preserve">自招标文件公告发布之日起5个工作日，（有效获取期内的）每天上午00:00至12:00，下午12:00至23:59（北京时间，法定节假日除外）。</w:t>
      </w:r>
      <w:r>
        <w:rPr>
          <w:rFonts w:hint="eastAsia" w:ascii="宋体" w:hAnsi="宋体" w:cs="宋体"/>
          <w:color w:val="000000"/>
          <w:sz w:val="24"/>
          <w:szCs w:val="24"/>
          <w:highlight w:val="none"/>
        </w:rPr>
      </w:r>
      <w:r/>
    </w:p>
    <w:p>
      <w:pPr>
        <w:pStyle w:val="670"/>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670"/>
        <w:ind w:firstLine="540"/>
        <w:spacing w:line="500" w:lineRule="exact"/>
        <w:rPr>
          <w:rStyle w:val="746"/>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46"/>
          <w:color w:val="000000"/>
          <w:highlight w:val="none"/>
        </w:rPr>
      </w:r>
      <w:r/>
    </w:p>
    <w:p>
      <w:pPr>
        <w:pStyle w:val="670"/>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点30分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673"/>
        <w:ind w:firstLine="452"/>
        <w:keepLines w:val="0"/>
        <w:keepNext w:val="0"/>
        <w:spacing w:before="0" w:after="0" w:line="500" w:lineRule="exact"/>
        <w:rPr>
          <w:color w:val="000000"/>
          <w:sz w:val="30"/>
          <w:szCs w:val="30"/>
          <w:highlight w:val="none"/>
        </w:rPr>
      </w:pPr>
      <w:r/>
      <w:bookmarkStart w:id="27" w:name="_Toc38985267"/>
      <w:r/>
      <w:bookmarkStart w:id="28" w:name="_Toc28359084"/>
      <w:r/>
      <w:bookmarkStart w:id="29" w:name="_Toc28359007"/>
      <w:r/>
      <w:bookmarkStart w:id="30" w:name="_Toc35393794"/>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670"/>
        <w:ind w:firstLine="480"/>
        <w:spacing w:line="500" w:lineRule="exact"/>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67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673"/>
        <w:ind w:firstLine="452"/>
        <w:keepLines w:val="0"/>
        <w:keepNext w:val="0"/>
        <w:spacing w:before="0" w:after="0" w:line="500" w:lineRule="exact"/>
        <w:rPr>
          <w:color w:val="000000"/>
          <w:sz w:val="30"/>
          <w:szCs w:val="30"/>
          <w:highlight w:val="none"/>
        </w:rPr>
      </w:pPr>
      <w:r/>
      <w:bookmarkStart w:id="35" w:name="_Toc35393627"/>
      <w:r/>
      <w:bookmarkStart w:id="36" w:name="_Toc38985269"/>
      <w:r/>
      <w:bookmarkStart w:id="37" w:name="_Toc35393796"/>
      <w:r/>
      <w:bookmarkStart w:id="38" w:name="_Toc28359085"/>
      <w:r/>
      <w:bookmarkStart w:id="39" w:name="_Toc28359008"/>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称：无锡科技职业学院</w:t>
      </w:r>
      <w:r>
        <w:rPr>
          <w:rFonts w:ascii="宋体" w:hAnsi="宋体" w:cs="宋体"/>
          <w:color w:val="000000"/>
          <w:sz w:val="24"/>
          <w:szCs w:val="24"/>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bCs/>
          <w:color w:val="000000"/>
          <w:sz w:val="24"/>
          <w:szCs w:val="24"/>
          <w:highlight w:val="none"/>
        </w:rPr>
        <w:t xml:space="preserve">无锡市新锡路8号</w:t>
      </w:r>
      <w:r>
        <w:rPr>
          <w:rFonts w:ascii="宋体" w:hAnsi="宋体" w:cs="宋体"/>
          <w:color w:val="000000"/>
          <w:sz w:val="24"/>
          <w:szCs w:val="24"/>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称：无锡市公共资源交易中心新吴分中心</w:t>
      </w:r>
      <w:r>
        <w:rPr>
          <w:rFonts w:hint="eastAsia" w:ascii="宋体" w:hAnsi="宋体" w:cs="宋体"/>
          <w:color w:val="000000"/>
          <w:sz w:val="24"/>
          <w:szCs w:val="24"/>
          <w:highlight w:val="none"/>
        </w:rPr>
      </w:r>
      <w:r/>
    </w:p>
    <w:p>
      <w:pPr>
        <w:pStyle w:val="670"/>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址：无锡市新吴区清晏路29号</w:t>
      </w:r>
      <w:r>
        <w:rPr>
          <w:rFonts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cs="宋体"/>
          <w:bCs/>
          <w:color w:val="000000"/>
          <w:sz w:val="24"/>
          <w:szCs w:val="24"/>
          <w:highlight w:val="none"/>
        </w:rPr>
        <w:t xml:space="preserve">李智勇</w:t>
      </w:r>
      <w:r>
        <w:rPr>
          <w:rFonts w:hint="eastAsia" w:ascii="宋体" w:hAnsi="宋体" w:cs="宋体"/>
          <w:color w:val="000000"/>
          <w:sz w:val="24"/>
          <w:szCs w:val="24"/>
          <w:highlight w:val="none"/>
        </w:rPr>
        <w:t xml:space="preserve">；电话：</w:t>
      </w:r>
      <w:r>
        <w:rPr>
          <w:rFonts w:hint="eastAsia" w:ascii="宋体" w:hAnsi="宋体" w:cs="宋体"/>
          <w:bCs/>
          <w:color w:val="000000"/>
          <w:sz w:val="24"/>
          <w:szCs w:val="24"/>
          <w:highlight w:val="none"/>
        </w:rPr>
        <w:t xml:space="preserve">18961759099</w:t>
      </w:r>
      <w:r>
        <w:rPr>
          <w:rFonts w:hint="eastAsia"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采购人质疑受理联系人：</w:t>
      </w:r>
      <w:r>
        <w:rPr>
          <w:rFonts w:hint="eastAsia" w:ascii="宋体" w:hAnsi="宋体" w:cs="宋体"/>
          <w:bCs/>
          <w:color w:val="000000"/>
          <w:sz w:val="24"/>
          <w:szCs w:val="24"/>
          <w:highlight w:val="none"/>
        </w:rPr>
        <w:t xml:space="preserve">李智勇</w:t>
      </w:r>
      <w:r>
        <w:rPr>
          <w:rFonts w:hint="eastAsia" w:ascii="宋体" w:hAnsi="宋体" w:cs="宋体"/>
          <w:color w:val="000000"/>
          <w:sz w:val="24"/>
          <w:szCs w:val="24"/>
          <w:highlight w:val="none"/>
        </w:rPr>
        <w:t xml:space="preserve">；电话：</w:t>
      </w:r>
      <w:r>
        <w:rPr>
          <w:rFonts w:hint="eastAsia" w:ascii="宋体" w:hAnsi="宋体" w:cs="宋体"/>
          <w:bCs/>
          <w:color w:val="000000"/>
          <w:sz w:val="24"/>
          <w:szCs w:val="24"/>
          <w:highlight w:val="none"/>
        </w:rPr>
        <w:t xml:space="preserve">18961759099</w:t>
      </w:r>
      <w:r>
        <w:rPr>
          <w:rFonts w:hint="eastAsia"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交易中心项目咨询联系人：陈辰；电话：0510-85253025</w:t>
      </w:r>
      <w:r>
        <w:rPr>
          <w:rFonts w:hint="eastAsia"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bookmarkStart w:id="42" w:name="_Toc28359087"/>
      <w:r/>
      <w:bookmarkStart w:id="43" w:name="_Toc28359010"/>
      <w:r>
        <w:rPr>
          <w:rFonts w:hint="eastAsia" w:ascii="宋体" w:hAnsi="宋体" w:cs="宋体"/>
          <w:color w:val="000000"/>
          <w:sz w:val="24"/>
          <w:szCs w:val="24"/>
          <w:highlight w:val="none"/>
        </w:rPr>
        <w:t xml:space="preserve">交易中心质疑受理联系人：陈辰；电话：0510-85253025</w:t>
      </w:r>
      <w:r>
        <w:rPr>
          <w:rFonts w:hint="eastAsia" w:ascii="宋体" w:hAnsi="宋体" w:cs="宋体"/>
          <w:color w:val="000000"/>
          <w:sz w:val="24"/>
          <w:szCs w:val="24"/>
          <w:highlight w:val="none"/>
        </w:rPr>
      </w:r>
      <w:r/>
    </w:p>
    <w:p>
      <w:pPr>
        <w:pStyle w:val="673"/>
        <w:ind w:firstLine="452"/>
        <w:keepLines w:val="0"/>
        <w:keepNext w:val="0"/>
        <w:spacing w:before="0" w:after="0" w:line="500" w:lineRule="exact"/>
        <w:rPr>
          <w:color w:val="000000"/>
          <w:sz w:val="30"/>
          <w:szCs w:val="30"/>
          <w:highlight w:val="none"/>
        </w:rPr>
      </w:pPr>
      <w:r/>
      <w:bookmarkEnd w:id="42"/>
      <w:r/>
      <w:bookmarkEnd w:id="43"/>
      <w:r>
        <w:rPr>
          <w:rFonts w:hint="eastAsia"/>
          <w:color w:val="000000"/>
          <w:sz w:val="30"/>
          <w:szCs w:val="30"/>
          <w:highlight w:val="none"/>
        </w:rPr>
        <w:t xml:space="preserve">八、其他</w:t>
      </w:r>
      <w:r>
        <w:rPr>
          <w:color w:val="000000"/>
          <w:sz w:val="30"/>
          <w:szCs w:val="30"/>
          <w:highlight w:val="none"/>
        </w:rPr>
      </w:r>
      <w:r/>
    </w:p>
    <w:p>
      <w:pPr>
        <w:pStyle w:val="670"/>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670"/>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670"/>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670"/>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（三）有关本次采购的事项若存在变动或修改，敬请及时关注无锡市公共资源交易中心新吴分中心在“无锡政府采购网”“江苏政府采购网”发布的更正公告。</w:t>
      </w:r>
      <w:r>
        <w:rPr>
          <w:rFonts w:hint="eastAsia" w:ascii="宋体" w:hAnsi="宋体"/>
          <w:bCs/>
          <w:color w:val="000000"/>
          <w:sz w:val="24"/>
          <w:szCs w:val="24"/>
          <w:highlight w:val="none"/>
        </w:rPr>
      </w:r>
      <w:r/>
    </w:p>
    <w:p>
      <w:pPr>
        <w:pStyle w:val="670"/>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shd w:val="clear" w:color="ffffff" w:fill="d9d9d9"/>
        </w:rPr>
      </w:r>
      <w:r/>
    </w:p>
    <w:p>
      <w:pPr>
        <w:pStyle w:val="670"/>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4"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黑体" w:eastAsia="黑体"/>
          <w:color w:val="000000"/>
          <w:sz w:val="36"/>
          <w:szCs w:val="36"/>
          <w:highlight w:val="none"/>
        </w:rPr>
        <w:t xml:space="preserve">投标人须知</w:t>
      </w:r>
      <w:bookmarkEnd w:id="45"/>
      <w:r/>
      <w:bookmarkEnd w:id="46"/>
      <w:r/>
      <w:bookmarkEnd w:id="47"/>
      <w:r/>
      <w:bookmarkEnd w:id="48"/>
      <w:r>
        <w:rPr>
          <w:rFonts w:hint="eastAsia" w:ascii="黑体" w:hAnsi="黑体" w:eastAsia="黑体"/>
          <w:color w:val="000000"/>
          <w:sz w:val="36"/>
          <w:szCs w:val="36"/>
          <w:highlight w:val="none"/>
        </w:rPr>
      </w:r>
      <w:r/>
    </w:p>
    <w:p>
      <w:pPr>
        <w:pStyle w:val="673"/>
        <w:ind w:firstLine="452"/>
        <w:keepLines w:val="0"/>
        <w:keepNext w:val="0"/>
        <w:spacing w:before="0" w:after="0" w:line="500" w:lineRule="exact"/>
        <w:rPr>
          <w:rFonts w:hint="eastAsia"/>
          <w:color w:val="000000"/>
          <w:sz w:val="30"/>
          <w:szCs w:val="30"/>
          <w:highlight w:val="none"/>
        </w:rPr>
      </w:pPr>
      <w:r/>
      <w:bookmarkStart w:id="49" w:name="_Toc16938519"/>
      <w:r/>
      <w:bookmarkStart w:id="50" w:name="_Toc120614214"/>
      <w:r/>
      <w:bookmarkStart w:id="51" w:name="_Toc20823275"/>
      <w:r/>
      <w:bookmarkStart w:id="52" w:name="_Toc513029203"/>
      <w:r>
        <w:rPr>
          <w:rFonts w:hint="eastAsia"/>
          <w:color w:val="000000"/>
          <w:sz w:val="30"/>
          <w:szCs w:val="30"/>
          <w:highlight w:val="none"/>
        </w:rPr>
        <w:t xml:space="preserve">一、总则</w:t>
      </w:r>
      <w:bookmarkEnd w:id="49"/>
      <w:r/>
      <w:bookmarkEnd w:id="50"/>
      <w:r/>
      <w:bookmarkEnd w:id="51"/>
      <w:r/>
      <w:bookmarkEnd w:id="52"/>
      <w:r>
        <w:rPr>
          <w:rFonts w:hint="eastAsia"/>
          <w:color w:val="000000"/>
          <w:sz w:val="30"/>
          <w:szCs w:val="30"/>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53" w:name="_Hlt16619475"/>
      <w:r/>
      <w:bookmarkEnd w:id="53"/>
      <w:r/>
      <w:bookmarkStart w:id="54" w:name="_Toc16938520"/>
      <w:r/>
      <w:bookmarkStart w:id="55" w:name="_Toc513029204"/>
      <w:r/>
      <w:bookmarkStart w:id="56" w:name="_Toc20823276"/>
      <w:r>
        <w:rPr>
          <w:rFonts w:hint="eastAsia" w:ascii="宋体" w:hAnsi="宋体" w:eastAsia="宋体"/>
          <w:bCs w:val="0"/>
          <w:color w:val="000000"/>
          <w:highlight w:val="none"/>
        </w:rPr>
        <w:t xml:space="preserve">1.招标方式</w:t>
      </w:r>
      <w:bookmarkEnd w:id="54"/>
      <w:r/>
      <w:bookmarkEnd w:id="55"/>
      <w:r/>
      <w:bookmarkEnd w:id="56"/>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57" w:name="_Toc16938521"/>
      <w:r/>
      <w:bookmarkStart w:id="58" w:name="_Toc20823277"/>
      <w:r/>
      <w:bookmarkStart w:id="59" w:name="_Toc513029205"/>
      <w:r>
        <w:rPr>
          <w:rFonts w:hint="eastAsia" w:ascii="宋体" w:hAnsi="宋体" w:eastAsia="宋体"/>
          <w:bCs w:val="0"/>
          <w:color w:val="000000"/>
          <w:highlight w:val="none"/>
        </w:rPr>
        <w:t xml:space="preserve">2.</w:t>
      </w:r>
      <w:bookmarkEnd w:id="57"/>
      <w:r/>
      <w:bookmarkEnd w:id="58"/>
      <w:r/>
      <w:bookmarkEnd w:id="59"/>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60" w:name="_Toc20823278"/>
      <w:r/>
      <w:bookmarkStart w:id="61" w:name="_Toc513029206"/>
      <w:r/>
      <w:bookmarkStart w:id="62" w:name="_Toc16938522"/>
      <w:r>
        <w:rPr>
          <w:rFonts w:hint="eastAsia" w:ascii="宋体" w:hAnsi="宋体" w:eastAsia="宋体"/>
          <w:bCs w:val="0"/>
          <w:color w:val="000000"/>
          <w:highlight w:val="none"/>
        </w:rPr>
        <w:t xml:space="preserve">3.适用法律</w:t>
      </w:r>
      <w:bookmarkEnd w:id="60"/>
      <w:r/>
      <w:bookmarkEnd w:id="61"/>
      <w:r/>
      <w:bookmarkEnd w:id="62"/>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rPr>
          <w:rFonts w:hint="eastAsia"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63" w:name="_Toc513029207"/>
      <w:r/>
      <w:bookmarkStart w:id="64" w:name="_Toc16938523"/>
      <w:r/>
      <w:bookmarkStart w:id="65" w:name="_Toc20823279"/>
      <w:r/>
      <w:bookmarkStart w:id="66" w:name="_Toc462564067"/>
      <w:r>
        <w:rPr>
          <w:rFonts w:hint="eastAsia" w:ascii="宋体" w:hAnsi="宋体" w:eastAsia="宋体"/>
          <w:bCs w:val="0"/>
          <w:color w:val="000000"/>
          <w:highlight w:val="none"/>
        </w:rPr>
        <w:t xml:space="preserve">4.投标费用</w:t>
      </w:r>
      <w:bookmarkEnd w:id="63"/>
      <w:r/>
      <w:bookmarkEnd w:id="64"/>
      <w:r/>
      <w:bookmarkEnd w:id="65"/>
      <w:r/>
      <w:bookmarkEnd w:id="66"/>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投标人应自行承担所有与参加投标有关的费用，无论投标过程中的做法和结果如何，无锡市公共资源交易中心新吴分中心（以下简称交易中心）在任何情况下均无义务和责任承担这些费用。</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673"/>
        <w:ind w:firstLine="452"/>
        <w:keepLines w:val="0"/>
        <w:keepNext w:val="0"/>
        <w:spacing w:before="0" w:after="0" w:line="500" w:lineRule="exact"/>
        <w:rPr>
          <w:rFonts w:hint="eastAsia"/>
          <w:color w:val="000000"/>
          <w:sz w:val="30"/>
          <w:szCs w:val="30"/>
          <w:highlight w:val="none"/>
        </w:rPr>
      </w:pPr>
      <w:r/>
      <w:bookmarkStart w:id="67" w:name="_Toc120614215"/>
      <w:r/>
      <w:bookmarkStart w:id="68" w:name="_Toc20823281"/>
      <w:r/>
      <w:bookmarkStart w:id="69" w:name="_Toc513029209"/>
      <w:r/>
      <w:bookmarkStart w:id="70" w:name="_Toc16938525"/>
      <w:r>
        <w:rPr>
          <w:rFonts w:hint="eastAsia"/>
          <w:color w:val="000000"/>
          <w:sz w:val="30"/>
          <w:szCs w:val="30"/>
          <w:highlight w:val="none"/>
        </w:rPr>
        <w:t xml:space="preserve">二、招标文件</w:t>
      </w:r>
      <w:bookmarkEnd w:id="67"/>
      <w:r/>
      <w:bookmarkEnd w:id="68"/>
      <w:r/>
      <w:bookmarkEnd w:id="69"/>
      <w:r/>
      <w:bookmarkEnd w:id="70"/>
      <w:r>
        <w:rPr>
          <w:rFonts w:hint="eastAsia"/>
          <w:color w:val="000000"/>
          <w:sz w:val="30"/>
          <w:szCs w:val="30"/>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71" w:name="_Toc513029210"/>
      <w:r/>
      <w:bookmarkStart w:id="72" w:name="_Toc20823282"/>
      <w:r/>
      <w:bookmarkStart w:id="73" w:name="_Toc16938526"/>
      <w:r>
        <w:rPr>
          <w:rFonts w:hint="eastAsia" w:ascii="宋体" w:hAnsi="宋体" w:eastAsia="宋体"/>
          <w:bCs w:val="0"/>
          <w:color w:val="000000"/>
          <w:highlight w:val="none"/>
        </w:rPr>
        <w:t xml:space="preserve">6.招标文件构成</w:t>
      </w:r>
      <w:bookmarkEnd w:id="71"/>
      <w:r/>
      <w:bookmarkEnd w:id="72"/>
      <w:r/>
      <w:bookmarkEnd w:id="73"/>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70"/>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74" w:name="_Toc16938527"/>
      <w:r/>
      <w:bookmarkStart w:id="75" w:name="_Toc20823283"/>
      <w:r/>
      <w:bookmarkStart w:id="76" w:name="_Toc513029211"/>
      <w:r/>
      <w:bookmarkStart w:id="77" w:name="_Toc462564070"/>
      <w:r>
        <w:rPr>
          <w:rFonts w:hint="eastAsia" w:ascii="宋体" w:hAnsi="宋体" w:eastAsia="宋体"/>
          <w:bCs w:val="0"/>
          <w:color w:val="000000"/>
          <w:highlight w:val="none"/>
        </w:rPr>
        <w:t xml:space="preserve">7.招标文件的澄清</w:t>
      </w:r>
      <w:bookmarkEnd w:id="74"/>
      <w:r/>
      <w:bookmarkEnd w:id="75"/>
      <w:r/>
      <w:bookmarkEnd w:id="76"/>
      <w:r/>
      <w:bookmarkEnd w:id="77"/>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7.1本项目不召开开标前答疑会，投标人如有需要对招标文件要求澄清的问题，应在投标截止期至少十五日前按招标公告或招标文件中的通讯地址，以书面形式通知交易中心。</w:t>
      </w:r>
      <w:r>
        <w:rPr>
          <w:rFonts w:hint="eastAsia" w:ascii="宋体" w:hAnsi="宋体"/>
          <w:bCs/>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78" w:name="_Toc20823284"/>
      <w:r/>
      <w:bookmarkStart w:id="79" w:name="_Toc16938528"/>
      <w:r/>
      <w:bookmarkStart w:id="80" w:name="_Toc462564071"/>
      <w:r/>
      <w:bookmarkStart w:id="81" w:name="_Toc513029212"/>
      <w:r>
        <w:rPr>
          <w:rFonts w:hint="eastAsia" w:ascii="宋体" w:hAnsi="宋体" w:eastAsia="宋体"/>
          <w:bCs w:val="0"/>
          <w:color w:val="000000"/>
          <w:highlight w:val="none"/>
        </w:rPr>
        <w:t xml:space="preserve">8.招标文件的修改</w:t>
      </w:r>
      <w:bookmarkEnd w:id="78"/>
      <w:r/>
      <w:bookmarkEnd w:id="79"/>
      <w:r/>
      <w:bookmarkEnd w:id="80"/>
      <w:r/>
      <w:bookmarkEnd w:id="81"/>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673"/>
        <w:ind w:firstLine="452"/>
        <w:keepLines w:val="0"/>
        <w:keepNext w:val="0"/>
        <w:spacing w:before="0" w:after="0" w:line="500" w:lineRule="exact"/>
        <w:rPr>
          <w:rFonts w:hint="eastAsia"/>
          <w:color w:val="000000"/>
          <w:sz w:val="30"/>
          <w:szCs w:val="30"/>
          <w:highlight w:val="none"/>
        </w:rPr>
      </w:pPr>
      <w:r/>
      <w:bookmarkStart w:id="82" w:name="_Toc20823285"/>
      <w:r/>
      <w:bookmarkStart w:id="83" w:name="_Toc513029213"/>
      <w:r/>
      <w:bookmarkStart w:id="84" w:name="_Toc462564072"/>
      <w:r/>
      <w:bookmarkStart w:id="85" w:name="_Toc120614216"/>
      <w:r/>
      <w:bookmarkStart w:id="86" w:name="_Toc16938529"/>
      <w:r>
        <w:rPr>
          <w:rFonts w:hint="eastAsia"/>
          <w:color w:val="000000"/>
          <w:sz w:val="30"/>
          <w:szCs w:val="30"/>
          <w:highlight w:val="none"/>
        </w:rPr>
        <w:t xml:space="preserve">三、投标文件的编制</w:t>
      </w:r>
      <w:bookmarkEnd w:id="82"/>
      <w:r/>
      <w:bookmarkEnd w:id="83"/>
      <w:r/>
      <w:bookmarkEnd w:id="84"/>
      <w:r/>
      <w:bookmarkEnd w:id="85"/>
      <w:r/>
      <w:bookmarkEnd w:id="86"/>
      <w:r>
        <w:rPr>
          <w:rFonts w:hint="eastAsia"/>
          <w:color w:val="000000"/>
          <w:sz w:val="30"/>
          <w:szCs w:val="30"/>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87" w:name="_Toc462564073"/>
      <w:r/>
      <w:bookmarkStart w:id="88" w:name="_Toc513029214"/>
      <w:r/>
      <w:bookmarkStart w:id="89" w:name="_Toc20823286"/>
      <w:r/>
      <w:bookmarkStart w:id="90" w:name="_Toc16938530"/>
      <w:r>
        <w:rPr>
          <w:rFonts w:hint="eastAsia" w:ascii="宋体" w:hAnsi="宋体" w:eastAsia="宋体"/>
          <w:bCs w:val="0"/>
          <w:color w:val="000000"/>
          <w:highlight w:val="none"/>
        </w:rPr>
        <w:t xml:space="preserve">9.投标文件的语言及度量衡单位</w:t>
      </w:r>
      <w:bookmarkEnd w:id="87"/>
      <w:r/>
      <w:bookmarkEnd w:id="88"/>
      <w:r/>
      <w:bookmarkEnd w:id="89"/>
      <w:r/>
      <w:bookmarkEnd w:id="90"/>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91" w:name="_Toc513029215"/>
      <w:r/>
      <w:bookmarkStart w:id="92" w:name="_Toc462564074"/>
      <w:r/>
      <w:bookmarkStart w:id="93" w:name="_Toc20823287"/>
      <w:r/>
      <w:bookmarkStart w:id="94" w:name="_Toc16938531"/>
      <w:r>
        <w:rPr>
          <w:rFonts w:hint="eastAsia" w:ascii="宋体" w:hAnsi="宋体" w:eastAsia="宋体"/>
          <w:bCs w:val="0"/>
          <w:color w:val="000000"/>
          <w:highlight w:val="none"/>
        </w:rPr>
        <w:t xml:space="preserve">10.投标文件构成</w:t>
      </w:r>
      <w:bookmarkEnd w:id="91"/>
      <w:r/>
      <w:bookmarkEnd w:id="92"/>
      <w:r/>
      <w:bookmarkEnd w:id="93"/>
      <w:r/>
      <w:bookmarkEnd w:id="94"/>
      <w:r>
        <w:rPr>
          <w:rFonts w:hint="eastAsia" w:ascii="宋体" w:hAnsi="宋体" w:eastAsia="宋体"/>
          <w:bCs w:val="0"/>
          <w:color w:val="000000"/>
          <w:highlight w:val="none"/>
        </w:rPr>
      </w:r>
      <w:r/>
    </w:p>
    <w:p>
      <w:pPr>
        <w:pStyle w:val="67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95" w:name="_Hlt26954838"/>
      <w:r/>
      <w:bookmarkEnd w:id="95"/>
      <w:r/>
      <w:bookmarkStart w:id="96" w:name="_Hlt26670360"/>
      <w:r/>
      <w:bookmarkEnd w:id="96"/>
      <w:r/>
      <w:bookmarkStart w:id="97" w:name="_Hlt26668975"/>
      <w:r/>
      <w:bookmarkEnd w:id="97"/>
      <w:r/>
      <w:bookmarkStart w:id="98" w:name="_Toc513029219"/>
      <w:r/>
      <w:bookmarkStart w:id="99" w:name="_Toc14577357"/>
      <w:r/>
      <w:bookmarkStart w:id="100" w:name="_Toc49090509"/>
      <w:r/>
      <w:bookmarkStart w:id="101" w:name="_Toc14577354"/>
      <w:r/>
      <w:bookmarkStart w:id="102" w:name="_Toc49090507"/>
      <w:r/>
      <w:bookmarkStart w:id="103" w:name="_Toc513029216"/>
      <w:r>
        <w:rPr>
          <w:rFonts w:hint="eastAsia" w:ascii="宋体" w:hAnsi="宋体" w:eastAsia="宋体"/>
          <w:bCs w:val="0"/>
          <w:color w:val="000000"/>
          <w:highlight w:val="none"/>
        </w:rPr>
        <w:t xml:space="preserve">11.证明投标人及投标标的符合招标文件规定的文件</w:t>
      </w:r>
      <w:bookmarkEnd w:id="98"/>
      <w:r/>
      <w:bookmarkEnd w:id="99"/>
      <w:r/>
      <w:bookmarkEnd w:id="100"/>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bookmarkEnd w:id="101"/>
      <w:r/>
      <w:bookmarkEnd w:id="102"/>
      <w:r/>
      <w:bookmarkEnd w:id="103"/>
      <w:r/>
      <w:bookmarkStart w:id="104" w:name="_Toc49090508"/>
      <w:r/>
      <w:bookmarkStart w:id="105"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06" w:name="_Toc14577359"/>
      <w:r/>
      <w:bookmarkStart w:id="107"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rPr>
          <w:rFonts w:hint="eastAsia" w:ascii="宋体" w:hAnsi="宋体"/>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End w:id="106"/>
      <w:r/>
      <w:bookmarkEnd w:id="107"/>
      <w:r>
        <w:rPr>
          <w:rFonts w:hint="eastAsia" w:ascii="宋体" w:hAnsi="宋体" w:eastAsia="宋体"/>
          <w:bCs w:val="0"/>
          <w:color w:val="000000"/>
          <w:highlight w:val="none"/>
        </w:rPr>
        <w:t xml:space="preserve">13.</w:t>
      </w:r>
      <w:bookmarkEnd w:id="104"/>
      <w:r/>
      <w:bookmarkEnd w:id="105"/>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8" w:name="_Hlt26954840"/>
      <w:r/>
      <w:bookmarkEnd w:id="108"/>
      <w:r>
        <w:rPr>
          <w:rFonts w:hint="eastAsia" w:ascii="宋体" w:hAnsi="宋体"/>
          <w:color w:val="000000"/>
          <w:sz w:val="24"/>
          <w:highlight w:val="none"/>
        </w:rPr>
        <w:t xml:space="preserve">标人应按照招标文件规定格式填报</w:t>
      </w:r>
      <w:bookmarkStart w:id="109" w:name="_Hlt26670399"/>
      <w:r/>
      <w:bookmarkEnd w:id="109"/>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10" w:name="_Hlt26954842"/>
      <w:r/>
      <w:bookmarkEnd w:id="110"/>
      <w:r/>
      <w:bookmarkStart w:id="111" w:name="_Hlt26670425"/>
      <w:r/>
      <w:bookmarkEnd w:id="111"/>
      <w:r/>
      <w:bookmarkStart w:id="112" w:name="_Hlt26954731"/>
      <w:r/>
      <w:bookmarkEnd w:id="112"/>
      <w:r/>
      <w:bookmarkStart w:id="113" w:name="_Hlt26670486"/>
      <w:r/>
      <w:bookmarkEnd w:id="113"/>
      <w:r/>
      <w:bookmarkStart w:id="114" w:name="_Hlt26954844"/>
      <w:r/>
      <w:bookmarkEnd w:id="114"/>
      <w:r/>
      <w:bookmarkStart w:id="115" w:name="_Hlt26668983"/>
      <w:r/>
      <w:bookmarkEnd w:id="115"/>
      <w:r/>
      <w:bookmarkStart w:id="116" w:name="_Hlt26954848"/>
      <w:r/>
      <w:bookmarkEnd w:id="116"/>
      <w:r/>
      <w:bookmarkStart w:id="117" w:name="_Hlt26670403"/>
      <w:r/>
      <w:bookmarkEnd w:id="117"/>
      <w:r/>
      <w:bookmarkStart w:id="118" w:name="_Hlt26954846"/>
      <w:r/>
      <w:bookmarkEnd w:id="118"/>
      <w:r/>
      <w:bookmarkStart w:id="119" w:name="_Hlt26670482"/>
      <w:r/>
      <w:bookmarkEnd w:id="119"/>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670"/>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hint="eastAsia" w:ascii="宋体" w:hAnsi="宋体" w:eastAsia="宋体"/>
          <w:bCs w:val="0"/>
          <w:color w:val="000000"/>
          <w:highlight w:val="none"/>
        </w:rPr>
        <w:t xml:space="preserve">15.投标有效期</w:t>
      </w:r>
      <w:bookmarkEnd w:id="123"/>
      <w:r/>
      <w:bookmarkEnd w:id="124"/>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3"/>
        <w:ind w:firstLine="452"/>
        <w:keepLines w:val="0"/>
        <w:keepNext w:val="0"/>
        <w:spacing w:before="0" w:after="0" w:line="500" w:lineRule="exact"/>
        <w:rPr>
          <w:rFonts w:hint="eastAsia"/>
          <w:color w:val="000000"/>
          <w:sz w:val="30"/>
          <w:szCs w:val="30"/>
          <w:highlight w:val="none"/>
        </w:rPr>
      </w:pPr>
      <w:r/>
      <w:bookmarkStart w:id="125" w:name="_Hlt26954739"/>
      <w:r/>
      <w:bookmarkEnd w:id="125"/>
      <w:r/>
      <w:bookmarkStart w:id="126" w:name="_Hlt26954852"/>
      <w:r/>
      <w:bookmarkEnd w:id="126"/>
      <w:r/>
      <w:bookmarkStart w:id="127" w:name="_Toc20823296"/>
      <w:r/>
      <w:bookmarkStart w:id="128" w:name="_Toc513029224"/>
      <w:r/>
      <w:bookmarkStart w:id="129" w:name="_Toc120614217"/>
      <w:r/>
      <w:bookmarkStart w:id="130" w:name="_Toc16938540"/>
      <w:r>
        <w:rPr>
          <w:rFonts w:hint="eastAsia"/>
          <w:color w:val="000000"/>
          <w:sz w:val="30"/>
          <w:szCs w:val="30"/>
          <w:highlight w:val="none"/>
        </w:rPr>
        <w:t xml:space="preserve">四、投标文件的递交</w:t>
      </w:r>
      <w:bookmarkEnd w:id="127"/>
      <w:r/>
      <w:bookmarkEnd w:id="128"/>
      <w:r/>
      <w:bookmarkEnd w:id="129"/>
      <w:r/>
      <w:bookmarkEnd w:id="130"/>
      <w:r>
        <w:rPr>
          <w:rFonts w:hint="eastAsia"/>
          <w:color w:val="000000"/>
          <w:sz w:val="30"/>
          <w:szCs w:val="30"/>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31" w:name="_Toc20823297"/>
      <w:r/>
      <w:bookmarkStart w:id="132" w:name="_Toc462564084"/>
      <w:r/>
      <w:bookmarkStart w:id="133" w:name="_Toc513029225"/>
      <w:r/>
      <w:bookmarkStart w:id="134" w:name="_Toc16938541"/>
      <w:r>
        <w:rPr>
          <w:rFonts w:hint="eastAsia" w:ascii="宋体" w:hAnsi="宋体" w:eastAsia="宋体"/>
          <w:bCs w:val="0"/>
          <w:color w:val="000000"/>
          <w:highlight w:val="none"/>
        </w:rPr>
        <w:t xml:space="preserve">17.投标文件</w:t>
      </w:r>
      <w:bookmarkEnd w:id="131"/>
      <w:r/>
      <w:bookmarkEnd w:id="132"/>
      <w:r/>
      <w:bookmarkEnd w:id="133"/>
      <w:r/>
      <w:bookmarkEnd w:id="134"/>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7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5" w:name="_Toc16938542"/>
      <w:r/>
      <w:bookmarkStart w:id="136" w:name="_Toc20823298"/>
      <w:r/>
      <w:bookmarkStart w:id="137" w:name="_Toc513029226"/>
      <w:r>
        <w:rPr>
          <w:rFonts w:hint="eastAsia" w:ascii="宋体" w:hAnsi="宋体"/>
          <w:bCs/>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5"/>
      <w:r/>
      <w:bookmarkEnd w:id="136"/>
      <w:r/>
      <w:bookmarkEnd w:id="137"/>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38" w:name="_Toc513029227"/>
      <w:r/>
      <w:bookmarkStart w:id="139" w:name="_Toc16938543"/>
      <w:r/>
      <w:bookmarkStart w:id="140" w:name="_Toc20823299"/>
      <w:r>
        <w:rPr>
          <w:rFonts w:hint="eastAsia" w:ascii="宋体" w:hAnsi="宋体" w:eastAsia="宋体"/>
          <w:bCs w:val="0"/>
          <w:color w:val="000000"/>
          <w:highlight w:val="none"/>
        </w:rPr>
        <w:t xml:space="preserve">19.投标文件</w:t>
      </w:r>
      <w:bookmarkEnd w:id="138"/>
      <w:r/>
      <w:bookmarkEnd w:id="139"/>
      <w:r/>
      <w:bookmarkEnd w:id="140"/>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41" w:name="_Toc20823300"/>
      <w:r/>
      <w:bookmarkStart w:id="142" w:name="_Toc513029228"/>
      <w:r/>
      <w:bookmarkStart w:id="143" w:name="_Toc16938544"/>
      <w:r>
        <w:rPr>
          <w:rFonts w:hint="eastAsia" w:ascii="宋体" w:hAnsi="宋体" w:eastAsia="宋体"/>
          <w:bCs w:val="0"/>
          <w:color w:val="000000"/>
          <w:highlight w:val="none"/>
        </w:rPr>
        <w:t xml:space="preserve">20.投标文件的撤回和修改</w:t>
      </w:r>
      <w:bookmarkEnd w:id="141"/>
      <w:r/>
      <w:bookmarkEnd w:id="142"/>
      <w:r/>
      <w:bookmarkEnd w:id="143"/>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673"/>
        <w:ind w:firstLine="452"/>
        <w:keepLines w:val="0"/>
        <w:keepNext w:val="0"/>
        <w:spacing w:before="0" w:after="0" w:line="500" w:lineRule="exact"/>
        <w:rPr>
          <w:rFonts w:hint="eastAsia"/>
          <w:color w:val="000000"/>
          <w:sz w:val="30"/>
          <w:szCs w:val="30"/>
          <w:highlight w:val="none"/>
        </w:rPr>
      </w:pPr>
      <w:r/>
      <w:bookmarkStart w:id="144" w:name="_Toc16938545"/>
      <w:r/>
      <w:bookmarkStart w:id="145" w:name="_Toc20823301"/>
      <w:r/>
      <w:bookmarkStart w:id="146" w:name="_Toc513029229"/>
      <w:r/>
      <w:bookmarkStart w:id="147" w:name="_Toc120614218"/>
      <w:r>
        <w:rPr>
          <w:rFonts w:hint="eastAsia"/>
          <w:color w:val="000000"/>
          <w:sz w:val="30"/>
          <w:szCs w:val="30"/>
          <w:highlight w:val="none"/>
        </w:rPr>
        <w:t xml:space="preserve">五、开标与评标</w:t>
      </w:r>
      <w:bookmarkEnd w:id="144"/>
      <w:r/>
      <w:bookmarkEnd w:id="145"/>
      <w:r/>
      <w:bookmarkEnd w:id="146"/>
      <w:r/>
      <w:bookmarkEnd w:id="147"/>
      <w:r>
        <w:rPr>
          <w:rFonts w:hint="eastAsia"/>
          <w:color w:val="000000"/>
          <w:sz w:val="30"/>
          <w:szCs w:val="30"/>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48" w:name="_Toc513029230"/>
      <w:r/>
      <w:bookmarkStart w:id="149" w:name="_Toc16938546"/>
      <w:r/>
      <w:bookmarkStart w:id="150" w:name="_Toc20823302"/>
      <w:r>
        <w:rPr>
          <w:rFonts w:hint="eastAsia" w:ascii="宋体" w:hAnsi="宋体" w:eastAsia="宋体"/>
          <w:bCs w:val="0"/>
          <w:color w:val="000000"/>
          <w:highlight w:val="none"/>
        </w:rPr>
        <w:t xml:space="preserve">21.开标</w:t>
      </w:r>
      <w:bookmarkEnd w:id="148"/>
      <w:r/>
      <w:bookmarkEnd w:id="149"/>
      <w:r/>
      <w:bookmarkEnd w:id="150"/>
      <w:r>
        <w:rPr>
          <w:rFonts w:hint="eastAsia" w:ascii="宋体" w:hAnsi="宋体" w:eastAsia="宋体"/>
          <w:bCs w:val="0"/>
          <w:color w:val="000000"/>
          <w:highlight w:val="none"/>
        </w:rPr>
      </w:r>
      <w:r/>
    </w:p>
    <w:p>
      <w:pPr>
        <w:pStyle w:val="670"/>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67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51" w:name="_Toc16938547"/>
      <w:r/>
      <w:bookmarkStart w:id="152" w:name="_Toc20823303"/>
      <w:r/>
      <w:bookmarkStart w:id="153" w:name="_Toc513029231"/>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670"/>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rPr>
          <w:rFonts w:hint="eastAsia"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bookmarkEnd w:id="151"/>
      <w:r/>
      <w:bookmarkEnd w:id="152"/>
      <w:r/>
      <w:bookmarkEnd w:id="153"/>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54" w:name="_Toc16938548"/>
      <w:r/>
      <w:bookmarkStart w:id="155" w:name="_Toc513029232"/>
      <w:r/>
      <w:bookmarkStart w:id="156" w:name="_Toc20823304"/>
      <w:r>
        <w:rPr>
          <w:rFonts w:hint="eastAsia" w:ascii="宋体" w:hAnsi="宋体" w:eastAsia="宋体"/>
          <w:bCs w:val="0"/>
          <w:color w:val="000000"/>
          <w:highlight w:val="none"/>
        </w:rPr>
        <w:t xml:space="preserve">24.投标文件的澄清</w:t>
      </w:r>
      <w:bookmarkEnd w:id="154"/>
      <w:r/>
      <w:bookmarkEnd w:id="155"/>
      <w:r/>
      <w:bookmarkEnd w:id="156"/>
      <w:r>
        <w:rPr>
          <w:rFonts w:hint="eastAsia" w:ascii="宋体" w:hAnsi="宋体" w:eastAsia="宋体"/>
          <w:bCs w:val="0"/>
          <w:color w:val="000000"/>
          <w:highlight w:val="none"/>
        </w:rPr>
      </w:r>
      <w:r/>
    </w:p>
    <w:p>
      <w:pPr>
        <w:pStyle w:val="670"/>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rPr>
          <w:rFonts w:hint="eastAsia"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57" w:name="_Toc20823305"/>
      <w:r/>
      <w:bookmarkStart w:id="158" w:name="_Toc513029233"/>
      <w:r/>
      <w:bookmarkStart w:id="159" w:name="_Toc16938549"/>
      <w:r>
        <w:rPr>
          <w:rFonts w:hint="eastAsia" w:ascii="宋体" w:hAnsi="宋体" w:eastAsia="宋体"/>
          <w:bCs w:val="0"/>
          <w:color w:val="000000"/>
          <w:highlight w:val="none"/>
        </w:rPr>
        <w:t xml:space="preserve">25.对投标文件的初审</w:t>
      </w:r>
      <w:bookmarkEnd w:id="157"/>
      <w:r/>
      <w:bookmarkEnd w:id="158"/>
      <w:r/>
      <w:bookmarkEnd w:id="159"/>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670"/>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670"/>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670"/>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670"/>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670"/>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670"/>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670"/>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670"/>
        <w:ind w:firstLine="420"/>
        <w:spacing w:line="500" w:lineRule="exact"/>
        <w:rPr>
          <w:rFonts w:hint="eastAsia" w:ascii="宋体" w:hAnsi="宋体"/>
          <w:color w:val="000000"/>
          <w:sz w:val="24"/>
          <w:highlight w:val="none"/>
        </w:rPr>
      </w:pPr>
      <w:r/>
      <w:bookmarkStart w:id="160" w:name="_Toc513029234"/>
      <w:r/>
      <w:bookmarkStart w:id="161" w:name="_Toc20823306"/>
      <w:r/>
      <w:bookmarkStart w:id="162" w:name="_Toc16938550"/>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60"/>
      <w:r/>
      <w:bookmarkEnd w:id="161"/>
      <w:r/>
      <w:bookmarkEnd w:id="162"/>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670"/>
        <w:ind w:left="479"/>
        <w:spacing w:line="500" w:lineRule="exact"/>
        <w:rPr>
          <w:rFonts w:hint="eastAsia" w:ascii="宋体" w:hAnsi="宋体"/>
          <w:bCs/>
          <w:color w:val="000000"/>
          <w:sz w:val="24"/>
          <w:highlight w:val="none"/>
        </w:rPr>
      </w:pPr>
      <w:r/>
      <w:bookmarkStart w:id="163" w:name="_Toc16938551"/>
      <w:r/>
      <w:bookmarkStart w:id="164" w:name="_Toc20823307"/>
      <w:r/>
      <w:bookmarkStart w:id="165"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rPr>
          <w:rFonts w:hint="eastAsia" w:ascii="宋体" w:hAnsi="宋体"/>
          <w:bCs/>
          <w:color w:val="000000"/>
          <w:sz w:val="24"/>
          <w:highlight w:val="none"/>
          <w:shd w:val="clear" w:color="ffffff" w:fill="d9d9d9"/>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26.1.24其他法律法规及本招标文件规定的属无效投标的情形。</w:t>
      </w:r>
      <w:r>
        <w:rPr>
          <w:rFonts w:hint="eastAsia" w:ascii="宋体" w:hAnsi="宋体"/>
          <w:bCs/>
          <w:color w:val="000000"/>
          <w:sz w:val="24"/>
          <w:highlight w:val="none"/>
        </w:rPr>
      </w:r>
      <w:r/>
    </w:p>
    <w:p>
      <w:pPr>
        <w:pStyle w:val="670"/>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670"/>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26.2.1符合专业条件的供应商或者对招标文件做实质响应的供应商不足三家的。26.2.2出现影响采购公正的违法、违规行为的。</w:t>
      </w:r>
      <w:r>
        <w:rPr>
          <w:rFonts w:hint="eastAsia" w:ascii="宋体" w:hAnsi="宋体"/>
          <w:bCs/>
          <w:color w:val="000000"/>
          <w:sz w:val="24"/>
          <w:highlight w:val="none"/>
        </w:rPr>
      </w:r>
      <w:r/>
    </w:p>
    <w:p>
      <w:pPr>
        <w:pStyle w:val="670"/>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670"/>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670"/>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670"/>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670"/>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673"/>
        <w:ind w:firstLine="452"/>
        <w:keepLines w:val="0"/>
        <w:keepNext w:val="0"/>
        <w:spacing w:before="0" w:after="0" w:line="500" w:lineRule="exact"/>
        <w:rPr>
          <w:rFonts w:hint="eastAsia"/>
          <w:color w:val="000000"/>
          <w:sz w:val="30"/>
          <w:szCs w:val="30"/>
          <w:highlight w:val="none"/>
        </w:rPr>
      </w:pPr>
      <w:r/>
      <w:bookmarkStart w:id="166" w:name="_Toc120614219"/>
      <w:r>
        <w:rPr>
          <w:rFonts w:hint="eastAsia"/>
          <w:color w:val="000000"/>
          <w:sz w:val="30"/>
          <w:szCs w:val="30"/>
          <w:highlight w:val="none"/>
        </w:rPr>
        <w:t xml:space="preserve">六、</w:t>
      </w:r>
      <w:bookmarkEnd w:id="163"/>
      <w:r/>
      <w:bookmarkEnd w:id="164"/>
      <w:r/>
      <w:bookmarkEnd w:id="165"/>
      <w:r>
        <w:rPr>
          <w:rFonts w:hint="eastAsia"/>
          <w:color w:val="000000"/>
          <w:sz w:val="30"/>
          <w:szCs w:val="30"/>
          <w:highlight w:val="none"/>
        </w:rPr>
        <w:t xml:space="preserve">定标</w:t>
      </w:r>
      <w:bookmarkEnd w:id="166"/>
      <w:r>
        <w:rPr>
          <w:rFonts w:hint="eastAsia"/>
          <w:color w:val="000000"/>
          <w:sz w:val="30"/>
          <w:szCs w:val="30"/>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Start w:id="167" w:name="_Toc513029238"/>
      <w:r/>
      <w:bookmarkStart w:id="168" w:name="_Toc20823310"/>
      <w:r/>
      <w:bookmarkStart w:id="169" w:name="_Toc16938554"/>
      <w:r>
        <w:rPr>
          <w:rFonts w:hint="eastAsia" w:ascii="宋体" w:hAnsi="宋体" w:eastAsia="宋体"/>
          <w:bCs w:val="0"/>
          <w:color w:val="000000"/>
          <w:highlight w:val="none"/>
        </w:rPr>
        <w:t xml:space="preserve">27、</w:t>
      </w:r>
      <w:bookmarkEnd w:id="167"/>
      <w:r>
        <w:rPr>
          <w:rFonts w:hint="eastAsia" w:ascii="宋体" w:hAnsi="宋体" w:eastAsia="宋体"/>
          <w:bCs w:val="0"/>
          <w:color w:val="000000"/>
          <w:highlight w:val="none"/>
        </w:rPr>
        <w:t xml:space="preserve">确定</w:t>
      </w:r>
      <w:bookmarkEnd w:id="168"/>
      <w:r/>
      <w:bookmarkEnd w:id="169"/>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67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27.2采购人应根据评委会推荐的中标候选人确定中标人。联合体中标的，联合体各方应当共同与采购人签订合同，就中标项目向采购人承担连带责任。</w:t>
      </w:r>
      <w:r>
        <w:rPr>
          <w:rFonts w:hint="eastAsia" w:ascii="宋体" w:hAnsi="宋体"/>
          <w:bCs/>
          <w:color w:val="000000"/>
          <w:sz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交易中心将在“无锡政府采购网”“江苏政府采购网”发布中标公告，公告期限为1个工作日。</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bookmarkStart w:id="170"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670"/>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70"/>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670"/>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673"/>
        <w:ind w:firstLine="452"/>
        <w:keepLines w:val="0"/>
        <w:keepNext w:val="0"/>
        <w:spacing w:before="0" w:after="0" w:line="500" w:lineRule="exact"/>
        <w:rPr>
          <w:rFonts w:hint="eastAsia"/>
          <w:color w:val="000000"/>
          <w:sz w:val="30"/>
          <w:szCs w:val="30"/>
          <w:highlight w:val="none"/>
        </w:rPr>
      </w:pPr>
      <w:r/>
      <w:bookmarkStart w:id="171" w:name="_Toc120614220"/>
      <w:r/>
      <w:bookmarkStart w:id="172" w:name="_Toc16938552"/>
      <w:r/>
      <w:bookmarkStart w:id="173" w:name="_Toc513029236"/>
      <w:r/>
      <w:bookmarkStart w:id="174" w:name="_Toc20823308"/>
      <w:r>
        <w:rPr>
          <w:rFonts w:hint="eastAsia"/>
          <w:color w:val="000000"/>
          <w:sz w:val="30"/>
          <w:szCs w:val="30"/>
          <w:highlight w:val="none"/>
        </w:rPr>
        <w:t xml:space="preserve">七、授予合同</w:t>
      </w:r>
      <w:bookmarkEnd w:id="171"/>
      <w:r>
        <w:rPr>
          <w:rFonts w:hint="eastAsia"/>
          <w:color w:val="000000"/>
          <w:sz w:val="30"/>
          <w:szCs w:val="30"/>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bookmarkEnd w:id="172"/>
      <w:r/>
      <w:bookmarkEnd w:id="173"/>
      <w:r/>
      <w:bookmarkEnd w:id="174"/>
      <w:r/>
      <w:bookmarkStart w:id="175" w:name="_Toc16938553"/>
      <w:r/>
      <w:bookmarkStart w:id="176" w:name="_Toc513029237"/>
      <w:r/>
      <w:bookmarkStart w:id="177" w:name="_Toc20823309"/>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670"/>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67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color w:val="000000"/>
          <w:sz w:val="24"/>
          <w:szCs w:val="24"/>
          <w:highlight w:val="none"/>
        </w:rPr>
      </w:r>
      <w:r/>
    </w:p>
    <w:p>
      <w:pPr>
        <w:pStyle w:val="684"/>
        <w:jc w:val="center"/>
        <w:spacing w:line="500" w:lineRule="exact"/>
        <w:rPr>
          <w:rFonts w:hint="eastAsia" w:ascii="黑体" w:eastAsia="黑体"/>
          <w:bCs/>
          <w:color w:val="000000"/>
          <w:sz w:val="36"/>
          <w:szCs w:val="36"/>
          <w:highlight w:val="none"/>
        </w:rPr>
      </w:pPr>
      <w:r/>
      <w:bookmarkEnd w:id="175"/>
      <w:r/>
      <w:bookmarkEnd w:id="176"/>
      <w:r/>
      <w:bookmarkEnd w:id="177"/>
      <w:r/>
      <w:bookmarkStart w:id="178" w:name="_Toc20823314"/>
      <w:r/>
      <w:bookmarkStart w:id="179" w:name="_Toc513029242"/>
      <w:r/>
      <w:bookmarkStart w:id="180" w:name="_Toc120614221"/>
      <w:r/>
      <w:bookmarkStart w:id="181" w:name="_Toc479757207"/>
      <w:r/>
      <w:bookmarkStart w:id="182" w:name="_Toc16938558"/>
      <w:r>
        <w:rPr>
          <w:rFonts w:ascii="宋体" w:hAnsi="宋体"/>
          <w:bCs/>
          <w:color w:val="000000"/>
          <w:sz w:val="24"/>
          <w:highlight w:val="none"/>
          <w:shd w:val="clear" w:color="ffffff" w:fill="d9d9d9"/>
        </w:rPr>
        <w:br w:type="page" w:clear="all"/>
      </w:r>
      <w:r>
        <w:rPr>
          <w:rFonts w:hint="eastAsia" w:ascii="黑体" w:eastAsia="黑体"/>
          <w:bCs/>
          <w:color w:val="000000"/>
          <w:sz w:val="36"/>
          <w:szCs w:val="36"/>
          <w:highlight w:val="none"/>
        </w:rPr>
        <w:t xml:space="preserve">第三章  合同</w:t>
      </w:r>
      <w:bookmarkEnd w:id="178"/>
      <w:r/>
      <w:bookmarkEnd w:id="179"/>
      <w:r/>
      <w:bookmarkEnd w:id="180"/>
      <w:r/>
      <w:bookmarkEnd w:id="181"/>
      <w:r/>
      <w:bookmarkEnd w:id="182"/>
      <w:r>
        <w:rPr>
          <w:rFonts w:hint="eastAsia" w:ascii="黑体" w:eastAsia="黑体"/>
          <w:bCs/>
          <w:color w:val="000000"/>
          <w:sz w:val="36"/>
          <w:szCs w:val="36"/>
          <w:highlight w:val="none"/>
        </w:rPr>
        <w:t xml:space="preserve">文本</w:t>
      </w:r>
      <w:r>
        <w:rPr>
          <w:rFonts w:hint="eastAsia" w:ascii="黑体" w:eastAsia="黑体"/>
          <w:bCs/>
          <w:color w:val="000000"/>
          <w:sz w:val="36"/>
          <w:szCs w:val="36"/>
          <w:highlight w:val="none"/>
        </w:rPr>
      </w:r>
      <w:r/>
    </w:p>
    <w:p>
      <w:pPr>
        <w:pStyle w:val="670"/>
        <w:ind w:firstLine="480"/>
        <w:spacing w:line="400" w:lineRule="exact"/>
        <w:rPr>
          <w:rFonts w:hint="eastAsia" w:ascii="宋体" w:hAnsi="宋体"/>
          <w:bCs/>
          <w:color w:val="000000"/>
          <w:sz w:val="24"/>
          <w:highlight w:val="none"/>
        </w:rPr>
      </w:pPr>
      <w:r/>
      <w:bookmarkStart w:id="183" w:name="_Toc16938559"/>
      <w:r/>
      <w:bookmarkStart w:id="184" w:name="_Toc20823315"/>
      <w:r/>
      <w:bookmarkStart w:id="185"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670"/>
        <w:ind w:firstLine="602"/>
        <w:jc w:val="center"/>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江苏省政府采购合同（货物）（合同编号）</w:t>
      </w:r>
      <w:r>
        <w:rPr>
          <w:rFonts w:ascii="宋体" w:hAnsi="宋体"/>
          <w:b/>
          <w:bCs/>
          <w:color w:val="000000"/>
          <w:sz w:val="30"/>
          <w:szCs w:val="20"/>
          <w:highlight w:val="none"/>
        </w:rPr>
      </w:r>
      <w:r/>
    </w:p>
    <w:p>
      <w:pPr>
        <w:pStyle w:val="67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7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甲方：（买方、需方、采购人）_________</w:t>
      </w:r>
      <w:r>
        <w:rPr>
          <w:rFonts w:ascii="宋体" w:hAnsi="宋体" w:cs="Courier New"/>
          <w:color w:val="000000"/>
          <w:sz w:val="24"/>
          <w:szCs w:val="24"/>
          <w:highlight w:val="none"/>
        </w:rPr>
      </w:r>
      <w:r/>
    </w:p>
    <w:p>
      <w:pPr>
        <w:pStyle w:val="67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乙方：（卖方、供方、供应商）_________</w:t>
      </w:r>
      <w:r>
        <w:rPr>
          <w:rFonts w:hint="eastAsia" w:ascii="宋体" w:hAnsi="宋体" w:cs="Courier New"/>
          <w:color w:val="000000"/>
          <w:sz w:val="24"/>
          <w:szCs w:val="24"/>
          <w:highlight w:val="none"/>
        </w:rPr>
      </w:r>
      <w:r/>
    </w:p>
    <w:p>
      <w:pPr>
        <w:pStyle w:val="670"/>
        <w:ind w:firstLine="480"/>
        <w:spacing w:line="400" w:lineRule="exact"/>
        <w:rPr>
          <w:rFonts w:ascii="宋体" w:hAnsi="宋体" w:cs="Courier New"/>
          <w:b/>
          <w:color w:val="000000"/>
          <w:sz w:val="24"/>
          <w:szCs w:val="24"/>
          <w:highlight w:val="none"/>
        </w:rPr>
      </w:pP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无锡市公共资源交易中心新吴分中心</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rPr>
          <w:rFonts w:ascii="宋体" w:hAnsi="宋体" w:cs="Courier New"/>
          <w:b/>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rFonts w:ascii="宋体" w:hAnsi="宋体" w:cs="Courier New"/>
          <w:b/>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rPr>
          <w:rFonts w:hint="eastAsia"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rPr>
          <w:rFonts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rPr>
          <w:rFonts w:hint="eastAsia"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rPr>
          <w:rFonts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rFonts w:ascii="宋体" w:hAnsi="宋体" w:cs="Courier New"/>
          <w:b/>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2.1</w:t>
      </w:r>
      <w:r>
        <w:rPr>
          <w:rFonts w:hAnsi="宋体"/>
          <w:color w:val="000000"/>
          <w:sz w:val="24"/>
          <w:szCs w:val="24"/>
          <w:highlight w:val="none"/>
        </w:rPr>
        <w:t xml:space="preserve">本合同金额为（大写）： _____________</w:t>
      </w:r>
      <w:r>
        <w:rPr>
          <w:rFonts w:hint="eastAsia" w:hAnsi="宋体"/>
          <w:color w:val="000000"/>
          <w:sz w:val="24"/>
          <w:szCs w:val="24"/>
          <w:highlight w:val="none"/>
        </w:rPr>
        <w:t xml:space="preserve">元</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rFonts w:ascii="宋体" w:hAnsi="宋体" w:cs="Courier New"/>
          <w:b/>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rFonts w:hint="eastAsia"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rFonts w:ascii="宋体" w:hAnsi="宋体" w:cs="Courier New"/>
          <w:b/>
          <w:color w:val="000000"/>
          <w:sz w:val="24"/>
          <w:szCs w:val="24"/>
          <w:highlight w:val="none"/>
        </w:rPr>
      </w:r>
      <w:r/>
    </w:p>
    <w:p>
      <w:pPr>
        <w:pStyle w:val="670"/>
        <w:ind w:firstLine="480"/>
        <w:spacing w:line="400" w:lineRule="exact"/>
        <w:rPr>
          <w:rFonts w:hint="eastAsia" w:ascii="宋体" w:hAnsi="宋体"/>
          <w:color w:val="000000"/>
          <w:sz w:val="24"/>
          <w:highlight w:val="none"/>
        </w:rPr>
      </w:pPr>
      <w:r>
        <w:rPr>
          <w:rFonts w:hAnsi="宋体"/>
          <w:color w:val="000000"/>
          <w:sz w:val="24"/>
          <w:szCs w:val="24"/>
          <w:highlight w:val="none"/>
        </w:rPr>
        <w:t xml:space="preserve">4.1乙</w:t>
      </w:r>
      <w:r>
        <w:rPr>
          <w:rFonts w:hint="eastAsia" w:ascii="宋体" w:hAnsi="宋体"/>
          <w:color w:val="000000"/>
          <w:sz w:val="24"/>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w:t>
      </w:r>
      <w:r>
        <w:rPr>
          <w:rFonts w:hint="eastAsia" w:ascii="宋体" w:hAnsi="宋体"/>
          <w:color w:val="000000"/>
          <w:sz w:val="24"/>
          <w:highlight w:val="none"/>
        </w:rPr>
      </w:r>
      <w:r/>
    </w:p>
    <w:p>
      <w:pPr>
        <w:pStyle w:val="670"/>
        <w:spacing w:line="400" w:lineRule="exact"/>
        <w:rPr>
          <w:rFonts w:hint="eastAsia" w:ascii="宋体" w:hAnsi="宋体" w:cs="Courier New"/>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highlight w:val="none"/>
        </w:rPr>
      </w:r>
      <w:r/>
    </w:p>
    <w:p>
      <w:pPr>
        <w:pStyle w:val="670"/>
        <w:ind w:firstLine="482"/>
        <w:spacing w:line="400" w:lineRule="exact"/>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rFonts w:ascii="宋体" w:hAnsi="宋体" w:cs="Courier New"/>
          <w:color w:val="000000"/>
          <w:sz w:val="24"/>
          <w:szCs w:val="24"/>
          <w:highlight w:val="none"/>
          <w:u w:val="single"/>
        </w:rPr>
      </w:r>
      <w:r/>
    </w:p>
    <w:p>
      <w:pPr>
        <w:pStyle w:val="670"/>
        <w:ind w:firstLine="480"/>
        <w:spacing w:line="400" w:lineRule="exact"/>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rPr>
          <w:rFonts w:ascii="宋体" w:hAnsi="宋体" w:cs="Courier New"/>
          <w:color w:val="000000"/>
          <w:sz w:val="24"/>
          <w:szCs w:val="24"/>
          <w:highlight w:val="none"/>
          <w:u w:val="singl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rFonts w:ascii="宋体" w:hAnsi="宋体" w:cs="Courier New"/>
          <w:b/>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6.1 乙方交纳人民币__元作为本合同的履约保证金。</w:t>
      </w:r>
      <w:r>
        <w:rPr>
          <w:rFonts w:hint="eastAsia" w:ascii="宋体" w:hAnsi="宋体" w:cs="Courier New"/>
          <w:color w:val="000000"/>
          <w:sz w:val="24"/>
          <w:szCs w:val="24"/>
          <w:highlight w:val="none"/>
        </w:rPr>
        <w:t xml:space="preserve">（不得超过合同金额的10%）</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rFonts w:hint="eastAsia"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rFonts w:ascii="宋体" w:hAnsi="宋体" w:cs="Courier New"/>
          <w:color w:val="000000"/>
          <w:sz w:val="24"/>
          <w:szCs w:val="24"/>
          <w:highlight w:val="none"/>
        </w:rPr>
      </w:r>
      <w:r/>
    </w:p>
    <w:p>
      <w:pPr>
        <w:pStyle w:val="670"/>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670"/>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highlight w:val="none"/>
        </w:rPr>
      </w:r>
      <w:r/>
    </w:p>
    <w:p>
      <w:pPr>
        <w:pStyle w:val="670"/>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rFonts w:ascii="宋体" w:hAnsi="宋体" w:eastAsia="仿宋_GB2312"/>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rFonts w:ascii="宋体" w:hAnsi="宋体" w:cs="Courier New"/>
          <w:b/>
          <w:color w:val="000000"/>
          <w:sz w:val="24"/>
          <w:szCs w:val="24"/>
          <w:highlight w:val="none"/>
        </w:rPr>
      </w:r>
      <w:r/>
    </w:p>
    <w:p>
      <w:pPr>
        <w:pStyle w:val="670"/>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670"/>
        <w:ind w:firstLine="480"/>
        <w:spacing w:line="40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8．1.1预付款支付时间：合同签订后</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日内，预付款支付比例：合同金额的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bCs/>
          <w:color w:val="000000"/>
          <w:sz w:val="24"/>
          <w:szCs w:val="24"/>
          <w:highlight w:val="none"/>
        </w:rPr>
        <w:t xml:space="preserve">8.1.2尾款支付时间：产品验收通过，采购人收到发票后10个工作日内，尾款支付比例：合同金额的</w:t>
      </w:r>
      <w:r>
        <w:rPr>
          <w:rFonts w:hint="eastAsia" w:ascii="宋体" w:hAnsi="宋体" w:cs="Courier New"/>
          <w:bCs/>
          <w:color w:val="000000"/>
          <w:sz w:val="24"/>
          <w:szCs w:val="24"/>
          <w:highlight w:val="none"/>
          <w:u w:val="single"/>
        </w:rPr>
        <w:t xml:space="preserve">  </w:t>
      </w:r>
      <w:r>
        <w:rPr>
          <w:rFonts w:hint="eastAsia" w:ascii="宋体" w:hAnsi="宋体" w:cs="Courier New"/>
          <w:bCs/>
          <w:color w:val="000000"/>
          <w:sz w:val="24"/>
          <w:szCs w:val="24"/>
          <w:highlight w:val="none"/>
        </w:rPr>
        <w:t xml:space="preserve">%。</w:t>
      </w:r>
      <w:r>
        <w:rPr>
          <w:rFonts w:hint="eastAsia" w:ascii="宋体" w:hAnsi="宋体" w:cs="Courier New"/>
          <w:color w:val="000000"/>
          <w:sz w:val="24"/>
          <w:szCs w:val="24"/>
          <w:highlight w:val="none"/>
        </w:rPr>
      </w:r>
      <w:r/>
    </w:p>
    <w:p>
      <w:pPr>
        <w:pStyle w:val="670"/>
        <w:spacing w:line="400" w:lineRule="exact"/>
        <w:rPr>
          <w:rFonts w:ascii="宋体" w:hAnsi="宋体" w:cs="Courier New"/>
          <w:bCs/>
          <w:color w:val="000000"/>
          <w:sz w:val="24"/>
          <w:szCs w:val="24"/>
          <w:highlight w:val="none"/>
        </w:rPr>
      </w:pPr>
      <w:r>
        <w:rPr>
          <w:rFonts w:hint="eastAsia" w:hAnsi="宋体"/>
          <w:bCs/>
          <w:color w:val="000000"/>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highlight w:val="none"/>
        </w:rPr>
      </w:r>
      <w:r/>
    </w:p>
    <w:p>
      <w:pPr>
        <w:pStyle w:val="670"/>
        <w:ind w:firstLine="480"/>
        <w:spacing w:line="4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应根据实际使用量供货，合同的最终结算金额按实际使用量乘以成交单价进行计算。</w:t>
      </w:r>
      <w:r>
        <w:rPr>
          <w:rFonts w:ascii="宋体" w:hAnsi="宋体" w:cs="Courier New"/>
          <w:bCs/>
          <w:color w:val="000000"/>
          <w:sz w:val="24"/>
          <w:szCs w:val="24"/>
          <w:highlight w:val="none"/>
        </w:rPr>
      </w:r>
      <w:r/>
    </w:p>
    <w:p>
      <w:pPr>
        <w:pStyle w:val="670"/>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670"/>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670"/>
        <w:ind w:firstLine="482"/>
        <w:spacing w:line="400" w:lineRule="exact"/>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 乙方应按招标文件规定的货物性能、技术要求、质量标准向甲方提供未经使用的全新产品。</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 如在使用过程中发生质量问题，乙方在接到甲方通知后在_________小时内到达甲方现场。</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 在质保期内，乙方应对货物出现的质量及安全问题负责处理解决并承担一切费用。</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000000"/>
          <w:sz w:val="24"/>
          <w:szCs w:val="24"/>
          <w:highlight w:val="none"/>
        </w:rPr>
        <w:t xml:space="preserve">终身维修</w:t>
      </w:r>
      <w:r>
        <w:rPr>
          <w:rFonts w:ascii="宋体" w:hAnsi="宋体" w:cs="Courier New"/>
          <w:color w:val="000000"/>
          <w:sz w:val="24"/>
          <w:szCs w:val="24"/>
          <w:highlight w:val="none"/>
        </w:rPr>
        <w:t xml:space="preserve">，维修时只收部件成本费。</w:t>
      </w:r>
      <w:r>
        <w:rPr>
          <w:rFonts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一</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w:t>
      </w:r>
      <w:r>
        <w:rPr>
          <w:rFonts w:ascii="宋体" w:hAnsi="宋体" w:cs="Courier New"/>
          <w:b/>
          <w:color w:val="000000"/>
          <w:sz w:val="24"/>
          <w:szCs w:val="24"/>
          <w:highlight w:val="none"/>
        </w:rPr>
        <w:t xml:space="preserve">验收</w:t>
      </w:r>
      <w:r>
        <w:rPr>
          <w:rFonts w:ascii="宋体" w:hAnsi="宋体" w:cs="Courier New"/>
          <w:b/>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二</w:t>
      </w:r>
      <w:r>
        <w:rPr>
          <w:rFonts w:ascii="宋体" w:hAnsi="宋体" w:cs="Courier New"/>
          <w:b/>
          <w:color w:val="000000"/>
          <w:sz w:val="24"/>
          <w:szCs w:val="24"/>
          <w:highlight w:val="none"/>
        </w:rPr>
        <w:t xml:space="preserve">、货物</w:t>
      </w:r>
      <w:r>
        <w:rPr>
          <w:rFonts w:hint="eastAsia" w:ascii="宋体" w:hAnsi="宋体" w:cs="Courier New"/>
          <w:b/>
          <w:color w:val="000000"/>
          <w:sz w:val="24"/>
          <w:szCs w:val="24"/>
          <w:highlight w:val="none"/>
        </w:rPr>
        <w:t xml:space="preserve">的</w:t>
      </w:r>
      <w:r>
        <w:rPr>
          <w:rFonts w:ascii="宋体" w:hAnsi="宋体" w:cs="Courier New"/>
          <w:b/>
          <w:color w:val="000000"/>
          <w:sz w:val="24"/>
          <w:szCs w:val="24"/>
          <w:highlight w:val="none"/>
        </w:rPr>
        <w:t xml:space="preserve">包装、发运及运输</w:t>
      </w:r>
      <w:r>
        <w:rPr>
          <w:rFonts w:ascii="宋体" w:hAnsi="宋体" w:cs="Courier New"/>
          <w:b/>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000000"/>
          <w:sz w:val="24"/>
          <w:szCs w:val="24"/>
          <w:highlight w:val="none"/>
        </w:rPr>
        <w:t xml:space="preserve">乙方对货物的包装应符合《商品包装政府采购需求标准（试行）》《快递包装政府采购需求标准（试行）》的规定。</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.2 使用说明书、质量检验证明书、随配附件和工具以及清单一并附于货物内。</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.3 乙方在货物发运手续办理完毕后24小时内或货到甲方48小时前通知甲方，以准备接货。</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.4 货物在交付甲方前发生的风险均由乙方负责。</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2</w:t>
      </w:r>
      <w:r>
        <w:rPr>
          <w:rFonts w:ascii="宋体" w:hAnsi="宋体" w:cs="Courier New"/>
          <w:color w:val="000000"/>
          <w:sz w:val="24"/>
          <w:szCs w:val="24"/>
          <w:highlight w:val="none"/>
        </w:rPr>
        <w:t xml:space="preserve">.5 货物在规定的交付期限内由乙方送达甲方指定的地点视为交付，乙方同时需通知甲方货物已送达。</w:t>
      </w:r>
      <w:r>
        <w:rPr>
          <w:rFonts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三</w:t>
      </w:r>
      <w:r>
        <w:rPr>
          <w:rFonts w:ascii="宋体" w:hAnsi="宋体" w:cs="Courier New"/>
          <w:b/>
          <w:color w:val="000000"/>
          <w:sz w:val="24"/>
          <w:szCs w:val="24"/>
          <w:highlight w:val="none"/>
        </w:rPr>
        <w:t xml:space="preserve">、违约责任</w:t>
      </w:r>
      <w:r>
        <w:rPr>
          <w:rFonts w:ascii="宋体" w:hAnsi="宋体" w:cs="Courier New"/>
          <w:b/>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.1 甲方无正当理由拒收货物的，甲方向乙方偿付拒收货款总值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.2 甲方无故逾期验收和办理货款支付手续的</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甲方应按逾期付款总额每日</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向乙方支付违约金。</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的违约金，如造成甲方损失超过违约金的，超出部分由乙方继续承担赔偿责任。 </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四</w:t>
      </w:r>
      <w:r>
        <w:rPr>
          <w:rFonts w:ascii="宋体" w:hAnsi="宋体" w:cs="Courier New"/>
          <w:b/>
          <w:color w:val="000000"/>
          <w:sz w:val="24"/>
          <w:szCs w:val="24"/>
          <w:highlight w:val="none"/>
        </w:rPr>
        <w:t xml:space="preserve">、不可抗力事件处理</w:t>
      </w:r>
      <w:r>
        <w:rPr>
          <w:rFonts w:ascii="宋体" w:hAnsi="宋体" w:cs="Courier New"/>
          <w:b/>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.2 不可抗力事件发生后，应立即通知对方，并寄送有关权威机构出具的证明。</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w:t>
      </w:r>
      <w:r>
        <w:rPr>
          <w:rFonts w:ascii="宋体" w:hAnsi="宋体" w:cs="Courier New"/>
          <w:color w:val="000000"/>
          <w:sz w:val="24"/>
          <w:szCs w:val="24"/>
          <w:highlight w:val="none"/>
        </w:rPr>
        <w:t xml:space="preserve">.3 不可抗力事件延续120天以上，双方应通过友好协商，确定是否继续履行合同。</w:t>
      </w:r>
      <w:r>
        <w:rPr>
          <w:rFonts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五</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解决争议的方法</w:t>
      </w:r>
      <w:r>
        <w:rPr>
          <w:rFonts w:ascii="宋体" w:hAnsi="宋体" w:cs="Courier New"/>
          <w:b/>
          <w:color w:val="000000"/>
          <w:sz w:val="24"/>
          <w:szCs w:val="24"/>
          <w:highlight w:val="none"/>
        </w:rPr>
      </w:r>
      <w:r/>
    </w:p>
    <w:p>
      <w:pPr>
        <w:pStyle w:val="670"/>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w:t>
      </w: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甲乙</w:t>
      </w:r>
      <w:r>
        <w:rPr>
          <w:rFonts w:ascii="宋体" w:hAnsi="宋体" w:cs="Courier New"/>
          <w:color w:val="000000"/>
          <w:sz w:val="24"/>
          <w:szCs w:val="24"/>
          <w:highlight w:val="none"/>
        </w:rPr>
        <w:t xml:space="preserve">双方</w:t>
      </w:r>
      <w:r>
        <w:rPr>
          <w:rFonts w:hint="eastAsia" w:ascii="宋体" w:hAnsi="宋体" w:cs="Courier New"/>
          <w:color w:val="000000"/>
          <w:sz w:val="24"/>
          <w:szCs w:val="24"/>
          <w:highlight w:val="none"/>
        </w:rPr>
        <w:t xml:space="preserve">因</w:t>
      </w:r>
      <w:r>
        <w:rPr>
          <w:rFonts w:ascii="宋体" w:hAnsi="宋体" w:cs="Courier New"/>
          <w:color w:val="000000"/>
          <w:sz w:val="24"/>
          <w:szCs w:val="24"/>
          <w:highlight w:val="none"/>
        </w:rPr>
        <w:t xml:space="preserve">合同</w:t>
      </w:r>
      <w:r>
        <w:rPr>
          <w:rFonts w:hint="eastAsia" w:ascii="宋体" w:hAnsi="宋体" w:cs="Courier New"/>
          <w:color w:val="000000"/>
          <w:sz w:val="24"/>
          <w:szCs w:val="24"/>
          <w:highlight w:val="none"/>
        </w:rPr>
        <w:t xml:space="preserve">签订、履行而</w:t>
      </w:r>
      <w:r>
        <w:rPr>
          <w:rFonts w:ascii="宋体" w:hAnsi="宋体" w:cs="Courier New"/>
          <w:color w:val="000000"/>
          <w:sz w:val="24"/>
          <w:szCs w:val="24"/>
          <w:highlight w:val="none"/>
        </w:rPr>
        <w:t xml:space="preserve">发生的一切争议，应通过</w:t>
      </w:r>
      <w:r>
        <w:rPr>
          <w:rFonts w:hint="eastAsia" w:ascii="宋体" w:hAnsi="宋体" w:cs="Courier New"/>
          <w:color w:val="000000"/>
          <w:sz w:val="24"/>
          <w:szCs w:val="24"/>
          <w:highlight w:val="none"/>
        </w:rPr>
        <w:t xml:space="preserve">友好</w:t>
      </w:r>
      <w:r>
        <w:rPr>
          <w:rFonts w:ascii="宋体" w:hAnsi="宋体" w:cs="Courier New"/>
          <w:color w:val="000000"/>
          <w:sz w:val="24"/>
          <w:szCs w:val="24"/>
          <w:highlight w:val="none"/>
        </w:rPr>
        <w:t xml:space="preserve">协商解决。如协商不成</w:t>
      </w:r>
      <w:r>
        <w:rPr>
          <w:rFonts w:hint="eastAsia" w:ascii="宋体" w:hAnsi="宋体" w:cs="Courier New"/>
          <w:color w:val="000000"/>
          <w:sz w:val="24"/>
          <w:szCs w:val="24"/>
          <w:highlight w:val="none"/>
        </w:rPr>
        <w:t xml:space="preserve">由甲方住所地人民</w:t>
      </w:r>
      <w:r>
        <w:rPr>
          <w:rFonts w:ascii="宋体" w:hAnsi="宋体" w:cs="Courier New"/>
          <w:color w:val="000000"/>
          <w:sz w:val="24"/>
          <w:szCs w:val="24"/>
          <w:highlight w:val="none"/>
        </w:rPr>
        <w:t xml:space="preserve">法院</w:t>
      </w:r>
      <w:r>
        <w:rPr>
          <w:rFonts w:hint="eastAsia" w:ascii="宋体" w:hAnsi="宋体" w:cs="Courier New"/>
          <w:color w:val="000000"/>
          <w:sz w:val="24"/>
          <w:szCs w:val="24"/>
          <w:highlight w:val="none"/>
        </w:rPr>
        <w:t xml:space="preserve">管辖。</w:t>
      </w:r>
      <w:r>
        <w:rPr>
          <w:rFonts w:hint="eastAsia" w:ascii="宋体" w:hAnsi="宋体" w:cs="Courier New"/>
          <w:color w:val="000000"/>
          <w:sz w:val="24"/>
          <w:szCs w:val="24"/>
          <w:highlight w:val="none"/>
        </w:rPr>
      </w:r>
      <w:r/>
    </w:p>
    <w:p>
      <w:pPr>
        <w:pStyle w:val="670"/>
        <w:ind w:firstLine="482"/>
        <w:spacing w:line="40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rPr>
        <w:t xml:space="preserve">六</w:t>
      </w:r>
      <w:r>
        <w:rPr>
          <w:rFonts w:ascii="宋体" w:hAnsi="宋体" w:cs="Courier New"/>
          <w:b/>
          <w:color w:val="000000"/>
          <w:sz w:val="24"/>
          <w:szCs w:val="24"/>
          <w:highlight w:val="none"/>
        </w:rPr>
        <w:t xml:space="preserve">、合同生效</w:t>
      </w:r>
      <w:r>
        <w:rPr>
          <w:rFonts w:hint="eastAsia" w:ascii="宋体" w:hAnsi="宋体" w:cs="Courier New"/>
          <w:b/>
          <w:color w:val="000000"/>
          <w:sz w:val="24"/>
          <w:szCs w:val="24"/>
          <w:highlight w:val="none"/>
        </w:rPr>
        <w:t xml:space="preserve">及其他</w:t>
      </w:r>
      <w:r>
        <w:rPr>
          <w:rFonts w:ascii="宋体" w:hAnsi="宋体" w:cs="Courier New"/>
          <w:b/>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《中华人民共和国民法典》《</w:t>
      </w:r>
      <w:r>
        <w:rPr>
          <w:rFonts w:hint="eastAsia" w:ascii="宋体" w:hAnsi="宋体"/>
          <w:bCs/>
          <w:color w:val="000000"/>
          <w:sz w:val="24"/>
          <w:szCs w:val="24"/>
          <w:highlight w:val="none"/>
        </w:rPr>
        <w:t xml:space="preserve">中华人民共和国政府采购法</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有关条文执行。</w:t>
      </w:r>
      <w:r>
        <w:rPr>
          <w:rFonts w:ascii="宋体" w:hAnsi="宋体" w:cs="Courier New"/>
          <w:color w:val="000000"/>
          <w:sz w:val="24"/>
          <w:szCs w:val="24"/>
          <w:highlight w:val="none"/>
        </w:rPr>
      </w:r>
      <w:r/>
    </w:p>
    <w:p>
      <w:pPr>
        <w:pStyle w:val="670"/>
        <w:ind w:firstLine="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两</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乙方各执一份。</w:t>
      </w:r>
      <w:r>
        <w:rPr>
          <w:rFonts w:ascii="宋体" w:hAnsi="宋体" w:cs="Courier New"/>
          <w:color w:val="000000"/>
          <w:sz w:val="24"/>
          <w:szCs w:val="24"/>
          <w:highlight w:val="none"/>
        </w:rPr>
      </w:r>
      <w:r/>
    </w:p>
    <w:p>
      <w:pPr>
        <w:pStyle w:val="670"/>
        <w:ind w:left="480" w:hanging="48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  甲方：                        乙方： </w:t>
      </w:r>
      <w:r>
        <w:rPr>
          <w:rFonts w:ascii="宋体" w:hAnsi="宋体" w:cs="Courier New"/>
          <w:color w:val="000000"/>
          <w:sz w:val="24"/>
          <w:szCs w:val="24"/>
          <w:highlight w:val="none"/>
        </w:rPr>
      </w:r>
      <w:r/>
    </w:p>
    <w:p>
      <w:pPr>
        <w:pStyle w:val="67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  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670"/>
        <w:spacing w:line="40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670"/>
        <w:ind w:firstLine="240"/>
        <w:spacing w:line="400" w:lineRule="exact"/>
        <w:rPr>
          <w:rFonts w:hint="eastAsia" w:ascii="宋体" w:hAnsi="Courier New" w:cs="Courier New"/>
          <w:color w:val="000000"/>
          <w:highlight w:val="none"/>
        </w:rPr>
      </w:pPr>
      <w:r>
        <w:rPr>
          <w:rFonts w:hint="eastAsia" w:ascii="宋体" w:hAnsi="宋体" w:cs="Courier New"/>
          <w:color w:val="000000"/>
          <w:sz w:val="24"/>
          <w:szCs w:val="24"/>
          <w:highlight w:val="none"/>
        </w:rPr>
        <w:t xml:space="preserve">联系电话：                    联系电话：          </w:t>
      </w:r>
      <w:r>
        <w:rPr>
          <w:rFonts w:hint="eastAsia" w:ascii="宋体" w:hAnsi="Courier New" w:cs="Courier New"/>
          <w:color w:val="000000"/>
          <w:highlight w:val="none"/>
        </w:rPr>
      </w:r>
      <w:r/>
    </w:p>
    <w:p>
      <w:pPr>
        <w:pStyle w:val="670"/>
        <w:jc w:val="center"/>
        <w:spacing w:line="400" w:lineRule="exact"/>
        <w:rPr>
          <w:rFonts w:hint="eastAsia" w:ascii="宋体" w:hAnsi="宋体" w:cs="Courier New"/>
          <w:color w:val="000000"/>
          <w:sz w:val="24"/>
          <w:szCs w:val="24"/>
          <w:highlight w:val="none"/>
        </w:rPr>
      </w:pPr>
      <w:r>
        <w:rPr>
          <w:rFonts w:hint="eastAsia" w:ascii="宋体" w:hAnsi="Courier New" w:cs="Courier New"/>
          <w:color w:val="000000"/>
          <w:highlight w:val="none"/>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rPr>
      </w:r>
      <w:r/>
    </w:p>
    <w:p>
      <w:pPr>
        <w:pStyle w:val="670"/>
        <w:jc w:val="center"/>
        <w:spacing w:line="40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670"/>
        <w:ind w:firstLine="480"/>
        <w:spacing w:line="400" w:lineRule="exact"/>
        <w:rPr>
          <w:rFonts w:ascii="宋体" w:hAnsi="宋体"/>
          <w:bCs/>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r>
        <w:rPr>
          <w:rFonts w:ascii="宋体" w:hAnsi="宋体"/>
          <w:bCs/>
          <w:color w:val="000000"/>
          <w:sz w:val="24"/>
          <w:szCs w:val="24"/>
          <w:highlight w:val="none"/>
        </w:rPr>
      </w:r>
      <w:r/>
    </w:p>
    <w:p>
      <w:pPr>
        <w:pStyle w:val="670"/>
        <w:jc w:val="center"/>
        <w:spacing w:line="288" w:lineRule="auto"/>
        <w:rPr>
          <w:rFonts w:hint="eastAsia" w:hAnsi="宋体"/>
          <w:color w:val="000000"/>
          <w:sz w:val="36"/>
          <w:szCs w:val="36"/>
          <w:highlight w:val="none"/>
        </w:rPr>
      </w:pPr>
      <w:r>
        <w:rPr>
          <w:rFonts w:ascii="宋体" w:hAnsi="宋体"/>
          <w:bCs/>
          <w:color w:val="000000"/>
          <w:sz w:val="24"/>
          <w:szCs w:val="24"/>
          <w:highlight w:val="none"/>
        </w:rPr>
        <w:br w:type="page" w:clear="all"/>
      </w:r>
      <w:bookmarkEnd w:id="183"/>
      <w:r/>
      <w:bookmarkEnd w:id="184"/>
      <w:r/>
      <w:bookmarkEnd w:id="185"/>
      <w:r/>
      <w:bookmarkStart w:id="186" w:name="_Hlt16619369"/>
      <w:r/>
      <w:bookmarkEnd w:id="186"/>
      <w:r/>
      <w:bookmarkStart w:id="187" w:name="_Hlt16619350"/>
      <w:r/>
      <w:bookmarkStart w:id="188" w:name="_Toc16938590"/>
      <w:r/>
      <w:bookmarkStart w:id="189" w:name="_Toc120614244"/>
      <w:r/>
      <w:bookmarkStart w:id="190" w:name="_Toc20823346"/>
      <w:r/>
      <w:bookmarkStart w:id="191" w:name="_Toc479757211"/>
      <w:r/>
      <w:bookmarkStart w:id="192" w:name="_Toc462564139"/>
      <w:r>
        <w:rPr>
          <w:rFonts w:hint="eastAsia" w:ascii="黑体" w:eastAsia="黑体"/>
          <w:bCs/>
          <w:color w:val="000000"/>
          <w:sz w:val="36"/>
          <w:szCs w:val="36"/>
          <w:highlight w:val="none"/>
        </w:rPr>
        <w:t xml:space="preserve">第</w:t>
      </w:r>
      <w:bookmarkEnd w:id="187"/>
      <w:r>
        <w:rPr>
          <w:rFonts w:hint="eastAsia" w:ascii="黑体" w:eastAsia="黑体"/>
          <w:bCs/>
          <w:color w:val="000000"/>
          <w:sz w:val="36"/>
          <w:szCs w:val="36"/>
          <w:highlight w:val="none"/>
        </w:rPr>
        <w:t xml:space="preserve">四章 采购需求</w:t>
      </w:r>
      <w:bookmarkEnd w:id="188"/>
      <w:r/>
      <w:bookmarkEnd w:id="189"/>
      <w:r/>
      <w:bookmarkEnd w:id="190"/>
      <w:r>
        <w:rPr>
          <w:rFonts w:hint="eastAsia" w:hAnsi="宋体"/>
          <w:color w:val="000000"/>
          <w:sz w:val="36"/>
          <w:szCs w:val="36"/>
          <w:highlight w:val="none"/>
        </w:rPr>
      </w:r>
      <w:r/>
    </w:p>
    <w:p>
      <w:pPr>
        <w:pStyle w:val="670"/>
        <w:ind w:firstLine="600"/>
        <w:jc w:val="left"/>
        <w:spacing w:line="360" w:lineRule="auto"/>
        <w:rPr>
          <w:rFonts w:hint="eastAsia" w:ascii="黑体" w:hAnsi="黑体" w:eastAsia="黑体"/>
          <w:color w:val="000000"/>
          <w:sz w:val="30"/>
          <w:szCs w:val="30"/>
          <w:highlight w:val="none"/>
        </w:rPr>
      </w:pPr>
      <w:r/>
      <w:bookmarkStart w:id="193" w:name="_Toc26554093"/>
      <w:r/>
      <w:bookmarkStart w:id="194" w:name="_Toc49090575"/>
      <w:r>
        <w:rPr>
          <w:rFonts w:hint="eastAsia" w:ascii="黑体" w:hAnsi="黑体" w:eastAsia="黑体"/>
          <w:color w:val="000000"/>
          <w:sz w:val="30"/>
          <w:szCs w:val="30"/>
          <w:highlight w:val="none"/>
        </w:rPr>
        <w:t xml:space="preserve">本项目属性：货物类项目</w:t>
      </w:r>
      <w:r>
        <w:rPr>
          <w:rFonts w:hint="eastAsia" w:ascii="黑体" w:hAnsi="黑体" w:eastAsia="黑体"/>
          <w:color w:val="000000"/>
          <w:sz w:val="30"/>
          <w:szCs w:val="30"/>
          <w:highlight w:val="none"/>
        </w:rPr>
      </w:r>
      <w:r/>
    </w:p>
    <w:p>
      <w:pPr>
        <w:pStyle w:val="670"/>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投标人所投内容必须满足以下要求，不得有负偏离。</w:t>
      </w:r>
      <w:r>
        <w:rPr>
          <w:rFonts w:hint="eastAsia" w:ascii="宋体" w:hAnsi="宋体" w:eastAsia="宋体" w:cs="Times New Roman"/>
          <w:color w:val="000000"/>
          <w:sz w:val="24"/>
          <w:szCs w:val="24"/>
          <w:highlight w:val="none"/>
        </w:rPr>
      </w:r>
      <w:r/>
    </w:p>
    <w:p>
      <w:pPr>
        <w:pStyle w:val="670"/>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本项目标的物所属行业：详见项目技术要求</w:t>
      </w:r>
      <w:r>
        <w:rPr>
          <w:rFonts w:hint="eastAsia" w:ascii="宋体" w:hAnsi="宋体" w:eastAsia="宋体" w:cs="Times New Roman"/>
          <w:color w:val="000000"/>
          <w:sz w:val="24"/>
          <w:szCs w:val="24"/>
          <w:highlight w:val="none"/>
        </w:rPr>
      </w:r>
      <w:r/>
    </w:p>
    <w:p>
      <w:pPr>
        <w:pStyle w:val="670"/>
        <w:ind w:firstLine="480"/>
        <w:jc w:val="left"/>
        <w:spacing w:line="360" w:lineRule="auto"/>
        <w:rPr>
          <w:rFonts w:ascii="宋体" w:hAnsi="宋体"/>
          <w:color w:val="000000"/>
          <w:sz w:val="24"/>
          <w:szCs w:val="24"/>
          <w:highlight w:val="none"/>
        </w:rPr>
      </w:pPr>
      <w:r>
        <w:rPr>
          <w:rFonts w:hint="eastAsia" w:ascii="宋体" w:hAnsi="宋体" w:eastAsia="宋体" w:cs="Times New Roman"/>
          <w:color w:val="000000"/>
          <w:sz w:val="24"/>
          <w:szCs w:val="24"/>
          <w:highlight w:val="none"/>
        </w:rPr>
        <w:t xml:space="preserve">本项目中的桌面硬件采集编码为核心产品。</w:t>
      </w:r>
      <w:r>
        <w:rPr>
          <w:rFonts w:ascii="宋体" w:hAnsi="宋体"/>
          <w:color w:val="000000"/>
          <w:sz w:val="24"/>
          <w:szCs w:val="24"/>
          <w:highlight w:val="none"/>
        </w:rPr>
      </w:r>
      <w:r/>
    </w:p>
    <w:p>
      <w:pPr>
        <w:pStyle w:val="670"/>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670"/>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一、基本信息</w:t>
      </w:r>
      <w:r>
        <w:rPr>
          <w:rFonts w:ascii="宋体" w:hAnsi="宋体"/>
          <w:b/>
          <w:bCs/>
          <w:color w:val="000000"/>
          <w:sz w:val="28"/>
          <w:szCs w:val="28"/>
          <w:highlight w:val="none"/>
        </w:rPr>
      </w:r>
      <w:r/>
    </w:p>
    <w:p>
      <w:pPr>
        <w:pStyle w:val="701"/>
        <w:ind w:firstLine="48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根据学校智慧实训室建设需求，拟采购教师端摄像机、学生端摄像机、高保真拾音器、</w:t>
      </w:r>
      <w:r>
        <w:rPr>
          <w:rFonts w:ascii="宋体" w:hAnsi="宋体" w:eastAsia="宋体"/>
          <w:color w:val="000000"/>
          <w:sz w:val="24"/>
          <w:szCs w:val="24"/>
          <w:highlight w:val="none"/>
        </w:rPr>
        <w:t xml:space="preserve">桌面硬件采集编码、</w:t>
      </w:r>
      <w:r>
        <w:rPr>
          <w:rFonts w:hint="eastAsia" w:ascii="宋体" w:hAnsi="宋体" w:eastAsia="宋体"/>
          <w:color w:val="000000"/>
          <w:sz w:val="24"/>
          <w:szCs w:val="24"/>
          <w:highlight w:val="none"/>
        </w:rPr>
        <w:t xml:space="preserve">云录播平台系统软件、通用服务器、流媒体平台</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36盘位磁盘阵列、线材、辅材和技术服务，项目侧重于国产化产品，采购产品能够满足学院智慧课堂信息化建设，为学校高水平建设做信息化支撑。</w:t>
      </w:r>
      <w:r>
        <w:rPr>
          <w:rFonts w:ascii="宋体" w:hAnsi="宋体" w:eastAsia="宋体"/>
          <w:color w:val="000000"/>
          <w:sz w:val="24"/>
          <w:szCs w:val="24"/>
          <w:highlight w:val="none"/>
        </w:rPr>
      </w:r>
      <w:r/>
    </w:p>
    <w:tbl>
      <w:tblPr>
        <w:tblW w:w="87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800"/>
        <w:gridCol w:w="2217"/>
        <w:gridCol w:w="1283"/>
        <w:gridCol w:w="917"/>
        <w:gridCol w:w="1371"/>
        <w:gridCol w:w="1384"/>
      </w:tblGrid>
      <w:tr>
        <w:trPr/>
        <w:tc>
          <w:tcPr>
            <w:tcW w:w="779" w:type="dxa"/>
            <w:vAlign w:val="center"/>
            <w:textDirection w:val="lrTb"/>
            <w:noWrap w:val="false"/>
          </w:tcPr>
          <w:p>
            <w:pPr>
              <w:pStyle w:val="670"/>
              <w:jc w:val="center"/>
              <w:rPr>
                <w:rFonts w:hint="eastAsia" w:ascii="宋体" w:hAnsi="宋体"/>
                <w:b/>
                <w:color w:val="000000"/>
                <w:sz w:val="24"/>
                <w:highlight w:val="none"/>
              </w:rPr>
            </w:pPr>
            <w:r>
              <w:rPr>
                <w:rFonts w:hint="eastAsia" w:ascii="宋体" w:hAnsi="宋体"/>
                <w:b/>
                <w:color w:val="000000"/>
                <w:sz w:val="24"/>
                <w:highlight w:val="none"/>
              </w:rPr>
              <w:t xml:space="preserve">包号</w:t>
            </w:r>
            <w:r>
              <w:rPr>
                <w:rFonts w:hint="eastAsia" w:ascii="宋体" w:hAnsi="宋体"/>
                <w:b/>
                <w:color w:val="000000"/>
                <w:sz w:val="24"/>
                <w:highlight w:val="none"/>
              </w:rPr>
            </w:r>
            <w:r/>
          </w:p>
        </w:tc>
        <w:tc>
          <w:tcPr>
            <w:tcW w:w="800" w:type="dxa"/>
            <w:vAlign w:val="center"/>
            <w:textDirection w:val="lrTb"/>
            <w:noWrap w:val="false"/>
          </w:tcPr>
          <w:p>
            <w:pPr>
              <w:pStyle w:val="670"/>
              <w:jc w:val="center"/>
              <w:rPr>
                <w:rFonts w:hint="eastAsia" w:ascii="宋体" w:hAnsi="宋体"/>
                <w:b/>
                <w:color w:val="000000"/>
                <w:sz w:val="24"/>
                <w:highlight w:val="none"/>
              </w:rPr>
            </w:pPr>
            <w:r>
              <w:rPr>
                <w:rFonts w:hint="eastAsia" w:ascii="宋体" w:hAnsi="宋体"/>
                <w:b/>
                <w:color w:val="000000"/>
                <w:sz w:val="24"/>
                <w:highlight w:val="none"/>
              </w:rPr>
              <w:t xml:space="preserve">序号</w:t>
            </w:r>
            <w:r>
              <w:rPr>
                <w:rFonts w:hint="eastAsia" w:ascii="宋体" w:hAnsi="宋体"/>
                <w:b/>
                <w:color w:val="000000"/>
                <w:sz w:val="24"/>
                <w:highlight w:val="none"/>
              </w:rPr>
            </w:r>
            <w:r/>
          </w:p>
        </w:tc>
        <w:tc>
          <w:tcPr>
            <w:tcW w:w="2217" w:type="dxa"/>
            <w:vAlign w:val="center"/>
            <w:textDirection w:val="lrTb"/>
            <w:noWrap w:val="false"/>
          </w:tcPr>
          <w:p>
            <w:pPr>
              <w:pStyle w:val="670"/>
              <w:jc w:val="center"/>
              <w:rPr>
                <w:rFonts w:hint="eastAsia" w:ascii="宋体" w:hAnsi="宋体"/>
                <w:b/>
                <w:color w:val="000000"/>
                <w:sz w:val="24"/>
                <w:highlight w:val="none"/>
              </w:rPr>
            </w:pPr>
            <w:r>
              <w:rPr>
                <w:rFonts w:hint="eastAsia" w:ascii="宋体" w:hAnsi="宋体"/>
                <w:b/>
                <w:color w:val="000000"/>
                <w:sz w:val="24"/>
                <w:highlight w:val="none"/>
              </w:rPr>
              <w:t xml:space="preserve">标的名称</w:t>
            </w:r>
            <w:r>
              <w:rPr>
                <w:rFonts w:hint="eastAsia" w:ascii="宋体" w:hAnsi="宋体"/>
                <w:b/>
                <w:color w:val="000000"/>
                <w:sz w:val="24"/>
                <w:highlight w:val="none"/>
              </w:rPr>
            </w:r>
            <w:r/>
          </w:p>
        </w:tc>
        <w:tc>
          <w:tcPr>
            <w:tcW w:w="1283" w:type="dxa"/>
            <w:vAlign w:val="center"/>
            <w:textDirection w:val="lrTb"/>
            <w:noWrap w:val="false"/>
          </w:tcPr>
          <w:p>
            <w:pPr>
              <w:pStyle w:val="670"/>
              <w:jc w:val="center"/>
              <w:rPr>
                <w:rFonts w:hint="eastAsia" w:ascii="宋体" w:hAnsi="宋体"/>
                <w:b/>
                <w:color w:val="000000"/>
                <w:sz w:val="24"/>
                <w:highlight w:val="none"/>
              </w:rPr>
            </w:pPr>
            <w:r>
              <w:rPr>
                <w:rFonts w:hint="eastAsia" w:ascii="宋体" w:hAnsi="宋体"/>
                <w:b/>
                <w:color w:val="000000"/>
                <w:sz w:val="24"/>
                <w:highlight w:val="none"/>
              </w:rPr>
              <w:t xml:space="preserve">计量单位</w:t>
            </w:r>
            <w:r>
              <w:rPr>
                <w:rFonts w:hint="eastAsia" w:ascii="宋体" w:hAnsi="宋体"/>
                <w:b/>
                <w:color w:val="000000"/>
                <w:sz w:val="24"/>
                <w:highlight w:val="none"/>
              </w:rPr>
            </w:r>
            <w:r/>
          </w:p>
        </w:tc>
        <w:tc>
          <w:tcPr>
            <w:tcW w:w="917" w:type="dxa"/>
            <w:vAlign w:val="center"/>
            <w:textDirection w:val="lrTb"/>
            <w:noWrap w:val="false"/>
          </w:tcPr>
          <w:p>
            <w:pPr>
              <w:pStyle w:val="670"/>
              <w:jc w:val="center"/>
              <w:rPr>
                <w:rFonts w:ascii="宋体" w:hAnsi="宋体"/>
                <w:b/>
                <w:color w:val="000000"/>
                <w:sz w:val="24"/>
                <w:highlight w:val="none"/>
              </w:rPr>
            </w:pPr>
            <w:r>
              <w:rPr>
                <w:rFonts w:hint="eastAsia" w:ascii="宋体" w:hAnsi="宋体"/>
                <w:b/>
                <w:color w:val="000000"/>
                <w:sz w:val="24"/>
                <w:highlight w:val="none"/>
              </w:rPr>
              <w:t xml:space="preserve">数量</w:t>
            </w:r>
            <w:r>
              <w:rPr>
                <w:rFonts w:ascii="宋体" w:hAnsi="宋体"/>
                <w:b/>
                <w:color w:val="000000"/>
                <w:sz w:val="24"/>
                <w:highlight w:val="none"/>
              </w:rPr>
            </w:r>
            <w:r/>
          </w:p>
        </w:tc>
        <w:tc>
          <w:tcPr>
            <w:tcW w:w="1371" w:type="dxa"/>
            <w:vAlign w:val="center"/>
            <w:textDirection w:val="lrTb"/>
            <w:noWrap w:val="false"/>
          </w:tcPr>
          <w:p>
            <w:pPr>
              <w:pStyle w:val="670"/>
              <w:jc w:val="center"/>
              <w:rPr>
                <w:rFonts w:ascii="宋体" w:hAnsi="宋体"/>
                <w:b/>
                <w:color w:val="000000"/>
                <w:sz w:val="24"/>
                <w:highlight w:val="none"/>
              </w:rPr>
            </w:pPr>
            <w:r>
              <w:rPr>
                <w:rFonts w:hint="eastAsia" w:ascii="宋体" w:hAnsi="宋体"/>
                <w:b/>
                <w:color w:val="000000"/>
                <w:sz w:val="24"/>
                <w:highlight w:val="none"/>
              </w:rPr>
              <w:t xml:space="preserve">是否进口</w:t>
            </w:r>
            <w:r>
              <w:rPr>
                <w:rFonts w:ascii="宋体" w:hAnsi="宋体"/>
                <w:b/>
                <w:color w:val="000000"/>
                <w:sz w:val="24"/>
                <w:highlight w:val="none"/>
              </w:rPr>
            </w:r>
            <w:r/>
          </w:p>
        </w:tc>
        <w:tc>
          <w:tcPr>
            <w:tcW w:w="1384" w:type="dxa"/>
            <w:vAlign w:val="center"/>
            <w:textDirection w:val="lrTb"/>
            <w:noWrap w:val="false"/>
          </w:tcPr>
          <w:p>
            <w:pPr>
              <w:pStyle w:val="670"/>
              <w:jc w:val="center"/>
              <w:rPr>
                <w:rFonts w:ascii="宋体" w:hAnsi="宋体"/>
                <w:b/>
                <w:color w:val="000000"/>
                <w:sz w:val="24"/>
                <w:highlight w:val="none"/>
              </w:rPr>
            </w:pPr>
            <w:r>
              <w:rPr>
                <w:rFonts w:hint="eastAsia" w:ascii="宋体" w:hAnsi="宋体"/>
                <w:b/>
                <w:color w:val="000000"/>
                <w:sz w:val="24"/>
                <w:highlight w:val="none"/>
              </w:rPr>
              <w:t xml:space="preserve">所属行业</w:t>
            </w:r>
            <w:r>
              <w:rPr>
                <w:rFonts w:ascii="宋体" w:hAnsi="宋体"/>
                <w:b/>
                <w:color w:val="000000"/>
                <w:sz w:val="24"/>
                <w:highlight w:val="none"/>
              </w:rPr>
            </w:r>
            <w:r/>
          </w:p>
        </w:tc>
      </w:tr>
      <w:tr>
        <w:trPr/>
        <w:tc>
          <w:tcPr>
            <w:tcW w:w="779" w:type="dxa"/>
            <w:vAlign w:val="center"/>
            <w:vMerge w:val="restart"/>
            <w:textDirection w:val="lrTb"/>
            <w:noWrap w:val="false"/>
          </w:tcPr>
          <w:p>
            <w:pPr>
              <w:pStyle w:val="670"/>
              <w:jc w:val="center"/>
              <w:spacing w:line="560" w:lineRule="exact"/>
              <w:rPr>
                <w:rFonts w:ascii="宋体" w:hAnsi="宋体" w:cs="仿宋_GB2312"/>
                <w:color w:val="000000"/>
                <w:sz w:val="24"/>
                <w:highlight w:val="none"/>
              </w:rPr>
            </w:pPr>
            <w:r>
              <w:rPr>
                <w:rFonts w:hint="eastAsia" w:ascii="宋体" w:hAnsi="宋体" w:cs="仿宋_GB2312"/>
                <w:color w:val="000000"/>
                <w:sz w:val="24"/>
                <w:highlight w:val="none"/>
              </w:rPr>
              <w:t xml:space="preserve">1</w:t>
            </w: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1</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教师端高清摄像机</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台</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136</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工业</w:t>
            </w:r>
            <w:r>
              <w:rPr>
                <w:rFonts w:ascii="宋体" w:hAnsi="宋体" w:cs="仿宋_GB2312"/>
                <w:color w:val="000000"/>
                <w:sz w:val="24"/>
                <w:highlight w:val="none"/>
              </w:rPr>
            </w:r>
            <w:r/>
          </w:p>
        </w:tc>
      </w:tr>
      <w:tr>
        <w:trPr/>
        <w:tc>
          <w:tcPr>
            <w:tcW w:w="779" w:type="dxa"/>
            <w:vAlign w:val="center"/>
            <w:vMerge w:val="continue"/>
            <w:textDirection w:val="lrTb"/>
            <w:noWrap w:val="false"/>
          </w:tcPr>
          <w:p>
            <w:pPr>
              <w:pStyle w:val="670"/>
              <w:jc w:val="center"/>
              <w:spacing w:line="560" w:lineRule="exact"/>
              <w:rPr>
                <w:rFonts w:ascii="宋体" w:hAnsi="宋体" w:cs="仿宋_GB2312"/>
                <w:color w:val="000000"/>
                <w:sz w:val="24"/>
                <w:highlight w:val="none"/>
              </w:rPr>
            </w:pP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2</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学生高清摄像机</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台</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144</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工业</w:t>
            </w:r>
            <w:r>
              <w:rPr>
                <w:rFonts w:ascii="宋体" w:hAnsi="宋体" w:cs="仿宋_GB2312"/>
                <w:color w:val="000000"/>
                <w:sz w:val="24"/>
                <w:highlight w:val="none"/>
              </w:rPr>
            </w:r>
            <w:r/>
          </w:p>
        </w:tc>
      </w:tr>
      <w:tr>
        <w:trPr/>
        <w:tc>
          <w:tcPr>
            <w:tcW w:w="779" w:type="dxa"/>
            <w:vAlign w:val="center"/>
            <w:vMerge w:val="continue"/>
            <w:textDirection w:val="lrTb"/>
            <w:noWrap w:val="false"/>
          </w:tcPr>
          <w:p>
            <w:pPr>
              <w:pStyle w:val="670"/>
              <w:jc w:val="center"/>
              <w:spacing w:line="560" w:lineRule="exact"/>
              <w:rPr>
                <w:rFonts w:ascii="宋体" w:hAnsi="宋体" w:cs="仿宋_GB2312"/>
                <w:color w:val="000000"/>
                <w:sz w:val="24"/>
                <w:highlight w:val="none"/>
              </w:rPr>
            </w:pP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3</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高保真拾音器</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点</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136</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工业</w:t>
            </w:r>
            <w:r>
              <w:rPr>
                <w:rFonts w:ascii="宋体" w:hAnsi="宋体" w:cs="仿宋_GB2312"/>
                <w:color w:val="000000"/>
                <w:sz w:val="24"/>
                <w:highlight w:val="none"/>
              </w:rPr>
            </w:r>
            <w:r/>
          </w:p>
        </w:tc>
      </w:tr>
      <w:tr>
        <w:trPr/>
        <w:tc>
          <w:tcPr>
            <w:tcW w:w="779" w:type="dxa"/>
            <w:vAlign w:val="center"/>
            <w:vMerge w:val="continue"/>
            <w:textDirection w:val="lrTb"/>
            <w:noWrap w:val="false"/>
          </w:tcPr>
          <w:p>
            <w:pPr>
              <w:pStyle w:val="670"/>
              <w:jc w:val="center"/>
              <w:spacing w:line="560" w:lineRule="exact"/>
              <w:rPr>
                <w:rFonts w:ascii="宋体" w:hAnsi="宋体" w:cs="仿宋_GB2312"/>
                <w:color w:val="000000"/>
                <w:sz w:val="24"/>
                <w:highlight w:val="none"/>
              </w:rPr>
            </w:pP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4</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桌面硬件采集编码器</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点</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136</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工业</w:t>
            </w:r>
            <w:r>
              <w:rPr>
                <w:rFonts w:ascii="宋体" w:hAnsi="宋体" w:cs="仿宋_GB2312"/>
                <w:color w:val="000000"/>
                <w:sz w:val="24"/>
                <w:highlight w:val="none"/>
              </w:rPr>
            </w:r>
            <w:r/>
          </w:p>
        </w:tc>
      </w:tr>
      <w:tr>
        <w:trPr/>
        <w:tc>
          <w:tcPr>
            <w:tcW w:w="779" w:type="dxa"/>
            <w:vAlign w:val="center"/>
            <w:vMerge w:val="continue"/>
            <w:textDirection w:val="lrTb"/>
            <w:noWrap w:val="false"/>
          </w:tcPr>
          <w:p>
            <w:pPr>
              <w:pStyle w:val="670"/>
              <w:jc w:val="center"/>
              <w:spacing w:line="560" w:lineRule="exact"/>
              <w:rPr>
                <w:rFonts w:ascii="宋体" w:hAnsi="宋体" w:cs="仿宋_GB2312"/>
                <w:color w:val="000000"/>
                <w:sz w:val="24"/>
                <w:highlight w:val="none"/>
              </w:rPr>
            </w:pP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5</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云录播平台系统</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点</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136</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软件</w:t>
            </w:r>
            <w:r>
              <w:rPr>
                <w:rFonts w:ascii="宋体" w:hAnsi="宋体" w:cs="仿宋_GB2312"/>
                <w:color w:val="000000"/>
                <w:sz w:val="24"/>
                <w:highlight w:val="none"/>
              </w:rPr>
            </w:r>
            <w:r/>
          </w:p>
        </w:tc>
      </w:tr>
      <w:tr>
        <w:trPr/>
        <w:tc>
          <w:tcPr>
            <w:tcW w:w="779" w:type="dxa"/>
            <w:vAlign w:val="center"/>
            <w:vMerge w:val="continue"/>
            <w:textDirection w:val="lrTb"/>
            <w:noWrap w:val="false"/>
          </w:tcPr>
          <w:p>
            <w:pPr>
              <w:pStyle w:val="670"/>
              <w:jc w:val="center"/>
              <w:spacing w:line="560" w:lineRule="exact"/>
              <w:rPr>
                <w:rFonts w:ascii="宋体" w:hAnsi="宋体" w:cs="仿宋_GB2312"/>
                <w:color w:val="000000"/>
                <w:sz w:val="24"/>
                <w:highlight w:val="none"/>
              </w:rPr>
            </w:pP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6</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通用服务器</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台</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1</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工业</w:t>
            </w:r>
            <w:r>
              <w:rPr>
                <w:rFonts w:ascii="宋体" w:hAnsi="宋体" w:cs="仿宋_GB2312"/>
                <w:color w:val="000000"/>
                <w:sz w:val="24"/>
                <w:highlight w:val="none"/>
              </w:rPr>
            </w:r>
            <w:r/>
          </w:p>
        </w:tc>
      </w:tr>
      <w:tr>
        <w:trPr/>
        <w:tc>
          <w:tcPr>
            <w:tcW w:w="779" w:type="dxa"/>
            <w:vAlign w:val="center"/>
            <w:vMerge w:val="continue"/>
            <w:textDirection w:val="lrTb"/>
            <w:noWrap w:val="false"/>
          </w:tcPr>
          <w:p>
            <w:pPr>
              <w:pStyle w:val="670"/>
              <w:jc w:val="center"/>
              <w:spacing w:line="560" w:lineRule="exact"/>
              <w:rPr>
                <w:rFonts w:ascii="宋体" w:hAnsi="宋体" w:cs="仿宋_GB2312"/>
                <w:color w:val="000000"/>
                <w:sz w:val="24"/>
                <w:highlight w:val="none"/>
              </w:rPr>
            </w:pP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7</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流媒体平台</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套</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1</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软件</w:t>
            </w:r>
            <w:r>
              <w:rPr>
                <w:rFonts w:ascii="宋体" w:hAnsi="宋体" w:cs="仿宋_GB2312"/>
                <w:color w:val="000000"/>
                <w:sz w:val="24"/>
                <w:highlight w:val="none"/>
              </w:rPr>
            </w:r>
            <w:r/>
          </w:p>
        </w:tc>
      </w:tr>
      <w:tr>
        <w:trPr/>
        <w:tc>
          <w:tcPr>
            <w:tcW w:w="779" w:type="dxa"/>
            <w:vAlign w:val="center"/>
            <w:vMerge w:val="continue"/>
            <w:textDirection w:val="lrTb"/>
            <w:noWrap w:val="false"/>
          </w:tcPr>
          <w:p>
            <w:pPr>
              <w:pStyle w:val="670"/>
              <w:jc w:val="center"/>
              <w:spacing w:line="560" w:lineRule="exact"/>
              <w:rPr>
                <w:rFonts w:ascii="宋体" w:hAnsi="宋体" w:cs="仿宋_GB2312"/>
                <w:color w:val="000000"/>
                <w:sz w:val="24"/>
                <w:highlight w:val="none"/>
              </w:rPr>
            </w:pPr>
            <w:r>
              <w:rPr>
                <w:rFonts w:ascii="宋体" w:hAnsi="宋体" w:cs="仿宋_GB2312"/>
                <w:color w:val="000000"/>
                <w:sz w:val="24"/>
                <w:highlight w:val="none"/>
              </w:rPr>
            </w:r>
            <w:r/>
          </w:p>
        </w:tc>
        <w:tc>
          <w:tcPr>
            <w:tcW w:w="800"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8</w:t>
            </w:r>
            <w:r>
              <w:rPr>
                <w:rFonts w:ascii="宋体" w:hAnsi="宋体" w:cs="仿宋_GB2312"/>
                <w:color w:val="000000"/>
                <w:sz w:val="24"/>
                <w:highlight w:val="none"/>
              </w:rPr>
            </w:r>
            <w:r/>
          </w:p>
        </w:tc>
        <w:tc>
          <w:tcPr>
            <w:tcW w:w="2217" w:type="dxa"/>
            <w:vAlign w:val="center"/>
            <w:textDirection w:val="lrTb"/>
            <w:noWrap w:val="false"/>
          </w:tcPr>
          <w:p>
            <w:pPr>
              <w:pStyle w:val="670"/>
              <w:jc w:val="center"/>
              <w:rPr>
                <w:rFonts w:ascii="宋体" w:hAnsi="宋体" w:cs="仿宋_GB2312"/>
                <w:color w:val="000000"/>
                <w:sz w:val="24"/>
                <w:highlight w:val="none"/>
                <w:u w:val="single"/>
              </w:rPr>
            </w:pPr>
            <w:r>
              <w:rPr>
                <w:rFonts w:hint="eastAsia" w:ascii="宋体" w:hAnsi="宋体" w:cs="宋体"/>
                <w:color w:val="000000"/>
                <w:highlight w:val="none"/>
              </w:rPr>
              <w:t xml:space="preserve">36盘位磁盘阵列</w:t>
            </w:r>
            <w:r>
              <w:rPr>
                <w:rFonts w:ascii="宋体" w:hAnsi="宋体" w:cs="仿宋_GB2312"/>
                <w:color w:val="000000"/>
                <w:sz w:val="24"/>
                <w:highlight w:val="none"/>
                <w:u w:val="single"/>
              </w:rPr>
            </w:r>
            <w:r/>
          </w:p>
        </w:tc>
        <w:tc>
          <w:tcPr>
            <w:tcW w:w="1283"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套</w:t>
            </w:r>
            <w:r>
              <w:rPr>
                <w:rFonts w:ascii="宋体" w:hAnsi="宋体" w:cs="仿宋_GB2312"/>
                <w:color w:val="000000"/>
                <w:sz w:val="24"/>
                <w:highlight w:val="none"/>
              </w:rPr>
            </w:r>
            <w:r/>
          </w:p>
        </w:tc>
        <w:tc>
          <w:tcPr>
            <w:tcW w:w="917"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1</w:t>
            </w:r>
            <w:r>
              <w:rPr>
                <w:rFonts w:ascii="宋体" w:hAnsi="宋体" w:cs="仿宋_GB2312"/>
                <w:color w:val="000000"/>
                <w:sz w:val="24"/>
                <w:highlight w:val="none"/>
              </w:rPr>
            </w:r>
            <w:r/>
          </w:p>
        </w:tc>
        <w:tc>
          <w:tcPr>
            <w:tcW w:w="1371"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olor w:val="000000"/>
                <w:sz w:val="24"/>
                <w:highlight w:val="none"/>
              </w:rPr>
              <w:t xml:space="preserve">否</w:t>
            </w:r>
            <w:r>
              <w:rPr>
                <w:rFonts w:ascii="宋体" w:hAnsi="宋体" w:cs="仿宋_GB2312"/>
                <w:color w:val="000000"/>
                <w:sz w:val="24"/>
                <w:highlight w:val="none"/>
              </w:rPr>
            </w:r>
            <w:r/>
          </w:p>
        </w:tc>
        <w:tc>
          <w:tcPr>
            <w:tcW w:w="1384" w:type="dxa"/>
            <w:vAlign w:val="center"/>
            <w:textDirection w:val="lrTb"/>
            <w:noWrap w:val="false"/>
          </w:tcPr>
          <w:p>
            <w:pPr>
              <w:pStyle w:val="670"/>
              <w:jc w:val="center"/>
              <w:rPr>
                <w:rFonts w:ascii="宋体" w:hAnsi="宋体" w:cs="仿宋_GB2312"/>
                <w:color w:val="000000"/>
                <w:sz w:val="24"/>
                <w:highlight w:val="none"/>
              </w:rPr>
            </w:pPr>
            <w:r>
              <w:rPr>
                <w:rFonts w:hint="eastAsia" w:ascii="宋体" w:hAnsi="宋体" w:cs="仿宋_GB2312"/>
                <w:color w:val="000000"/>
                <w:sz w:val="24"/>
                <w:highlight w:val="none"/>
              </w:rPr>
              <w:t xml:space="preserve">工业</w:t>
            </w:r>
            <w:r>
              <w:rPr>
                <w:rFonts w:ascii="宋体" w:hAnsi="宋体" w:cs="仿宋_GB2312"/>
                <w:color w:val="000000"/>
                <w:sz w:val="24"/>
                <w:highlight w:val="none"/>
              </w:rPr>
            </w:r>
            <w:r/>
          </w:p>
        </w:tc>
      </w:tr>
    </w:tbl>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85"/>
        <w:ind w:firstLine="0"/>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二、详尽的技术及服务要求</w:t>
      </w:r>
      <w:r>
        <w:rPr>
          <w:rFonts w:ascii="宋体" w:hAnsi="宋体" w:cs="宋体"/>
          <w:b/>
          <w:bCs/>
          <w:color w:val="000000"/>
          <w:sz w:val="28"/>
          <w:szCs w:val="28"/>
          <w:highlight w:val="none"/>
        </w:rPr>
      </w:r>
      <w:r/>
    </w:p>
    <w:tbl>
      <w:tblPr>
        <w:tblW w:w="4638" w:type="pct"/>
        <w:tblInd w:w="-108" w:type="dxa"/>
        <w:tblLayout w:type="fixed"/>
        <w:tblCellMar>
          <w:left w:w="108" w:type="dxa"/>
          <w:top w:w="0" w:type="dxa"/>
          <w:right w:w="108" w:type="dxa"/>
          <w:bottom w:w="0" w:type="dxa"/>
        </w:tblCellMar>
        <w:tblLook w:val="04A0" w:firstRow="1" w:lastRow="0" w:firstColumn="1" w:lastColumn="0" w:noHBand="0" w:noVBand="1"/>
      </w:tblPr>
      <w:tblGrid>
        <w:gridCol w:w="641"/>
        <w:gridCol w:w="924"/>
        <w:gridCol w:w="5955"/>
        <w:gridCol w:w="556"/>
        <w:gridCol w:w="429"/>
      </w:tblGrid>
      <w:tr>
        <w:trPr>
          <w:trHeight w:val="315"/>
        </w:trPr>
        <w:tc>
          <w:tcPr>
            <w:gridSpan w:val="5"/>
            <w:tcBorders>
              <w:top w:val="single" w:color="000000" w:sz="4" w:space="0"/>
              <w:left w:val="single" w:color="000000" w:sz="4" w:space="0"/>
              <w:bottom w:val="single" w:color="000000" w:sz="4" w:space="0"/>
              <w:right w:val="single" w:color="000000" w:sz="4" w:space="0"/>
            </w:tcBorders>
            <w:tcW w:w="8505" w:type="dxa"/>
            <w:vAlign w:val="center"/>
            <w:textDirection w:val="lrTb"/>
            <w:noWrap/>
          </w:tcPr>
          <w:p>
            <w:pPr>
              <w:pStyle w:val="670"/>
              <w:jc w:val="left"/>
              <w:widowControl/>
              <w:rPr>
                <w:rFonts w:ascii="宋体" w:hAnsi="宋体" w:cs="宋体"/>
                <w:bCs/>
                <w:color w:val="000000"/>
                <w:highlight w:val="none"/>
              </w:rPr>
            </w:pPr>
            <w:r>
              <w:rPr>
                <w:rFonts w:hint="eastAsia" w:ascii="宋体" w:hAnsi="宋体" w:cs="宋体"/>
                <w:bCs/>
                <w:color w:val="000000"/>
                <w:highlight w:val="none"/>
              </w:rPr>
              <w:t xml:space="preserve">一、软硬件设备</w:t>
            </w:r>
            <w:r>
              <w:rPr>
                <w:rFonts w:ascii="宋体" w:hAnsi="宋体" w:cs="宋体"/>
                <w:bCs/>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教师端高清摄像机</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400万高清摄像机，含安装支架，根据场地实际情况定制。</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1.具有400万像素，支持4倍光学变倍，16倍数字变倍；</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2.支持最大2560×1440@30fps高清画面输出，支持最低照度可达彩色0.001Lux，黑白0.0001Lux。</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3.水平手控速度不小于60°/S，产品定位准确度小于等于0.1°。支持水平0-360°旋转，垂直0°—90°旋转。</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.内置麦克风和扬声器，且不少于1路音频输入、1路音频输出，支持1路报警输入；1路报警输出。</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..具备较好的电源适应性。</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6</w:t>
            </w:r>
            <w:r>
              <w:rPr>
                <w:rFonts w:hint="eastAsia" w:ascii="宋体" w:hAnsi="宋体" w:cs="宋体"/>
                <w:color w:val="000000"/>
                <w:highlight w:val="none"/>
              </w:rPr>
              <w:t xml:space="preserve">.要求能接入学校现有的智慧教育云平台，接入统一融合门户，形成统一管理，统一认证，实施过程中如有对接费用由投标人自行承担。</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136</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台</w:t>
            </w:r>
            <w:r>
              <w:rPr>
                <w:rFonts w:ascii="宋体" w:hAnsi="宋体" w:cs="宋体"/>
                <w:b/>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2</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学生高清摄像机</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200万高清半球摄像机，含安装支架，根据场地实际情况定制。</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1.具有200万像素，变焦范围为2.7-12mm。 </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2.最低照度彩色：0.002lx，黑白:0.0002 lx，最大亮度鉴别等级（灰度等级）不小于11级。</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3.水平手控速度不小于60°/S，产品定位准确度小于等于0.1°。支持水平0-350°旋转，垂直-20°—0°旋转。</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4.支持红外补光，可识别距离60m处人体轮廓。</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5.信噪比≥56dB，网络延时不大于110ms。</w:t>
            </w:r>
            <w:r>
              <w:rPr>
                <w:rFonts w:ascii="宋体" w:hAnsi="宋体" w:cs="宋体"/>
                <w:color w:val="000000"/>
                <w:highlight w:val="none"/>
              </w:rPr>
            </w:r>
            <w:r/>
          </w:p>
          <w:p>
            <w:pPr>
              <w:pStyle w:val="701"/>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6.网络传输能力满足发送1000个数据包，重复测试3次，每次丢包数不大于1个,具备较强的网络自适应能力，在丢包率为10%的网络环境下，仍可正常显示监视画面。</w:t>
            </w:r>
            <w:r>
              <w:rPr>
                <w:rFonts w:ascii="宋体" w:hAnsi="宋体" w:eastAsia="宋体" w:cs="宋体"/>
                <w:color w:val="000000"/>
                <w:sz w:val="21"/>
                <w:szCs w:val="21"/>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7.具备区域入侵、越界入侵、进入区域、离开区域、人员聚集、快速移动、徘徊、物品移除、物品遗留、停车智能分析功能，当以上智能分析行为达到设定的阈值时，可通过客户端软件或IE浏览器给出报警提示。</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8</w:t>
            </w:r>
            <w:r>
              <w:rPr>
                <w:rFonts w:hint="eastAsia" w:ascii="宋体" w:hAnsi="宋体" w:cs="宋体"/>
                <w:color w:val="000000"/>
                <w:highlight w:val="none"/>
              </w:rPr>
              <w:t xml:space="preserve">.球机应具备本机存储功能，支持SD卡热插拔，最大支持256GB。</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9</w:t>
            </w:r>
            <w:r>
              <w:rPr>
                <w:rFonts w:hint="eastAsia" w:ascii="宋体" w:hAnsi="宋体" w:cs="宋体"/>
                <w:color w:val="000000"/>
                <w:highlight w:val="none"/>
              </w:rPr>
              <w:t xml:space="preserve">.具备较好的电源适应性，电压在DC12V±30%范围内变化时，设备可正常工作。且支持POE供电。 </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10</w:t>
            </w:r>
            <w:r>
              <w:rPr>
                <w:rFonts w:hint="eastAsia" w:ascii="宋体" w:hAnsi="宋体" w:cs="宋体"/>
                <w:color w:val="000000"/>
                <w:highlight w:val="none"/>
              </w:rPr>
              <w:t xml:space="preserve">. 要求能接入学校现有的智慧教育云平台，接入统一融合门户，形成统一管理，统一认证，实施过程中如有对接费用由投标人自行承担。</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144</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台</w:t>
            </w:r>
            <w:r>
              <w:rPr>
                <w:rFonts w:ascii="宋体" w:hAnsi="宋体" w:cs="宋体"/>
                <w:b/>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3</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高保真拾音器</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1.在10～100平方内高保真、高灵敏、高带宽、低噪音；</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2.采用高速DSP数字信号处理器，降噪音电路；</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3.频率范围：20~32kHZ；</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4.信噪比：≥75dB；</w:t>
            </w:r>
            <w:r>
              <w:rPr>
                <w:rFonts w:ascii="宋体" w:hAnsi="宋体" w:cs="宋体"/>
                <w:color w:val="000000"/>
                <w:highlight w:val="none"/>
              </w:rPr>
            </w:r>
            <w:r/>
          </w:p>
          <w:p>
            <w:pPr>
              <w:pStyle w:val="701"/>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5.支持POE供电；</w:t>
            </w:r>
            <w:r>
              <w:rPr>
                <w:rFonts w:ascii="宋体" w:hAnsi="宋体" w:eastAsia="宋体" w:cs="宋体"/>
                <w:color w:val="000000"/>
                <w:sz w:val="21"/>
                <w:szCs w:val="21"/>
                <w:highlight w:val="none"/>
              </w:rPr>
            </w:r>
            <w:r/>
          </w:p>
          <w:p>
            <w:pPr>
              <w:pStyle w:val="701"/>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6.支持智能降噪，有效解决环境噪音干扰；</w:t>
            </w:r>
            <w:r>
              <w:rPr>
                <w:rFonts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36</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只</w:t>
            </w:r>
            <w:r>
              <w:rPr>
                <w:rFonts w:ascii="宋体" w:hAnsi="宋体" w:cs="宋体"/>
                <w:b/>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4</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桌面硬件采集编码器</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1.分辨率：支持≥1920×1080_60i/60P、1920×1080_50i、1280×720_60p、1920×1080_60i/60P、1920×1080_50i、1280×720_60p；</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2.编码支持H.265/H.264/AVC High Profile Level 4.0；</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3.音频编码支持ACC，ACC+，MP3，G.711；</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4.支持HTTP，UDP，RTSP，RTMP，ONVIF协议，支持单播及多播；</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5.要求能接入学校现有的智慧教育云平台，接入统一融合门户，形成统一管理，统一认证，实施过程中如有对接费用由投标人自行承担。</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36</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点</w:t>
            </w:r>
            <w:r>
              <w:rPr>
                <w:rFonts w:ascii="宋体" w:hAnsi="宋体" w:cs="宋体"/>
                <w:b/>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5</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云录播平台系统</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该平台</w:t>
            </w:r>
            <w:r>
              <w:rPr>
                <w:rFonts w:hint="eastAsia" w:ascii="宋体" w:hAnsi="宋体"/>
                <w:color w:val="000000"/>
                <w:highlight w:val="none"/>
              </w:rPr>
              <w:t xml:space="preserve">接入整合前端教室设备，采用云录播方式实现前端设备的统一管理和音视频采集录制，</w:t>
            </w:r>
            <w:r>
              <w:rPr>
                <w:rFonts w:ascii="宋体" w:hAnsi="宋体"/>
                <w:color w:val="000000"/>
                <w:highlight w:val="none"/>
              </w:rPr>
              <w:t xml:space="preserve">课堂录制并自动发布至</w:t>
            </w:r>
            <w:r>
              <w:rPr>
                <w:rFonts w:hint="eastAsia" w:ascii="宋体" w:hAnsi="宋体" w:cs="宋体"/>
                <w:color w:val="000000"/>
                <w:highlight w:val="none"/>
              </w:rPr>
              <w:t xml:space="preserve">智慧教育云平台</w:t>
            </w:r>
            <w:r>
              <w:rPr>
                <w:rFonts w:ascii="宋体" w:hAnsi="宋体"/>
                <w:color w:val="000000"/>
                <w:highlight w:val="none"/>
              </w:rPr>
              <w:t xml:space="preserve">，支持PC端、移动端和不同操作系统自适应兼容</w:t>
            </w:r>
            <w:r>
              <w:rPr>
                <w:rFonts w:hint="eastAsia" w:ascii="宋体" w:hAnsi="宋体"/>
                <w:color w:val="000000"/>
                <w:highlight w:val="none"/>
              </w:rPr>
              <w:t xml:space="preserve">。教师可自主选择相应教学视频作为优秀教学资源保留，作为教学观摩展示。根据用户权限提供相应的视频资源管理和观看范围，同时可为各级管理人员、运维人员等赋予管理权限，</w:t>
            </w:r>
            <w:r>
              <w:rPr>
                <w:rFonts w:ascii="宋体" w:hAnsi="宋体"/>
                <w:color w:val="000000"/>
                <w:highlight w:val="none"/>
              </w:rPr>
              <w:t xml:space="preserve">集中巡视，观看任意一间教室授课场景</w:t>
            </w:r>
            <w:r>
              <w:rPr>
                <w:rFonts w:hint="eastAsia" w:ascii="宋体" w:hAnsi="宋体"/>
                <w:color w:val="000000"/>
                <w:highlight w:val="none"/>
              </w:rPr>
              <w:t xml:space="preserve">。</w:t>
            </w:r>
            <w:r>
              <w:rPr>
                <w:rFonts w:ascii="宋体" w:hAnsi="宋体" w:cs="宋体"/>
                <w:color w:val="000000"/>
                <w:highlight w:val="none"/>
              </w:rPr>
            </w:r>
            <w:r/>
          </w:p>
          <w:p>
            <w:pPr>
              <w:pStyle w:val="670"/>
              <w:jc w:val="left"/>
              <w:widowControl/>
              <w:rPr>
                <w:rFonts w:ascii="宋体" w:hAnsi="宋体" w:cs="Arial"/>
                <w:color w:val="000000"/>
                <w:highlight w:val="none"/>
              </w:rPr>
            </w:pPr>
            <w:r>
              <w:rPr>
                <w:rFonts w:hint="eastAsia" w:ascii="宋体" w:hAnsi="宋体" w:cs="Arial"/>
                <w:color w:val="000000"/>
                <w:highlight w:val="none"/>
              </w:rPr>
              <w:t xml:space="preserve">1.跟现有教务系统对接，自动抓取课表，匹配课表中的实训室、教师等信息提前十分钟开始录制视频，可实现课程直播点播的应用。</w:t>
            </w:r>
            <w:r>
              <w:rPr>
                <w:rFonts w:ascii="宋体" w:hAnsi="宋体" w:cs="Arial"/>
                <w:color w:val="000000"/>
                <w:highlight w:val="none"/>
              </w:rPr>
            </w:r>
            <w:r/>
          </w:p>
          <w:p>
            <w:pPr>
              <w:pStyle w:val="670"/>
              <w:jc w:val="left"/>
              <w:widowControl/>
              <w:rPr>
                <w:rFonts w:ascii="宋体" w:hAnsi="宋体" w:cs="Arial"/>
                <w:color w:val="000000"/>
                <w:highlight w:val="none"/>
              </w:rPr>
            </w:pPr>
            <w:r>
              <w:rPr>
                <w:rFonts w:hint="eastAsia" w:ascii="宋体" w:hAnsi="宋体" w:cs="Arial"/>
                <w:color w:val="000000"/>
                <w:highlight w:val="none"/>
              </w:rPr>
              <w:t xml:space="preserve">2.支持自定义录制任务管理：支持录制任务的查询、添加、自动审核、取消；</w:t>
            </w:r>
            <w:r>
              <w:rPr>
                <w:rFonts w:ascii="宋体" w:hAnsi="宋体" w:cs="Arial"/>
                <w:color w:val="000000"/>
                <w:highlight w:val="none"/>
              </w:rPr>
            </w:r>
            <w:r/>
          </w:p>
          <w:p>
            <w:pPr>
              <w:pStyle w:val="670"/>
              <w:jc w:val="left"/>
              <w:widowControl/>
              <w:rPr>
                <w:rFonts w:ascii="宋体" w:hAnsi="宋体" w:cs="宋体"/>
                <w:color w:val="000000"/>
                <w:highlight w:val="none"/>
              </w:rPr>
            </w:pPr>
            <w:r>
              <w:rPr>
                <w:rFonts w:hint="eastAsia" w:ascii="宋体" w:hAnsi="宋体" w:cs="Arial"/>
                <w:color w:val="000000"/>
                <w:highlight w:val="none"/>
              </w:rPr>
              <w:t xml:space="preserve">3.支持对录制任务</w:t>
            </w:r>
            <w:r>
              <w:rPr>
                <w:rFonts w:hint="eastAsia" w:ascii="宋体" w:hAnsi="宋体" w:cs="宋体"/>
                <w:color w:val="000000"/>
                <w:highlight w:val="none"/>
              </w:rPr>
              <w:t xml:space="preserve">的执行情况跟踪：包含录制异常、已过期；</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4.</w:t>
            </w:r>
            <w:r>
              <w:rPr>
                <w:rFonts w:hint="eastAsia" w:ascii="宋体" w:hAnsi="宋体" w:cs="Arial"/>
                <w:color w:val="000000"/>
                <w:highlight w:val="none"/>
              </w:rPr>
              <w:t xml:space="preserve">在平台上可以直观的看到课程缩略图、课程名称、授课教室、授课教师等信息，方便用户选择观看；也可以使用搜索直播功能搜索自己想要查看的直播课程。</w:t>
            </w:r>
            <w:r>
              <w:rPr>
                <w:rFonts w:ascii="宋体" w:hAnsi="宋体" w:cs="宋体"/>
                <w:color w:val="000000"/>
                <w:highlight w:val="none"/>
              </w:rPr>
            </w:r>
            <w:r/>
          </w:p>
          <w:p>
            <w:pPr>
              <w:pStyle w:val="670"/>
              <w:jc w:val="left"/>
              <w:widowControl/>
              <w:rPr>
                <w:rFonts w:ascii="宋体" w:hAnsi="宋体" w:cs="Arial"/>
                <w:color w:val="000000"/>
                <w:highlight w:val="none"/>
              </w:rPr>
            </w:pPr>
            <w:r>
              <w:rPr>
                <w:rFonts w:hint="eastAsia" w:ascii="宋体" w:hAnsi="宋体" w:cs="宋体"/>
                <w:color w:val="000000"/>
                <w:highlight w:val="none"/>
              </w:rPr>
              <w:t xml:space="preserve">5.</w:t>
            </w:r>
            <w:r>
              <w:rPr>
                <w:rFonts w:hint="eastAsia" w:ascii="宋体" w:hAnsi="宋体" w:cs="Arial"/>
                <w:color w:val="000000"/>
                <w:highlight w:val="none"/>
              </w:rPr>
              <w:t xml:space="preserve">在观看点播视频时，支持播放倍速的调节，方便后续观看。</w:t>
            </w:r>
            <w:r>
              <w:rPr>
                <w:rFonts w:ascii="宋体" w:hAnsi="宋体" w:cs="Arial"/>
                <w:color w:val="000000"/>
                <w:highlight w:val="none"/>
              </w:rPr>
            </w:r>
            <w:r/>
          </w:p>
          <w:p>
            <w:pPr>
              <w:pStyle w:val="701"/>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Arial"/>
                <w:color w:val="000000"/>
                <w:sz w:val="21"/>
                <w:highlight w:val="none"/>
              </w:rPr>
              <w:t xml:space="preserve">在观看视频时，可灵活选择观看模式，可根据课程内容情况，自主选择画面显示风格。</w:t>
            </w:r>
            <w:r>
              <w:rPr>
                <w:rFonts w:ascii="宋体" w:hAnsi="宋体" w:eastAsia="宋体" w:cs="宋体"/>
                <w:color w:val="000000"/>
                <w:sz w:val="21"/>
                <w:szCs w:val="21"/>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7.</w:t>
            </w:r>
            <w:r>
              <w:rPr>
                <w:rFonts w:hint="eastAsia" w:ascii="宋体" w:hAnsi="宋体"/>
                <w:color w:val="000000"/>
                <w:highlight w:val="none"/>
              </w:rPr>
              <w:t xml:space="preserve">在线督导可通过教学楼、授课老师、上课时间、开课院系等维度选择需要督导的课程，进入后可以在线观看教学直播。</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8.提供检索功能。</w:t>
            </w:r>
            <w:r>
              <w:rPr>
                <w:rFonts w:hint="eastAsia" w:ascii="宋体" w:hAnsi="宋体"/>
                <w:color w:val="000000"/>
                <w:highlight w:val="none"/>
              </w:rPr>
              <w:t xml:space="preserve">用户可通过输入课程名称、授课老师等进行模糊搜索，另外还提供高级搜索功能，用户可通过课程、教师、教室、院系、学年学期等信息聚焦指定的某节课程。</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9.在网络断开的情况下，支持断网自动续存功能，断网期间可通过图片插入补录，形成完整的视频文件；</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0</w:t>
            </w:r>
            <w:r>
              <w:rPr>
                <w:rFonts w:hint="eastAsia" w:ascii="宋体" w:hAnsi="宋体" w:cs="宋体"/>
                <w:color w:val="000000"/>
                <w:highlight w:val="none"/>
              </w:rPr>
              <w:t xml:space="preserve">.为解决学校课表异常或课表未对接时，教室需要录制问题，可通过互动课堂教学系统或轻课件软件登录后自动进行录制，保证教室端视频录制完整性；</w:t>
            </w:r>
            <w:r>
              <w:rPr>
                <w:rFonts w:ascii="宋体" w:hAnsi="宋体" w:cs="宋体"/>
                <w:color w:val="000000"/>
                <w:highlight w:val="none"/>
              </w:rPr>
            </w:r>
            <w:r/>
          </w:p>
          <w:p>
            <w:pPr>
              <w:pStyle w:val="701"/>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需支持统一身份认证，单点登陆，即可无缝切换各类应用平台，无需多次账号密码输入操作</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01"/>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系统平台开放兼容，提供标准API接口；</w:t>
            </w:r>
            <w:r>
              <w:rPr>
                <w:rFonts w:ascii="宋体" w:hAnsi="宋体" w:eastAsia="宋体" w:cs="宋体"/>
                <w:color w:val="000000"/>
                <w:sz w:val="21"/>
                <w:szCs w:val="21"/>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13</w:t>
            </w:r>
            <w:r>
              <w:rPr>
                <w:rFonts w:hint="eastAsia" w:ascii="宋体" w:hAnsi="宋体" w:cs="宋体"/>
                <w:color w:val="000000"/>
                <w:highlight w:val="none"/>
              </w:rPr>
              <w:t xml:space="preserve">. 要求能接入学校现有的智慧教育云平台，接入统一融合门户，形成统一管理，统一认证，实施过程中如有对接费用由投标人自行承担。</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val="false"/>
          </w:tcPr>
          <w:p>
            <w:pPr>
              <w:pStyle w:val="670"/>
              <w:jc w:val="center"/>
              <w:widowControl/>
              <w:rPr>
                <w:rFonts w:ascii="宋体" w:hAnsi="宋体" w:cs="宋体"/>
                <w:b/>
                <w:color w:val="000000"/>
                <w:highlight w:val="none"/>
              </w:rPr>
            </w:pPr>
            <w:r>
              <w:rPr>
                <w:rFonts w:ascii="宋体" w:hAnsi="宋体" w:cs="宋体"/>
                <w:color w:val="000000"/>
                <w:highlight w:val="none"/>
              </w:rPr>
              <w:t xml:space="preserve">136</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点</w:t>
            </w:r>
            <w:r>
              <w:rPr>
                <w:rFonts w:ascii="宋体" w:hAnsi="宋体" w:cs="宋体"/>
                <w:b/>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center"/>
              <w:widowControl/>
              <w:rPr>
                <w:rFonts w:ascii="宋体" w:hAnsi="宋体" w:cs="宋体"/>
                <w:color w:val="000000"/>
                <w:highlight w:val="none"/>
              </w:rPr>
            </w:pPr>
            <w:r>
              <w:rPr>
                <w:rFonts w:hint="eastAsia" w:ascii="宋体" w:hAnsi="宋体" w:cs="宋体"/>
                <w:color w:val="000000"/>
                <w:highlight w:val="none"/>
              </w:rPr>
              <w:t xml:space="preserve">流媒体平台</w:t>
            </w:r>
            <w:r>
              <w:rPr>
                <w:rFonts w:ascii="宋体" w:hAnsi="宋体" w:cs="宋体"/>
                <w:color w:val="000000"/>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cs="宋体"/>
                <w:color w:val="000000"/>
                <w:highlight w:val="none"/>
              </w:rPr>
            </w:pPr>
            <w:r>
              <w:rPr>
                <w:rFonts w:hint="eastAsia" w:cs="宋体"/>
                <w:color w:val="000000"/>
                <w:highlight w:val="none"/>
              </w:rPr>
              <w:t xml:space="preserve">1.支持为虚拟资源管理员提供统一的WEB管理平台，用于计算资源、网络资源和存储资源管理；</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2.支持文件夹管理，通过文件夹对虚拟机进行分类，支持通过拖拽文件夹进行分级及创建子文件夹，文件夹层级数量不限制；</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3.支持CPU指令集设置，以便匹配业务应用的最佳运行环境，应至少支持系统默认、主机模式、主机直通三种选项，采用系统默认方式系统将自行计算匹配CPU指令集，在集群物理机CPU存在不一致时以达到最佳迁移兼容性；</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4.支持硬件节点的配置、指标的监控及展示，硬件配置应至少包含CPU、内存、网卡、RAID卡、GPU、电源等品牌、型号、数量及状态，监控指标应至少包含CPU利用率、内存利用率、存储使用量、存储IOPS、存储延迟、存储吞吐量、网卡吞吐量、数据包速率、网卡丢包率、数据包错误率，支持按存储、网络类型、时间段进行监控筛选；</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5.支持虚拟机批量操作，包括开机、关机、导入、导出、删除、更新增强工具、迁移、绑定标签、暂停、锁定、添加数据盘、修改密码、创建快照、更改时区等，实现虚拟机的快速操作；</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6.支持NUMA功能，可手动设置NUMA数量或使用自动匹配方式实现NUMA拓扑的最佳匹配，同时支持NUMA调度策略：优先不跨越物理NUMA节点中或不跨越物理NUMA节点；</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7.支持虚拟机CPU、内存在线状态配置缩减数量，在下一次重启后生效；</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8.支持虚拟机控制台密码保护功能，设置后打开虚拟机VNC控制台时需要输入密码才能登录，提升安全性；</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9.支持自定义虚拟机重建优先级【1级-10级】，在发生节点或故障后，高优先级虚拟机将被优先重建；</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10.支持虚拟磁盘页面对齐功能，根据业务需求对虚拟磁盘分别进行【4K-32K】对齐设置，从而达到存储页面与业务应用业务最佳匹配以提升存储读写效率；</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11.支持非全闪架构下，支持至少3种压缩算法，应至少支持LZ4、Gzip压缩算法，针对不同虚拟磁盘分别设置压缩，压缩算法可在不同压缩等级或禁用间切换，根据数据类型选择最优压缩算法，通过软件实现不需要采购额外硬件增加成本；</w:t>
            </w:r>
            <w:r>
              <w:rPr>
                <w:rFonts w:cs="宋体"/>
                <w:color w:val="000000"/>
                <w:highlight w:val="none"/>
              </w:rPr>
            </w:r>
            <w:r/>
          </w:p>
          <w:p>
            <w:pPr>
              <w:pStyle w:val="670"/>
              <w:jc w:val="left"/>
              <w:widowControl/>
              <w:rPr>
                <w:rFonts w:cs="宋体"/>
                <w:color w:val="000000"/>
                <w:highlight w:val="none"/>
              </w:rPr>
            </w:pPr>
            <w:r>
              <w:rPr>
                <w:rFonts w:hint="eastAsia" w:cs="宋体"/>
                <w:color w:val="000000"/>
                <w:highlight w:val="none"/>
              </w:rPr>
              <w:t xml:space="preserve">12.支持超融合硬件节点的配置、指标的监控及展示，硬件配置应至少包含CPU、内存、网卡、RAID卡、GPU、电源等品牌、型号、数量及状态，监控指标应至少包含CPU利用率、内存利用率、存储使用量、存储IOPS、存储延迟、存储吞吐量、网卡吞吐量、数据包速率、网卡丢包率、数据包错误率，支持按存储、网络类型、时间段进行监控筛选；</w:t>
            </w:r>
            <w:r>
              <w:rPr>
                <w:rFonts w:cs="宋体"/>
                <w:color w:val="000000"/>
                <w:highlight w:val="none"/>
              </w:rPr>
            </w:r>
            <w:r/>
          </w:p>
          <w:p>
            <w:pPr>
              <w:pStyle w:val="670"/>
              <w:jc w:val="left"/>
              <w:widowControl/>
              <w:rPr>
                <w:rFonts w:ascii="宋体" w:hAnsi="宋体" w:cs="宋体"/>
                <w:color w:val="000000"/>
                <w:highlight w:val="none"/>
              </w:rPr>
            </w:pPr>
            <w:r>
              <w:rPr>
                <w:rFonts w:hint="eastAsia" w:cs="宋体"/>
                <w:color w:val="000000"/>
                <w:highlight w:val="none"/>
              </w:rPr>
              <w:t xml:space="preserve">13.支持虚拟网络配置NO VLAN网络（扁平网络），实现Untagged流量的转发，满足网络多场景需求；</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tcPr>
          <w:p>
            <w:pPr>
              <w:pStyle w:val="670"/>
              <w:jc w:val="center"/>
              <w:widowControl/>
              <w:rPr>
                <w:rFonts w:ascii="宋体" w:hAnsi="宋体" w:cs="宋体"/>
                <w:color w:val="000000"/>
                <w:highlight w:val="none"/>
              </w:rPr>
            </w:pPr>
            <w:r>
              <w:rPr>
                <w:rFonts w:hint="eastAsia" w:ascii="宋体" w:hAnsi="宋体" w:cs="宋体"/>
                <w:color w:val="000000"/>
                <w:highlight w:val="none"/>
              </w:rPr>
              <w:t xml:space="preserve">1 </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val="false"/>
          </w:tcPr>
          <w:p>
            <w:pPr>
              <w:pStyle w:val="670"/>
              <w:jc w:val="center"/>
              <w:widowControl/>
              <w:rPr>
                <w:rFonts w:ascii="宋体" w:hAnsi="宋体" w:cs="宋体"/>
                <w:color w:val="000000"/>
                <w:highlight w:val="none"/>
              </w:rPr>
            </w:pPr>
            <w:r>
              <w:rPr>
                <w:rFonts w:hint="eastAsia" w:ascii="宋体" w:hAnsi="宋体" w:cs="宋体"/>
                <w:color w:val="000000"/>
                <w:highlight w:val="none"/>
              </w:rPr>
              <w:t xml:space="preserve">套</w:t>
            </w:r>
            <w:r>
              <w:rPr>
                <w:rFonts w:ascii="宋体" w:hAnsi="宋体" w:cs="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36盘位磁盘阵列</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1.36盘位磁盘阵列，带宽不少于1536Mbps。设备具备≥1颗64位多核处理器，≥4GB内存，内存支持扩展到≥256GB，内置SSD固态硬盘，配置≥3个风扇，支持风扇热插拔冗余温控调速风扇；支持热插拔1+1AC220V；</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2.标配≥4个千兆网口，支持4个PCI-E3.0，或可扩展 RS485 接口、eSATA 接口，可扩展至 15个千兆网口，支持GPU智能卡，支持PCI-E X16和PCI-E X8，可支持12GB SAS扩展口；</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3.可接入2T/3T/4T/6T/8T/10T/12T/14T/16T/18T/20T/25T/26T SATA/SAS硬盘，内置33块8TB企业级硬盘；</w:t>
            </w:r>
            <w:r>
              <w:rPr>
                <w:rFonts w:ascii="宋体" w:hAnsi="宋体" w:cs="宋体"/>
                <w:color w:val="000000"/>
                <w:highlight w:val="none"/>
              </w:rPr>
            </w:r>
            <w:r/>
          </w:p>
          <w:p>
            <w:pPr>
              <w:pStyle w:val="670"/>
              <w:jc w:val="left"/>
              <w:widowControl/>
              <w:rPr>
                <w:rFonts w:ascii="宋体" w:hAnsi="宋体" w:cs="宋体"/>
                <w:color w:val="000000"/>
                <w:highlight w:val="none"/>
              </w:rPr>
            </w:pPr>
            <w:r>
              <w:rPr>
                <w:rFonts w:hint="eastAsia" w:ascii="宋体" w:hAnsi="宋体" w:cs="宋体"/>
                <w:color w:val="000000"/>
                <w:highlight w:val="none"/>
              </w:rPr>
              <w:t xml:space="preserve">4.支持不低于2048MbpsMbps图片转发；支持不低于2048MbpsMbps图片并发输入，同时不低于2048MbpsMbps图片并发输出；</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.网络中断后重新恢复，可续存断网期间存储在前端设备中的录像文件，并可通过IE浏览器设置自动回传和手动回传；支持256路4Mbps的录像回传；</w:t>
            </w:r>
            <w:r>
              <w:rPr>
                <w:rFonts w:ascii="宋体" w:hAnsi="宋体" w:cs="宋体"/>
                <w:color w:val="000000"/>
                <w:highlight w:val="none"/>
              </w:rPr>
            </w:r>
            <w:r/>
          </w:p>
          <w:p>
            <w:pPr>
              <w:pStyle w:val="670"/>
              <w:jc w:val="left"/>
              <w:widowControl/>
              <w:rPr>
                <w:rFonts w:ascii="宋体" w:hAnsi="宋体" w:cs="宋体"/>
                <w:color w:val="000000"/>
                <w:highlight w:val="none"/>
              </w:rPr>
            </w:pPr>
            <w:r>
              <w:rPr>
                <w:rFonts w:ascii="宋体" w:hAnsi="宋体" w:cs="宋体"/>
                <w:color w:val="000000"/>
                <w:highlight w:val="none"/>
              </w:rPr>
              <w:t xml:space="preserve">6.</w:t>
            </w:r>
            <w:r>
              <w:rPr>
                <w:rFonts w:hint="eastAsia" w:ascii="宋体" w:hAnsi="宋体" w:cs="宋体"/>
                <w:color w:val="000000"/>
                <w:highlight w:val="none"/>
              </w:rPr>
              <w:t xml:space="preserve">支持视音频、图片、智能数据流进行混合直存，无须存储服务器和图片服务器的参与，平台服务器宕机时，存储业务正常。</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套</w:t>
            </w:r>
            <w:r>
              <w:rPr>
                <w:rFonts w:ascii="宋体" w:hAnsi="宋体" w:cs="宋体"/>
                <w:b/>
                <w:color w:val="000000"/>
                <w:highlight w:val="none"/>
              </w:rPr>
            </w:r>
            <w:r/>
          </w:p>
        </w:tc>
      </w:tr>
      <w:tr>
        <w:trPr>
          <w:trHeight w:val="315"/>
        </w:trPr>
        <w:tc>
          <w:tcPr>
            <w:gridSpan w:val="5"/>
            <w:tcBorders>
              <w:top w:val="single" w:color="000000" w:sz="4" w:space="0"/>
              <w:left w:val="single" w:color="000000" w:sz="4" w:space="0"/>
              <w:bottom w:val="single" w:color="000000" w:sz="4" w:space="0"/>
              <w:right w:val="single" w:color="000000" w:sz="4" w:space="0"/>
            </w:tcBorders>
            <w:tcW w:w="8505" w:type="dxa"/>
            <w:vAlign w:val="center"/>
            <w:textDirection w:val="lrTb"/>
            <w:noWrap/>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二、线材、辅材</w:t>
            </w:r>
            <w:r>
              <w:rPr>
                <w:rFonts w:ascii="宋体" w:hAnsi="宋体" w:cs="宋体"/>
                <w:color w:val="000000"/>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37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543"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线材、辅材</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50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投标人根据每间教室实际情况并提供施工图纸，完成所有教室的布线施工，其中材料包括但不限于电源线、网线、音频线、PVC线槽、接插件、对接头、交换机等</w:t>
            </w:r>
            <w:r>
              <w:rPr>
                <w:rFonts w:ascii="宋体" w:hAnsi="宋体" w:cs="宋体"/>
                <w:color w:val="000000"/>
                <w:highlight w:val="none"/>
              </w:rPr>
            </w:r>
            <w:r/>
          </w:p>
        </w:tc>
        <w:tc>
          <w:tcPr>
            <w:tcBorders>
              <w:top w:val="none" w:color="000000" w:sz="4" w:space="0"/>
              <w:left w:val="none" w:color="000000" w:sz="4" w:space="0"/>
              <w:bottom w:val="single" w:color="000000" w:sz="4" w:space="0"/>
              <w:right w:val="single" w:color="000000" w:sz="4" w:space="0"/>
            </w:tcBorders>
            <w:tcW w:w="327" w:type="dxa"/>
            <w:vAlign w:val="center"/>
            <w:textDirection w:val="lrTb"/>
            <w:noWrap w:val="false"/>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36</w:t>
            </w:r>
            <w:r>
              <w:rPr>
                <w:rFonts w:ascii="宋体" w:hAnsi="宋体" w:cs="宋体"/>
                <w:b/>
                <w:color w:val="000000"/>
                <w:highlight w:val="none"/>
              </w:rPr>
            </w:r>
            <w:r/>
          </w:p>
        </w:tc>
        <w:tc>
          <w:tcPr>
            <w:tcBorders>
              <w:top w:val="none" w:color="000000" w:sz="4" w:space="0"/>
              <w:left w:val="none" w:color="000000" w:sz="4" w:space="0"/>
              <w:bottom w:val="single" w:color="000000" w:sz="4" w:space="0"/>
              <w:right w:val="single" w:color="000000" w:sz="4" w:space="0"/>
            </w:tcBorders>
            <w:tcW w:w="249" w:type="dxa"/>
            <w:vAlign w:val="center"/>
            <w:textDirection w:val="lrTb"/>
            <w:noWrap/>
          </w:tcPr>
          <w:p>
            <w:pPr>
              <w:pStyle w:val="670"/>
              <w:jc w:val="center"/>
              <w:widowControl/>
              <w:rPr>
                <w:rFonts w:ascii="宋体" w:hAnsi="宋体" w:cs="宋体"/>
                <w:b/>
                <w:color w:val="000000"/>
                <w:highlight w:val="none"/>
              </w:rPr>
            </w:pPr>
            <w:r>
              <w:rPr>
                <w:rFonts w:hint="eastAsia" w:ascii="宋体" w:hAnsi="宋体" w:cs="宋体"/>
                <w:color w:val="000000"/>
                <w:highlight w:val="none"/>
              </w:rPr>
              <w:t xml:space="preserve">套</w:t>
            </w:r>
            <w:r>
              <w:rPr>
                <w:rFonts w:ascii="宋体" w:hAnsi="宋体" w:cs="宋体"/>
                <w:b/>
                <w:color w:val="000000"/>
                <w:highlight w:val="none"/>
              </w:rPr>
            </w:r>
            <w:r/>
          </w:p>
        </w:tc>
      </w:tr>
    </w:tbl>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85"/>
        <w:ind w:firstLine="0"/>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通用服务器需求（数量1台）：</w:t>
      </w:r>
      <w:r>
        <w:rPr>
          <w:rFonts w:ascii="宋体" w:hAnsi="宋体" w:cs="宋体"/>
          <w:b/>
          <w:bCs/>
          <w:color w:val="000000"/>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1167"/>
        <w:gridCol w:w="1117"/>
        <w:gridCol w:w="1383"/>
        <w:gridCol w:w="1133"/>
        <w:gridCol w:w="3017"/>
        <w:gridCol w:w="815"/>
      </w:tblGrid>
      <w:tr>
        <w:trPr/>
        <w:tc>
          <w:tcPr>
            <w:tcW w:w="537" w:type="dxa"/>
            <w:vAlign w:val="center"/>
            <w:textDirection w:val="lrTb"/>
            <w:noWrap w:val="false"/>
          </w:tcPr>
          <w:p>
            <w:pPr>
              <w:pStyle w:val="785"/>
              <w:ind w:firstLine="0"/>
              <w:jc w:val="center"/>
              <w:rPr>
                <w:rFonts w:cs="宋体"/>
                <w:color w:val="000000"/>
                <w:sz w:val="18"/>
                <w:szCs w:val="18"/>
                <w:highlight w:val="none"/>
              </w:rPr>
            </w:pPr>
            <w:r>
              <w:rPr>
                <w:b/>
                <w:bCs/>
                <w:color w:val="000000"/>
                <w:spacing w:val="-6"/>
                <w:sz w:val="18"/>
                <w:szCs w:val="18"/>
                <w:highlight w:val="none"/>
              </w:rPr>
              <w:t xml:space="preserve">序号</w:t>
            </w:r>
            <w:r>
              <w:rPr>
                <w:rFonts w:cs="宋体"/>
                <w:color w:val="000000"/>
                <w:sz w:val="18"/>
                <w:szCs w:val="18"/>
                <w:highlight w:val="none"/>
              </w:rPr>
            </w:r>
            <w:r/>
          </w:p>
        </w:tc>
        <w:tc>
          <w:tcPr>
            <w:tcW w:w="1167" w:type="dxa"/>
            <w:vAlign w:val="center"/>
            <w:textDirection w:val="lrTb"/>
            <w:noWrap w:val="false"/>
          </w:tcPr>
          <w:p>
            <w:pPr>
              <w:pStyle w:val="785"/>
              <w:ind w:firstLine="0"/>
              <w:jc w:val="center"/>
              <w:rPr>
                <w:rFonts w:cs="宋体"/>
                <w:color w:val="000000"/>
                <w:sz w:val="18"/>
                <w:szCs w:val="18"/>
                <w:highlight w:val="none"/>
              </w:rPr>
            </w:pPr>
            <w:r>
              <w:rPr>
                <w:b/>
                <w:bCs/>
                <w:color w:val="000000"/>
                <w:spacing w:val="-4"/>
                <w:sz w:val="18"/>
                <w:szCs w:val="18"/>
                <w:highlight w:val="none"/>
              </w:rPr>
              <w:t xml:space="preserve">指标分类</w:t>
            </w:r>
            <w:r>
              <w:rPr>
                <w:rFonts w:cs="宋体"/>
                <w:color w:val="000000"/>
                <w:sz w:val="18"/>
                <w:szCs w:val="18"/>
                <w:highlight w:val="none"/>
              </w:rPr>
            </w:r>
            <w:r/>
          </w:p>
        </w:tc>
        <w:tc>
          <w:tcPr>
            <w:tcW w:w="1117" w:type="dxa"/>
            <w:vAlign w:val="center"/>
            <w:textDirection w:val="lrTb"/>
            <w:noWrap w:val="false"/>
          </w:tcPr>
          <w:p>
            <w:pPr>
              <w:pStyle w:val="785"/>
              <w:ind w:firstLine="0"/>
              <w:jc w:val="center"/>
              <w:rPr>
                <w:rFonts w:cs="宋体"/>
                <w:color w:val="000000"/>
                <w:sz w:val="18"/>
                <w:szCs w:val="18"/>
                <w:highlight w:val="none"/>
              </w:rPr>
            </w:pPr>
            <w:r>
              <w:rPr>
                <w:b/>
                <w:bCs/>
                <w:color w:val="000000"/>
                <w:spacing w:val="-7"/>
                <w:sz w:val="18"/>
                <w:szCs w:val="18"/>
                <w:highlight w:val="none"/>
              </w:rPr>
              <w:t xml:space="preserve">一级</w:t>
            </w:r>
            <w:r>
              <w:rPr>
                <w:b/>
                <w:bCs/>
                <w:color w:val="000000"/>
                <w:spacing w:val="-3"/>
                <w:sz w:val="18"/>
                <w:szCs w:val="18"/>
                <w:highlight w:val="none"/>
              </w:rPr>
              <w:t xml:space="preserve">指标</w:t>
            </w:r>
            <w:r>
              <w:rPr>
                <w:rFonts w:cs="宋体"/>
                <w:color w:val="000000"/>
                <w:sz w:val="18"/>
                <w:szCs w:val="18"/>
                <w:highlight w:val="none"/>
              </w:rPr>
            </w:r>
            <w:r/>
          </w:p>
        </w:tc>
        <w:tc>
          <w:tcPr>
            <w:tcW w:w="1383" w:type="dxa"/>
            <w:vAlign w:val="center"/>
            <w:textDirection w:val="lrTb"/>
            <w:noWrap w:val="false"/>
          </w:tcPr>
          <w:p>
            <w:pPr>
              <w:pStyle w:val="785"/>
              <w:ind w:firstLine="0"/>
              <w:jc w:val="center"/>
              <w:rPr>
                <w:rFonts w:cs="宋体"/>
                <w:color w:val="000000"/>
                <w:sz w:val="18"/>
                <w:szCs w:val="18"/>
                <w:highlight w:val="none"/>
              </w:rPr>
            </w:pPr>
            <w:r>
              <w:rPr>
                <w:b/>
                <w:bCs/>
                <w:color w:val="000000"/>
                <w:spacing w:val="-4"/>
                <w:sz w:val="18"/>
                <w:szCs w:val="18"/>
                <w:highlight w:val="none"/>
              </w:rPr>
              <w:t xml:space="preserve">二级指标</w:t>
            </w:r>
            <w:r>
              <w:rPr>
                <w:rFonts w:cs="宋体"/>
                <w:color w:val="000000"/>
                <w:sz w:val="18"/>
                <w:szCs w:val="18"/>
                <w:highlight w:val="none"/>
              </w:rPr>
            </w:r>
            <w:r/>
          </w:p>
        </w:tc>
        <w:tc>
          <w:tcPr>
            <w:tcW w:w="1133" w:type="dxa"/>
            <w:vAlign w:val="center"/>
            <w:textDirection w:val="lrTb"/>
            <w:noWrap w:val="false"/>
          </w:tcPr>
          <w:p>
            <w:pPr>
              <w:pStyle w:val="786"/>
              <w:jc w:val="both"/>
              <w:spacing w:before="90" w:line="221" w:lineRule="auto"/>
              <w:rPr>
                <w:rFonts w:cs="宋体"/>
                <w:color w:val="000000"/>
                <w:highlight w:val="none"/>
              </w:rPr>
            </w:pPr>
            <w:r>
              <w:rPr>
                <w:b/>
                <w:bCs/>
                <w:color w:val="000000"/>
                <w:spacing w:val="-4"/>
                <w:highlight w:val="none"/>
                <w:lang w:eastAsia="zh-CN"/>
              </w:rPr>
              <w:t xml:space="preserve">是否可以</w:t>
            </w:r>
            <w:r>
              <w:rPr>
                <w:b/>
                <w:bCs/>
                <w:color w:val="000000"/>
                <w:spacing w:val="-3"/>
                <w:highlight w:val="none"/>
                <w:lang w:eastAsia="zh-CN"/>
              </w:rPr>
              <w:t xml:space="preserve">作为评分</w:t>
            </w:r>
            <w:r>
              <w:rPr>
                <w:b/>
                <w:bCs/>
                <w:color w:val="000000"/>
                <w:spacing w:val="-7"/>
                <w:highlight w:val="none"/>
              </w:rPr>
              <w:t xml:space="preserve">因素</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sz w:val="18"/>
                <w:szCs w:val="18"/>
                <w:highlight w:val="none"/>
              </w:rPr>
            </w:pPr>
            <w:r>
              <w:rPr>
                <w:b/>
                <w:bCs/>
                <w:color w:val="000000"/>
                <w:spacing w:val="-3"/>
                <w:sz w:val="18"/>
                <w:szCs w:val="18"/>
                <w:highlight w:val="none"/>
              </w:rPr>
              <w:t xml:space="preserve">指标要求</w:t>
            </w:r>
            <w:r>
              <w:rPr>
                <w:rFonts w:cs="宋体"/>
                <w:color w:val="000000"/>
                <w:sz w:val="18"/>
                <w:szCs w:val="18"/>
                <w:highlight w:val="none"/>
              </w:rPr>
            </w:r>
            <w:r/>
          </w:p>
        </w:tc>
        <w:tc>
          <w:tcPr>
            <w:tcW w:w="815" w:type="dxa"/>
            <w:vAlign w:val="center"/>
            <w:textDirection w:val="lrTb"/>
            <w:noWrap w:val="false"/>
          </w:tcPr>
          <w:p>
            <w:pPr>
              <w:pStyle w:val="785"/>
              <w:ind w:firstLine="0"/>
              <w:jc w:val="center"/>
              <w:rPr>
                <w:rFonts w:cs="宋体"/>
                <w:color w:val="000000"/>
                <w:sz w:val="18"/>
                <w:szCs w:val="18"/>
                <w:highlight w:val="none"/>
              </w:rPr>
            </w:pPr>
            <w:r>
              <w:rPr>
                <w:b/>
                <w:bCs/>
                <w:color w:val="000000"/>
                <w:spacing w:val="-3"/>
                <w:sz w:val="18"/>
                <w:szCs w:val="18"/>
                <w:highlight w:val="none"/>
              </w:rPr>
              <w:t xml:space="preserve">指标使用</w:t>
            </w:r>
            <w:r>
              <w:rPr>
                <w:b/>
                <w:bCs/>
                <w:color w:val="000000"/>
                <w:spacing w:val="-7"/>
                <w:sz w:val="18"/>
                <w:szCs w:val="18"/>
                <w:highlight w:val="none"/>
              </w:rPr>
              <w:t xml:space="preserve">说明</w:t>
            </w:r>
            <w:r>
              <w:rPr>
                <w:rFonts w:cs="宋体"/>
                <w:color w:val="000000"/>
                <w:sz w:val="18"/>
                <w:szCs w:val="18"/>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1</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*CPU</w:t>
            </w:r>
            <w:r>
              <w:rPr>
                <w:color w:val="000000"/>
                <w:spacing w:val="-3"/>
                <w:highlight w:val="none"/>
              </w:rPr>
              <w:t xml:space="preserve">规格</w:t>
            </w: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*CPU</w:t>
            </w:r>
            <w:r>
              <w:rPr>
                <w:color w:val="000000"/>
                <w:spacing w:val="-37"/>
                <w:highlight w:val="none"/>
              </w:rPr>
              <w:t xml:space="preserve"> </w:t>
            </w:r>
            <w:r>
              <w:rPr>
                <w:color w:val="000000"/>
                <w:spacing w:val="-2"/>
                <w:highlight w:val="none"/>
              </w:rPr>
              <w:t xml:space="preserve">信息</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left"/>
              <w:rPr>
                <w:rFonts w:cs="宋体"/>
                <w:color w:val="000000"/>
                <w:highlight w:val="none"/>
              </w:rPr>
            </w:pPr>
            <w:r>
              <w:rPr>
                <w:rFonts w:hint="eastAsia"/>
                <w:color w:val="000000"/>
              </w:rPr>
              <w:t xml:space="preserve">配置2颗海光5380处理器，核心数≥16个物理核/颗，主频≥2.5GHz，末级缓存容量≥32MB，线程数≥32热设计功耗≥130W，内存速率≥3200MHz， 内存通道数≥4通道，位宽≥64位，支持麒麟银河操作系统</w:t>
            </w:r>
            <w:r>
              <w:rPr>
                <w:rFonts w:cs="宋体"/>
                <w:color w:val="000000"/>
                <w:highlight w:val="none"/>
              </w:rPr>
            </w:r>
            <w:r/>
          </w:p>
        </w:tc>
        <w:tc>
          <w:tcPr>
            <w:tcW w:w="815" w:type="dxa"/>
            <w:vAlign w:val="center"/>
            <w:textDirection w:val="lrTb"/>
            <w:noWrap w:val="false"/>
          </w:tcPr>
          <w:p>
            <w:pPr>
              <w:pStyle w:val="785"/>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2</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restart"/>
            <w:textDirection w:val="lrTb"/>
            <w:noWrap w:val="false"/>
          </w:tcPr>
          <w:p>
            <w:pPr>
              <w:pStyle w:val="785"/>
              <w:ind w:firstLine="0"/>
              <w:jc w:val="center"/>
              <w:rPr>
                <w:rFonts w:cs="宋体"/>
                <w:color w:val="000000"/>
                <w:highlight w:val="none"/>
              </w:rPr>
            </w:pPr>
            <w:r>
              <w:rPr>
                <w:color w:val="000000"/>
                <w:spacing w:val="-2"/>
                <w:highlight w:val="none"/>
              </w:rPr>
              <w:t xml:space="preserve">*主板</w:t>
            </w:r>
            <w:r>
              <w:rPr>
                <w:color w:val="000000"/>
                <w:spacing w:val="-3"/>
                <w:highlight w:val="none"/>
              </w:rPr>
              <w:t xml:space="preserve">规格</w:t>
            </w: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*主板支持</w:t>
            </w:r>
            <w:r>
              <w:rPr>
                <w:color w:val="000000"/>
                <w:highlight w:val="none"/>
              </w:rPr>
              <w:t xml:space="preserve">  </w:t>
            </w:r>
            <w:r>
              <w:rPr>
                <w:color w:val="000000"/>
                <w:spacing w:val="-4"/>
                <w:highlight w:val="none"/>
              </w:rPr>
              <w:t xml:space="preserve">的</w:t>
            </w:r>
            <w:r>
              <w:rPr>
                <w:color w:val="000000"/>
                <w:spacing w:val="-45"/>
                <w:highlight w:val="none"/>
              </w:rPr>
              <w:t xml:space="preserve"> </w:t>
            </w:r>
            <w:r>
              <w:rPr>
                <w:color w:val="000000"/>
                <w:spacing w:val="-4"/>
                <w:highlight w:val="none"/>
              </w:rPr>
              <w:t xml:space="preserve">CPU</w:t>
            </w:r>
            <w:r>
              <w:rPr>
                <w:color w:val="000000"/>
                <w:spacing w:val="-45"/>
                <w:highlight w:val="none"/>
              </w:rPr>
              <w:t xml:space="preserve"> </w:t>
            </w:r>
            <w:r>
              <w:rPr>
                <w:color w:val="000000"/>
                <w:spacing w:val="-4"/>
                <w:highlight w:val="none"/>
              </w:rPr>
              <w:t xml:space="preserve">和内</w:t>
            </w:r>
            <w:r>
              <w:rPr>
                <w:color w:val="000000"/>
                <w:spacing w:val="-3"/>
                <w:highlight w:val="none"/>
              </w:rPr>
              <w:t xml:space="preserve">存情况</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left"/>
              <w:rPr>
                <w:rFonts w:cs="宋体"/>
                <w:color w:val="000000"/>
                <w:highlight w:val="none"/>
              </w:rPr>
            </w:pPr>
            <w:r>
              <w:rPr>
                <w:rFonts w:hint="eastAsia"/>
                <w:color w:val="000000"/>
                <w:spacing w:val="2"/>
                <w:highlight w:val="none"/>
              </w:rPr>
              <w:t xml:space="preserve">支持1-2颗</w:t>
            </w:r>
            <w:r>
              <w:rPr>
                <w:rFonts w:hint="eastAsia"/>
                <w:color w:val="000000"/>
                <w:spacing w:val="2"/>
                <w:highlight w:val="none"/>
                <w:lang w:val="en-US" w:eastAsia="zh-CN"/>
              </w:rPr>
              <w:t xml:space="preserve">海光</w:t>
            </w:r>
            <w:r>
              <w:rPr>
                <w:rFonts w:hint="eastAsia"/>
                <w:color w:val="000000"/>
                <w:spacing w:val="2"/>
                <w:highlight w:val="none"/>
              </w:rPr>
              <w:t xml:space="preserve">51xx/52xx/53xx系列、71xx/72强xx/73xx系列处理器，单颗最大支持32核64线程，16个内存插槽，最大扩扩展至2TB内存，支持3200MHZ DDR4 内存，支持RDIMM、LRDIMM、NVDIMM</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3</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*主板内存</w:t>
            </w:r>
            <w:r>
              <w:rPr>
                <w:color w:val="000000"/>
                <w:spacing w:val="1"/>
                <w:highlight w:val="none"/>
              </w:rPr>
              <w:t xml:space="preserve"> </w:t>
            </w:r>
            <w:r>
              <w:rPr>
                <w:color w:val="000000"/>
                <w:spacing w:val="-2"/>
                <w:highlight w:val="none"/>
              </w:rPr>
              <w:t xml:space="preserve">槽数量</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是</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rFonts w:hint="eastAsia"/>
                <w:color w:val="000000"/>
                <w:spacing w:val="-1"/>
                <w:highlight w:val="none"/>
              </w:rPr>
              <w:t xml:space="preserve">≥16</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4</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*主板存储</w:t>
            </w:r>
            <w:r>
              <w:rPr>
                <w:color w:val="000000"/>
                <w:spacing w:val="1"/>
                <w:highlight w:val="none"/>
              </w:rPr>
              <w:t xml:space="preserve"> </w:t>
            </w:r>
            <w:r>
              <w:rPr>
                <w:color w:val="000000"/>
                <w:spacing w:val="-4"/>
                <w:highlight w:val="none"/>
              </w:rPr>
              <w:t xml:space="preserve">接口</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是</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rFonts w:hint="eastAsia"/>
                <w:color w:val="000000"/>
                <w:spacing w:val="-2"/>
                <w:highlight w:val="none"/>
              </w:rPr>
              <w:t xml:space="preserve">支持SATA、SAS等存储接口</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5</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*PCIe</w:t>
            </w:r>
            <w:r>
              <w:rPr>
                <w:color w:val="000000"/>
                <w:spacing w:val="-37"/>
                <w:highlight w:val="none"/>
              </w:rPr>
              <w:t xml:space="preserve"> </w:t>
            </w:r>
            <w:r>
              <w:rPr>
                <w:color w:val="000000"/>
                <w:spacing w:val="-2"/>
                <w:highlight w:val="none"/>
              </w:rPr>
              <w:t xml:space="preserve">插槽</w:t>
            </w:r>
            <w:r>
              <w:rPr>
                <w:color w:val="000000"/>
                <w:highlight w:val="none"/>
              </w:rPr>
              <w:t xml:space="preserve"> </w:t>
            </w:r>
            <w:r>
              <w:rPr>
                <w:color w:val="000000"/>
                <w:spacing w:val="-4"/>
                <w:highlight w:val="none"/>
              </w:rPr>
              <w:t xml:space="preserve">接口</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left"/>
              <w:rPr>
                <w:rFonts w:cs="宋体"/>
                <w:color w:val="000000"/>
                <w:highlight w:val="none"/>
              </w:rPr>
            </w:pPr>
            <w:r>
              <w:rPr>
                <w:color w:val="000000"/>
                <w:spacing w:val="-2"/>
                <w:highlight w:val="none"/>
              </w:rPr>
              <w:t xml:space="preserve">符合</w:t>
            </w:r>
            <w:r>
              <w:rPr>
                <w:color w:val="000000"/>
                <w:spacing w:val="-29"/>
                <w:highlight w:val="none"/>
              </w:rPr>
              <w:t xml:space="preserve"> </w:t>
            </w:r>
            <w:r>
              <w:rPr>
                <w:color w:val="000000"/>
                <w:spacing w:val="-2"/>
                <w:highlight w:val="none"/>
              </w:rPr>
              <w:t xml:space="preserve">PCIe3.0</w:t>
            </w:r>
            <w:r>
              <w:rPr>
                <w:color w:val="000000"/>
                <w:spacing w:val="-33"/>
                <w:highlight w:val="none"/>
              </w:rPr>
              <w:t xml:space="preserve"> </w:t>
            </w:r>
            <w:r>
              <w:rPr>
                <w:color w:val="000000"/>
                <w:spacing w:val="-2"/>
                <w:highlight w:val="none"/>
              </w:rPr>
              <w:t xml:space="preserve">或以上的高速串行计算机扩展总线标准，PCIe</w:t>
            </w:r>
            <w:r>
              <w:rPr>
                <w:color w:val="000000"/>
                <w:spacing w:val="-19"/>
                <w:highlight w:val="none"/>
              </w:rPr>
              <w:t xml:space="preserve"> </w:t>
            </w:r>
            <w:r>
              <w:rPr>
                <w:color w:val="000000"/>
                <w:spacing w:val="-2"/>
                <w:highlight w:val="none"/>
              </w:rPr>
              <w:t xml:space="preserve">的接口速</w:t>
            </w:r>
            <w:r>
              <w:rPr>
                <w:color w:val="000000"/>
                <w:spacing w:val="-1"/>
                <w:highlight w:val="none"/>
              </w:rPr>
              <w:t xml:space="preserve">率与位宽需保证向下兼容</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6</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*主板</w:t>
            </w:r>
            <w:r>
              <w:rPr>
                <w:color w:val="000000"/>
                <w:spacing w:val="-35"/>
                <w:highlight w:val="none"/>
              </w:rPr>
              <w:t xml:space="preserve"> </w:t>
            </w:r>
            <w:r>
              <w:rPr>
                <w:color w:val="000000"/>
                <w:spacing w:val="-2"/>
                <w:highlight w:val="none"/>
              </w:rPr>
              <w:t xml:space="preserve">PCIe</w:t>
            </w:r>
            <w:r>
              <w:rPr>
                <w:color w:val="000000"/>
                <w:highlight w:val="none"/>
              </w:rPr>
              <w:t xml:space="preserve"> </w:t>
            </w:r>
            <w:r>
              <w:rPr>
                <w:color w:val="000000"/>
                <w:spacing w:val="-2"/>
                <w:highlight w:val="none"/>
              </w:rPr>
              <w:t xml:space="preserve">插槽数量</w:t>
            </w:r>
            <w:r>
              <w:rPr>
                <w:color w:val="000000"/>
                <w:spacing w:val="-3"/>
                <w:highlight w:val="none"/>
              </w:rPr>
              <w:t xml:space="preserve">及规格</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是</w:t>
            </w:r>
            <w:r>
              <w:rPr>
                <w:rFonts w:cs="宋体"/>
                <w:color w:val="000000"/>
                <w:highlight w:val="none"/>
              </w:rPr>
            </w:r>
            <w:r/>
          </w:p>
        </w:tc>
        <w:tc>
          <w:tcPr>
            <w:tcW w:w="3017" w:type="dxa"/>
            <w:vAlign w:val="center"/>
            <w:textDirection w:val="lrTb"/>
            <w:noWrap w:val="false"/>
          </w:tcPr>
          <w:p>
            <w:pPr>
              <w:pStyle w:val="670"/>
              <w:jc w:val="left"/>
              <w:rPr>
                <w:color w:val="000000"/>
                <w:highlight w:val="none"/>
              </w:rPr>
            </w:pPr>
            <w:r>
              <w:rPr>
                <w:rFonts w:hint="eastAsia"/>
                <w:color w:val="000000"/>
                <w:highlight w:val="none"/>
              </w:rPr>
              <w:t xml:space="preserve">a）</w:t>
            </w:r>
            <w:r>
              <w:rPr>
                <w:color w:val="000000"/>
                <w:highlight w:val="none"/>
              </w:rPr>
              <w:t xml:space="preserve">高度大于44.45mm 双路或以上服务器PCIe 插槽或接口应不少5个；</w:t>
            </w:r>
            <w:r>
              <w:rPr>
                <w:color w:val="000000"/>
                <w:highlight w:val="none"/>
              </w:rPr>
            </w:r>
            <w:r/>
          </w:p>
          <w:p>
            <w:pPr>
              <w:pStyle w:val="670"/>
              <w:jc w:val="left"/>
              <w:rPr>
                <w:rFonts w:cs="宋体"/>
                <w:color w:val="000000"/>
                <w:highlight w:val="none"/>
              </w:rPr>
            </w:pPr>
            <w:r>
              <w:rPr>
                <w:rFonts w:hint="eastAsia"/>
                <w:color w:val="000000"/>
                <w:highlight w:val="none"/>
              </w:rPr>
              <w:t xml:space="preserve">b）</w:t>
            </w:r>
            <w:r>
              <w:rPr>
                <w:color w:val="000000"/>
                <w:highlight w:val="none"/>
              </w:rPr>
              <w:t xml:space="preserve">单路服务器 PCIe 插槽或接口应不少4 个，可通过扩展卡进行插槽扩展</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7</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特殊孔位</w:t>
            </w:r>
            <w:r>
              <w:rPr>
                <w:color w:val="000000"/>
                <w:spacing w:val="-3"/>
                <w:highlight w:val="none"/>
              </w:rPr>
              <w:t xml:space="preserve">及接口</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670"/>
              <w:rPr>
                <w:color w:val="000000"/>
                <w:highlight w:val="none"/>
              </w:rPr>
            </w:pPr>
            <w:r>
              <w:rPr>
                <w:color w:val="000000"/>
                <w:highlight w:val="none"/>
              </w:rPr>
              <w:t xml:space="preserve">a)服务器机箱内主板可根据用户实际使用需求支持安装多功能导入装 置板卡，机箱内需预留多功能导入装置板卡安装位置，容量不小于</w:t>
            </w:r>
            <w:r>
              <w:rPr>
                <w:color w:val="000000"/>
                <w:highlight w:val="none"/>
              </w:rPr>
            </w:r>
            <w:r/>
          </w:p>
          <w:p>
            <w:pPr>
              <w:pStyle w:val="670"/>
              <w:rPr>
                <w:color w:val="000000"/>
                <w:highlight w:val="none"/>
              </w:rPr>
            </w:pPr>
            <w:r>
              <w:rPr>
                <w:color w:val="000000"/>
                <w:highlight w:val="none"/>
              </w:rPr>
              <w:t xml:space="preserve">55mm×45mm×15mm（长×宽×高，单位毫米）；</w:t>
            </w:r>
            <w:r>
              <w:rPr>
                <w:color w:val="000000"/>
                <w:highlight w:val="none"/>
              </w:rPr>
            </w:r>
            <w:r/>
          </w:p>
          <w:p>
            <w:pPr>
              <w:pStyle w:val="670"/>
              <w:rPr>
                <w:color w:val="000000"/>
                <w:highlight w:val="none"/>
              </w:rPr>
            </w:pPr>
            <w:r>
              <w:rPr>
                <w:color w:val="000000"/>
                <w:highlight w:val="none"/>
              </w:rPr>
              <w:t xml:space="preserve">b)服务器主板可根据用户实际使用需求预留满足USB2.0 或USB3.0 数据传输规范的接口，工作电压5V，采用 USB2.0时，最大过电流应不小于 0.5A，采用 USB3.0时，最大过电 流应不小于1A</w:t>
            </w:r>
            <w:r>
              <w:rPr>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8</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板载网络</w:t>
            </w:r>
            <w:r>
              <w:rPr>
                <w:color w:val="000000"/>
                <w:spacing w:val="-4"/>
                <w:highlight w:val="none"/>
              </w:rPr>
              <w:t xml:space="preserve">接口</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rFonts w:hint="eastAsia"/>
                <w:color w:val="000000"/>
                <w:spacing w:val="-3"/>
                <w:highlight w:val="none"/>
              </w:rPr>
              <w:t xml:space="preserve">≥2个 1GE 网口</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highlight w:val="none"/>
              </w:rPr>
              <w:t xml:space="preserve">9</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4"/>
                <w:highlight w:val="none"/>
              </w:rPr>
              <w:t xml:space="preserve">主板OCP插</w:t>
            </w:r>
            <w:r>
              <w:rPr>
                <w:color w:val="000000"/>
                <w:spacing w:val="-2"/>
                <w:highlight w:val="none"/>
              </w:rPr>
              <w:t xml:space="preserve">槽数量</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支持</w:t>
            </w:r>
            <w:r>
              <w:rPr>
                <w:color w:val="000000"/>
                <w:spacing w:val="-40"/>
                <w:highlight w:val="none"/>
              </w:rPr>
              <w:t xml:space="preserve"> </w:t>
            </w:r>
            <w:r>
              <w:rPr>
                <w:color w:val="000000"/>
                <w:spacing w:val="-2"/>
                <w:highlight w:val="none"/>
              </w:rPr>
              <w:t xml:space="preserve">OCP2.0</w:t>
            </w:r>
            <w:r>
              <w:rPr>
                <w:color w:val="000000"/>
                <w:spacing w:val="-49"/>
                <w:highlight w:val="none"/>
              </w:rPr>
              <w:t xml:space="preserve"> </w:t>
            </w:r>
            <w:r>
              <w:rPr>
                <w:color w:val="000000"/>
                <w:spacing w:val="-2"/>
                <w:highlight w:val="none"/>
              </w:rPr>
              <w:t xml:space="preserve">及以上插槽的数量不少</w:t>
            </w:r>
            <w:r>
              <w:rPr>
                <w:color w:val="000000"/>
                <w:spacing w:val="-8"/>
                <w:highlight w:val="none"/>
              </w:rPr>
              <w:t xml:space="preserve">于</w:t>
            </w:r>
            <w:r>
              <w:rPr>
                <w:color w:val="000000"/>
                <w:spacing w:val="-29"/>
                <w:highlight w:val="none"/>
              </w:rPr>
              <w:t xml:space="preserve"> </w:t>
            </w:r>
            <w:r>
              <w:rPr>
                <w:color w:val="000000"/>
                <w:spacing w:val="-8"/>
                <w:highlight w:val="none"/>
              </w:rPr>
              <w:t xml:space="preserve">1个</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10</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restart"/>
            <w:textDirection w:val="lrTb"/>
            <w:noWrap w:val="false"/>
          </w:tcPr>
          <w:p>
            <w:pPr>
              <w:pStyle w:val="785"/>
              <w:ind w:firstLine="0"/>
              <w:jc w:val="center"/>
              <w:rPr>
                <w:rFonts w:cs="宋体"/>
                <w:color w:val="000000"/>
                <w:highlight w:val="none"/>
              </w:rPr>
            </w:pPr>
            <w:r>
              <w:rPr>
                <w:color w:val="000000"/>
                <w:spacing w:val="-1"/>
                <w:highlight w:val="none"/>
              </w:rPr>
              <w:t xml:space="preserve">*内存</w:t>
            </w:r>
            <w:r>
              <w:rPr>
                <w:color w:val="000000"/>
                <w:spacing w:val="-3"/>
                <w:highlight w:val="none"/>
              </w:rPr>
              <w:t xml:space="preserve">规格</w:t>
            </w: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*内存数量</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color w:val="000000"/>
                <w:spacing w:val="-13"/>
                <w:highlight w:val="none"/>
              </w:rPr>
              <w:t xml:space="preserve">≥</w:t>
            </w:r>
            <w:r>
              <w:rPr>
                <w:rFonts w:hint="eastAsia"/>
                <w:color w:val="000000"/>
                <w:spacing w:val="-13"/>
                <w:highlight w:val="none"/>
              </w:rPr>
              <w:t xml:space="preserve">10</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11</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*内存规格</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color w:val="000000"/>
                <w:spacing w:val="-6"/>
                <w:highlight w:val="none"/>
              </w:rPr>
              <w:t xml:space="preserve">≥DDR4</w:t>
            </w:r>
            <w:r>
              <w:rPr>
                <w:rFonts w:cs="宋体"/>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12</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*内存通道</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是</w:t>
            </w:r>
            <w:r>
              <w:rPr>
                <w:rFonts w:cs="宋体"/>
                <w:color w:val="000000"/>
                <w:highlight w:val="none"/>
              </w:rPr>
            </w:r>
            <w:r/>
          </w:p>
        </w:tc>
        <w:tc>
          <w:tcPr>
            <w:tcW w:w="3017" w:type="dxa"/>
            <w:vAlign w:val="center"/>
            <w:textDirection w:val="lrTb"/>
            <w:noWrap w:val="false"/>
          </w:tcPr>
          <w:p>
            <w:pPr>
              <w:pStyle w:val="785"/>
              <w:ind w:firstLine="0"/>
              <w:rPr>
                <w:rFonts w:cs="宋体"/>
                <w:color w:val="000000"/>
                <w:highlight w:val="none"/>
              </w:rPr>
            </w:pPr>
            <w:r>
              <w:rPr>
                <w:color w:val="000000"/>
                <w:highlight w:val="none"/>
              </w:rPr>
              <w:t xml:space="preserve">支持多个内存接口通道，每个通道可支持 1DPC 或 2DPC，当支持 2DPC 时，印制电路板上应具备插槽的序号标识，具体通道数应</w:t>
            </w:r>
            <w:r>
              <w:rPr>
                <w:rFonts w:hint="eastAsia"/>
                <w:color w:val="000000"/>
                <w:highlight w:val="none"/>
              </w:rPr>
              <w:t xml:space="preserve">≥16</w:t>
            </w:r>
            <w:r>
              <w:rPr>
                <w:rFonts w:cs="宋体"/>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13</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restart"/>
            <w:textDirection w:val="lrTb"/>
            <w:noWrap w:val="false"/>
          </w:tcPr>
          <w:p>
            <w:pPr>
              <w:pStyle w:val="785"/>
              <w:ind w:firstLine="0"/>
              <w:jc w:val="center"/>
              <w:rPr>
                <w:rFonts w:cs="宋体"/>
                <w:color w:val="000000"/>
                <w:highlight w:val="none"/>
              </w:rPr>
            </w:pPr>
            <w:r>
              <w:rPr>
                <w:color w:val="000000"/>
                <w:spacing w:val="-1"/>
                <w:highlight w:val="none"/>
              </w:rPr>
              <w:t xml:space="preserve">*存储</w:t>
            </w:r>
            <w:r>
              <w:rPr>
                <w:color w:val="000000"/>
                <w:spacing w:val="-3"/>
                <w:highlight w:val="none"/>
              </w:rPr>
              <w:t xml:space="preserve">规格</w:t>
            </w: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硬盘类型</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rFonts w:hint="eastAsia"/>
                <w:color w:val="000000"/>
                <w:spacing w:val="-1"/>
                <w:highlight w:val="none"/>
              </w:rPr>
              <w:t xml:space="preserve">SATA</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14</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*硬磁盘实</w:t>
            </w:r>
            <w:r>
              <w:rPr>
                <w:color w:val="000000"/>
                <w:spacing w:val="1"/>
                <w:highlight w:val="none"/>
              </w:rPr>
              <w:t xml:space="preserve"> </w:t>
            </w:r>
            <w:r>
              <w:rPr>
                <w:color w:val="000000"/>
                <w:spacing w:val="-3"/>
                <w:highlight w:val="none"/>
              </w:rPr>
              <w:t xml:space="preserve">配容量</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是</w:t>
            </w:r>
            <w:r>
              <w:rPr>
                <w:rFonts w:cs="宋体"/>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≥2 * 480GB SSD，</w:t>
            </w:r>
            <w:r>
              <w:rPr>
                <w:color w:val="000000"/>
                <w:highlight w:val="none"/>
              </w:rPr>
            </w:r>
            <w:r/>
          </w:p>
          <w:p>
            <w:pPr>
              <w:pStyle w:val="670"/>
              <w:jc w:val="center"/>
              <w:rPr>
                <w:color w:val="000000"/>
                <w:highlight w:val="none"/>
              </w:rPr>
            </w:pPr>
            <w:r>
              <w:rPr>
                <w:rFonts w:hint="eastAsia"/>
                <w:color w:val="000000"/>
                <w:highlight w:val="none"/>
              </w:rPr>
              <w:t xml:space="preserve">≥3 * 1.92TB SSD，</w:t>
            </w:r>
            <w:r>
              <w:rPr>
                <w:color w:val="000000"/>
                <w:highlight w:val="none"/>
              </w:rPr>
            </w:r>
            <w:r/>
          </w:p>
          <w:p>
            <w:pPr>
              <w:pStyle w:val="670"/>
              <w:jc w:val="center"/>
              <w:rPr>
                <w:rFonts w:cs="宋体"/>
                <w:color w:val="000000"/>
                <w:highlight w:val="none"/>
              </w:rPr>
            </w:pPr>
            <w:r>
              <w:rPr>
                <w:rFonts w:hint="eastAsia"/>
                <w:color w:val="000000"/>
                <w:highlight w:val="none"/>
              </w:rPr>
              <w:t xml:space="preserve">≥4 * 4TB HDD。</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15</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硬盘接口</w:t>
            </w:r>
            <w:r>
              <w:rPr>
                <w:color w:val="000000"/>
                <w:spacing w:val="1"/>
                <w:highlight w:val="none"/>
              </w:rPr>
              <w:t xml:space="preserve"> </w:t>
            </w:r>
            <w:r>
              <w:rPr>
                <w:color w:val="000000"/>
                <w:spacing w:val="-7"/>
                <w:highlight w:val="none"/>
              </w:rPr>
              <w:t xml:space="preserve">类型</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rFonts w:hint="eastAsia"/>
                <w:color w:val="000000"/>
                <w:spacing w:val="-1"/>
                <w:highlight w:val="none"/>
              </w:rPr>
              <w:t xml:space="preserve">支持SATA</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16</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*硬盘实配</w:t>
            </w:r>
            <w:r>
              <w:rPr>
                <w:color w:val="000000"/>
                <w:spacing w:val="1"/>
                <w:highlight w:val="none"/>
              </w:rPr>
              <w:t xml:space="preserve"> </w:t>
            </w:r>
            <w:r>
              <w:rPr>
                <w:color w:val="000000"/>
                <w:spacing w:val="-4"/>
                <w:highlight w:val="none"/>
              </w:rPr>
              <w:t xml:space="preserve">数量</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rFonts w:hint="eastAsia"/>
                <w:color w:val="000000"/>
                <w:spacing w:val="-1"/>
                <w:highlight w:val="none"/>
              </w:rPr>
              <w:t xml:space="preserve">≥9</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17</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1"/>
                <w:highlight w:val="none"/>
              </w:rPr>
              <w:t xml:space="preserve">*硬盘插槽</w:t>
            </w:r>
            <w:r>
              <w:rPr>
                <w:color w:val="000000"/>
                <w:spacing w:val="1"/>
                <w:highlight w:val="none"/>
              </w:rPr>
              <w:t xml:space="preserve"> </w:t>
            </w:r>
            <w:r>
              <w:rPr>
                <w:color w:val="000000"/>
                <w:spacing w:val="-2"/>
                <w:highlight w:val="none"/>
              </w:rPr>
              <w:t xml:space="preserve">数量及规</w:t>
            </w:r>
            <w:r>
              <w:rPr>
                <w:color w:val="000000"/>
                <w:highlight w:val="none"/>
              </w:rPr>
              <w:t xml:space="preserve">  格</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785"/>
              <w:ind w:firstLine="0"/>
              <w:jc w:val="left"/>
              <w:rPr>
                <w:color w:val="000000"/>
                <w:spacing w:val="-1"/>
                <w:highlight w:val="none"/>
              </w:rPr>
            </w:pPr>
            <w:r>
              <w:rPr>
                <w:rFonts w:hint="eastAsia"/>
                <w:color w:val="000000"/>
                <w:spacing w:val="-1"/>
                <w:highlight w:val="none"/>
              </w:rPr>
              <w:t xml:space="preserve">前置支持8/12个3.5寸或者24个2.5寸硬盘，后置可选支持2块2.5寸SATA/SAS 硬盘模组，内置支持1块NVME M.2 SSD</w:t>
            </w:r>
            <w:r>
              <w:rPr>
                <w:color w:val="000000"/>
                <w:spacing w:val="-1"/>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18</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vMerge w:val="continue"/>
            <w:textDirection w:val="lrTb"/>
            <w:noWrap w:val="false"/>
          </w:tcPr>
          <w:p>
            <w:pPr>
              <w:pStyle w:val="785"/>
              <w:ind w:firstLine="0"/>
              <w:jc w:val="center"/>
              <w:rPr>
                <w:rFonts w:cs="宋体"/>
                <w:color w:val="000000"/>
                <w:highlight w:val="none"/>
              </w:rPr>
            </w:pP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硬盘其他</w:t>
            </w:r>
            <w:r>
              <w:rPr>
                <w:color w:val="000000"/>
                <w:spacing w:val="1"/>
                <w:highlight w:val="none"/>
              </w:rPr>
              <w:t xml:space="preserve"> </w:t>
            </w:r>
            <w:r>
              <w:rPr>
                <w:color w:val="000000"/>
                <w:spacing w:val="-2"/>
                <w:highlight w:val="none"/>
              </w:rPr>
              <w:t xml:space="preserve">参数要求</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否</w:t>
            </w:r>
            <w:r>
              <w:rPr>
                <w:rFonts w:cs="宋体"/>
                <w:color w:val="000000"/>
                <w:highlight w:val="none"/>
              </w:rPr>
            </w:r>
            <w:r/>
          </w:p>
        </w:tc>
        <w:tc>
          <w:tcPr>
            <w:tcW w:w="3017" w:type="dxa"/>
            <w:vAlign w:val="center"/>
            <w:textDirection w:val="lrTb"/>
            <w:noWrap w:val="false"/>
          </w:tcPr>
          <w:p>
            <w:pPr>
              <w:pStyle w:val="670"/>
              <w:rPr>
                <w:color w:val="000000"/>
                <w:highlight w:val="none"/>
              </w:rPr>
            </w:pPr>
            <w:r>
              <w:rPr>
                <w:color w:val="000000"/>
                <w:highlight w:val="none"/>
              </w:rPr>
              <w:t xml:space="preserve">a)机械硬盘准备时间应不大于30s； 侧面固定螺丝孔数量可为4孔或 6 孔；工作状态环境温度应满足5℃</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61595</wp:posOffset>
                      </wp:positionH>
                      <wp:positionV relativeFrom="paragraph">
                        <wp:posOffset>6985</wp:posOffset>
                      </wp:positionV>
                      <wp:extent cx="76835" cy="482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835" cy="48260"/>
                              </a:xfrm>
                              <a:prstGeom prst="rect">
                                <a:avLst/>
                              </a:prstGeom>
                              <a:noFill/>
                              <a:ln>
                                <a:noFill/>
                              </a:ln>
                            </wps:spPr>
                            <wps:txbx>
                              <w:txbxContent>
                                <w:p>
                                  <w:pPr>
                                    <w:pStyle w:val="786"/>
                                    <w:ind w:left="20"/>
                                    <w:spacing w:before="20" w:line="35" w:lineRule="exact"/>
                                  </w:pPr>
                                  <w:r>
                                    <w:rPr>
                                      <w:position w:val="-13"/>
                                    </w:rPr>
                                    <w:t xml:space="preserve">~</w:t>
                                  </w:r>
                                  <w:r/>
                                </w:p>
                                <w:p>
                                  <w:pPr>
                                    <w:pStyle w:val="67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text;margin-left:4.8pt;mso-position-horizontal:absolute;mso-position-vertical-relative:text;margin-top:0.5pt;mso-position-vertical:absolute;width:6.0pt;height:3.8pt;mso-wrap-distance-left:9.0pt;mso-wrap-distance-top:0.0pt;mso-wrap-distance-right:9.0pt;mso-wrap-distance-bottom:0.0pt;visibility:visible;" filled="f" stroked="f">
                      <v:textbox inset="0,0,0,0">
                        <w:txbxContent>
                          <w:p>
                            <w:pPr>
                              <w:pStyle w:val="786"/>
                              <w:ind w:left="20"/>
                              <w:spacing w:before="20" w:line="35" w:lineRule="exact"/>
                            </w:pPr>
                            <w:r>
                              <w:rPr>
                                <w:position w:val="-13"/>
                              </w:rPr>
                              <w:t xml:space="preserve">~</w:t>
                            </w:r>
                            <w:r/>
                          </w:p>
                          <w:p>
                            <w:pPr>
                              <w:pStyle w:val="670"/>
                            </w:pPr>
                            <w:r/>
                            <w:r/>
                          </w:p>
                        </w:txbxContent>
                      </v:textbox>
                    </v:shape>
                  </w:pict>
                </mc:Fallback>
              </mc:AlternateContent>
            </w:r>
            <w:r>
              <w:rPr>
                <w:rFonts w:hint="eastAsia"/>
                <w:color w:val="000000"/>
                <w:highlight w:val="none"/>
              </w:rPr>
              <w:t xml:space="preserve">-</w:t>
            </w:r>
            <w:r>
              <w:rPr>
                <w:color w:val="000000"/>
                <w:highlight w:val="none"/>
              </w:rPr>
              <w:t xml:space="preserve">55℃ , 其它参数应符合GB/T 12628 的相关规定；</w:t>
            </w:r>
            <w:r>
              <w:rPr>
                <w:color w:val="000000"/>
                <w:highlight w:val="none"/>
              </w:rPr>
            </w:r>
            <w:r/>
          </w:p>
          <w:p>
            <w:pPr>
              <w:pStyle w:val="670"/>
              <w:rPr>
                <w:rFonts w:cs="宋体"/>
                <w:color w:val="000000"/>
                <w:highlight w:val="none"/>
              </w:rPr>
            </w:pPr>
            <w:r>
              <w:rPr>
                <w:color w:val="000000"/>
                <w:highlight w:val="none"/>
              </w:rPr>
              <w:t xml:space="preserve">b)若服务器支持固态盘，固态盘符合 SJ/T 11654 相关规定</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785"/>
              <w:ind w:firstLine="0"/>
              <w:jc w:val="center"/>
              <w:rPr>
                <w:rFonts w:cs="宋体"/>
                <w:color w:val="000000"/>
                <w:highlight w:val="none"/>
              </w:rPr>
            </w:pPr>
            <w:r>
              <w:rPr>
                <w:color w:val="000000"/>
                <w:spacing w:val="-9"/>
                <w:highlight w:val="none"/>
              </w:rPr>
              <w:t xml:space="preserve">19</w:t>
            </w:r>
            <w:r>
              <w:rPr>
                <w:rFonts w:cs="宋体"/>
                <w:color w:val="000000"/>
                <w:highlight w:val="none"/>
              </w:rPr>
            </w:r>
            <w:r/>
          </w:p>
        </w:tc>
        <w:tc>
          <w:tcPr>
            <w:tcW w:w="116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产品规格</w:t>
            </w:r>
            <w:r>
              <w:rPr>
                <w:rFonts w:cs="宋体"/>
                <w:color w:val="000000"/>
                <w:highlight w:val="none"/>
              </w:rPr>
            </w:r>
            <w:r/>
          </w:p>
        </w:tc>
        <w:tc>
          <w:tcPr>
            <w:tcW w:w="1117" w:type="dxa"/>
            <w:vAlign w:val="center"/>
            <w:textDirection w:val="lrTb"/>
            <w:noWrap w:val="false"/>
          </w:tcPr>
          <w:p>
            <w:pPr>
              <w:pStyle w:val="785"/>
              <w:ind w:firstLine="0"/>
              <w:jc w:val="center"/>
              <w:rPr>
                <w:rFonts w:cs="宋体"/>
                <w:color w:val="000000"/>
                <w:highlight w:val="none"/>
              </w:rPr>
            </w:pPr>
            <w:r>
              <w:rPr>
                <w:color w:val="000000"/>
                <w:spacing w:val="-2"/>
                <w:highlight w:val="none"/>
              </w:rPr>
              <w:t xml:space="preserve">RAID</w:t>
            </w:r>
            <w:r>
              <w:rPr>
                <w:color w:val="000000"/>
                <w:highlight w:val="none"/>
              </w:rPr>
              <w:t xml:space="preserve"> </w:t>
            </w:r>
            <w:r>
              <w:rPr>
                <w:color w:val="000000"/>
                <w:spacing w:val="-5"/>
                <w:highlight w:val="none"/>
              </w:rPr>
              <w:t xml:space="preserve">卡规定（若支持</w:t>
            </w:r>
            <w:r>
              <w:rPr>
                <w:rFonts w:hint="eastAsia"/>
                <w:color w:val="000000"/>
                <w:spacing w:val="-5"/>
                <w:highlight w:val="none"/>
              </w:rPr>
              <w:t xml:space="preserve">RAID卡</w:t>
            </w:r>
            <w:r>
              <w:rPr>
                <w:color w:val="000000"/>
                <w:spacing w:val="-5"/>
                <w:highlight w:val="none"/>
              </w:rPr>
              <w:t xml:space="preserve">）</w:t>
            </w:r>
            <w:r>
              <w:rPr>
                <w:rFonts w:cs="宋体"/>
                <w:color w:val="000000"/>
                <w:highlight w:val="none"/>
              </w:rPr>
            </w:r>
            <w:r/>
          </w:p>
        </w:tc>
        <w:tc>
          <w:tcPr>
            <w:tcW w:w="1383" w:type="dxa"/>
            <w:vAlign w:val="center"/>
            <w:textDirection w:val="lrTb"/>
            <w:noWrap w:val="false"/>
          </w:tcPr>
          <w:p>
            <w:pPr>
              <w:pStyle w:val="785"/>
              <w:ind w:firstLine="0"/>
              <w:jc w:val="center"/>
              <w:rPr>
                <w:rFonts w:cs="宋体"/>
                <w:color w:val="000000"/>
                <w:highlight w:val="none"/>
              </w:rPr>
            </w:pPr>
            <w:r>
              <w:rPr>
                <w:color w:val="000000"/>
                <w:spacing w:val="-3"/>
                <w:highlight w:val="none"/>
              </w:rPr>
              <w:t xml:space="preserve">RAID</w:t>
            </w:r>
            <w:r>
              <w:rPr>
                <w:color w:val="000000"/>
                <w:spacing w:val="-35"/>
                <w:highlight w:val="none"/>
              </w:rPr>
              <w:t xml:space="preserve"> </w:t>
            </w:r>
            <w:r>
              <w:rPr>
                <w:color w:val="000000"/>
                <w:spacing w:val="-3"/>
                <w:highlight w:val="none"/>
              </w:rPr>
              <w:t xml:space="preserve">卡支</w:t>
            </w:r>
            <w:r>
              <w:rPr>
                <w:color w:val="000000"/>
                <w:highlight w:val="none"/>
              </w:rPr>
              <w:t xml:space="preserve"> </w:t>
            </w:r>
            <w:r>
              <w:rPr>
                <w:color w:val="000000"/>
                <w:spacing w:val="-3"/>
                <w:highlight w:val="none"/>
              </w:rPr>
              <w:t xml:space="preserve">持的</w:t>
            </w:r>
            <w:r>
              <w:rPr>
                <w:color w:val="000000"/>
                <w:spacing w:val="-37"/>
                <w:highlight w:val="none"/>
              </w:rPr>
              <w:t xml:space="preserve"> </w:t>
            </w:r>
            <w:r>
              <w:rPr>
                <w:color w:val="000000"/>
                <w:spacing w:val="-3"/>
                <w:highlight w:val="none"/>
              </w:rPr>
              <w:t xml:space="preserve">SAS接口数</w:t>
            </w:r>
            <w:r>
              <w:rPr>
                <w:rFonts w:cs="宋体"/>
                <w:color w:val="000000"/>
                <w:highlight w:val="none"/>
              </w:rPr>
            </w:r>
            <w:r/>
          </w:p>
        </w:tc>
        <w:tc>
          <w:tcPr>
            <w:tcW w:w="1133" w:type="dxa"/>
            <w:vAlign w:val="center"/>
            <w:textDirection w:val="lrTb"/>
            <w:noWrap w:val="false"/>
          </w:tcPr>
          <w:p>
            <w:pPr>
              <w:pStyle w:val="785"/>
              <w:ind w:firstLine="0"/>
              <w:jc w:val="center"/>
              <w:rPr>
                <w:rFonts w:cs="宋体"/>
                <w:color w:val="000000"/>
                <w:highlight w:val="none"/>
              </w:rPr>
            </w:pPr>
            <w:r>
              <w:rPr>
                <w:color w:val="000000"/>
                <w:highlight w:val="none"/>
              </w:rPr>
              <w:t xml:space="preserve">是</w:t>
            </w:r>
            <w:r>
              <w:rPr>
                <w:rFonts w:cs="宋体"/>
                <w:color w:val="000000"/>
                <w:highlight w:val="none"/>
              </w:rPr>
            </w:r>
            <w:r/>
          </w:p>
        </w:tc>
        <w:tc>
          <w:tcPr>
            <w:tcW w:w="3017" w:type="dxa"/>
            <w:vAlign w:val="center"/>
            <w:textDirection w:val="lrTb"/>
            <w:noWrap w:val="false"/>
          </w:tcPr>
          <w:p>
            <w:pPr>
              <w:pStyle w:val="785"/>
              <w:ind w:firstLine="0"/>
              <w:jc w:val="center"/>
              <w:rPr>
                <w:rFonts w:cs="宋体"/>
                <w:color w:val="000000"/>
                <w:highlight w:val="none"/>
              </w:rPr>
            </w:pPr>
            <w:r>
              <w:rPr>
                <w:color w:val="000000"/>
                <w:spacing w:val="-13"/>
                <w:highlight w:val="none"/>
              </w:rPr>
              <w:t xml:space="preserve">≥8</w:t>
            </w:r>
            <w:r>
              <w:rPr>
                <w:rFonts w:cs="宋体"/>
                <w:color w:val="000000"/>
                <w:highlight w:val="none"/>
              </w:rPr>
            </w:r>
            <w:r/>
          </w:p>
        </w:tc>
        <w:tc>
          <w:tcPr>
            <w:tcW w:w="815" w:type="dxa"/>
            <w:vAlign w:val="center"/>
            <w:textDirection w:val="lrTb"/>
            <w:noWrap w:val="false"/>
          </w:tcPr>
          <w:p>
            <w:pPr>
              <w:pStyle w:val="785"/>
              <w:ind w:firstLine="0"/>
              <w:jc w:val="center"/>
              <w:rPr>
                <w:rFonts w:cs="宋体"/>
                <w:color w:val="000000"/>
                <w:highlight w:val="none"/>
              </w:rPr>
            </w:pPr>
            <w:r>
              <w:rPr>
                <w:color w:val="000000"/>
                <w:highlight w:val="none"/>
              </w:rPr>
              <w:t xml:space="preserve">/</w:t>
            </w:r>
            <w:r>
              <w:rPr>
                <w:rFonts w:cs="宋体"/>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SAS直通卡规格</w:t>
            </w:r>
            <w:r>
              <w:rPr>
                <w:color w:val="000000"/>
                <w:highlight w:val="none"/>
              </w:rPr>
            </w:r>
            <w:r/>
          </w:p>
          <w:p>
            <w:pPr>
              <w:pStyle w:val="670"/>
              <w:jc w:val="center"/>
              <w:rPr>
                <w:color w:val="000000"/>
                <w:highlight w:val="none"/>
              </w:rPr>
            </w:pPr>
            <w:r>
              <w:rPr>
                <w:color w:val="000000"/>
                <w:highlight w:val="none"/>
              </w:rPr>
              <w:t xml:space="preserve">(若支持 SAS直通</w:t>
            </w:r>
            <w:r>
              <w:rPr>
                <w:color w:val="000000"/>
                <w:highlight w:val="none"/>
              </w:rPr>
            </w:r>
            <w:r/>
          </w:p>
          <w:p>
            <w:pPr>
              <w:pStyle w:val="670"/>
              <w:jc w:val="center"/>
              <w:rPr>
                <w:color w:val="000000"/>
                <w:highlight w:val="none"/>
              </w:rPr>
            </w:pPr>
            <w:r>
              <w:rPr>
                <w:color w:val="000000"/>
                <w:highlight w:val="none"/>
              </w:rPr>
              <w:t xml:space="preserve">卡)</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SAS 直通 卡 SAS 接 口数量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w:t>
            </w:r>
            <w:r>
              <w:rPr>
                <w:rFonts w:hint="eastAsia"/>
                <w:color w:val="000000"/>
                <w:highlight w:val="none"/>
              </w:rPr>
              <w:t xml:space="preserve">8</w:t>
            </w:r>
            <w:r>
              <w:rPr>
                <w:color w:val="000000"/>
                <w:highlight w:val="none"/>
              </w:rPr>
            </w:r>
            <w:r/>
          </w:p>
        </w:tc>
        <w:tc>
          <w:tcPr>
            <w:tcW w:w="815" w:type="dxa"/>
            <w:vAlign w:val="top"/>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textDirection w:val="lrTb"/>
            <w:noWrap w:val="false"/>
          </w:tcPr>
          <w:p>
            <w:pPr>
              <w:pStyle w:val="670"/>
              <w:jc w:val="left"/>
              <w:rPr>
                <w:color w:val="000000"/>
                <w:highlight w:val="none"/>
              </w:rPr>
            </w:pPr>
            <w:r>
              <w:rPr>
                <w:color w:val="000000"/>
                <w:highlight w:val="none"/>
              </w:rPr>
              <w:t xml:space="preserve">HBA 卡</w:t>
            </w:r>
            <w:r>
              <w:rPr>
                <w:color w:val="000000"/>
                <w:highlight w:val="none"/>
              </w:rPr>
            </w:r>
            <w:r/>
          </w:p>
          <w:p>
            <w:pPr>
              <w:pStyle w:val="670"/>
              <w:jc w:val="left"/>
              <w:rPr>
                <w:color w:val="000000"/>
                <w:highlight w:val="none"/>
              </w:rPr>
            </w:pPr>
            <w:r>
              <w:rPr>
                <w:color w:val="000000"/>
                <w:highlight w:val="none"/>
              </w:rPr>
              <w:t xml:space="preserve">规格(若支持 HBA直通卡)</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HBA卡端 </w:t>
            </w:r>
            <w:r>
              <w:rPr>
                <w:color w:val="000000"/>
                <w:highlight w:val="none"/>
              </w:rPr>
            </w:r>
            <w:r/>
          </w:p>
          <w:p>
            <w:pPr>
              <w:pStyle w:val="670"/>
              <w:jc w:val="center"/>
              <w:rPr>
                <w:color w:val="000000"/>
                <w:highlight w:val="none"/>
              </w:rPr>
            </w:pPr>
            <w:r>
              <w:rPr>
                <w:color w:val="000000"/>
                <w:highlight w:val="none"/>
              </w:rPr>
              <w:t xml:space="preserve">口数量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≥0</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*网络规格</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*网口速率 和数量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配备网口数量不少于1个，且网口速率不少于 1GE</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存储型服 务器网口 速率和数 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存储型服务器 1GE 网口数量不少于 2 个，10GE 以上网口数量不少于 2 个</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独立网卡 网口数量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若配备独立网卡，独立网卡网口数量≥</w:t>
            </w:r>
            <w:r>
              <w:rPr>
                <w:rFonts w:hint="eastAsia"/>
                <w:color w:val="000000"/>
                <w:highlight w:val="none"/>
              </w:rPr>
              <w:t xml:space="preserve">2</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独立网卡 接口类型</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支持RJ45/QSFP/SFP 等</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板载网卡 接口类型</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 RJ45/QSFP/SFP 等</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*外部接口 规格</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*显示接口</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VGA</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*USB接口</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≥2个</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29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特殊接口 及孔位</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前面板预留1个专用USB母座接口孔位</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ind w:firstLine="210"/>
              <w:rPr>
                <w:color w:val="000000"/>
                <w:highlight w:val="none"/>
              </w:rPr>
            </w:pPr>
            <w:r>
              <w:rPr>
                <w:color w:val="000000"/>
                <w:highlight w:val="none"/>
              </w:rPr>
              <w:t xml:space="preserve">30</w:t>
            </w:r>
            <w:r>
              <w:rPr>
                <w:color w:val="000000"/>
                <w:highlight w:val="none"/>
              </w:rPr>
            </w:r>
            <w:r/>
          </w:p>
        </w:tc>
        <w:tc>
          <w:tcPr>
            <w:tcW w:w="1167" w:type="dxa"/>
            <w:vAlign w:val="center"/>
            <w:textDirection w:val="lrTb"/>
            <w:noWrap w:val="false"/>
          </w:tcPr>
          <w:p>
            <w:pPr>
              <w:pStyle w:val="670"/>
              <w:rPr>
                <w:color w:val="000000"/>
                <w:highlight w:val="none"/>
              </w:rPr>
            </w:pP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其他接口</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 串口数量不少于1个，并可实现GB/T 6107 或 GB/T 26803.2 的相关功能；</w:t>
            </w:r>
            <w:r>
              <w:rPr>
                <w:color w:val="000000"/>
                <w:highlight w:val="none"/>
              </w:rPr>
            </w:r>
            <w:r/>
          </w:p>
          <w:p>
            <w:pPr>
              <w:pStyle w:val="670"/>
              <w:jc w:val="left"/>
              <w:rPr>
                <w:color w:val="000000"/>
                <w:highlight w:val="none"/>
              </w:rPr>
            </w:pPr>
            <w:r>
              <w:rPr>
                <w:color w:val="000000"/>
                <w:highlight w:val="none"/>
              </w:rPr>
              <w:t xml:space="preserve">b) 服务器主机前面板可根据用户实际使用需求预留1个专用 USB 母座接口孔位</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*电源规格</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电源冗余 模式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整机电源模块按1+1冗余或N+1 冗余配置</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*电源模块 数量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≥1</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*电源功率</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电源模块功率应有一定冗余，满足处理器满载时的需求</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r>
            <w:r/>
          </w:p>
          <w:p>
            <w:pPr>
              <w:pStyle w:val="670"/>
              <w:jc w:val="center"/>
              <w:rPr>
                <w:color w:val="000000"/>
                <w:highlight w:val="none"/>
              </w:rPr>
            </w:pPr>
            <w:r>
              <w:rPr>
                <w:color w:val="000000"/>
                <w:highlight w:val="none"/>
              </w:rPr>
              <w:t xml:space="preserve">34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电源指示 灯</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配备电源指示灯，指示待机、工作 异常等状态</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*整机规格</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*外观和结 构</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a)服务器的零部件应紧固无松动，可插拔部件应可靠连接，开关、按 钮和其它控制部件应灵活可靠，布局应方便使用；</w:t>
            </w:r>
            <w:r>
              <w:rPr>
                <w:color w:val="000000"/>
                <w:highlight w:val="none"/>
              </w:rPr>
            </w:r>
            <w:r/>
          </w:p>
          <w:p>
            <w:pPr>
              <w:pStyle w:val="670"/>
              <w:jc w:val="left"/>
              <w:rPr>
                <w:color w:val="000000"/>
                <w:highlight w:val="none"/>
              </w:rPr>
            </w:pPr>
            <w:r>
              <w:rPr>
                <w:color w:val="000000"/>
                <w:highlight w:val="none"/>
              </w:rPr>
              <w:t xml:space="preserve">b) 产品表面不应有明显的凹痕、划伤、裂缝、变形和污染等。表面涂 层均匀，不应起泡、龟裂、脱落和磨损，金属零部件无锈蚀及其它机 械损伤；</w:t>
            </w:r>
            <w:r>
              <w:rPr>
                <w:color w:val="000000"/>
                <w:highlight w:val="none"/>
              </w:rPr>
            </w:r>
            <w:r/>
          </w:p>
          <w:p>
            <w:pPr>
              <w:pStyle w:val="670"/>
              <w:jc w:val="left"/>
              <w:rPr>
                <w:color w:val="000000"/>
                <w:highlight w:val="none"/>
              </w:rPr>
            </w:pPr>
            <w:r>
              <w:rPr>
                <w:color w:val="000000"/>
                <w:highlight w:val="none"/>
              </w:rPr>
              <w:t xml:space="preserve">c) 产品表面说明功能的文字、符号和标志应清晰、端正且牢固；</w:t>
            </w:r>
            <w:r>
              <w:rPr>
                <w:color w:val="000000"/>
                <w:highlight w:val="none"/>
              </w:rPr>
            </w:r>
            <w:r/>
          </w:p>
          <w:p>
            <w:pPr>
              <w:pStyle w:val="670"/>
              <w:jc w:val="left"/>
              <w:rPr>
                <w:color w:val="000000"/>
                <w:highlight w:val="none"/>
              </w:rPr>
            </w:pPr>
            <w:r>
              <w:rPr>
                <w:color w:val="000000"/>
                <w:highlight w:val="none"/>
              </w:rPr>
              <w:t xml:space="preserve">d) 应在服务器的显著位置提供运行状态的指示功能，并在随机文件中明确具体含义；</w:t>
            </w:r>
            <w:r>
              <w:rPr>
                <w:color w:val="000000"/>
                <w:highlight w:val="none"/>
              </w:rPr>
            </w:r>
            <w:r/>
          </w:p>
          <w:p>
            <w:pPr>
              <w:pStyle w:val="670"/>
              <w:rPr>
                <w:color w:val="000000"/>
                <w:highlight w:val="none"/>
              </w:rPr>
            </w:pPr>
            <w:r>
              <w:rPr>
                <w:color w:val="000000"/>
                <w:highlight w:val="none"/>
              </w:rPr>
              <w:t xml:space="preserve">e) 机架、机箱的尺寸应符合通用机柜的安装要求，插入总线插座的电  路板接口外形尺寸应符合有关总线标准的规定，将机箱固定在机柜上，机箱底面最大下垂变形不得干涉相邻机体；</w:t>
            </w:r>
            <w:r>
              <w:rPr>
                <w:color w:val="000000"/>
                <w:highlight w:val="none"/>
              </w:rPr>
            </w:r>
            <w:r/>
          </w:p>
          <w:p>
            <w:pPr>
              <w:pStyle w:val="670"/>
              <w:rPr>
                <w:color w:val="000000"/>
                <w:highlight w:val="none"/>
              </w:rPr>
            </w:pPr>
            <w:r>
              <w:rPr>
                <w:color w:val="000000"/>
                <w:highlight w:val="none"/>
              </w:rPr>
              <w:t xml:space="preserve">f) 高密度服务器应给出 CPU个数与机柜高度；</w:t>
            </w:r>
            <w:r>
              <w:rPr>
                <w:color w:val="000000"/>
                <w:highlight w:val="none"/>
              </w:rPr>
            </w:r>
            <w:r/>
          </w:p>
          <w:p>
            <w:pPr>
              <w:pStyle w:val="670"/>
              <w:rPr>
                <w:color w:val="000000"/>
                <w:highlight w:val="none"/>
              </w:rPr>
            </w:pPr>
            <w:r>
              <w:rPr>
                <w:color w:val="000000"/>
                <w:highlight w:val="none"/>
              </w:rPr>
              <w:t xml:space="preserve">g) 服务器尺寸具体要求在随机文件中明确。</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*尺寸（高 ×宽×深）</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87mm(高) X 444mm（宽） X 670mm（深）</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服务器导 轨</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随货物一起发送安装指引</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CPU 个数  与机柜高  度单位(U) 比</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2颗CPU，2U</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39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*环境适应 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气候环境适应性应符合GB/T9813.3的有关规定，工作温度 10~35</w:t>
            </w:r>
            <w:r>
              <w:rPr>
                <w:rFonts w:hint="eastAsia"/>
                <w:color w:val="000000"/>
                <w:highlight w:val="none"/>
              </w:rPr>
              <w:t xml:space="preserve">℃</w:t>
            </w:r>
            <w:r>
              <w:rPr>
                <w:color w:val="000000"/>
                <w:highlight w:val="none"/>
              </w:rPr>
              <w:t xml:space="preserve"> , 贮存运输温度-4055</w:t>
            </w:r>
            <w:r>
              <w:rPr>
                <w:rFonts w:hint="eastAsia"/>
                <w:color w:val="000000"/>
                <w:highlight w:val="none"/>
              </w:rPr>
              <w:t xml:space="preserve">℃</w:t>
            </w:r>
            <w:r>
              <w:rPr>
                <w:color w:val="000000"/>
                <w:highlight w:val="none"/>
              </w:rPr>
              <w:t xml:space="preserve"> ; 工作相对湿度35%～80%，贮存运输相对湿度 20％～93%（40</w:t>
            </w:r>
            <w:r>
              <w:rPr>
                <w:rFonts w:hint="eastAsia"/>
                <w:color w:val="000000"/>
                <w:highlight w:val="none"/>
              </w:rPr>
              <w:t xml:space="preserve">℃</w:t>
            </w:r>
            <w:r>
              <w:rPr>
                <w:color w:val="000000"/>
                <w:highlight w:val="none"/>
              </w:rPr>
              <w:t xml:space="preserve">) ; 大气压86～106kPa</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特殊机型 环境适应 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边缘应用服务器，工作环境温度宜为0～45</w:t>
            </w:r>
            <w:r>
              <w:rPr>
                <w:rFonts w:hint="eastAsia"/>
                <w:color w:val="000000"/>
                <w:highlight w:val="none"/>
              </w:rPr>
              <w:t xml:space="preserve">℃</w:t>
            </w:r>
            <w:r>
              <w:rPr>
                <w:color w:val="000000"/>
                <w:highlight w:val="none"/>
              </w:rPr>
              <w:t xml:space="preserve">, 短期工作可承受环境温 度宜为-5～55</w:t>
            </w:r>
            <w:r>
              <w:rPr>
                <w:rFonts w:hint="eastAsia"/>
                <w:color w:val="000000"/>
                <w:highlight w:val="none"/>
              </w:rPr>
              <w:t xml:space="preserve">℃</w:t>
            </w:r>
            <w:r>
              <w:rPr>
                <w:color w:val="000000"/>
                <w:highlight w:val="none"/>
              </w:rPr>
              <w:t xml:space="preserve">, 液冷服务器贮存运输温度宜为-30～55</w:t>
            </w:r>
            <w:r>
              <w:rPr>
                <w:rFonts w:hint="eastAsia"/>
                <w:color w:val="000000"/>
                <w:highlight w:val="none"/>
              </w:rPr>
              <w:t xml:space="preserve">℃</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*机械环境 适应性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机械环境适应性应符合GB/T9813.3的有关规定</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*噪声</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符合 GB/T 9813.3 的有关规定，在产品说明中给出具体测试值塔式服务器噪声在空闲状态下不大于50dB</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A I 计算单元规格</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A I计算单元</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若配备A I计算单元应符合如下要求：</w:t>
            </w:r>
            <w:r>
              <w:rPr>
                <w:color w:val="000000"/>
                <w:highlight w:val="none"/>
              </w:rPr>
            </w:r>
            <w:r/>
          </w:p>
          <w:p>
            <w:pPr>
              <w:pStyle w:val="670"/>
              <w:jc w:val="left"/>
              <w:rPr>
                <w:color w:val="000000"/>
                <w:highlight w:val="none"/>
              </w:rPr>
            </w:pPr>
            <w:r>
              <w:rPr>
                <w:color w:val="000000"/>
                <w:highlight w:val="none"/>
              </w:rPr>
              <w:t xml:space="preserve">a) 具备人工智能加速处理器，计算精度至少支持 FP16、BF16、FP32、 FP64、INT8 和 INT16 等中的 1 种； </w:t>
            </w:r>
            <w:r>
              <w:rPr>
                <w:color w:val="000000"/>
                <w:highlight w:val="none"/>
              </w:rPr>
            </w:r>
            <w:r/>
          </w:p>
          <w:p>
            <w:pPr>
              <w:pStyle w:val="670"/>
              <w:jc w:val="left"/>
              <w:rPr>
                <w:color w:val="000000"/>
                <w:highlight w:val="none"/>
              </w:rPr>
            </w:pPr>
            <w:r>
              <w:rPr>
                <w:color w:val="000000"/>
                <w:highlight w:val="none"/>
              </w:rPr>
              <w:t xml:space="preserve">b) 单推理卡或模块，具备视频解析、文本识别、语音分析等推理能力；在视觉场景下配备可直接调用的接口实现视觉计算加速，路数不小于 64（1080P 30FPS）</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一键式迁 移</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若服务器配备A I计算单元，提供训练脚本迁移工具</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机柜规格</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*机柜尺寸</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供应商给出长度、高度和深度</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机柜管理 板</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配备机柜管理板</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产品规格</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机柜电源 规格</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 机柜电源支持集中供电，电源输入不少于2 路且支持自动切换；</w:t>
            </w:r>
            <w:r>
              <w:rPr>
                <w:color w:val="000000"/>
                <w:highlight w:val="none"/>
              </w:rPr>
            </w:r>
            <w:r/>
          </w:p>
          <w:p>
            <w:pPr>
              <w:pStyle w:val="670"/>
              <w:jc w:val="left"/>
              <w:rPr>
                <w:color w:val="000000"/>
                <w:highlight w:val="none"/>
              </w:rPr>
            </w:pPr>
            <w:r>
              <w:rPr>
                <w:color w:val="000000"/>
                <w:highlight w:val="none"/>
              </w:rPr>
              <w:t xml:space="preserve">b) 机柜电源模块支持N+1 冗余配置，电源模块可独立更换</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*主板功能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*主板外部接口种类</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支持USB、显示、管理等接口，如：VGA、DP、HDMI、USB3.0、PS/2接口、 BMC管理端口</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49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主板防烧 板设计</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支持主板防烧板设计，保证电源故 障后不扩散</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扩展功能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实现至少一种扩展能，如存储功能卡、显示功能卡、运算加速功能卡及网络功能卡等扩展功能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*网络功能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*网络功能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支持网络连接、网络访问、数据交换和网络管控功能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*CPU功能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*计算处理</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支持通用计算及虚拟化功能。处理器需集成整型计算单元、浮点计算 单元、内存控制器、I/O 模块等，处理器与存储部件、网络部件、I/O 部件等组成计算系统，提供数据处理、网络接入等计算相关功能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*密码算法 实现</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CPU芯片应符合 GM/T 0008 的相关规定，或芯片密码模块应符GB/T</w:t>
            </w:r>
            <w:r>
              <w:rPr>
                <w:color w:val="000000"/>
                <w:highlight w:val="none"/>
              </w:rPr>
            </w:r>
            <w:r/>
          </w:p>
          <w:p>
            <w:pPr>
              <w:pStyle w:val="670"/>
              <w:jc w:val="left"/>
              <w:rPr>
                <w:color w:val="000000"/>
                <w:highlight w:val="none"/>
              </w:rPr>
            </w:pPr>
            <w:r>
              <w:rPr>
                <w:color w:val="000000"/>
                <w:highlight w:val="none"/>
              </w:rPr>
              <w:t xml:space="preserve">37092 或 GM/T 0028 的相关规定</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存储功能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内存校验</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支持内存校验或内存增强型纠错功能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SATA SSD NAND 健康状态上报</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支持关键外部存储器（硬磁盘、SSD 等）的健康状态上报并进行故障诊断</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SATA SSD 单 die 故 障隔离</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 SSD 关键外部存储器中单存储晶元故障隔离</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RAID 卡功能（若 支持  RAID  卡）</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RAID 卡</w:t>
            </w:r>
            <w:r>
              <w:rPr>
                <w:color w:val="000000"/>
                <w:highlight w:val="none"/>
              </w:rPr>
            </w:r>
            <w:r/>
          </w:p>
          <w:p>
            <w:pPr>
              <w:pStyle w:val="670"/>
              <w:jc w:val="center"/>
              <w:rPr>
                <w:color w:val="000000"/>
                <w:highlight w:val="none"/>
              </w:rPr>
            </w:pPr>
            <w:r>
              <w:rPr>
                <w:color w:val="000000"/>
                <w:highlight w:val="none"/>
              </w:rPr>
              <w:t xml:space="preserve">RAID 级别 支持</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RAID 模式支持 RAID 0/1/10/5</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RAID卡  BBU单元</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RAID卡支持电池或电容备份单元</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59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光驱功能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光驱类型 （是否支 持 RW，以及光盘类 型CD/DVD）</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不涉及</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*电源功能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*电源热插拔</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整机电源模块应具备热插拔功能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*电源过流 保护</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支持过流及短路保护的功能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*整机功能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*散热方式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支持风冷或液冷等散热方式</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其他功能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 支持关键部件冗余（包括电源、 风扇等）；</w:t>
            </w:r>
            <w:r>
              <w:rPr>
                <w:color w:val="000000"/>
                <w:highlight w:val="none"/>
              </w:rPr>
            </w:r>
            <w:r/>
          </w:p>
          <w:p>
            <w:pPr>
              <w:pStyle w:val="670"/>
              <w:jc w:val="left"/>
              <w:rPr>
                <w:color w:val="000000"/>
                <w:highlight w:val="none"/>
              </w:rPr>
            </w:pPr>
            <w:r>
              <w:rPr>
                <w:color w:val="000000"/>
                <w:highlight w:val="none"/>
              </w:rPr>
              <w:t xml:space="preserve">b) 支持熔断保护与恢复功能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*管理系统功能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*BMC 固件 基础功能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1) 支持 DHCP 设置网络功能；</w:t>
            </w:r>
            <w:r>
              <w:rPr>
                <w:color w:val="000000"/>
                <w:highlight w:val="none"/>
              </w:rPr>
            </w:r>
            <w:r/>
          </w:p>
          <w:p>
            <w:pPr>
              <w:pStyle w:val="670"/>
              <w:jc w:val="left"/>
              <w:rPr>
                <w:color w:val="000000"/>
                <w:highlight w:val="none"/>
              </w:rPr>
            </w:pPr>
            <w:r>
              <w:rPr>
                <w:color w:val="000000"/>
                <w:highlight w:val="none"/>
              </w:rPr>
              <w:t xml:space="preserve">2)支持静态 IP 设置网络功能；</w:t>
            </w:r>
            <w:r>
              <w:rPr>
                <w:color w:val="000000"/>
                <w:highlight w:val="none"/>
              </w:rPr>
            </w:r>
            <w:r/>
          </w:p>
          <w:p>
            <w:pPr>
              <w:pStyle w:val="670"/>
              <w:jc w:val="left"/>
              <w:rPr>
                <w:color w:val="000000"/>
                <w:highlight w:val="none"/>
              </w:rPr>
            </w:pPr>
            <w:r>
              <w:rPr>
                <w:color w:val="000000"/>
                <w:highlight w:val="none"/>
              </w:rPr>
              <w:t xml:space="preserve">3)支持设备日志记录，包括但不限于登录日志、操作日志和报警日志等功能；</w:t>
            </w:r>
            <w:r>
              <w:rPr>
                <w:color w:val="000000"/>
                <w:highlight w:val="none"/>
              </w:rPr>
            </w:r>
            <w:r/>
          </w:p>
          <w:p>
            <w:pPr>
              <w:pStyle w:val="670"/>
              <w:jc w:val="left"/>
              <w:rPr>
                <w:color w:val="000000"/>
                <w:highlight w:val="none"/>
              </w:rPr>
            </w:pPr>
            <w:r>
              <w:rPr>
                <w:color w:val="000000"/>
                <w:highlight w:val="none"/>
              </w:rPr>
              <w:t xml:space="preserve">4)支持日志信息导出和记录删除功能；</w:t>
            </w:r>
            <w:r>
              <w:rPr>
                <w:color w:val="000000"/>
                <w:highlight w:val="none"/>
              </w:rPr>
            </w:r>
            <w:r/>
          </w:p>
          <w:p>
            <w:pPr>
              <w:pStyle w:val="670"/>
              <w:jc w:val="left"/>
              <w:rPr>
                <w:color w:val="000000"/>
                <w:highlight w:val="none"/>
              </w:rPr>
            </w:pPr>
            <w:r>
              <w:rPr>
                <w:color w:val="000000"/>
                <w:highlight w:val="none"/>
              </w:rPr>
              <w:t xml:space="preserve">5)支持通过管理接口向外输出准确的报警信息功能；</w:t>
            </w:r>
            <w:r>
              <w:rPr>
                <w:color w:val="000000"/>
                <w:highlight w:val="none"/>
              </w:rPr>
            </w:r>
            <w:r/>
          </w:p>
          <w:p>
            <w:pPr>
              <w:pStyle w:val="670"/>
              <w:jc w:val="left"/>
              <w:rPr>
                <w:color w:val="000000"/>
                <w:highlight w:val="none"/>
              </w:rPr>
            </w:pPr>
            <w:r>
              <w:rPr>
                <w:color w:val="000000"/>
                <w:highlight w:val="none"/>
              </w:rPr>
              <w:t xml:space="preserve">6)设备的BMC管理软件应能够按报警的严重程度进行区分；</w:t>
            </w:r>
            <w:r>
              <w:rPr>
                <w:color w:val="000000"/>
                <w:highlight w:val="none"/>
              </w:rPr>
            </w:r>
            <w:r/>
          </w:p>
          <w:p>
            <w:pPr>
              <w:pStyle w:val="670"/>
              <w:jc w:val="left"/>
              <w:rPr>
                <w:color w:val="000000"/>
                <w:highlight w:val="none"/>
              </w:rPr>
            </w:pPr>
            <w:r>
              <w:rPr>
                <w:color w:val="000000"/>
                <w:highlight w:val="none"/>
              </w:rPr>
              <w:t xml:space="preserve">7)支持 IPMI2.0、SNMP 或 Redfish等接口功能；</w:t>
            </w:r>
            <w:r>
              <w:rPr>
                <w:color w:val="000000"/>
                <w:highlight w:val="none"/>
              </w:rPr>
            </w:r>
            <w:r/>
          </w:p>
          <w:p>
            <w:pPr>
              <w:pStyle w:val="670"/>
              <w:jc w:val="left"/>
              <w:rPr>
                <w:color w:val="000000"/>
                <w:highlight w:val="none"/>
              </w:rPr>
            </w:pPr>
            <w:r>
              <w:rPr>
                <w:color w:val="000000"/>
                <w:highlight w:val="none"/>
              </w:rPr>
              <w:t xml:space="preserve">8)支持键盘、鼠标和视频的重定向、文本控制台的重定向、远程虚拟媒体、高可靠的硬件监控和管理功能；</w:t>
            </w:r>
            <w:r>
              <w:rPr>
                <w:color w:val="000000"/>
                <w:highlight w:val="none"/>
              </w:rPr>
            </w:r>
            <w:r/>
          </w:p>
          <w:p>
            <w:pPr>
              <w:pStyle w:val="670"/>
              <w:jc w:val="left"/>
              <w:rPr>
                <w:color w:val="000000"/>
                <w:highlight w:val="none"/>
              </w:rPr>
            </w:pPr>
            <w:r>
              <w:rPr>
                <w:color w:val="000000"/>
                <w:highlight w:val="none"/>
              </w:rPr>
              <w:t xml:space="preserve">9)支持基于网络开启、关闭和重启设备的功能，并查询当前设备开机 运行状态；</w:t>
            </w:r>
            <w:r>
              <w:rPr>
                <w:color w:val="000000"/>
                <w:highlight w:val="none"/>
              </w:rPr>
            </w:r>
            <w:r/>
          </w:p>
          <w:p>
            <w:pPr>
              <w:pStyle w:val="670"/>
              <w:jc w:val="left"/>
              <w:rPr>
                <w:color w:val="000000"/>
                <w:highlight w:val="none"/>
              </w:rPr>
            </w:pPr>
            <w:r>
              <w:rPr>
                <w:color w:val="000000"/>
                <w:highlight w:val="none"/>
              </w:rPr>
              <w:t xml:space="preserve">10)支持故障提示功能，并可通过接口读取服务器故障信息；</w:t>
            </w:r>
            <w:r>
              <w:rPr>
                <w:color w:val="000000"/>
                <w:highlight w:val="none"/>
              </w:rPr>
            </w:r>
            <w:r/>
          </w:p>
          <w:p>
            <w:pPr>
              <w:pStyle w:val="670"/>
              <w:jc w:val="left"/>
              <w:rPr>
                <w:color w:val="000000"/>
                <w:highlight w:val="none"/>
              </w:rPr>
            </w:pPr>
            <w:r>
              <w:rPr>
                <w:color w:val="000000"/>
                <w:highlight w:val="none"/>
              </w:rPr>
              <w:t xml:space="preserve">11)支持基于网络的固件更新功能，包括 BMC 和 BIOS等；</w:t>
            </w:r>
            <w:r>
              <w:rPr>
                <w:color w:val="000000"/>
                <w:highlight w:val="none"/>
              </w:rPr>
            </w:r>
            <w:r/>
          </w:p>
          <w:p>
            <w:pPr>
              <w:pStyle w:val="670"/>
              <w:jc w:val="left"/>
              <w:rPr>
                <w:color w:val="000000"/>
                <w:highlight w:val="none"/>
              </w:rPr>
            </w:pPr>
            <w:r>
              <w:rPr>
                <w:color w:val="000000"/>
                <w:highlight w:val="none"/>
              </w:rPr>
              <w:t xml:space="preserve">12)支持基于网络安装操作系统的功能，并可通过网络控制台访问设 备；</w:t>
            </w:r>
            <w:r>
              <w:rPr>
                <w:color w:val="000000"/>
                <w:highlight w:val="none"/>
              </w:rPr>
            </w:r>
            <w:r/>
          </w:p>
          <w:p>
            <w:pPr>
              <w:pStyle w:val="670"/>
              <w:jc w:val="left"/>
              <w:rPr>
                <w:color w:val="000000"/>
                <w:highlight w:val="none"/>
              </w:rPr>
            </w:pPr>
            <w:r>
              <w:rPr>
                <w:color w:val="000000"/>
                <w:highlight w:val="none"/>
              </w:rPr>
              <w:t xml:space="preserve">13)支持通过本地的硬盘或光驱等存储设备，基于网络完成设备的操 作系统安装功能；</w:t>
            </w:r>
            <w:r>
              <w:rPr>
                <w:color w:val="000000"/>
                <w:highlight w:val="none"/>
              </w:rPr>
            </w:r>
            <w:r/>
          </w:p>
          <w:p>
            <w:pPr>
              <w:pStyle w:val="670"/>
              <w:jc w:val="left"/>
              <w:rPr>
                <w:color w:val="000000"/>
                <w:highlight w:val="none"/>
              </w:rPr>
            </w:pPr>
            <w:r>
              <w:rPr>
                <w:color w:val="000000"/>
                <w:highlight w:val="none"/>
              </w:rPr>
              <w:t xml:space="preserve">14)支持通过浏览器打开管理界面并登录功能；</w:t>
            </w:r>
            <w:r>
              <w:rPr>
                <w:color w:val="000000"/>
                <w:highlight w:val="none"/>
              </w:rPr>
            </w:r>
            <w:r/>
          </w:p>
          <w:p>
            <w:pPr>
              <w:pStyle w:val="670"/>
              <w:jc w:val="left"/>
              <w:rPr>
                <w:color w:val="000000"/>
                <w:highlight w:val="none"/>
              </w:rPr>
            </w:pPr>
            <w:r>
              <w:rPr>
                <w:color w:val="000000"/>
                <w:highlight w:val="none"/>
              </w:rPr>
              <w:t xml:space="preserve">15)支持设置口令策略功能；</w:t>
            </w:r>
            <w:r>
              <w:rPr>
                <w:color w:val="000000"/>
                <w:highlight w:val="none"/>
              </w:rPr>
            </w:r>
            <w:r/>
          </w:p>
          <w:p>
            <w:pPr>
              <w:pStyle w:val="670"/>
              <w:jc w:val="left"/>
              <w:rPr>
                <w:color w:val="000000"/>
                <w:highlight w:val="none"/>
              </w:rPr>
            </w:pPr>
            <w:r>
              <w:rPr>
                <w:color w:val="000000"/>
                <w:highlight w:val="none"/>
              </w:rPr>
              <w:t xml:space="preserve">16)支持访问权限设置功能，并通过日志记录访问事件；</w:t>
            </w:r>
            <w:r>
              <w:rPr>
                <w:color w:val="000000"/>
                <w:highlight w:val="none"/>
              </w:rPr>
            </w:r>
            <w:r/>
          </w:p>
          <w:p>
            <w:pPr>
              <w:pStyle w:val="670"/>
              <w:jc w:val="left"/>
              <w:rPr>
                <w:color w:val="000000"/>
                <w:highlight w:val="none"/>
              </w:rPr>
            </w:pPr>
            <w:r>
              <w:rPr>
                <w:color w:val="000000"/>
                <w:highlight w:val="none"/>
              </w:rPr>
              <w:t xml:space="preserve">17)支持对出厂默认的用户名及口令进行安全保护功能，并提供默认 口令修改提示；</w:t>
            </w:r>
            <w:r>
              <w:rPr>
                <w:color w:val="000000"/>
                <w:highlight w:val="none"/>
              </w:rPr>
            </w:r>
            <w:r/>
          </w:p>
          <w:p>
            <w:pPr>
              <w:pStyle w:val="670"/>
              <w:jc w:val="left"/>
              <w:rPr>
                <w:color w:val="000000"/>
                <w:highlight w:val="none"/>
              </w:rPr>
            </w:pPr>
            <w:r>
              <w:rPr>
                <w:color w:val="000000"/>
                <w:highlight w:val="none"/>
              </w:rPr>
              <w:t xml:space="preserve">18)支持读取设备主板的工作环境温度功能；</w:t>
            </w:r>
            <w:r>
              <w:rPr>
                <w:color w:val="000000"/>
                <w:highlight w:val="none"/>
              </w:rPr>
            </w:r>
            <w:r/>
          </w:p>
          <w:p>
            <w:pPr>
              <w:pStyle w:val="670"/>
              <w:jc w:val="left"/>
              <w:rPr>
                <w:color w:val="000000"/>
                <w:highlight w:val="none"/>
              </w:rPr>
            </w:pPr>
            <w:r>
              <w:rPr>
                <w:color w:val="000000"/>
                <w:highlight w:val="none"/>
              </w:rPr>
              <w:t xml:space="preserve">19)支持读取服务器CPU等核心器件的温度功能；</w:t>
            </w:r>
            <w:r>
              <w:rPr>
                <w:color w:val="000000"/>
                <w:highlight w:val="none"/>
              </w:rPr>
            </w:r>
            <w:r/>
          </w:p>
          <w:p>
            <w:pPr>
              <w:pStyle w:val="670"/>
              <w:jc w:val="left"/>
              <w:rPr>
                <w:color w:val="000000"/>
                <w:highlight w:val="none"/>
              </w:rPr>
            </w:pPr>
            <w:r>
              <w:rPr>
                <w:color w:val="000000"/>
                <w:highlight w:val="none"/>
              </w:rPr>
              <w:t xml:space="preserve">20)支持通过外部管理工具进行BMC参数设置的功能，并可基于网络通 过外部管理工具对 BMC进行管理；</w:t>
            </w:r>
            <w:r>
              <w:rPr>
                <w:color w:val="000000"/>
                <w:highlight w:val="none"/>
              </w:rPr>
            </w:r>
            <w:r/>
          </w:p>
          <w:p>
            <w:pPr>
              <w:pStyle w:val="670"/>
              <w:jc w:val="left"/>
              <w:rPr>
                <w:color w:val="000000"/>
                <w:highlight w:val="none"/>
              </w:rPr>
            </w:pPr>
            <w:r>
              <w:rPr>
                <w:color w:val="000000"/>
                <w:highlight w:val="none"/>
              </w:rPr>
              <w:t xml:space="preserve">21)应支持固件版本查询、固件升级 </w:t>
            </w:r>
            <w:r>
              <w:rPr>
                <w:color w:val="000000"/>
                <w:highlight w:val="none"/>
              </w:rPr>
            </w:r>
            <w:r/>
          </w:p>
          <w:p>
            <w:pPr>
              <w:pStyle w:val="670"/>
              <w:jc w:val="left"/>
              <w:rPr>
                <w:color w:val="000000"/>
                <w:highlight w:val="none"/>
              </w:rPr>
            </w:pPr>
            <w:r>
              <w:rPr>
                <w:color w:val="000000"/>
                <w:highlight w:val="none"/>
              </w:rPr>
              <w:t xml:space="preserve">22)支持基于网络实现开关机和复位控制的功能；</w:t>
            </w:r>
            <w:r>
              <w:rPr>
                <w:color w:val="000000"/>
                <w:highlight w:val="none"/>
              </w:rPr>
            </w:r>
            <w:r/>
          </w:p>
          <w:p>
            <w:pPr>
              <w:pStyle w:val="670"/>
              <w:jc w:val="left"/>
              <w:rPr>
                <w:color w:val="000000"/>
                <w:highlight w:val="none"/>
              </w:rPr>
            </w:pPr>
            <w:r>
              <w:rPr>
                <w:color w:val="000000"/>
                <w:highlight w:val="none"/>
              </w:rPr>
              <w:t xml:space="preserve">23)BMC启动时间应不超过180s，实现功能包括网络、IPMI、散热、传感器服务可用；</w:t>
            </w:r>
            <w:r>
              <w:rPr>
                <w:color w:val="000000"/>
                <w:highlight w:val="none"/>
              </w:rPr>
            </w:r>
            <w:r/>
          </w:p>
          <w:p>
            <w:pPr>
              <w:pStyle w:val="670"/>
              <w:jc w:val="left"/>
              <w:rPr>
                <w:color w:val="000000"/>
                <w:highlight w:val="none"/>
              </w:rPr>
            </w:pPr>
            <w:r>
              <w:rPr>
                <w:color w:val="000000"/>
                <w:highlight w:val="none"/>
              </w:rPr>
              <w:t xml:space="preserve">24)支持BMC固件设置的恢复出厂功能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BMC 固件 增强功能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a）网络控制、安装提供图形访问界面网络；</w:t>
            </w:r>
            <w:r>
              <w:rPr>
                <w:color w:val="000000"/>
                <w:highlight w:val="none"/>
              </w:rPr>
            </w:r>
            <w:r/>
          </w:p>
          <w:p>
            <w:pPr>
              <w:pStyle w:val="670"/>
              <w:jc w:val="left"/>
              <w:rPr>
                <w:color w:val="000000"/>
                <w:highlight w:val="none"/>
              </w:rPr>
            </w:pPr>
            <w:r>
              <w:rPr>
                <w:color w:val="000000"/>
                <w:highlight w:val="none"/>
              </w:rPr>
              <w:t xml:space="preserve">b）设备的BMC管理软件界面显示报警信息，且能够按报警的严重程度进行区分；</w:t>
            </w:r>
            <w:r>
              <w:rPr>
                <w:color w:val="000000"/>
                <w:highlight w:val="none"/>
              </w:rPr>
            </w:r>
            <w:r/>
          </w:p>
          <w:p>
            <w:pPr>
              <w:pStyle w:val="670"/>
              <w:jc w:val="left"/>
              <w:rPr>
                <w:color w:val="000000"/>
                <w:highlight w:val="none"/>
              </w:rPr>
            </w:pPr>
            <w:r>
              <w:rPr>
                <w:color w:val="000000"/>
                <w:highlight w:val="none"/>
              </w:rPr>
              <w:t xml:space="preserve">c）Web GUI 采用BMC 端口直连平均响应时间为不大于1s</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*BIOS 固 件基础功 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a）支持查看固件版本、内存信息、主板信息、处理器信息和系统时间 信息功能；</w:t>
            </w:r>
            <w:r>
              <w:rPr>
                <w:color w:val="000000"/>
                <w:highlight w:val="none"/>
              </w:rPr>
            </w:r>
            <w:r/>
          </w:p>
          <w:p>
            <w:pPr>
              <w:pStyle w:val="670"/>
              <w:jc w:val="left"/>
              <w:rPr>
                <w:color w:val="000000"/>
                <w:highlight w:val="none"/>
              </w:rPr>
            </w:pPr>
            <w:r>
              <w:rPr>
                <w:color w:val="000000"/>
                <w:highlight w:val="none"/>
              </w:rPr>
              <w:t xml:space="preserve">b）支持上电初始化界面显示CPU信息、内存信息、固件版本和部分快 捷键信息功能；</w:t>
            </w:r>
            <w:r>
              <w:rPr>
                <w:color w:val="000000"/>
                <w:highlight w:val="none"/>
              </w:rPr>
            </w:r>
            <w:r/>
          </w:p>
          <w:p>
            <w:pPr>
              <w:pStyle w:val="670"/>
              <w:jc w:val="left"/>
              <w:rPr>
                <w:color w:val="000000"/>
                <w:highlight w:val="none"/>
              </w:rPr>
            </w:pPr>
            <w:r>
              <w:rPr>
                <w:color w:val="000000"/>
                <w:highlight w:val="none"/>
              </w:rPr>
              <w:t xml:space="preserve">c）支持设置界面中英文显示切换功能；</w:t>
            </w:r>
            <w:r>
              <w:rPr>
                <w:color w:val="000000"/>
                <w:highlight w:val="none"/>
              </w:rPr>
            </w:r>
            <w:r/>
          </w:p>
          <w:p>
            <w:pPr>
              <w:pStyle w:val="670"/>
              <w:jc w:val="left"/>
              <w:rPr>
                <w:color w:val="000000"/>
                <w:highlight w:val="none"/>
              </w:rPr>
            </w:pPr>
            <w:r>
              <w:rPr>
                <w:color w:val="000000"/>
                <w:highlight w:val="none"/>
              </w:rPr>
              <w:t xml:space="preserve">d）支持查看PCIe 设备信息，SATA设备信息功能；</w:t>
            </w:r>
            <w:r>
              <w:rPr>
                <w:color w:val="000000"/>
                <w:highlight w:val="none"/>
              </w:rPr>
            </w:r>
            <w:r/>
          </w:p>
          <w:p>
            <w:pPr>
              <w:pStyle w:val="670"/>
              <w:jc w:val="left"/>
              <w:rPr>
                <w:color w:val="000000"/>
                <w:highlight w:val="none"/>
              </w:rPr>
            </w:pPr>
            <w:r>
              <w:rPr>
                <w:color w:val="000000"/>
                <w:highlight w:val="none"/>
              </w:rPr>
              <w:t xml:space="preserve">e）支持操作系统安装和引导功能，应并向操作系统提供计算机主板信 息和服务接口；</w:t>
            </w:r>
            <w:r>
              <w:rPr>
                <w:color w:val="000000"/>
                <w:highlight w:val="none"/>
              </w:rPr>
            </w:r>
            <w:r/>
          </w:p>
          <w:p>
            <w:pPr>
              <w:pStyle w:val="670"/>
              <w:jc w:val="left"/>
              <w:rPr>
                <w:color w:val="000000"/>
                <w:highlight w:val="none"/>
              </w:rPr>
            </w:pPr>
            <w:r>
              <w:rPr>
                <w:color w:val="000000"/>
                <w:highlight w:val="none"/>
              </w:rPr>
              <w:t xml:space="preserve">f）支持设置启动顺序，并按照设置的启动顺序启动功能；</w:t>
            </w:r>
            <w:r>
              <w:rPr>
                <w:color w:val="000000"/>
                <w:highlight w:val="none"/>
              </w:rPr>
            </w:r>
            <w:r/>
          </w:p>
          <w:p>
            <w:pPr>
              <w:pStyle w:val="670"/>
              <w:jc w:val="left"/>
              <w:rPr>
                <w:color w:val="000000"/>
                <w:highlight w:val="none"/>
              </w:rPr>
            </w:pPr>
            <w:r>
              <w:rPr>
                <w:color w:val="000000"/>
                <w:highlight w:val="none"/>
              </w:rPr>
              <w:t xml:space="preserve">g）支持安全启动功能；</w:t>
            </w:r>
            <w:r>
              <w:rPr>
                <w:color w:val="000000"/>
                <w:highlight w:val="none"/>
              </w:rPr>
            </w:r>
            <w:r/>
          </w:p>
          <w:p>
            <w:pPr>
              <w:pStyle w:val="670"/>
              <w:jc w:val="left"/>
              <w:rPr>
                <w:color w:val="000000"/>
                <w:highlight w:val="none"/>
              </w:rPr>
            </w:pPr>
            <w:r>
              <w:rPr>
                <w:color w:val="000000"/>
                <w:highlight w:val="none"/>
              </w:rPr>
              <w:t xml:space="preserve">h）支持设置口令、修改口令、验证口令功能；</w:t>
            </w:r>
            <w:r>
              <w:rPr>
                <w:color w:val="000000"/>
                <w:highlight w:val="none"/>
              </w:rPr>
            </w:r>
            <w:r/>
          </w:p>
          <w:p>
            <w:pPr>
              <w:pStyle w:val="670"/>
              <w:jc w:val="left"/>
              <w:rPr>
                <w:color w:val="000000"/>
                <w:highlight w:val="none"/>
              </w:rPr>
            </w:pPr>
            <w:r>
              <w:rPr>
                <w:color w:val="000000"/>
                <w:highlight w:val="none"/>
              </w:rPr>
              <w:t xml:space="preserve">i）支持板载显示控制或独立显卡的显示控制功能；</w:t>
            </w:r>
            <w:r>
              <w:rPr>
                <w:color w:val="000000"/>
                <w:highlight w:val="none"/>
              </w:rPr>
            </w:r>
            <w:r/>
          </w:p>
          <w:p>
            <w:pPr>
              <w:pStyle w:val="670"/>
              <w:jc w:val="left"/>
              <w:rPr>
                <w:color w:val="000000"/>
                <w:highlight w:val="none"/>
              </w:rPr>
            </w:pPr>
            <w:r>
              <w:rPr>
                <w:color w:val="000000"/>
                <w:highlight w:val="none"/>
              </w:rPr>
              <w:t xml:space="preserve">j）支持 RAID 识别和启动功能；</w:t>
            </w:r>
            <w:r>
              <w:rPr>
                <w:color w:val="000000"/>
                <w:highlight w:val="none"/>
              </w:rPr>
            </w:r>
            <w:r/>
          </w:p>
          <w:p>
            <w:pPr>
              <w:pStyle w:val="670"/>
              <w:jc w:val="left"/>
              <w:rPr>
                <w:color w:val="000000"/>
                <w:highlight w:val="none"/>
              </w:rPr>
            </w:pPr>
            <w:r>
              <w:rPr>
                <w:color w:val="000000"/>
                <w:highlight w:val="none"/>
              </w:rPr>
              <w:t xml:space="preserve">k）支持串口重定向功能；</w:t>
            </w:r>
            <w:r>
              <w:rPr>
                <w:color w:val="000000"/>
                <w:highlight w:val="none"/>
              </w:rPr>
            </w:r>
            <w:r/>
          </w:p>
          <w:p>
            <w:pPr>
              <w:pStyle w:val="670"/>
              <w:jc w:val="left"/>
              <w:rPr>
                <w:color w:val="000000"/>
                <w:highlight w:val="none"/>
              </w:rPr>
            </w:pPr>
            <w:r>
              <w:rPr>
                <w:color w:val="000000"/>
                <w:highlight w:val="none"/>
              </w:rPr>
              <w:t xml:space="preserve">l）支持固件更新功能；</w:t>
            </w:r>
            <w:r>
              <w:rPr>
                <w:color w:val="000000"/>
                <w:highlight w:val="none"/>
              </w:rPr>
            </w:r>
            <w:r/>
          </w:p>
          <w:p>
            <w:pPr>
              <w:pStyle w:val="670"/>
              <w:jc w:val="left"/>
              <w:rPr>
                <w:color w:val="000000"/>
                <w:highlight w:val="none"/>
              </w:rPr>
            </w:pPr>
            <w:r>
              <w:rPr>
                <w:color w:val="000000"/>
                <w:highlight w:val="none"/>
              </w:rPr>
              <w:t xml:space="preserve">m）支持BIOS 固件设置的恢复出厂功能；</w:t>
            </w:r>
            <w:r>
              <w:rPr>
                <w:color w:val="000000"/>
                <w:highlight w:val="none"/>
              </w:rPr>
            </w:r>
            <w:r/>
          </w:p>
          <w:p>
            <w:pPr>
              <w:pStyle w:val="670"/>
              <w:jc w:val="left"/>
              <w:rPr>
                <w:color w:val="000000"/>
                <w:highlight w:val="none"/>
              </w:rPr>
            </w:pPr>
            <w:r>
              <w:rPr>
                <w:color w:val="000000"/>
                <w:highlight w:val="none"/>
              </w:rPr>
              <w:t xml:space="preserve">n）支持网络引导启用和关闭功能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*远程控制</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支持远程关机和重新启动功能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*操作系统</w:t>
            </w:r>
            <w:r>
              <w:rPr>
                <w:color w:val="000000"/>
                <w:highlight w:val="none"/>
              </w:rPr>
            </w:r>
            <w:r/>
          </w:p>
          <w:p>
            <w:pPr>
              <w:pStyle w:val="670"/>
              <w:jc w:val="center"/>
              <w:rPr>
                <w:color w:val="000000"/>
                <w:highlight w:val="none"/>
              </w:rPr>
            </w:pPr>
            <w:r>
              <w:rPr>
                <w:color w:val="000000"/>
                <w:highlight w:val="none"/>
              </w:rPr>
              <w:t xml:space="preserve">及驱动功</w:t>
            </w:r>
            <w:r>
              <w:rPr>
                <w:color w:val="000000"/>
                <w:highlight w:val="none"/>
              </w:rPr>
            </w:r>
            <w:r/>
          </w:p>
          <w:p>
            <w:pPr>
              <w:pStyle w:val="670"/>
              <w:jc w:val="center"/>
              <w:rPr>
                <w:color w:val="000000"/>
                <w:highlight w:val="none"/>
              </w:rPr>
            </w:pPr>
            <w:r>
              <w:rPr>
                <w:color w:val="000000"/>
                <w:highlight w:val="none"/>
              </w:rPr>
              <w:t xml:space="preserve">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*操作系统 及驱动的  升级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支持通过网络、闪存盘对操作系统、驱动进行升级</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69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操作系统 及驱动的 备份还原</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支持操作系统备份及还原功能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*操作系统 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 支持访问控制、安全审计、网络接入鉴别等功能；</w:t>
            </w:r>
            <w:r>
              <w:rPr>
                <w:color w:val="000000"/>
                <w:highlight w:val="none"/>
              </w:rPr>
            </w:r>
            <w:r/>
          </w:p>
          <w:p>
            <w:pPr>
              <w:pStyle w:val="670"/>
              <w:jc w:val="left"/>
              <w:rPr>
                <w:color w:val="000000"/>
                <w:highlight w:val="none"/>
              </w:rPr>
            </w:pPr>
            <w:r>
              <w:rPr>
                <w:color w:val="000000"/>
                <w:highlight w:val="none"/>
              </w:rPr>
              <w:t xml:space="preserve">b) 操作系统其他功能应满足操作系统政府采购需求标准中加*的指标要求</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*中文信息 处理功能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*中文信息 处理</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符合 GB 18030的有关规定</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机柜功能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机柜管理 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机柜管理系统包括服务器节点 BMC 管理系统、机柜管理系统或交换节点管理系统</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机柜通信 方式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若配备机柜管理板可实现包括：资产管理、电源模块、功耗管理和液 </w:t>
            </w:r>
            <w:r>
              <w:rPr>
                <w:color w:val="000000"/>
                <w:highlight w:val="none"/>
              </w:rPr>
            </w:r>
            <w:r/>
          </w:p>
          <w:p>
            <w:pPr>
              <w:pStyle w:val="670"/>
              <w:jc w:val="left"/>
              <w:rPr>
                <w:color w:val="000000"/>
                <w:highlight w:val="none"/>
              </w:rPr>
            </w:pPr>
            <w:r>
              <w:rPr>
                <w:color w:val="000000"/>
                <w:highlight w:val="none"/>
              </w:rPr>
              <w:t xml:space="preserve">冷漏液检测等功能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功能要求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多集群作 业管理</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支持多集群作业管理功能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*关键部件  安全 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*关键部件 安全要求3</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CPU和操作系统等关键部件应当符合安全可靠测评要求</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*固件安全 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*故障检测</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支持故障检测功能，可以检测到具体的FRU（内存、硬盘等）的故障并发出告警</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内存故障 智能预测 和自愈修 复</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支持内存故障智能预测和自愈修复，提前自动硬隔离，避免内存故障引起的非预期宕机以及内存寿命的降低</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硬盘故障 智能预测</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支持硬盘故障智能测，基于故障模型预测出硬盘的故障</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79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PCIe链路 故障智能 诊断</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支持PCIe链路故障智能诊断，判断出现故障PCIe链路</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内存故障 隔离</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支持内存故障隔离，在内存产生CE故障时，内存地址被隔离成功，服 务器正常运行，业务系统不中断</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内存、PCIe卡的故障 精准告警  功能</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支持内存、PCIe卡的故障精准告警功能，触发告警并明确指示具体的 故障位置</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异常下电 关键数据 保护</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支持异常下电关键数据保护，支持数据备份恢复机制，防止系统异常 掉电导致的数据文件丢失</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BMC/BIOS 固件双镜像保护</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 BMC/BIOS 固件双镜像保护，运行异常时自动切换到备份镜像运行，提升系统稳定性</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CPU核重 启隔离</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支持CPU核发生不可纠正故障后，重启后由BIOS 隔离该故障核，OS 不可见，防止OS再次使用导致系统异常，核0除外</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内存地址隔离</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在硬件支持的情况下，支持故障内存地址重启后隔离</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内存存储 阵列替换</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在硬件支持的情况下，支持故障内存存储阵列替换</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安全启动</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支持执行环境要求在整个系统启动的过程中，系统应提供一个机制来 保护平台的完整性</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*系统安全 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syslog双 向鉴别</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支持系统日志双向鉴别，对服务器根证书和客户端根证书进行鉴别</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89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*弱口令字 典检查</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支持弱口令字典检查功能，出现在弱口令字典中的字符串不能被设置 为用户口令</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*白名单访 问控制</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支持基于时间、IP或 MAC白名单访问控制</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双因素鉴 别</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支持使用客户端证书和证书密码的双因素鉴别方式登录管理系统</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*二次鉴别</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支持二次鉴别功能。对于用户配置、权限配置、公钥导入等重要的管理  操作，已登录用户应通过二次鉴别后，才能执行操作</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匿名化用 户告警接 收邮箱</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支持带外管理系统中的用户告警接收邮箱进行匿名化处理</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*密码证书 安全加密  存储</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r>
            <w:r/>
          </w:p>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支持对带外管理系统中的用户口令和证书等敏感信息进行加密存储， 禁止使用私有的和业界已知不安全的密码算法</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*敏感信息 安全加密  传输</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支持使用安全的传输加密协议（如 SSH 或 HTTPS 等）传输用户的敏感信息</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*信息安全 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*研发过程 安全</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供应商承诺，生产商已建立从需求、设计、开发、测试、维护端到端的开发流程管理机制，输出和保存开发流程中每个阶段的产品需求清</w:t>
            </w:r>
            <w:r>
              <w:rPr>
                <w:color w:val="000000"/>
                <w:highlight w:val="none"/>
              </w:rPr>
            </w:r>
            <w:r/>
          </w:p>
          <w:p>
            <w:pPr>
              <w:pStyle w:val="670"/>
              <w:jc w:val="left"/>
              <w:rPr>
                <w:color w:val="000000"/>
                <w:highlight w:val="none"/>
              </w:rPr>
            </w:pPr>
            <w:r>
              <w:rPr>
                <w:color w:val="000000"/>
                <w:highlight w:val="none"/>
              </w:rPr>
              <w:t xml:space="preserve">单、设计文档、开发文档、测试记录等材料，保证各个流程可追溯</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漏洞管理</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供应商承诺，生产商已建立漏洞全量视图，保证产品版本涉及到的所 有漏洞(如驱动程序、BMC 软件等) 都可以查看</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r>
            <w:r/>
          </w:p>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网络关键 设备服务 器要求</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作为网络关键设备的服务器应符合 GB 40050 的相关规定</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99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增强要求</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 嵌入物理可信根，实现设备的信任链构建；</w:t>
            </w:r>
            <w:r>
              <w:rPr>
                <w:color w:val="000000"/>
                <w:highlight w:val="none"/>
              </w:rPr>
            </w:r>
            <w:r/>
          </w:p>
          <w:p>
            <w:pPr>
              <w:pStyle w:val="670"/>
              <w:jc w:val="left"/>
              <w:rPr>
                <w:color w:val="000000"/>
                <w:highlight w:val="none"/>
              </w:rPr>
            </w:pPr>
            <w:r>
              <w:rPr>
                <w:color w:val="000000"/>
                <w:highlight w:val="none"/>
              </w:rPr>
              <w:t xml:space="preserve">b) 支持可信平台控制模块(TPCM)；</w:t>
            </w:r>
            <w:r>
              <w:rPr>
                <w:color w:val="000000"/>
                <w:highlight w:val="none"/>
              </w:rPr>
            </w:r>
            <w:r/>
          </w:p>
          <w:p>
            <w:pPr>
              <w:pStyle w:val="670"/>
              <w:jc w:val="left"/>
              <w:rPr>
                <w:color w:val="000000"/>
                <w:highlight w:val="none"/>
              </w:rPr>
            </w:pPr>
            <w:r>
              <w:rPr>
                <w:color w:val="000000"/>
                <w:highlight w:val="none"/>
              </w:rPr>
              <w:t xml:space="preserve">c) 支持在固件系统（BMC、BIOS）启动前实现对固件度量的功能，支持物理可信根对BMC固件或BIOS固件进行完整性检测、更新和恢复；d) 支持对CPU、网络控制器等关键处理器进行身份识别与度量的功能；</w:t>
            </w:r>
            <w:r>
              <w:rPr>
                <w:color w:val="000000"/>
                <w:highlight w:val="none"/>
              </w:rPr>
            </w:r>
            <w:r/>
          </w:p>
          <w:p>
            <w:pPr>
              <w:pStyle w:val="670"/>
              <w:jc w:val="left"/>
              <w:rPr>
                <w:color w:val="000000"/>
                <w:highlight w:val="none"/>
              </w:rPr>
            </w:pPr>
            <w:r>
              <w:rPr>
                <w:color w:val="000000"/>
                <w:highlight w:val="none"/>
              </w:rPr>
              <w:t xml:space="preserve">e) 支持基于处理器或可信计算模块度量的功能；</w:t>
            </w:r>
            <w:r>
              <w:rPr>
                <w:color w:val="000000"/>
                <w:highlight w:val="none"/>
              </w:rPr>
            </w:r>
            <w:r/>
          </w:p>
          <w:p>
            <w:pPr>
              <w:pStyle w:val="670"/>
              <w:jc w:val="left"/>
              <w:rPr>
                <w:color w:val="000000"/>
                <w:highlight w:val="none"/>
              </w:rPr>
            </w:pPr>
            <w:r>
              <w:rPr>
                <w:color w:val="000000"/>
                <w:highlight w:val="none"/>
              </w:rPr>
              <w:t xml:space="preserve">f) 所采用的可信密码模块接口应符合 GM/T 0012的相关规定；</w:t>
            </w:r>
            <w:r>
              <w:rPr>
                <w:color w:val="000000"/>
                <w:highlight w:val="none"/>
              </w:rPr>
            </w:r>
            <w:r/>
          </w:p>
          <w:p>
            <w:pPr>
              <w:pStyle w:val="670"/>
              <w:jc w:val="left"/>
              <w:rPr>
                <w:color w:val="000000"/>
                <w:highlight w:val="none"/>
              </w:rPr>
            </w:pPr>
            <w:r>
              <w:rPr>
                <w:color w:val="000000"/>
                <w:highlight w:val="none"/>
              </w:rPr>
              <w:t xml:space="preserve">g) 可信安全管理模块、处理器等硬件载体应通过国家相关部门的认证 和许可</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*物理安全</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*物理安全</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安全要求应符合GB 4943.1的规定</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安全要求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*限用物质</w:t>
            </w:r>
            <w:r>
              <w:rPr>
                <w:color w:val="000000"/>
                <w:highlight w:val="none"/>
              </w:rPr>
            </w:r>
            <w:r/>
          </w:p>
          <w:p>
            <w:pPr>
              <w:pStyle w:val="670"/>
              <w:jc w:val="center"/>
              <w:rPr>
                <w:color w:val="000000"/>
                <w:highlight w:val="none"/>
              </w:rPr>
            </w:pPr>
            <w:r>
              <w:rPr>
                <w:color w:val="000000"/>
                <w:highlight w:val="none"/>
              </w:rPr>
              <w:t xml:space="preserve">的限量要求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*限用物质 的限量要  求</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限用物质的限量应符合GB/T 26572的要求</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*CPU 性能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*CPU主频</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w:t>
            </w:r>
            <w:r>
              <w:rPr>
                <w:rFonts w:hint="eastAsia"/>
                <w:color w:val="000000"/>
                <w:highlight w:val="none"/>
              </w:rPr>
              <w:t xml:space="preserve">2.5</w:t>
            </w:r>
            <w:r>
              <w:rPr>
                <w:color w:val="000000"/>
                <w:highlight w:val="none"/>
              </w:rPr>
              <w:t xml:space="preserve">GHz</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*单 CPU 核 数</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w:t>
            </w:r>
            <w:r>
              <w:rPr>
                <w:rFonts w:hint="eastAsia"/>
                <w:color w:val="000000"/>
                <w:highlight w:val="none"/>
              </w:rPr>
              <w:t xml:space="preserve">16</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*单CPU末级缓存容量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≥8MB</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*内存性能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单内存模 块容量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w:t>
            </w:r>
            <w:r>
              <w:rPr>
                <w:rFonts w:hint="eastAsia"/>
                <w:color w:val="000000"/>
                <w:highlight w:val="none"/>
              </w:rPr>
              <w:t xml:space="preserve">32</w:t>
            </w:r>
            <w:r>
              <w:rPr>
                <w:color w:val="000000"/>
                <w:highlight w:val="none"/>
              </w:rPr>
              <w:t xml:space="preserve">GB</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*内存速率</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w:t>
            </w:r>
            <w:r>
              <w:rPr>
                <w:rFonts w:hint="eastAsia"/>
                <w:color w:val="000000"/>
                <w:highlight w:val="none"/>
              </w:rPr>
              <w:t xml:space="preserve">3200</w:t>
            </w:r>
            <w:r>
              <w:rPr>
                <w:color w:val="000000"/>
                <w:highlight w:val="none"/>
              </w:rPr>
              <w:t xml:space="preserve">MT/s</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存储性能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硬盘转速</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安装的硬磁盘转速不小于7200rpm</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RAID卡性能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RAID卡缓存容量大小</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不涉及</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109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FC HBA</w:t>
            </w:r>
            <w:r>
              <w:rPr>
                <w:color w:val="000000"/>
                <w:highlight w:val="none"/>
              </w:rPr>
            </w:r>
            <w:r/>
          </w:p>
          <w:p>
            <w:pPr>
              <w:pStyle w:val="670"/>
              <w:jc w:val="center"/>
              <w:rPr>
                <w:color w:val="000000"/>
                <w:highlight w:val="none"/>
              </w:rPr>
            </w:pPr>
            <w:r>
              <w:rPr>
                <w:color w:val="000000"/>
                <w:highlight w:val="none"/>
              </w:rPr>
              <w:t xml:space="preserve">卡性能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FCHBA卡速率</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center"/>
              <w:rPr>
                <w:color w:val="000000"/>
                <w:highlight w:val="none"/>
              </w:rPr>
            </w:pPr>
            <w:r>
              <w:rPr>
                <w:rFonts w:hint="eastAsia"/>
                <w:color w:val="000000"/>
                <w:highlight w:val="none"/>
              </w:rPr>
              <w:t xml:space="preserve">不涉及</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网络性能</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独立网卡 速率</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≥10GE</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板载网卡速率</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center"/>
              <w:rPr>
                <w:color w:val="000000"/>
                <w:highlight w:val="none"/>
              </w:rPr>
            </w:pPr>
            <w:r>
              <w:rPr>
                <w:color w:val="000000"/>
                <w:highlight w:val="none"/>
              </w:rPr>
              <w:t xml:space="preserve">≥1GE</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性能要求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*电源能耗</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*电源能耗</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符合 GB/T 9813.3 的有关规定</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*部件兼容</w:t>
            </w:r>
            <w:r>
              <w:rPr>
                <w:color w:val="000000"/>
                <w:highlight w:val="none"/>
              </w:rPr>
            </w:r>
            <w:r/>
          </w:p>
          <w:p>
            <w:pPr>
              <w:pStyle w:val="670"/>
              <w:jc w:val="center"/>
              <w:rPr>
                <w:color w:val="000000"/>
                <w:highlight w:val="none"/>
              </w:rPr>
            </w:pPr>
            <w:r>
              <w:rPr>
                <w:color w:val="000000"/>
                <w:highlight w:val="none"/>
              </w:rPr>
              <w:t xml:space="preserve">性要求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*内存兼容 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适配 3 种及以上厂商的内存产品，且均不低于产品支持的内存规格</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*固态存储 兼容性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适配 3 种或以上厂商的固态存储产品，且均不低于产品支持的固态存储设备规格</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FC HBA 卡 兼容性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FC HBA 应适配两种或以上厂商产品</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RAID 卡兼 容性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RAID 卡应适配两种或以上厂商产品</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*网卡兼容性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网卡应适配两种或以上厂商产品</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*功能卡兼 容性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内置或适配符合PCIe 的功能卡，如：网络功能卡、存储功能卡及图形显示功能卡</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119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*外设</w:t>
            </w:r>
            <w:r>
              <w:rPr>
                <w:color w:val="000000"/>
                <w:highlight w:val="none"/>
              </w:rPr>
            </w:r>
            <w:r/>
          </w:p>
          <w:p>
            <w:pPr>
              <w:pStyle w:val="670"/>
              <w:jc w:val="center"/>
              <w:rPr>
                <w:color w:val="000000"/>
                <w:highlight w:val="none"/>
              </w:rPr>
            </w:pPr>
            <w:r>
              <w:rPr>
                <w:color w:val="000000"/>
                <w:highlight w:val="none"/>
              </w:rPr>
              <w:t xml:space="preserve">兼容</w:t>
            </w:r>
            <w:r>
              <w:rPr>
                <w:color w:val="000000"/>
                <w:highlight w:val="none"/>
              </w:rPr>
            </w:r>
            <w:r/>
          </w:p>
          <w:p>
            <w:pPr>
              <w:pStyle w:val="670"/>
              <w:jc w:val="center"/>
              <w:rPr>
                <w:color w:val="000000"/>
                <w:highlight w:val="none"/>
              </w:rPr>
            </w:pPr>
            <w:r>
              <w:rPr>
                <w:color w:val="000000"/>
                <w:highlight w:val="none"/>
              </w:rPr>
              <w:t xml:space="preserve">性</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*外设兼容 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兼容多种主流生产商的外部设备，包括显示器、键盘、鼠标、闪存盘、 移动硬盘、USB光驱及 KVM等，要求使用不同厂商的外部设备时，系统均能正常识别和安装驱动</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*软件兼容</w:t>
            </w:r>
            <w:r>
              <w:rPr>
                <w:color w:val="000000"/>
                <w:highlight w:val="none"/>
              </w:rPr>
            </w:r>
            <w:r/>
          </w:p>
          <w:p>
            <w:pPr>
              <w:pStyle w:val="670"/>
              <w:jc w:val="center"/>
              <w:rPr>
                <w:color w:val="000000"/>
                <w:highlight w:val="none"/>
              </w:rPr>
            </w:pPr>
            <w:r>
              <w:rPr>
                <w:color w:val="000000"/>
                <w:highlight w:val="none"/>
              </w:rPr>
              <w:t xml:space="preserve">性</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*数据库兼 容</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兼容3个及以上厂商的数据库产品</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*中间件兼 容</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兼容3个及以上厂商的中间件产品</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*平台软件 兼容</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兼容3个及以上厂商的大数据平台</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兼容要求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虚拟化软 件兼容</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兼容2款及以上虚拟化软件</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可靠性要 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存储可靠</w:t>
            </w:r>
            <w:r>
              <w:rPr>
                <w:color w:val="000000"/>
                <w:highlight w:val="none"/>
              </w:rPr>
            </w:r>
            <w:r/>
          </w:p>
          <w:p>
            <w:pPr>
              <w:pStyle w:val="670"/>
              <w:jc w:val="center"/>
              <w:rPr>
                <w:color w:val="000000"/>
                <w:highlight w:val="none"/>
              </w:rPr>
            </w:pPr>
            <w:r>
              <w:rPr>
                <w:color w:val="000000"/>
                <w:highlight w:val="none"/>
              </w:rPr>
              <w:t xml:space="preserve">性要求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SATA SSD 可靠性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SSD 的 m1 值（MTBF 的不可接受值）不低于 200000h</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可靠性要 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*整机可靠</w:t>
            </w:r>
            <w:r>
              <w:rPr>
                <w:color w:val="000000"/>
                <w:highlight w:val="none"/>
              </w:rPr>
            </w:r>
            <w:r/>
          </w:p>
          <w:p>
            <w:pPr>
              <w:pStyle w:val="670"/>
              <w:jc w:val="center"/>
              <w:rPr>
                <w:color w:val="000000"/>
                <w:highlight w:val="none"/>
              </w:rPr>
            </w:pPr>
            <w:r>
              <w:rPr>
                <w:color w:val="000000"/>
                <w:highlight w:val="none"/>
              </w:rPr>
              <w:t xml:space="preserve">性要求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*整机可靠 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m1 值（MTBF 的不可接受值）不得低于 30000h</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可靠性要 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*风扇可靠 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风扇寿命应不低于40000h</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可靠性要 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*部件可靠 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支持硬盘、电源、风扇热插拔(内置风扇除外)</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包装及运 输要求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*包装</w:t>
            </w:r>
            <w:r>
              <w:rPr>
                <w:color w:val="000000"/>
                <w:highlight w:val="none"/>
              </w:rPr>
            </w:r>
            <w:r/>
          </w:p>
          <w:p>
            <w:pPr>
              <w:pStyle w:val="670"/>
              <w:jc w:val="center"/>
              <w:rPr>
                <w:color w:val="000000"/>
                <w:highlight w:val="none"/>
              </w:rPr>
            </w:pPr>
            <w:r>
              <w:rPr>
                <w:color w:val="000000"/>
                <w:highlight w:val="none"/>
              </w:rPr>
              <w:t xml:space="preserve">及运</w:t>
            </w:r>
            <w:r>
              <w:rPr>
                <w:color w:val="000000"/>
                <w:highlight w:val="none"/>
              </w:rPr>
            </w:r>
            <w:r/>
          </w:p>
          <w:p>
            <w:pPr>
              <w:pStyle w:val="670"/>
              <w:jc w:val="center"/>
              <w:rPr>
                <w:color w:val="000000"/>
                <w:highlight w:val="none"/>
              </w:rPr>
            </w:pPr>
            <w:r>
              <w:rPr>
                <w:color w:val="000000"/>
                <w:highlight w:val="none"/>
              </w:rPr>
              <w:t xml:space="preserve">输要</w:t>
            </w:r>
            <w:r>
              <w:rPr>
                <w:color w:val="000000"/>
                <w:highlight w:val="none"/>
              </w:rPr>
            </w:r>
            <w:r/>
          </w:p>
          <w:p>
            <w:pPr>
              <w:pStyle w:val="670"/>
              <w:jc w:val="center"/>
              <w:rPr>
                <w:color w:val="000000"/>
                <w:highlight w:val="none"/>
              </w:rPr>
            </w:pPr>
            <w:r>
              <w:rPr>
                <w:color w:val="000000"/>
                <w:highlight w:val="none"/>
              </w:rPr>
              <w:t xml:space="preserve">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*标志、包 装、运输和 贮存</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符合GB/T 9813.3和商品包装政府采购需求标准的相关规定</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129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*服务响应</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*服务响应</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 提供电话、电子邮件、远程连接等多种形式服务；</w:t>
            </w:r>
            <w:r>
              <w:rPr>
                <w:color w:val="000000"/>
                <w:highlight w:val="none"/>
              </w:rPr>
            </w:r>
            <w:r/>
          </w:p>
          <w:p>
            <w:pPr>
              <w:pStyle w:val="670"/>
              <w:jc w:val="left"/>
              <w:rPr>
                <w:color w:val="000000"/>
                <w:highlight w:val="none"/>
              </w:rPr>
            </w:pPr>
            <w:r>
              <w:rPr>
                <w:color w:val="000000"/>
                <w:highlight w:val="none"/>
              </w:rPr>
              <w:t xml:space="preserve">b) 提供同城4h、异地 12h 技术响应服务，2个工作日解决问题，对于未能解决的问题和故障应提供可行的升级方案，并提供周转设备；</w:t>
            </w:r>
            <w:r>
              <w:rPr>
                <w:color w:val="000000"/>
                <w:highlight w:val="none"/>
              </w:rPr>
            </w:r>
            <w:r/>
          </w:p>
          <w:p>
            <w:pPr>
              <w:pStyle w:val="670"/>
              <w:jc w:val="left"/>
              <w:rPr>
                <w:color w:val="000000"/>
                <w:highlight w:val="none"/>
              </w:rPr>
            </w:pPr>
            <w:r>
              <w:rPr>
                <w:color w:val="000000"/>
                <w:highlight w:val="none"/>
              </w:rPr>
              <w:t xml:space="preserve">c) 建立全国技术服务体系和服务团体，符合专业服务体系标准要求， 提供原厂中文服务；</w:t>
            </w:r>
            <w:r>
              <w:rPr>
                <w:color w:val="000000"/>
                <w:highlight w:val="none"/>
              </w:rPr>
            </w:r>
            <w:r/>
          </w:p>
          <w:p>
            <w:pPr>
              <w:pStyle w:val="670"/>
              <w:jc w:val="left"/>
              <w:rPr>
                <w:color w:val="000000"/>
                <w:highlight w:val="none"/>
              </w:rPr>
            </w:pPr>
            <w:r>
              <w:rPr>
                <w:color w:val="000000"/>
                <w:highlight w:val="none"/>
              </w:rPr>
              <w:t xml:space="preserve">d) 服务周期内提供产品的维修、换件和升级服务</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*培训服务</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供应商提供培训材料、产品手册、 培训视频等培训相关内容</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textDirection w:val="lrTb"/>
            <w:noWrap w:val="false"/>
          </w:tcPr>
          <w:p>
            <w:pPr>
              <w:pStyle w:val="670"/>
              <w:jc w:val="center"/>
              <w:rPr>
                <w:color w:val="000000"/>
                <w:highlight w:val="none"/>
              </w:rPr>
            </w:pPr>
            <w:r>
              <w:rPr>
                <w:color w:val="000000"/>
                <w:highlight w:val="none"/>
              </w:rPr>
              <w:t xml:space="preserve">*服务周期</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*服务周期</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a) 产品免费服务周期（含换件和维修）应不小于 3 年；</w:t>
            </w:r>
            <w:r>
              <w:rPr>
                <w:color w:val="000000"/>
                <w:highlight w:val="none"/>
              </w:rPr>
            </w:r>
            <w:r/>
          </w:p>
          <w:p>
            <w:pPr>
              <w:pStyle w:val="670"/>
              <w:jc w:val="left"/>
              <w:rPr>
                <w:color w:val="000000"/>
                <w:highlight w:val="none"/>
              </w:rPr>
            </w:pPr>
            <w:r>
              <w:rPr>
                <w:color w:val="000000"/>
                <w:highlight w:val="none"/>
              </w:rPr>
              <w:t xml:space="preserve">b) 设备停产后继续提供质量保障 服务（含备品备件），服务终止时 间与最后一批设备交付时间间隔不低于 6 年；</w:t>
            </w:r>
            <w:r>
              <w:rPr>
                <w:color w:val="000000"/>
                <w:highlight w:val="none"/>
              </w:rPr>
            </w:r>
            <w:r/>
          </w:p>
          <w:p>
            <w:pPr>
              <w:pStyle w:val="670"/>
              <w:jc w:val="left"/>
              <w:rPr>
                <w:color w:val="000000"/>
                <w:highlight w:val="none"/>
              </w:rPr>
            </w:pPr>
            <w:r>
              <w:rPr>
                <w:color w:val="000000"/>
                <w:highlight w:val="none"/>
              </w:rPr>
              <w:t xml:space="preserve">c) 产品停止服务时间应提前 1 年告知客户；</w:t>
            </w:r>
            <w:r>
              <w:rPr>
                <w:color w:val="000000"/>
                <w:highlight w:val="none"/>
              </w:rPr>
            </w:r>
            <w:r/>
          </w:p>
          <w:p>
            <w:pPr>
              <w:pStyle w:val="670"/>
              <w:jc w:val="left"/>
              <w:rPr>
                <w:color w:val="000000"/>
                <w:highlight w:val="none"/>
              </w:rPr>
            </w:pPr>
            <w:r>
              <w:rPr>
                <w:color w:val="000000"/>
                <w:highlight w:val="none"/>
              </w:rPr>
              <w:t xml:space="preserve">d) 产品发布日期需在随机文件中明确</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r>
            <w:r/>
          </w:p>
          <w:p>
            <w:pPr>
              <w:pStyle w:val="670"/>
              <w:jc w:val="center"/>
              <w:rPr>
                <w:color w:val="000000"/>
                <w:highlight w:val="none"/>
              </w:rPr>
            </w:pPr>
            <w:r>
              <w:rPr>
                <w:color w:val="000000"/>
                <w:highlight w:val="none"/>
              </w:rPr>
            </w:r>
            <w:r/>
          </w:p>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*服务工具 要求</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*工具要求</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供应商提供设置服务器硬件、辅助操作系统安装等功能的辅助工具和 管理软件。且随附软件应具有合法 授权或版权</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辅助工具</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支持如下功能</w:t>
            </w:r>
            <w:r>
              <w:rPr>
                <w:color w:val="000000"/>
                <w:highlight w:val="none"/>
              </w:rPr>
            </w:r>
            <w:r/>
          </w:p>
          <w:p>
            <w:pPr>
              <w:pStyle w:val="670"/>
              <w:jc w:val="left"/>
              <w:rPr>
                <w:color w:val="000000"/>
                <w:highlight w:val="none"/>
              </w:rPr>
            </w:pPr>
            <w:r>
              <w:rPr>
                <w:color w:val="000000"/>
                <w:highlight w:val="none"/>
              </w:rPr>
              <w:t xml:space="preserve">a) 本地的数据备份和还原功能；</w:t>
            </w:r>
            <w:r>
              <w:rPr>
                <w:color w:val="000000"/>
                <w:highlight w:val="none"/>
              </w:rPr>
            </w:r>
            <w:r/>
          </w:p>
          <w:p>
            <w:pPr>
              <w:pStyle w:val="670"/>
              <w:jc w:val="left"/>
              <w:rPr>
                <w:color w:val="000000"/>
                <w:highlight w:val="none"/>
              </w:rPr>
            </w:pPr>
            <w:r>
              <w:rPr>
                <w:color w:val="000000"/>
                <w:highlight w:val="none"/>
              </w:rPr>
              <w:t xml:space="preserve">b) 网络的数据备份和还原功能；</w:t>
            </w:r>
            <w:r>
              <w:rPr>
                <w:color w:val="000000"/>
                <w:highlight w:val="none"/>
              </w:rPr>
            </w:r>
            <w:r/>
          </w:p>
          <w:p>
            <w:pPr>
              <w:pStyle w:val="670"/>
              <w:jc w:val="left"/>
              <w:rPr>
                <w:color w:val="000000"/>
                <w:highlight w:val="none"/>
              </w:rPr>
            </w:pPr>
            <w:r>
              <w:rPr>
                <w:color w:val="000000"/>
                <w:highlight w:val="none"/>
              </w:rPr>
              <w:t xml:space="preserve">c) 服务器操作系统的自动安装功能；</w:t>
            </w:r>
            <w:r>
              <w:rPr>
                <w:color w:val="000000"/>
                <w:highlight w:val="none"/>
              </w:rPr>
            </w:r>
            <w:r/>
          </w:p>
          <w:p>
            <w:pPr>
              <w:pStyle w:val="670"/>
              <w:jc w:val="left"/>
              <w:rPr>
                <w:color w:val="000000"/>
                <w:highlight w:val="none"/>
              </w:rPr>
            </w:pPr>
            <w:r>
              <w:rPr>
                <w:color w:val="000000"/>
                <w:highlight w:val="none"/>
              </w:rPr>
              <w:t xml:space="preserve">d) 服务器所配硬件需要的驱动程序和系统补丁</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*驱动安装 升级指引</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供应商提供出厂安装的配件所需的驱动程序，形式包括但不限于驱动 光盘、驱动下载链接等。其他配件 应提供指引</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随机附开 盖工具</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随服务器打包提供开机箱工具</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136</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代码迁移 工具</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供应商提供从其他CPU 架构到当前服务器CPU 架构的软件迁移工具产 品，支持软件包迁移评估，对满足产品重构要求的软件包，能重构为 当前服务器 CPU架构的软件包。提供源码迁移功能，检查分析C/C++/Fortran/Go/解释型语言/汇编等源码文件，基于产品功能给出 迁移指导</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137</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性能分析 工具</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供应商提供支持当前服务器 CPU 架构的性能分析工具产品，支持系统  性能分析、Java 性能分析和系统诊断，可分析系统或应用CPU、内存、IO、网络等方面的性能，并给出优化建议</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138</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跨架构平 台应用兼 容</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跨 CPU架构平台应用兼容工具，可兼容一种或者一种以上不同架构平台的应用</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139</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*管理软件</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具备资源管理、系统管理、性能监控、健康监控、基于网络控制、报 警设置功能</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140</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*增值服务</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*厂家升级 产品软件  与扩容服  务</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供应商提供原厂级的部件/软件产品升级和扩容能力</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141</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服务保障 升级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供应商有偿提供远程技术支持、软件授权服务、备件更换服务、现场支承服务</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142</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*提供上门 服务</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是</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供应商具备提供上门服务的能力 (可收费)</w:t>
            </w:r>
            <w:r>
              <w:rPr>
                <w:color w:val="000000"/>
                <w:highlight w:val="none"/>
              </w:rPr>
            </w:r>
            <w:r/>
          </w:p>
        </w:tc>
        <w:tc>
          <w:tcPr>
            <w:tcW w:w="815" w:type="dxa"/>
            <w:vAlign w:val="center"/>
            <w:textDirection w:val="lrTb"/>
            <w:noWrap w:val="false"/>
          </w:tcPr>
          <w:p>
            <w:pPr>
              <w:pStyle w:val="670"/>
              <w:jc w:val="center"/>
              <w:rPr>
                <w:b/>
                <w:color w:val="000000"/>
                <w:highlight w:val="none"/>
              </w:rPr>
            </w:pPr>
            <w:r>
              <w:rPr>
                <w:b/>
                <w:color w:val="000000"/>
                <w:highlight w:val="none"/>
              </w:rPr>
              <w:t xml:space="preserve">/</w:t>
            </w:r>
            <w:r>
              <w:rPr>
                <w:b/>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143</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服务要求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业务场景 性能优化 服务及整 体架构升 级服务</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供应商提供针对特定业务场景性能优化服务及整体架构升级服务</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144</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供保要求</w:t>
            </w:r>
            <w:r>
              <w:rPr>
                <w:color w:val="000000"/>
                <w:highlight w:val="none"/>
              </w:rPr>
            </w:r>
            <w:r/>
          </w:p>
        </w:tc>
        <w:tc>
          <w:tcPr>
            <w:tcW w:w="1117" w:type="dxa"/>
            <w:vAlign w:val="center"/>
            <w:vMerge w:val="restart"/>
            <w:textDirection w:val="lrTb"/>
            <w:noWrap w:val="false"/>
          </w:tcPr>
          <w:p>
            <w:pPr>
              <w:pStyle w:val="670"/>
              <w:jc w:val="center"/>
              <w:rPr>
                <w:color w:val="000000"/>
                <w:highlight w:val="none"/>
              </w:rPr>
            </w:pPr>
            <w:r>
              <w:rPr>
                <w:color w:val="000000"/>
                <w:highlight w:val="none"/>
              </w:rPr>
              <w:t xml:space="preserve">*供应</w:t>
            </w:r>
            <w:r>
              <w:rPr>
                <w:color w:val="000000"/>
                <w:highlight w:val="none"/>
              </w:rPr>
            </w:r>
            <w:r/>
          </w:p>
          <w:p>
            <w:pPr>
              <w:pStyle w:val="670"/>
              <w:jc w:val="center"/>
              <w:rPr>
                <w:color w:val="000000"/>
                <w:highlight w:val="none"/>
              </w:rPr>
            </w:pPr>
            <w:r>
              <w:rPr>
                <w:color w:val="000000"/>
                <w:highlight w:val="none"/>
              </w:rPr>
              <w:t xml:space="preserve">链质</w:t>
            </w:r>
            <w:r>
              <w:rPr>
                <w:color w:val="000000"/>
                <w:highlight w:val="none"/>
              </w:rPr>
            </w:r>
            <w:r/>
          </w:p>
          <w:p>
            <w:pPr>
              <w:pStyle w:val="670"/>
              <w:jc w:val="center"/>
              <w:rPr>
                <w:color w:val="000000"/>
                <w:highlight w:val="none"/>
              </w:rPr>
            </w:pPr>
            <w:r>
              <w:rPr>
                <w:color w:val="000000"/>
                <w:highlight w:val="none"/>
              </w:rPr>
              <w:t xml:space="preserve">量</w:t>
            </w: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*抗干扰性</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color w:val="000000"/>
                <w:highlight w:val="none"/>
              </w:rPr>
              <w:t xml:space="preserve">当产品部件出现供应风险时，应通知客户并提供风险应对方案确保产 品的服务保障，必要时应停止相关受影响产品的销售</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r>
        <w:trPr/>
        <w:tc>
          <w:tcPr>
            <w:tcW w:w="537" w:type="dxa"/>
            <w:vAlign w:val="center"/>
            <w:textDirection w:val="lrTb"/>
            <w:noWrap w:val="false"/>
          </w:tcPr>
          <w:p>
            <w:pPr>
              <w:pStyle w:val="670"/>
              <w:jc w:val="center"/>
              <w:rPr>
                <w:color w:val="000000"/>
                <w:highlight w:val="none"/>
              </w:rPr>
            </w:pPr>
            <w:r>
              <w:rPr>
                <w:color w:val="000000"/>
                <w:highlight w:val="none"/>
              </w:rPr>
              <w:t xml:space="preserve">145</w:t>
            </w:r>
            <w:r>
              <w:rPr>
                <w:color w:val="000000"/>
                <w:highlight w:val="none"/>
              </w:rPr>
            </w:r>
            <w:r/>
          </w:p>
        </w:tc>
        <w:tc>
          <w:tcPr>
            <w:tcW w:w="1167" w:type="dxa"/>
            <w:vAlign w:val="center"/>
            <w:textDirection w:val="lrTb"/>
            <w:noWrap w:val="false"/>
          </w:tcPr>
          <w:p>
            <w:pPr>
              <w:pStyle w:val="670"/>
              <w:jc w:val="center"/>
              <w:rPr>
                <w:color w:val="000000"/>
                <w:highlight w:val="none"/>
              </w:rPr>
            </w:pPr>
            <w:r>
              <w:rPr>
                <w:color w:val="000000"/>
                <w:highlight w:val="none"/>
              </w:rPr>
              <w:t xml:space="preserve">供保要求</w:t>
            </w:r>
            <w:r>
              <w:rPr>
                <w:color w:val="000000"/>
                <w:highlight w:val="none"/>
              </w:rPr>
            </w:r>
            <w:r/>
          </w:p>
        </w:tc>
        <w:tc>
          <w:tcPr>
            <w:tcW w:w="1117" w:type="dxa"/>
            <w:vAlign w:val="center"/>
            <w:vMerge w:val="continue"/>
            <w:textDirection w:val="lrTb"/>
            <w:noWrap w:val="false"/>
          </w:tcPr>
          <w:p>
            <w:pPr>
              <w:pStyle w:val="670"/>
              <w:jc w:val="center"/>
              <w:rPr>
                <w:color w:val="000000"/>
                <w:highlight w:val="none"/>
              </w:rPr>
            </w:pPr>
            <w:r>
              <w:rPr>
                <w:color w:val="000000"/>
                <w:highlight w:val="none"/>
              </w:rPr>
            </w:r>
            <w:r/>
          </w:p>
        </w:tc>
        <w:tc>
          <w:tcPr>
            <w:tcW w:w="1383" w:type="dxa"/>
            <w:vAlign w:val="center"/>
            <w:textDirection w:val="lrTb"/>
            <w:noWrap w:val="false"/>
          </w:tcPr>
          <w:p>
            <w:pPr>
              <w:pStyle w:val="670"/>
              <w:jc w:val="center"/>
              <w:rPr>
                <w:color w:val="000000"/>
                <w:highlight w:val="none"/>
              </w:rPr>
            </w:pPr>
            <w:r>
              <w:rPr>
                <w:color w:val="000000"/>
                <w:highlight w:val="none"/>
              </w:rPr>
              <w:t xml:space="preserve">*供应能力 证明</w:t>
            </w:r>
            <w:r>
              <w:rPr>
                <w:color w:val="000000"/>
                <w:highlight w:val="none"/>
              </w:rPr>
            </w:r>
            <w:r/>
          </w:p>
        </w:tc>
        <w:tc>
          <w:tcPr>
            <w:tcW w:w="1133" w:type="dxa"/>
            <w:vAlign w:val="center"/>
            <w:textDirection w:val="lrTb"/>
            <w:noWrap w:val="false"/>
          </w:tcPr>
          <w:p>
            <w:pPr>
              <w:pStyle w:val="670"/>
              <w:jc w:val="center"/>
              <w:rPr>
                <w:color w:val="000000"/>
                <w:highlight w:val="none"/>
              </w:rPr>
            </w:pPr>
            <w:r>
              <w:rPr>
                <w:color w:val="000000"/>
                <w:highlight w:val="none"/>
              </w:rPr>
              <w:t xml:space="preserve">否</w:t>
            </w:r>
            <w:r>
              <w:rPr>
                <w:color w:val="000000"/>
                <w:highlight w:val="none"/>
              </w:rPr>
            </w:r>
            <w:r/>
          </w:p>
        </w:tc>
        <w:tc>
          <w:tcPr>
            <w:tcW w:w="3017" w:type="dxa"/>
            <w:vAlign w:val="center"/>
            <w:textDirection w:val="lrTb"/>
            <w:noWrap w:val="false"/>
          </w:tcPr>
          <w:p>
            <w:pPr>
              <w:pStyle w:val="670"/>
              <w:jc w:val="left"/>
              <w:rPr>
                <w:color w:val="000000"/>
                <w:highlight w:val="none"/>
              </w:rPr>
            </w:pPr>
            <w:r>
              <w:rPr>
                <w:b/>
                <w:bCs/>
                <w:color w:val="000000"/>
                <w:highlight w:val="none"/>
              </w:rPr>
              <w:t xml:space="preserve">供应商提供供应链稳定承诺书，确保产品的部件在产品服务周期内稳 定供货</w:t>
            </w:r>
            <w:r>
              <w:rPr>
                <w:color w:val="000000"/>
                <w:highlight w:val="none"/>
              </w:rPr>
            </w:r>
            <w:r/>
          </w:p>
        </w:tc>
        <w:tc>
          <w:tcPr>
            <w:tcW w:w="815" w:type="dxa"/>
            <w:vAlign w:val="center"/>
            <w:textDirection w:val="lrTb"/>
            <w:noWrap w:val="false"/>
          </w:tcPr>
          <w:p>
            <w:pPr>
              <w:pStyle w:val="670"/>
              <w:jc w:val="center"/>
              <w:rPr>
                <w:color w:val="000000"/>
                <w:highlight w:val="none"/>
              </w:rPr>
            </w:pPr>
            <w:r>
              <w:rPr>
                <w:color w:val="000000"/>
                <w:highlight w:val="none"/>
              </w:rPr>
              <w:t xml:space="preserve">/</w:t>
            </w:r>
            <w:r>
              <w:rPr>
                <w:color w:val="000000"/>
                <w:highlight w:val="none"/>
              </w:rPr>
            </w:r>
            <w:r/>
          </w:p>
        </w:tc>
      </w:tr>
    </w:tbl>
    <w:p>
      <w:pPr>
        <w:pStyle w:val="670"/>
        <w:spacing w:line="360" w:lineRule="auto"/>
        <w:rPr>
          <w:rFonts w:hAnsi="宋体"/>
          <w:b/>
          <w:bCs/>
          <w:color w:val="000000"/>
          <w:sz w:val="24"/>
          <w:szCs w:val="24"/>
          <w:highlight w:val="none"/>
        </w:rPr>
      </w:pPr>
      <w:r>
        <w:rPr>
          <w:rFonts w:hint="eastAsia" w:hAnsi="宋体"/>
          <w:b/>
          <w:bCs/>
          <w:color w:val="000000"/>
          <w:sz w:val="24"/>
          <w:szCs w:val="24"/>
          <w:highlight w:val="none"/>
        </w:rPr>
        <w:t xml:space="preserve">注：</w:t>
      </w:r>
      <w:r>
        <w:rPr>
          <w:rFonts w:hAnsi="宋体"/>
          <w:b/>
          <w:bCs/>
          <w:color w:val="000000"/>
          <w:sz w:val="24"/>
          <w:szCs w:val="24"/>
          <w:highlight w:val="none"/>
        </w:rPr>
      </w:r>
      <w:r/>
    </w:p>
    <w:p>
      <w:pPr>
        <w:pStyle w:val="670"/>
        <w:jc w:val="left"/>
        <w:rPr>
          <w:b/>
          <w:bCs/>
          <w:color w:val="000000"/>
          <w:highlight w:val="none"/>
        </w:rPr>
      </w:pPr>
      <w:r>
        <w:rPr>
          <w:rFonts w:hint="eastAsia"/>
          <w:b/>
          <w:bCs/>
          <w:color w:val="000000"/>
          <w:highlight w:val="none"/>
        </w:rPr>
        <w:t xml:space="preserve">1.以上项目技术要求投标人符合招标文件要求，否则将被视为无效投标文件。</w:t>
      </w:r>
      <w:r>
        <w:rPr>
          <w:b/>
          <w:bCs/>
          <w:color w:val="000000"/>
          <w:highlight w:val="none"/>
        </w:rPr>
      </w:r>
      <w:r/>
    </w:p>
    <w:p>
      <w:pPr>
        <w:pStyle w:val="670"/>
        <w:jc w:val="left"/>
        <w:rPr>
          <w:b/>
          <w:bCs/>
          <w:color w:val="000000"/>
          <w:highlight w:val="none"/>
        </w:rPr>
      </w:pPr>
      <w:r>
        <w:rPr>
          <w:rFonts w:hint="eastAsia"/>
          <w:b/>
          <w:bCs/>
          <w:color w:val="000000"/>
          <w:highlight w:val="none"/>
        </w:rPr>
        <w:t xml:space="preserve">2.学校光纤已接入教室，面积最大不超过200㎡，所有的线材、辅材基本为教室布线使用。</w:t>
      </w:r>
      <w:r>
        <w:rPr>
          <w:b/>
          <w:bCs/>
          <w:color w:val="000000"/>
          <w:highlight w:val="none"/>
        </w:rPr>
      </w:r>
      <w:r/>
    </w:p>
    <w:p>
      <w:pPr>
        <w:pStyle w:val="670"/>
        <w:jc w:val="left"/>
        <w:rPr>
          <w:b/>
          <w:bCs/>
          <w:color w:val="000000"/>
          <w:highlight w:val="none"/>
        </w:rPr>
      </w:pPr>
      <w:r>
        <w:rPr>
          <w:rFonts w:hint="eastAsia"/>
          <w:b/>
          <w:bCs/>
          <w:color w:val="000000"/>
          <w:highlight w:val="none"/>
        </w:rPr>
        <w:t xml:space="preserve">★本项目中的教师端高清摄像机、学生端高清摄像机、桌面硬件采集编码器、云录播平台系统须接入学校现有智慧教室云平台实现统一管理，所有产品均须提供对接承诺函并加盖投标人公章；并于一个日历天搭建好演示环境。</w:t>
      </w:r>
      <w:r>
        <w:rPr>
          <w:b/>
          <w:bCs/>
          <w:color w:val="000000"/>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670"/>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670"/>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通过中国海关报关验放进入中国境内且产自关境外的产品不在本项目的报价范围。</w:t>
      </w:r>
      <w:r>
        <w:rPr>
          <w:rFonts w:hint="eastAsia" w:ascii="宋体"/>
          <w:bCs/>
          <w:color w:val="000000"/>
          <w:sz w:val="24"/>
          <w:szCs w:val="24"/>
          <w:highlight w:val="none"/>
        </w:rPr>
      </w:r>
      <w:r/>
    </w:p>
    <w:p>
      <w:pPr>
        <w:pStyle w:val="670"/>
        <w:numPr>
          <w:ilvl w:val="1"/>
          <w:numId w:val="5"/>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670"/>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color w:val="000000"/>
          <w:sz w:val="24"/>
          <w:szCs w:val="18"/>
          <w:highlight w:val="none"/>
        </w:rPr>
      </w:pPr>
      <w:r>
        <w:rPr>
          <w:rFonts w:hint="eastAsia" w:ascii="宋体" w:hAnsi="宋体"/>
          <w:bCs/>
          <w:color w:val="000000"/>
          <w:sz w:val="24"/>
          <w:szCs w:val="24"/>
          <w:highlight w:val="none"/>
        </w:rPr>
        <w:t xml:space="preserve">完工期：</w:t>
      </w:r>
      <w:r>
        <w:rPr>
          <w:rFonts w:hint="eastAsia" w:ascii="宋体" w:hAnsi="宋体"/>
          <w:color w:val="000000"/>
          <w:sz w:val="24"/>
          <w:szCs w:val="18"/>
          <w:highlight w:val="none"/>
        </w:rPr>
        <w:t xml:space="preserve">合同签订之日起30个工作日内，按合同和招标文件约定的要求和标准进行交付，完成项目的安装、调试、试运行及验收。</w:t>
      </w:r>
      <w:r>
        <w:rPr>
          <w:rFonts w:ascii="宋体" w:hAnsi="宋体"/>
          <w:color w:val="000000"/>
          <w:sz w:val="24"/>
          <w:szCs w:val="18"/>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color w:val="000000"/>
          <w:sz w:val="24"/>
          <w:szCs w:val="18"/>
          <w:highlight w:val="none"/>
        </w:rPr>
      </w:pPr>
      <w:r>
        <w:rPr>
          <w:rFonts w:hint="eastAsia" w:ascii="宋体"/>
          <w:bCs/>
          <w:color w:val="000000"/>
          <w:sz w:val="24"/>
          <w:szCs w:val="24"/>
          <w:highlight w:val="none"/>
        </w:rPr>
        <w:t xml:space="preserve">项目整体质保期：</w:t>
      </w:r>
      <w:r>
        <w:rPr>
          <w:rFonts w:hint="eastAsia" w:ascii="宋体" w:hAnsi="宋体"/>
          <w:color w:val="000000"/>
          <w:sz w:val="24"/>
          <w:szCs w:val="18"/>
          <w:highlight w:val="none"/>
        </w:rPr>
        <w:t xml:space="preserve">本项目需提供</w:t>
      </w:r>
      <w:r>
        <w:rPr>
          <w:rFonts w:ascii="宋体" w:hAnsi="宋体"/>
          <w:color w:val="000000"/>
          <w:sz w:val="24"/>
          <w:szCs w:val="18"/>
          <w:highlight w:val="none"/>
        </w:rPr>
        <w:t xml:space="preserve">5</w:t>
      </w:r>
      <w:r>
        <w:rPr>
          <w:rFonts w:hint="eastAsia" w:ascii="宋体" w:hAnsi="宋体"/>
          <w:color w:val="000000"/>
          <w:sz w:val="24"/>
          <w:szCs w:val="18"/>
          <w:highlight w:val="none"/>
        </w:rPr>
        <w:t xml:space="preserve">年的免费质保期（免费质量保证期从供货、安装、调试正常且经采购人综合运行验收合格日后开始计算）。</w:t>
      </w:r>
      <w:r>
        <w:rPr>
          <w:rFonts w:ascii="宋体" w:hAnsi="宋体"/>
          <w:color w:val="000000"/>
          <w:sz w:val="24"/>
          <w:szCs w:val="18"/>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hAnsi="宋体"/>
          <w:color w:val="000000"/>
          <w:sz w:val="24"/>
          <w:szCs w:val="18"/>
          <w:highlight w:val="none"/>
        </w:rPr>
        <w:t xml:space="preserve">项目合同签订后预付合同金额的30%,所有设备安装调试完毕，并通过验收后支付至合同价款的100%.</w:t>
      </w:r>
      <w:r>
        <w:rPr>
          <w:rFonts w:hint="eastAsia"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%提供履约担保。中标（成交）供应商可采用电子履约保函（保险）形式，具体操作可登录江苏政府采购网的保险保函模块进行办理。中标供应商和采购人签订合同时应提交履约保函证明。</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bCs/>
          <w:color w:val="000000"/>
          <w:sz w:val="24"/>
          <w:szCs w:val="18"/>
          <w:highlight w:val="none"/>
        </w:rPr>
        <w:t xml:space="preserve">无锡科技职业学院</w:t>
      </w:r>
      <w:r>
        <w:rPr>
          <w:rFonts w:hint="eastAsia" w:ascii="宋体" w:hAnsi="宋体"/>
          <w:bCs/>
          <w:color w:val="000000"/>
          <w:sz w:val="24"/>
          <w:szCs w:val="24"/>
          <w:highlight w:val="none"/>
        </w:rPr>
        <w:t xml:space="preserve">，具体地点以合同书约定为准。中标方必须按采购人要求将本项目中货物送到指定地点（包括可能的分布范围），并分地实施安装调试。</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670"/>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0"/>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670"/>
        <w:numPr>
          <w:ilvl w:val="1"/>
          <w:numId w:val="6"/>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bCs/>
          <w:color w:val="000000"/>
          <w:sz w:val="24"/>
          <w:szCs w:val="24"/>
          <w:highlight w:val="none"/>
        </w:rPr>
      </w:r>
      <w:r/>
    </w:p>
    <w:p>
      <w:pPr>
        <w:pStyle w:val="670"/>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670"/>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w:t>
      </w:r>
      <w:r>
        <w:rPr>
          <w:color w:val="000000"/>
          <w:sz w:val="24"/>
          <w:szCs w:val="24"/>
          <w:highlight w:val="none"/>
        </w:rPr>
        <w:t xml:space="preserve">2023</w:t>
      </w:r>
      <w:r>
        <w:rPr>
          <w:rFonts w:hint="eastAsia"/>
          <w:color w:val="000000"/>
          <w:sz w:val="24"/>
          <w:szCs w:val="24"/>
          <w:highlight w:val="none"/>
        </w:rPr>
        <w:t xml:space="preserve">〕</w:t>
      </w:r>
      <w:r>
        <w:rPr>
          <w:color w:val="000000"/>
          <w:sz w:val="24"/>
          <w:szCs w:val="24"/>
          <w:highlight w:val="none"/>
        </w:rPr>
        <w:t xml:space="preserve">7</w:t>
      </w:r>
      <w:r>
        <w:rPr>
          <w:rFonts w:hint="eastAsia"/>
          <w:color w:val="000000"/>
          <w:sz w:val="24"/>
          <w:szCs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670"/>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670"/>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670"/>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670"/>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中标、成交供应商可以采用电子履约保函形式，具体操作可登录江苏政府采购网的保险保函模块进行办理，也可通过</w:t>
      </w:r>
      <w:r>
        <w:rPr>
          <w:rFonts w:ascii="宋体"/>
          <w:bCs/>
          <w:color w:val="000000"/>
          <w:sz w:val="24"/>
          <w:szCs w:val="24"/>
          <w:highlight w:val="none"/>
        </w:rPr>
        <w:t xml:space="preserve">无锡市政府采购网</w:t>
      </w:r>
      <w:r>
        <w:rPr>
          <w:rFonts w:hint="eastAsia" w:ascii="宋体"/>
          <w:bCs/>
          <w:color w:val="000000"/>
          <w:sz w:val="24"/>
          <w:szCs w:val="24"/>
          <w:highlight w:val="none"/>
        </w:rPr>
        <w:t xml:space="preserve">、“</w:t>
      </w:r>
      <w:r>
        <w:rPr>
          <w:rFonts w:ascii="宋体"/>
          <w:bCs/>
          <w:color w:val="000000"/>
          <w:sz w:val="24"/>
          <w:szCs w:val="24"/>
          <w:highlight w:val="none"/>
        </w:rPr>
        <w:t xml:space="preserve">苏采云</w:t>
      </w:r>
      <w:r>
        <w:rPr>
          <w:rFonts w:hint="eastAsia" w:ascii="宋体"/>
          <w:bCs/>
          <w:color w:val="000000"/>
          <w:sz w:val="24"/>
          <w:szCs w:val="24"/>
          <w:highlight w:val="none"/>
        </w:rPr>
        <w:t xml:space="preserve">”</w:t>
      </w:r>
      <w:r>
        <w:rPr>
          <w:rFonts w:ascii="宋体"/>
          <w:bCs/>
          <w:color w:val="000000"/>
          <w:sz w:val="24"/>
          <w:szCs w:val="24"/>
          <w:highlight w:val="none"/>
        </w:rPr>
        <w:t xml:space="preserve">系统链接访问（首次使用需注册）。</w:t>
      </w:r>
      <w:r>
        <w:rPr>
          <w:rFonts w:hint="eastAsia" w:ascii="宋体"/>
          <w:bCs/>
          <w:color w:val="000000"/>
          <w:sz w:val="24"/>
          <w:szCs w:val="24"/>
          <w:highlight w:val="none"/>
        </w:rPr>
      </w:r>
      <w:r/>
    </w:p>
    <w:p>
      <w:pPr>
        <w:pStyle w:val="670"/>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670"/>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670"/>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670"/>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highlight w:val="none"/>
        </w:rPr>
      </w:pPr>
      <w:r>
        <w:rPr>
          <w:rFonts w:ascii="宋体"/>
          <w:bCs/>
          <w:color w:val="000000"/>
          <w:sz w:val="24"/>
          <w:szCs w:val="24"/>
          <w:highlight w:val="none"/>
        </w:rPr>
        <w:br w:type="page" w:clear="all"/>
      </w:r>
      <w:bookmarkStart w:id="195"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rPr>
          <w:rFonts w:hint="eastAsia" w:ascii="黑体" w:hAnsi="黑体" w:eastAsia="黑体"/>
          <w:bCs/>
          <w:color w:val="000000"/>
          <w:sz w:val="36"/>
          <w:szCs w:val="36"/>
          <w:highlight w:val="none"/>
        </w:rPr>
      </w:r>
      <w:r/>
    </w:p>
    <w:p>
      <w:pPr>
        <w:pStyle w:val="757"/>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757"/>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757"/>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757"/>
        <w:spacing w:before="0" w:after="0" w:line="500" w:lineRule="exact"/>
        <w:rPr>
          <w:rStyle w:val="746"/>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746"/>
          <w:rFonts w:ascii="Times New Roman" w:hAnsi="Times New Roman"/>
          <w:color w:val="000000"/>
          <w:highlight w:val="none"/>
        </w:rPr>
      </w:r>
      <w:r/>
    </w:p>
    <w:p>
      <w:pPr>
        <w:pStyle w:val="757"/>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757"/>
        <w:ind w:firstLine="720"/>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757"/>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670"/>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hint="eastAsia" w:ascii="宋体" w:hAnsi="宋体"/>
          <w:b/>
          <w:bCs/>
          <w:color w:val="000000"/>
          <w:sz w:val="24"/>
          <w:szCs w:val="24"/>
          <w:highlight w:val="none"/>
        </w:rPr>
      </w:r>
      <w:r/>
    </w:p>
    <w:p>
      <w:pPr>
        <w:pStyle w:val="670"/>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670"/>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670"/>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67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670"/>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670"/>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670"/>
        <w:ind w:firstLine="480"/>
        <w:jc w:val="left"/>
        <w:spacing w:line="500" w:lineRule="exact"/>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757"/>
        <w:ind w:firstLine="360"/>
        <w:spacing w:before="0" w:after="0" w:line="500" w:lineRule="exact"/>
        <w:rPr>
          <w:rFonts w:hint="eastAsia" w:ascii="宋体" w:hAnsi="宋体"/>
          <w:color w:val="000000"/>
          <w:highlight w:val="none"/>
          <w:shd w:val="clear" w:color="ffffff" w:fill="d9d9d9"/>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价格（50分）：</w:t>
      </w:r>
      <w:r>
        <w:rPr>
          <w:rFonts w:ascii="宋体" w:hAnsi="宋体"/>
          <w:b/>
          <w:bCs/>
          <w:color w:val="000000"/>
          <w:sz w:val="24"/>
          <w:szCs w:val="24"/>
          <w:highlight w:val="none"/>
        </w:rPr>
      </w:r>
      <w:r/>
    </w:p>
    <w:p>
      <w:pPr>
        <w:pStyle w:val="670"/>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670"/>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670"/>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技术能力（31分）：</w:t>
      </w:r>
      <w:r>
        <w:rPr>
          <w:rFonts w:ascii="宋体" w:hAnsi="宋体"/>
          <w:b/>
          <w:bCs/>
          <w:color w:val="000000"/>
          <w:sz w:val="24"/>
          <w:szCs w:val="24"/>
          <w:highlight w:val="none"/>
        </w:rPr>
      </w:r>
      <w:r/>
    </w:p>
    <w:p>
      <w:pPr>
        <w:pStyle w:val="701"/>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一、教师端高清摄像机（3分）</w:t>
      </w:r>
      <w:r>
        <w:rPr>
          <w:rFonts w:ascii="宋体" w:hAnsi="宋体" w:eastAsia="宋体" w:cs="宋体"/>
          <w:b/>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教师端摄像机产品当红外灯开启后，透明罩出现水雾、灰尘、刮痕时，采集的图像不出现重影，模糊及光反射现象。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2.所投教师端摄像机产品内置GPU芯片。提供具有CMA标识的第三方测试机构出具的检测（测试）报告扫描件加盖产品制造商公章佐证得1分，不提供不得分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3.所投教师端摄像机产品当电压在DC12V±30%范围内变化时，设备可正常工作，且支持POE供电。提供具有CMA标识的第三方测试机构出具的检测（测试）报告扫描件加盖产品制造商公章佐证得1分，不提供不得分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701"/>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二、学生高清摄像机（1分）</w:t>
      </w:r>
      <w:r>
        <w:rPr>
          <w:rFonts w:ascii="宋体" w:hAnsi="宋体" w:eastAsia="宋体" w:cs="宋体"/>
          <w:b/>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所投学生摄像机产品内置1个麦克风，且具有1个音频输入接口，1个音频输出接口；具有1个报警输入接口，1个报警输出接口。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701"/>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三、高保真拾音器（1分）</w:t>
      </w:r>
      <w:r>
        <w:rPr>
          <w:rFonts w:ascii="宋体" w:hAnsi="宋体" w:eastAsia="宋体" w:cs="宋体"/>
          <w:b/>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所投高保真拾音器产品音频输出不存在与拾音器环境不相符的音量变化、声音断续等现象，且能够清晰地探测到现场的语音和凿、锯、砸等动作发出的声音。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701"/>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四、云录播平台系统（8分）</w:t>
      </w:r>
      <w:r>
        <w:rPr>
          <w:rFonts w:ascii="宋体" w:hAnsi="宋体" w:eastAsia="宋体" w:cs="宋体"/>
          <w:b/>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云录播平台系统为解决教室或教室多摄像机直播和录制问题（超过2个以上），要求可根据教室摄像机数量进行三画面直播和多画面录制，三画面直播和点播时要求可自定义选择摄像机和课件画面组合。提供具有CMA标识的第三方测试机构出具的检测（测试）报告扫描件加盖产品制造商公章佐证得3分，不提供不得分</w:t>
      </w:r>
      <w:r>
        <w:rPr>
          <w:rFonts w:ascii="宋体" w:hAnsi="宋体" w:cs="宋体"/>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所投云录播平台系统课表巡课支持按节次呈现今日课表，列出每一节次对应的所有课程，并以动态图标标出当前时间段正在进行的节次；支持预览第二天的课程列表，方便规划巡课安排。提供具有CMA标识的第三方测试机构出具的检测（测试）报告扫描件加盖产品制造商公章佐证得2分，不提供不得分</w:t>
      </w:r>
      <w:r>
        <w:rPr>
          <w:rFonts w:ascii="宋体" w:hAnsi="宋体" w:cs="宋体"/>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所投云录播平台系统督导听课页面上方展示多画面，包括教师画面、学生画面、电脑VGA画面；中间展示课程基本信息，包括课程名称、授课教师、班级、应到人数等；页面下方展示课程评价量表，方便督导边看边评。提供具有CMA标识的第三方测试机构出具的检测（测试）报告扫描件加盖产品制造商公章佐证得3分，不提供不得分</w:t>
      </w:r>
      <w:r>
        <w:rPr>
          <w:rFonts w:ascii="宋体" w:hAnsi="宋体" w:cs="宋体"/>
          <w:color w:val="000000"/>
          <w:sz w:val="24"/>
          <w:szCs w:val="24"/>
          <w:highlight w:val="none"/>
        </w:rPr>
      </w:r>
      <w:r/>
    </w:p>
    <w:p>
      <w:pPr>
        <w:pStyle w:val="701"/>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五、36盘位磁盘阵列（3分）</w:t>
      </w:r>
      <w:r>
        <w:rPr>
          <w:rFonts w:ascii="宋体" w:hAnsi="宋体" w:eastAsia="宋体" w:cs="宋体"/>
          <w:b/>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产品在web页面可以指定归档路径，支持实时流同时录像和归档，归档的数据可以使用通用播放器播放；归档路径在web页面可以灵活配置，支持多级目录管理模式，针对不同目录，可以配置不同权限；支持视频、图片、文件多种数据类型归档。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所投产品支持运维客户端监管存储设备状态，包括系统、硬盘、环控、报警、保养灯等模块，并同步实时展示；运维客户端可展示设备的在线和离线状态，并同步统计在线、离线设备的数量；针对在线设备，同步显示连接异常、警告等状态信息，并统计相关数量。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所投产品支持页面向导型快速配置，在配置前期，对设备进行全面的检测，包括物理环境，域环境，平台环境进行全面扫描，针对发现的异常，给出对应的提示，会明确指出异常，包括硬盘数量异常、docker服务异常、镜像等情况。提供具有CMA标识的第三方测试机构出具的检测（测试）报告扫描件加盖产品制造商公章佐证得1分，不提供不得分</w:t>
      </w:r>
      <w:r>
        <w:rPr>
          <w:rFonts w:ascii="宋体" w:hAnsi="宋体" w:cs="宋体"/>
          <w:color w:val="000000"/>
          <w:sz w:val="24"/>
          <w:szCs w:val="24"/>
          <w:highlight w:val="none"/>
        </w:rPr>
      </w:r>
      <w:r/>
    </w:p>
    <w:p>
      <w:pPr>
        <w:pStyle w:val="670"/>
        <w:ind w:firstLine="482"/>
        <w:jc w:val="lef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六、流媒体平台(8分)</w:t>
      </w:r>
      <w:r>
        <w:rPr>
          <w:rFonts w:ascii="宋体" w:hAnsi="宋体" w:cs="宋体"/>
          <w:b/>
          <w:bCs/>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所投流媒体平台支持节点故障截屏功能，在发生节点故障后对节点最后一屏内容进行截图，方便记录故障信息进行排错。提供具有CMA标识的第三方测试机构出具的检测（测试）报告扫描件加盖产品制造商公章佐证得3分，不提供不得分</w:t>
      </w:r>
      <w:r>
        <w:rPr>
          <w:rFonts w:ascii="宋体" w:hAnsi="宋体" w:cs="宋体"/>
          <w:color w:val="000000"/>
          <w:sz w:val="24"/>
          <w:szCs w:val="24"/>
          <w:highlight w:val="none"/>
        </w:rPr>
      </w:r>
      <w:r/>
    </w:p>
    <w:p>
      <w:pPr>
        <w:pStyle w:val="670"/>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所投流媒体平台支持虚拟机快照策略，可按月\周\天\小时\分钟等周期设置定时快照，定时任务最小颗粒度需为15分钟，支持设置自定义保留数量、保留时间，提供快照策略任务记录。提供具有CMA标识的第三方测试机构出具的检测（测试）报告扫描件加盖产品制造商公章佐证得2分，不提供不得分</w:t>
      </w:r>
      <w:r>
        <w:rPr>
          <w:rFonts w:ascii="宋体" w:hAnsi="宋体" w:cs="宋体"/>
          <w:color w:val="000000"/>
          <w:sz w:val="24"/>
          <w:szCs w:val="24"/>
          <w:highlight w:val="none"/>
        </w:rPr>
      </w:r>
      <w:r/>
    </w:p>
    <w:p>
      <w:pPr>
        <w:pStyle w:val="670"/>
        <w:ind w:firstLine="480"/>
        <w:spacing w:line="500" w:lineRule="exact"/>
        <w:tabs>
          <w:tab w:val="left" w:pos="525" w:leader="none"/>
          <w:tab w:val="left" w:pos="945" w:leader="none"/>
          <w:tab w:val="left" w:pos="1155" w:leader="none"/>
          <w:tab w:val="left" w:pos="382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所投流媒体平台系统软件源代码具备可追溯性，满足安全审计合规要求，提供国家网络与信息系统安全产品质量监督检验中心出具的《信息技术产品源代码备案证书》。提供证书扫描件并加盖产品制造商公章佐证得3分，不提供不得分</w:t>
      </w:r>
      <w:r>
        <w:rPr>
          <w:rFonts w:hint="eastAsia" w:ascii="宋体" w:hAnsi="宋体" w:cs="宋体"/>
          <w:color w:val="000000"/>
          <w:sz w:val="24"/>
          <w:szCs w:val="24"/>
          <w:highlight w:val="none"/>
        </w:rPr>
      </w:r>
      <w:r/>
    </w:p>
    <w:p>
      <w:pPr>
        <w:pStyle w:val="670"/>
        <w:ind w:firstLine="482"/>
        <w:jc w:val="left"/>
        <w:widowControl/>
        <w:rPr>
          <w:rFonts w:hint="eastAsia" w:ascii="宋体" w:hAnsi="宋体" w:cs="宋体"/>
          <w:b/>
          <w:bCs/>
          <w:color w:val="000000"/>
          <w:sz w:val="24"/>
          <w:szCs w:val="24"/>
          <w:highlight w:val="none"/>
        </w:rPr>
      </w:pPr>
      <w:r/>
      <w:bookmarkStart w:id="196" w:name="RANGE!C4"/>
      <w:r>
        <w:rPr>
          <w:rFonts w:hint="eastAsia" w:ascii="宋体" w:hAnsi="宋体" w:cs="宋体"/>
          <w:b/>
          <w:bCs/>
          <w:color w:val="000000"/>
          <w:sz w:val="24"/>
          <w:szCs w:val="24"/>
          <w:highlight w:val="none"/>
        </w:rPr>
        <w:t xml:space="preserve">七、实施方案（7分）</w:t>
      </w:r>
      <w:r>
        <w:rPr>
          <w:rFonts w:hint="eastAsia" w:ascii="宋体" w:hAnsi="宋体" w:cs="宋体"/>
          <w:b/>
          <w:bCs/>
          <w:color w:val="000000"/>
          <w:sz w:val="24"/>
          <w:szCs w:val="24"/>
          <w:highlight w:val="none"/>
        </w:rPr>
      </w:r>
      <w:r/>
    </w:p>
    <w:p>
      <w:pPr>
        <w:pStyle w:val="670"/>
        <w:ind w:firstLine="480"/>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cs="宋体"/>
          <w:color w:val="000000"/>
          <w:sz w:val="24"/>
          <w:szCs w:val="24"/>
          <w:highlight w:val="none"/>
        </w:rPr>
        <w:t xml:space="preserve">内容包含但不限于以下内容：项目管理框架、实施部署、质量管理、进度计划（包括包括布线设计施工设备到货、安装、系统调试、培训等）、项目验收方案。实施方案具体、可实施性强7分；实施方案较具体、可实施较强4分；实施方案一般、略有瑕疵得1分；未提供不得分。</w:t>
      </w:r>
      <w:bookmarkEnd w:id="196"/>
      <w:r>
        <w:rPr>
          <w:rFonts w:hint="eastAsia" w:ascii="宋体" w:hAnsi="宋体"/>
          <w:b/>
          <w:bCs/>
          <w:color w:val="000000"/>
          <w:sz w:val="24"/>
          <w:szCs w:val="24"/>
          <w:highlight w:val="none"/>
        </w:rPr>
      </w:r>
      <w:r/>
    </w:p>
    <w:p>
      <w:pPr>
        <w:pStyle w:val="670"/>
        <w:ind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3.投标人综合情况（9分）：</w:t>
      </w:r>
      <w:r>
        <w:rPr>
          <w:rFonts w:ascii="宋体" w:hAnsi="宋体"/>
          <w:b/>
          <w:bCs/>
          <w:color w:val="000000"/>
          <w:sz w:val="24"/>
          <w:szCs w:val="24"/>
          <w:highlight w:val="none"/>
        </w:rPr>
      </w:r>
      <w:r/>
    </w:p>
    <w:p>
      <w:pPr>
        <w:pStyle w:val="670"/>
        <w:ind w:firstLine="480"/>
        <w:spacing w:line="500" w:lineRule="exact"/>
        <w:tabs>
          <w:tab w:val="left" w:pos="525" w:leader="none"/>
          <w:tab w:val="left" w:pos="945" w:leader="none"/>
          <w:tab w:val="left" w:pos="1155" w:leader="none"/>
          <w:tab w:val="left" w:pos="382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拟在本项目指定的项目经理具有二级及以上建造师注册证书（机电工程）得一分，建筑智能化专业中级及以上工程师职称证书得一分，电子信息工程专业中级及以上工程师职称证书得一分，共三分。提供证书扫描件加盖公章，以及社保机构出具近一年内任意一个月供应商为项目经理缴纳的社保缴费证明材料（并加盖社保中心章或社保中心参保缴费证明电子专用章））</w:t>
      </w:r>
      <w:r>
        <w:rPr>
          <w:rFonts w:hint="eastAsia" w:ascii="宋体" w:hAnsi="宋体" w:cs="宋体"/>
          <w:color w:val="000000"/>
          <w:sz w:val="24"/>
          <w:szCs w:val="24"/>
          <w:highlight w:val="none"/>
        </w:rPr>
      </w:r>
      <w:r/>
    </w:p>
    <w:p>
      <w:pPr>
        <w:pStyle w:val="670"/>
        <w:ind w:firstLine="480"/>
        <w:spacing w:line="500" w:lineRule="exact"/>
        <w:rPr>
          <w:rFonts w:hint="eastAsia" w:ascii="宋体" w:hAnsi="宋体" w:cs="宋体"/>
          <w:color w:val="000000"/>
          <w:sz w:val="24"/>
          <w:szCs w:val="24"/>
          <w:highlight w:val="none"/>
        </w:rPr>
      </w:pPr>
      <w:r>
        <w:rPr>
          <w:rFonts w:hint="eastAsia" w:ascii="宋体" w:hAnsi="宋体"/>
          <w:color w:val="000000"/>
          <w:sz w:val="24"/>
          <w:highlight w:val="none"/>
        </w:rPr>
        <w:t xml:space="preserve">（2）</w:t>
      </w:r>
      <w:bookmarkStart w:id="197" w:name="RANGE!C6"/>
      <w:r>
        <w:rPr>
          <w:rFonts w:hint="eastAsia" w:ascii="宋体" w:hAnsi="宋体" w:cs="宋体"/>
          <w:color w:val="000000"/>
          <w:sz w:val="24"/>
          <w:szCs w:val="24"/>
          <w:highlight w:val="none"/>
        </w:rPr>
        <w:t xml:space="preserve">投标人通过质量管理体系、环境管理体系、职业健康安全管理体系有1个得1分，最高3分。提供认证证书扫描件并加盖投标人公章</w:t>
      </w:r>
      <w:bookmarkEnd w:id="197"/>
      <w:r>
        <w:rPr>
          <w:rFonts w:hint="eastAsia" w:ascii="宋体" w:hAnsi="宋体" w:cs="宋体"/>
          <w:color w:val="000000"/>
          <w:sz w:val="24"/>
          <w:szCs w:val="24"/>
          <w:highlight w:val="none"/>
        </w:rPr>
        <w:t xml:space="preserve">，不提供不得分。</w:t>
      </w:r>
      <w:r>
        <w:rPr>
          <w:rFonts w:hint="eastAsia" w:ascii="宋体" w:hAnsi="宋体" w:cs="宋体"/>
          <w:color w:val="000000"/>
          <w:sz w:val="24"/>
          <w:szCs w:val="24"/>
          <w:highlight w:val="none"/>
        </w:rPr>
      </w:r>
      <w:r/>
    </w:p>
    <w:p>
      <w:pPr>
        <w:pStyle w:val="701"/>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198" w:name="RANGE!C7"/>
      <w:r>
        <w:rPr>
          <w:rFonts w:hint="eastAsia" w:ascii="宋体" w:hAnsi="宋体" w:eastAsia="宋体" w:cs="宋体"/>
          <w:color w:val="000000"/>
          <w:sz w:val="24"/>
          <w:szCs w:val="24"/>
          <w:highlight w:val="none"/>
        </w:rPr>
        <w:t xml:space="preserve">投标人2022年以来类似业绩，需提供有效合同扫描件、中标通知书和用户验收合格证明（加盖验收单位公章），合同内容应体现合同金额及具体内容（提供案例一览表，表内需单独注明合同内容与本相目相似部分、甲方联系人、甲方联系电话）。每提供1份得1分，最多得3分。</w:t>
      </w:r>
      <w:bookmarkEnd w:id="198"/>
      <w:r>
        <w:rPr>
          <w:rFonts w:ascii="宋体" w:hAnsi="宋体" w:eastAsia="宋体" w:cs="宋体"/>
          <w:color w:val="000000"/>
          <w:sz w:val="24"/>
          <w:szCs w:val="24"/>
          <w:highlight w:val="none"/>
        </w:rPr>
      </w:r>
      <w:r/>
    </w:p>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售后服务（8分）：</w:t>
      </w:r>
      <w:r>
        <w:rPr>
          <w:rFonts w:ascii="宋体" w:hAnsi="宋体"/>
          <w:b/>
          <w:bCs/>
          <w:color w:val="000000"/>
          <w:sz w:val="24"/>
          <w:szCs w:val="24"/>
          <w:highlight w:val="none"/>
        </w:rPr>
      </w:r>
      <w:r/>
    </w:p>
    <w:p>
      <w:pPr>
        <w:pStyle w:val="670"/>
        <w:ind w:firstLine="480"/>
        <w:spacing w:line="500" w:lineRule="exact"/>
        <w:tabs>
          <w:tab w:val="left" w:pos="525" w:leader="none"/>
          <w:tab w:val="left" w:pos="945" w:leader="none"/>
          <w:tab w:val="left" w:pos="1155" w:leader="none"/>
          <w:tab w:val="left" w:pos="3823" w:leader="none"/>
        </w:tabs>
        <w:rPr>
          <w:rFonts w:hint="eastAsia" w:ascii="宋体" w:hAnsi="宋体" w:cs="宋体"/>
          <w:color w:val="000000"/>
          <w:sz w:val="24"/>
          <w:szCs w:val="24"/>
          <w:highlight w:val="none"/>
        </w:rPr>
      </w:pPr>
      <w:r/>
      <w:bookmarkStart w:id="199" w:name="RANGE!C9"/>
      <w:r>
        <w:rPr>
          <w:rFonts w:hint="eastAsia" w:ascii="宋体" w:hAnsi="宋体" w:cs="宋体"/>
          <w:color w:val="000000"/>
          <w:sz w:val="24"/>
          <w:szCs w:val="24"/>
          <w:highlight w:val="none"/>
        </w:rPr>
        <w:t xml:space="preserve">根据投标人提供的售后服务方案进行评分，方案包括但不限于售后服务响应速度、售后服务内容、故障解决方案、响应次数、响应时间、软件升级、专业技术人员保障及售后技术装备、备品备件等内容，方案全面、科学合理、操作可行、完全契合本项目的得8分；方案较全面、较合理的得4分；各项内容基本满足项目需求得1分；方案片面或未提供的本项不得分。</w:t>
      </w:r>
      <w:bookmarkEnd w:id="199"/>
      <w:r>
        <w:rPr>
          <w:rFonts w:hint="eastAsia" w:ascii="宋体" w:hAnsi="宋体" w:cs="宋体"/>
          <w:color w:val="000000"/>
          <w:sz w:val="24"/>
          <w:szCs w:val="24"/>
          <w:highlight w:val="none"/>
        </w:rPr>
      </w:r>
      <w:r/>
    </w:p>
    <w:p>
      <w:pPr>
        <w:pStyle w:val="670"/>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color w:val="000000"/>
          <w:sz w:val="24"/>
          <w:highlight w:val="none"/>
        </w:rPr>
      </w:pPr>
      <w:r>
        <w:rPr>
          <w:rFonts w:hint="eastAsia" w:ascii="宋体" w:hAnsi="宋体"/>
          <w:b/>
          <w:bCs/>
          <w:color w:val="000000"/>
          <w:sz w:val="24"/>
          <w:szCs w:val="24"/>
          <w:highlight w:val="none"/>
        </w:rPr>
        <w:t xml:space="preserve">节能、环保产品</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2</w:t>
      </w:r>
      <w:r>
        <w:rPr>
          <w:rFonts w:ascii="宋体" w:hAnsi="宋体"/>
          <w:b/>
          <w:bCs/>
          <w:color w:val="000000"/>
          <w:sz w:val="24"/>
          <w:szCs w:val="24"/>
          <w:highlight w:val="none"/>
        </w:rPr>
        <w:t xml:space="preserve">分）</w:t>
      </w:r>
      <w:r>
        <w:rPr>
          <w:rFonts w:hint="eastAsia" w:ascii="宋体" w:hAnsi="宋体"/>
          <w:b/>
          <w:bCs/>
          <w:color w:val="000000"/>
          <w:sz w:val="24"/>
          <w:szCs w:val="24"/>
          <w:highlight w:val="none"/>
        </w:rPr>
        <w:t xml:space="preserve">：</w:t>
      </w:r>
      <w:r>
        <w:rPr>
          <w:rFonts w:hint="eastAsia" w:ascii="宋体" w:hAnsi="宋体"/>
          <w:color w:val="000000"/>
          <w:sz w:val="24"/>
          <w:highlight w:val="none"/>
        </w:rPr>
        <w:t xml:space="preserve">依据财政部、发展改革委发布的《节能产品政府采购品目清单》和财政部、生态环境部发布的《</w:t>
      </w:r>
      <w:r>
        <w:rPr>
          <w:rFonts w:ascii="宋体" w:hAnsi="宋体"/>
          <w:color w:val="000000"/>
          <w:sz w:val="24"/>
          <w:highlight w:val="none"/>
        </w:rPr>
        <w:t xml:space="preserve">环境标志产品政府采购品目清单</w:t>
      </w:r>
      <w:r>
        <w:rPr>
          <w:rFonts w:hint="eastAsia" w:ascii="宋体" w:hAnsi="宋体"/>
          <w:color w:val="000000"/>
          <w:sz w:val="24"/>
          <w:highlight w:val="none"/>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670"/>
        <w:jc w:val="center"/>
        <w:spacing w:line="500" w:lineRule="exact"/>
        <w:rPr>
          <w:rFonts w:hint="eastAsia" w:ascii="黑体" w:eastAsia="黑体"/>
          <w:bCs/>
          <w:color w:val="000000"/>
          <w:sz w:val="36"/>
          <w:szCs w:val="36"/>
          <w:highlight w:val="none"/>
        </w:rPr>
      </w:pPr>
      <w:r>
        <w:rPr>
          <w:rFonts w:ascii="宋体" w:hAnsi="宋体"/>
          <w:color w:val="000000"/>
          <w:sz w:val="24"/>
          <w:highlight w:val="none"/>
        </w:rPr>
        <w:br w:type="page" w:clear="all"/>
      </w:r>
      <w:r>
        <w:rPr>
          <w:rFonts w:hint="eastAsia" w:ascii="黑体" w:eastAsia="黑体"/>
          <w:bCs/>
          <w:color w:val="000000"/>
          <w:sz w:val="36"/>
          <w:szCs w:val="36"/>
          <w:highlight w:val="none"/>
        </w:rPr>
        <w:t xml:space="preserve">第六章  </w:t>
      </w:r>
      <w:bookmarkEnd w:id="193"/>
      <w:r/>
      <w:bookmarkEnd w:id="194"/>
      <w:r/>
      <w:bookmarkEnd w:id="195"/>
      <w:r>
        <w:rPr>
          <w:rFonts w:hint="eastAsia" w:ascii="黑体" w:eastAsia="黑体"/>
          <w:bCs/>
          <w:color w:val="000000"/>
          <w:sz w:val="36"/>
          <w:szCs w:val="36"/>
          <w:highlight w:val="none"/>
        </w:rPr>
        <w:t xml:space="preserve">投标文件内容与格式</w:t>
      </w:r>
      <w:r>
        <w:rPr>
          <w:rFonts w:hint="eastAsia" w:ascii="黑体" w:eastAsia="黑体"/>
          <w:bCs/>
          <w:color w:val="000000"/>
          <w:sz w:val="36"/>
          <w:szCs w:val="36"/>
          <w:highlight w:val="none"/>
        </w:rPr>
      </w:r>
      <w:r/>
    </w:p>
    <w:p>
      <w:pPr>
        <w:pStyle w:val="757"/>
        <w:ind w:firstLine="602"/>
        <w:spacing w:before="0" w:after="0" w:line="500" w:lineRule="exact"/>
        <w:rPr>
          <w:rFonts w:hint="eastAsia" w:cs="Arial"/>
          <w:b/>
          <w:color w:val="000000"/>
          <w:sz w:val="30"/>
          <w:szCs w:val="30"/>
          <w:highlight w:val="none"/>
        </w:rPr>
      </w:pPr>
      <w:r/>
      <w:bookmarkStart w:id="200" w:name="_Hlt26955039"/>
      <w:r/>
      <w:bookmarkEnd w:id="200"/>
      <w:r/>
      <w:bookmarkStart w:id="201" w:name="_Toc49090576"/>
      <w:r/>
      <w:bookmarkStart w:id="202" w:name="_Toc120614282"/>
      <w:r/>
      <w:bookmarkStart w:id="203" w:name="_Toc26554094"/>
      <w:r/>
      <w:bookmarkStart w:id="204" w:name="_Hlt26671244"/>
      <w:r/>
      <w:bookmarkEnd w:id="204"/>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757"/>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5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757"/>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评审项及评审要求</w:t>
            </w:r>
            <w:r>
              <w:rPr>
                <w:rFonts w:hint="eastAsia" w:ascii="宋体" w:hAnsi="宋体" w:cs="宋体"/>
                <w:b/>
                <w:color w:val="000000"/>
                <w:highlight w:val="none"/>
              </w:rPr>
            </w:r>
            <w:r/>
          </w:p>
        </w:tc>
        <w:tc>
          <w:tcPr>
            <w:tcW w:w="2449" w:type="dxa"/>
            <w:vAlign w:val="center"/>
            <w:textDirection w:val="lrTb"/>
            <w:noWrap w:val="false"/>
          </w:tcPr>
          <w:p>
            <w:pPr>
              <w:pStyle w:val="75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通用资格要求，详见第一章《投标邀请》</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6"/>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7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67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落实政府采购政策需满足的资格要求的证明文件（如有）。</w:t>
            </w:r>
            <w:r>
              <w:rPr>
                <w:rFonts w:hint="eastAsia" w:ascii="宋体" w:hAnsi="宋体" w:cs="宋体"/>
                <w:color w:val="000000"/>
                <w:sz w:val="24"/>
                <w:szCs w:val="24"/>
                <w:highlight w:val="none"/>
              </w:rPr>
            </w:r>
            <w:r/>
          </w:p>
        </w:tc>
        <w:tc>
          <w:tcPr>
            <w:tcW w:w="2449" w:type="dxa"/>
            <w:vAlign w:val="center"/>
            <w:vMerge w:val="continue"/>
            <w:textDirection w:val="lrTb"/>
            <w:noWrap w:val="false"/>
          </w:tcPr>
          <w:p>
            <w:pPr>
              <w:pStyle w:val="75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26"/>
        </w:trPr>
        <w:tc>
          <w:tcPr>
            <w:tcW w:w="719" w:type="dxa"/>
            <w:vAlign w:val="center"/>
            <w:textDirection w:val="lrTb"/>
            <w:noWrap w:val="false"/>
          </w:tcPr>
          <w:p>
            <w:pPr>
              <w:pStyle w:val="757"/>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w:t>
            </w:r>
            <w:r>
              <w:rPr>
                <w:rFonts w:hint="eastAsia" w:ascii="宋体" w:hAnsi="宋体" w:cs="宋体"/>
                <w:bCs/>
                <w:color w:val="000000"/>
                <w:highlight w:val="none"/>
              </w:rPr>
            </w:r>
            <w:r/>
          </w:p>
        </w:tc>
        <w:tc>
          <w:tcPr>
            <w:tcW w:w="2449" w:type="dxa"/>
            <w:vAlign w:val="center"/>
            <w:textDirection w:val="lrTb"/>
            <w:noWrap w:val="false"/>
          </w:tcPr>
          <w:p>
            <w:pPr>
              <w:pStyle w:val="757"/>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757"/>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tcW w:w="6104" w:type="dxa"/>
            <w:vAlign w:val="center"/>
            <w:textDirection w:val="lrTb"/>
            <w:noWrap w:val="false"/>
          </w:tcPr>
          <w:p>
            <w:pPr>
              <w:pStyle w:val="757"/>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《联合体协议》（如有，格式自拟）。</w:t>
            </w:r>
            <w:r>
              <w:rPr>
                <w:rFonts w:hint="eastAsia" w:ascii="宋体" w:hAnsi="宋体" w:cs="宋体"/>
                <w:bCs/>
                <w:color w:val="000000"/>
                <w:highlight w:val="none"/>
              </w:rPr>
            </w:r>
            <w:r/>
          </w:p>
        </w:tc>
        <w:tc>
          <w:tcPr>
            <w:tcW w:w="2449" w:type="dxa"/>
            <w:vAlign w:val="center"/>
            <w:textDirection w:val="lrTb"/>
            <w:noWrap w:val="false"/>
          </w:tcPr>
          <w:p>
            <w:pPr>
              <w:pStyle w:val="757"/>
              <w:ind w:firstLine="0"/>
              <w:spacing w:before="0" w:after="0" w:line="240" w:lineRule="auto"/>
              <w:rPr>
                <w:rFonts w:hint="eastAsia" w:ascii="宋体" w:hAnsi="宋体" w:cs="宋体"/>
                <w:color w:val="000000"/>
                <w:highlight w:val="none"/>
              </w:rPr>
            </w:pPr>
            <w:r>
              <w:rPr>
                <w:rFonts w:hint="eastAsia" w:ascii="宋体" w:hAnsi="宋体"/>
                <w:color w:val="000000"/>
                <w:highlight w:val="none"/>
              </w:rPr>
              <w:t xml:space="preserve">如接受联合体投标且投标人为联合体时</w:t>
            </w:r>
            <w:r>
              <w:rPr>
                <w:rFonts w:hint="eastAsia" w:ascii="宋体" w:hAnsi="宋体" w:cs="宋体"/>
                <w:color w:val="000000"/>
                <w:highlight w:val="none"/>
              </w:rPr>
            </w:r>
            <w:r/>
          </w:p>
        </w:tc>
      </w:tr>
    </w:tbl>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70"/>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670"/>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7项，如本项目有落实政府采购政策需满足的资格要求的（详见第一章《投标邀请》），必须提供相应证明文件，否则投标文件无效。</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670"/>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670"/>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中：第2、6项可由联合体主体单位（即联合体牵头人）代表联合体提供；第1、3、4、5、7（如有）、8（如有）项，联合体各方均须提供。</w:t>
      </w:r>
      <w:r>
        <w:rPr>
          <w:rFonts w:hint="eastAsia" w:ascii="宋体" w:hAnsi="宋体"/>
          <w:color w:val="000000"/>
          <w:sz w:val="24"/>
          <w:szCs w:val="24"/>
          <w:highlight w:val="none"/>
        </w:rPr>
      </w:r>
      <w:r/>
    </w:p>
    <w:p>
      <w:pPr>
        <w:pStyle w:val="670"/>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b/>
          <w:color w:val="000000"/>
          <w:sz w:val="28"/>
          <w:szCs w:val="28"/>
          <w:highlight w:val="none"/>
        </w:rPr>
      </w:r>
      <w:r/>
    </w:p>
    <w:p>
      <w:pPr>
        <w:pStyle w:val="670"/>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57"/>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757"/>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757"/>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cantSplit/>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cantSplit/>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开标一览表（给定格式）</w:t>
            </w:r>
            <w:r>
              <w:rPr>
                <w:rFonts w:hint="eastAsia" w:ascii="宋体" w:hAnsi="宋体" w:cs="Arial"/>
                <w:color w:val="000000"/>
                <w:highlight w:val="none"/>
              </w:rPr>
            </w:r>
            <w:r/>
          </w:p>
        </w:tc>
        <w:tc>
          <w:tcPr>
            <w:tcW w:w="1979" w:type="dxa"/>
            <w:vAlign w:val="center"/>
            <w:vMerge w:val="restart"/>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cantSplit/>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cantSplit/>
          <w:trHeight w:val="567"/>
        </w:trPr>
        <w:tc>
          <w:tcPr>
            <w:tcW w:w="823" w:type="dxa"/>
            <w:vAlign w:val="center"/>
            <w:textDirection w:val="lrTb"/>
            <w:noWrap w:val="false"/>
          </w:tcPr>
          <w:p>
            <w:pPr>
              <w:pStyle w:val="757"/>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757"/>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757"/>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670"/>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670"/>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670"/>
        <w:numPr>
          <w:ilvl w:val="0"/>
          <w:numId w:val="9"/>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670"/>
        <w:numPr>
          <w:ilvl w:val="0"/>
          <w:numId w:val="9"/>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670"/>
        <w:rPr>
          <w:rFonts w:hint="eastAsia"/>
          <w:b/>
          <w:color w:val="000000"/>
          <w:sz w:val="28"/>
          <w:szCs w:val="28"/>
          <w:highlight w:val="none"/>
        </w:rPr>
      </w:pPr>
      <w:r>
        <w:rPr>
          <w:rFonts w:hint="eastAsia"/>
          <w:b/>
          <w:color w:val="000000"/>
          <w:sz w:val="28"/>
          <w:szCs w:val="28"/>
          <w:highlight w:val="none"/>
        </w:rPr>
      </w:r>
      <w:r/>
    </w:p>
    <w:p>
      <w:pPr>
        <w:pStyle w:val="670"/>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670"/>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670"/>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670"/>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757"/>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670"/>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0"/>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670"/>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0"/>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0"/>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0"/>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670"/>
        <w:ind w:firstLine="1800"/>
        <w:jc w:val="left"/>
        <w:rPr>
          <w:rFonts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2"/>
          <w:szCs w:val="32"/>
          <w:highlight w:val="none"/>
        </w:rPr>
        <w:t xml:space="preserve">JSZC-320214-JZCG-G202</w:t>
      </w:r>
      <w:r>
        <w:rPr>
          <w:rFonts w:hint="eastAsia" w:ascii="黑体" w:hAnsi="华文中宋" w:eastAsia="黑体"/>
          <w:bCs/>
          <w:color w:val="000000"/>
          <w:sz w:val="32"/>
          <w:szCs w:val="32"/>
          <w:highlight w:val="none"/>
          <w:lang w:val="en-US" w:eastAsia="zh-CN"/>
        </w:rPr>
        <w:t xml:space="preserve">5</w:t>
      </w:r>
      <w:r>
        <w:rPr>
          <w:rFonts w:hint="eastAsia" w:ascii="黑体" w:hAnsi="华文中宋" w:eastAsia="黑体"/>
          <w:bCs/>
          <w:color w:val="000000"/>
          <w:sz w:val="32"/>
          <w:szCs w:val="32"/>
          <w:highlight w:val="none"/>
        </w:rPr>
        <w:t xml:space="preserve">-00</w:t>
      </w:r>
      <w:r>
        <w:rPr>
          <w:rFonts w:hint="eastAsia" w:ascii="黑体" w:hAnsi="华文中宋" w:eastAsia="黑体"/>
          <w:bCs/>
          <w:color w:val="000000"/>
          <w:sz w:val="32"/>
          <w:szCs w:val="32"/>
          <w:highlight w:val="none"/>
          <w:lang w:val="en-US" w:eastAsia="zh-CN"/>
        </w:rPr>
        <w:t xml:space="preserve">0</w:t>
      </w:r>
      <w:r>
        <w:rPr>
          <w:rFonts w:hint="eastAsia" w:ascii="黑体" w:hAnsi="华文中宋" w:eastAsia="黑体"/>
          <w:bCs/>
          <w:color w:val="000000"/>
          <w:sz w:val="32"/>
          <w:szCs w:val="32"/>
          <w:highlight w:val="none"/>
          <w:lang w:val="en-US" w:eastAsia="zh-CN"/>
        </w:rPr>
        <w:t xml:space="preserve">5</w:t>
      </w:r>
      <w:r>
        <w:rPr>
          <w:rFonts w:ascii="黑体" w:hAnsi="华文中宋" w:eastAsia="黑体"/>
          <w:bCs/>
          <w:color w:val="000000"/>
          <w:sz w:val="30"/>
          <w:szCs w:val="30"/>
          <w:highlight w:val="none"/>
          <w:lang w:val="en-US" w:eastAsia="zh-CN"/>
        </w:rPr>
      </w:r>
      <w:r/>
    </w:p>
    <w:p>
      <w:pPr>
        <w:pStyle w:val="670"/>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2"/>
          <w:szCs w:val="32"/>
          <w:highlight w:val="none"/>
        </w:rPr>
        <w:t xml:space="preserve">无锡科技职业学院智慧实训室</w:t>
      </w:r>
      <w:r>
        <w:rPr>
          <w:rFonts w:hint="eastAsia" w:ascii="黑体" w:hAnsi="华文中宋" w:eastAsia="黑体"/>
          <w:bCs/>
          <w:color w:val="000000"/>
          <w:sz w:val="30"/>
          <w:szCs w:val="30"/>
          <w:highlight w:val="none"/>
        </w:rPr>
      </w:r>
      <w:r/>
    </w:p>
    <w:p>
      <w:pPr>
        <w:pStyle w:val="670"/>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670"/>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670"/>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670"/>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我公司（单位）针对JSZC-320214-JZCG-G202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755"/>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755"/>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755"/>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755"/>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w:t>
      </w:r>
      <w:r>
        <w:rPr>
          <w:rFonts w:hint="eastAsia"/>
          <w:color w:val="000000"/>
          <w:sz w:val="24"/>
          <w:szCs w:val="24"/>
          <w:highlight w:val="none"/>
          <w:u w:val="single"/>
        </w:rPr>
        <w:t xml:space="preserve">        </w:t>
      </w:r>
      <w:r>
        <w:rPr>
          <w:rFonts w:hint="eastAsia"/>
          <w:color w:val="000000"/>
          <w:sz w:val="24"/>
          <w:szCs w:val="24"/>
          <w:highlight w:val="none"/>
        </w:rPr>
        <w:t xml:space="preserve">             被授权人签字：</w:t>
      </w:r>
      <w:r>
        <w:rPr>
          <w:rFonts w:hint="eastAsia"/>
          <w:color w:val="000000"/>
          <w:sz w:val="24"/>
          <w:szCs w:val="24"/>
          <w:highlight w:val="none"/>
          <w:u w:val="single"/>
        </w:rPr>
        <w:t xml:space="preserve">        </w:t>
      </w:r>
      <w:r>
        <w:rPr>
          <w:rFonts w:hint="eastAsia"/>
          <w:color w:val="000000"/>
          <w:sz w:val="24"/>
          <w:szCs w:val="24"/>
          <w:highlight w:val="none"/>
        </w:rPr>
      </w:r>
      <w:r/>
    </w:p>
    <w:p>
      <w:pPr>
        <w:pStyle w:val="755"/>
        <w:ind w:firstLine="0"/>
        <w:tabs>
          <w:tab w:val="left" w:pos="360" w:leader="none"/>
        </w:tabs>
        <w:rPr>
          <w:rFonts w:hint="eastAsia"/>
          <w:color w:val="000000"/>
          <w:sz w:val="24"/>
          <w:szCs w:val="24"/>
          <w:highlight w:val="none"/>
        </w:rPr>
      </w:pPr>
      <w:r>
        <w:rPr>
          <w:rFonts w:hint="eastAsia" w:ascii="宋体" w:hAnsi="宋体" w:cs="宋体"/>
          <w:b/>
          <w:color w:val="000000"/>
          <w:sz w:val="30"/>
          <w:highlight w:val="none"/>
        </w:rPr>
        <w:t xml:space="preserve">（被授权人身份证原件扫描件附后）</w:t>
      </w:r>
      <w:r>
        <w:rPr>
          <w:rFonts w:hint="eastAsia"/>
          <w:color w:val="000000"/>
          <w:sz w:val="24"/>
          <w:szCs w:val="24"/>
          <w:highlight w:val="none"/>
        </w:rPr>
      </w:r>
      <w:r/>
    </w:p>
    <w:p>
      <w:pPr>
        <w:pStyle w:val="755"/>
        <w:ind w:firstLine="0"/>
        <w:tabs>
          <w:tab w:val="left" w:pos="360" w:leader="none"/>
        </w:tabs>
        <w:rPr>
          <w:rFonts w:hint="eastAsia"/>
          <w:color w:val="000000"/>
          <w:sz w:val="24"/>
          <w:szCs w:val="24"/>
          <w:highlight w:val="none"/>
        </w:rPr>
      </w:pPr>
      <w:r>
        <w:rPr>
          <w:rFonts w:hint="eastAsia"/>
          <w:color w:val="000000"/>
          <w:sz w:val="24"/>
          <w:szCs w:val="24"/>
          <w:highlight w:val="none"/>
        </w:rPr>
        <w:t xml:space="preserve">说明：</w:t>
      </w:r>
      <w:r>
        <w:rPr>
          <w:rFonts w:hint="eastAsia"/>
          <w:color w:val="000000"/>
          <w:sz w:val="24"/>
          <w:szCs w:val="24"/>
          <w:highlight w:val="none"/>
        </w:rPr>
      </w:r>
      <w:r/>
    </w:p>
    <w:p>
      <w:pPr>
        <w:pStyle w:val="755"/>
        <w:numPr>
          <w:ilvl w:val="0"/>
          <w:numId w:val="10"/>
        </w:numPr>
        <w:ind w:firstLine="480"/>
        <w:tabs>
          <w:tab w:val="left" w:pos="360" w:leader="none"/>
        </w:tabs>
        <w:rPr>
          <w:rFonts w:hint="eastAsia"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755"/>
        <w:numPr>
          <w:ilvl w:val="0"/>
          <w:numId w:val="10"/>
        </w:numPr>
        <w:ind w:firstLine="480"/>
        <w:tabs>
          <w:tab w:val="left" w:pos="36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处签字即可。</w:t>
      </w:r>
      <w:r>
        <w:rPr>
          <w:rFonts w:hint="eastAsia" w:ascii="宋体" w:hAnsi="宋体"/>
          <w:color w:val="000000"/>
          <w:sz w:val="24"/>
          <w:szCs w:val="20"/>
          <w:highlight w:val="none"/>
        </w:rPr>
      </w:r>
      <w:r/>
    </w:p>
    <w:p>
      <w:pPr>
        <w:pStyle w:val="755"/>
        <w:numPr>
          <w:ilvl w:val="0"/>
          <w:numId w:val="10"/>
        </w:numPr>
        <w:ind w:firstLine="480"/>
        <w:tabs>
          <w:tab w:val="left" w:pos="36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755"/>
        <w:numPr>
          <w:ilvl w:val="0"/>
          <w:numId w:val="10"/>
        </w:numPr>
        <w:ind w:firstLine="480"/>
        <w:tabs>
          <w:tab w:val="left" w:pos="360" w:leader="none"/>
        </w:tabs>
        <w:rPr>
          <w:rFonts w:hint="eastAsia"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4"/>
          <w:szCs w:val="20"/>
          <w:highlight w:val="none"/>
        </w:rPr>
      </w:r>
      <w:r/>
    </w:p>
    <w:p>
      <w:pPr>
        <w:pStyle w:val="755"/>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670"/>
        <w:jc w:val="center"/>
        <w:rPr>
          <w:rFonts w:ascii="黑体" w:eastAsia="黑体"/>
          <w:bCs/>
          <w:color w:val="000000"/>
          <w:sz w:val="28"/>
          <w:szCs w:val="28"/>
          <w:highlight w:val="none"/>
        </w:rPr>
        <w:outlineLvl w:val="0"/>
      </w:pPr>
      <w:r/>
      <w:bookmarkStart w:id="205" w:name="报价方关于资格的声明函（格式）"/>
      <w:r/>
      <w:bookmarkEnd w:id="205"/>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670"/>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67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无锡市公共资源交易中心新吴分中心：</w:t>
      </w:r>
      <w:r>
        <w:rPr>
          <w:rFonts w:ascii="宋体"/>
          <w:bCs/>
          <w:color w:val="000000"/>
          <w:sz w:val="24"/>
          <w:szCs w:val="24"/>
          <w:highlight w:val="none"/>
        </w:rPr>
      </w:r>
      <w:r/>
    </w:p>
    <w:p>
      <w:pPr>
        <w:pStyle w:val="670"/>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我公司（单位）针对本次项目</w:t>
      </w:r>
      <w:r>
        <w:rPr>
          <w:rFonts w:hint="eastAsia"/>
          <w:color w:val="000000"/>
          <w:sz w:val="24"/>
          <w:szCs w:val="24"/>
          <w:highlight w:val="none"/>
        </w:rPr>
        <w:t xml:space="preserve">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hint="eastAsia" w:ascii="宋体" w:hAnsi="宋体"/>
          <w:bCs/>
          <w:color w:val="000000"/>
          <w:sz w:val="24"/>
          <w:szCs w:val="24"/>
          <w:highlight w:val="none"/>
        </w:rPr>
        <w:t xml:space="preserve">进行投标，并做如下声明</w:t>
      </w:r>
      <w:r>
        <w:rPr>
          <w:rFonts w:ascii="宋体" w:hAnsi="宋体"/>
          <w:bCs/>
          <w:color w:val="000000"/>
          <w:sz w:val="24"/>
          <w:szCs w:val="24"/>
          <w:highlight w:val="none"/>
        </w:rPr>
      </w:r>
      <w:r/>
    </w:p>
    <w:p>
      <w:pPr>
        <w:pStyle w:val="670"/>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670"/>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rPr>
          <w:rFonts w:hint="eastAsia" w:ascii="宋体" w:hAnsi="宋体"/>
          <w:bCs/>
          <w:color w:val="000000"/>
          <w:sz w:val="24"/>
          <w:szCs w:val="24"/>
          <w:highlight w:val="none"/>
        </w:rPr>
      </w:r>
      <w:r/>
    </w:p>
    <w:p>
      <w:pPr>
        <w:pStyle w:val="670"/>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670"/>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highlight w:val="none"/>
        </w:rPr>
      </w:r>
      <w:r/>
    </w:p>
    <w:p>
      <w:pPr>
        <w:pStyle w:val="670"/>
        <w:spacing w:line="480" w:lineRule="auto"/>
        <w:rPr>
          <w:rFonts w:ascii="宋体"/>
          <w:bCs/>
          <w:color w:val="000000"/>
          <w:sz w:val="24"/>
          <w:szCs w:val="24"/>
          <w:highlight w:val="none"/>
        </w:rPr>
      </w:pPr>
      <w:r>
        <w:rPr>
          <w:rFonts w:ascii="宋体"/>
          <w:bCs/>
          <w:color w:val="000000"/>
          <w:sz w:val="24"/>
          <w:szCs w:val="24"/>
          <w:highlight w:val="none"/>
        </w:rPr>
      </w:r>
      <w:r/>
    </w:p>
    <w:p>
      <w:pPr>
        <w:pStyle w:val="67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670"/>
        <w:ind w:firstLine="480"/>
        <w:spacing w:line="360" w:lineRule="auto"/>
        <w:rPr>
          <w:rFonts w:hint="eastAsia"/>
          <w:color w:val="000000"/>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color w:val="000000"/>
          <w:highlight w:val="none"/>
        </w:rPr>
      </w:r>
      <w:r/>
    </w:p>
    <w:p>
      <w:pPr>
        <w:pStyle w:val="67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中小企业声明函（货物）</w:t>
      </w:r>
      <w:r>
        <w:rPr>
          <w:rFonts w:ascii="黑体" w:eastAsia="黑体"/>
          <w:bCs/>
          <w:color w:val="000000"/>
          <w:sz w:val="28"/>
          <w:szCs w:val="28"/>
          <w:highlight w:val="none"/>
        </w:rPr>
      </w:r>
      <w:r/>
    </w:p>
    <w:p>
      <w:pPr>
        <w:pStyle w:val="67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采购活动，提供的货物全部由符合政策要求的中小企业制造。相关企业 （含联合体中的中小企业、签订分包意向协议的中小企业）的具体情况如下：</w:t>
      </w:r>
      <w:r>
        <w:rPr>
          <w:rFonts w:ascii="宋体" w:hAnsi="宋体"/>
          <w:bCs/>
          <w:color w:val="000000"/>
          <w:sz w:val="24"/>
          <w:szCs w:val="24"/>
          <w:highlight w:val="none"/>
        </w:rPr>
      </w:r>
      <w:r/>
    </w:p>
    <w:p>
      <w:pPr>
        <w:pStyle w:val="67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0"/>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color w:val="000000"/>
          <w:sz w:val="24"/>
          <w:szCs w:val="24"/>
          <w:highlight w:val="none"/>
        </w:rPr>
      </w:r>
      <w:r/>
    </w:p>
    <w:p>
      <w:pPr>
        <w:pStyle w:val="670"/>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670"/>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670"/>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670"/>
        <w:ind w:firstLine="420"/>
        <w:spacing w:line="360" w:lineRule="auto"/>
        <w:rPr>
          <w:color w:val="000000"/>
          <w:highlight w:val="none"/>
        </w:rPr>
      </w:pPr>
      <w:r>
        <w:rPr>
          <w:rFonts w:hint="eastAsia"/>
          <w:color w:val="000000"/>
          <w:highlight w:val="none"/>
        </w:rPr>
        <w:t xml:space="preserve">（2）从业人员、营业收入、资产总额填报上一年度数据，无上一年度数据的新成立企业可不填报。</w:t>
      </w:r>
      <w:r>
        <w:rPr>
          <w:color w:val="000000"/>
          <w:highlight w:val="none"/>
        </w:rPr>
      </w:r>
      <w:r/>
    </w:p>
    <w:p>
      <w:pPr>
        <w:pStyle w:val="670"/>
        <w:ind w:firstLine="420"/>
        <w:spacing w:line="360" w:lineRule="auto"/>
        <w:rPr>
          <w:color w:val="000000"/>
          <w:highlight w:val="none"/>
        </w:rPr>
      </w:pPr>
      <w:r>
        <w:rPr>
          <w:rFonts w:hint="eastAsia"/>
          <w:color w:val="000000"/>
          <w:highlight w:val="none"/>
        </w:rPr>
        <w:t xml:space="preserve">（3）在货物采购项目中，供应商提供的货物既有中小企业制造货物，也有大型企业制造货物的，不享受本办法规定的中小企业扶持政策。</w:t>
      </w:r>
      <w:r>
        <w:rPr>
          <w:color w:val="000000"/>
          <w:highlight w:val="none"/>
        </w:rPr>
      </w:r>
      <w:r/>
    </w:p>
    <w:p>
      <w:pPr>
        <w:pStyle w:val="670"/>
        <w:ind w:firstLine="420"/>
        <w:spacing w:line="360" w:lineRule="auto"/>
        <w:rPr>
          <w:color w:val="000000"/>
          <w:highlight w:val="none"/>
        </w:rPr>
      </w:pPr>
      <w:r>
        <w:rPr>
          <w:rFonts w:hint="eastAsia"/>
          <w:color w:val="000000"/>
          <w:highlight w:val="none"/>
        </w:rPr>
        <w:t xml:space="preserve">（4）中标供应商的《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670"/>
        <w:spacing w:line="360" w:lineRule="auto"/>
        <w:rPr>
          <w:rFonts w:hint="eastAsia" w:ascii="宋体" w:hAnsi="宋体" w:cs="宋体"/>
          <w:b/>
          <w:color w:val="000000"/>
          <w:sz w:val="30"/>
          <w:szCs w:val="30"/>
          <w:highlight w:val="none"/>
        </w:rPr>
      </w:pPr>
      <w:r>
        <w:rPr>
          <w:color w:val="000000"/>
          <w:highlight w:val="none"/>
        </w:rPr>
        <w:br w:type="page" w:clear="all"/>
      </w:r>
      <w:r>
        <w:rPr>
          <w:rFonts w:hint="eastAsia"/>
          <w:b/>
          <w:color w:val="000000"/>
          <w:sz w:val="30"/>
          <w:szCs w:val="30"/>
          <w:highlight w:val="none"/>
        </w:rPr>
        <w:t xml:space="preserve">五</w:t>
      </w:r>
      <w:r>
        <w:rPr>
          <w:rFonts w:hint="eastAsia" w:ascii="宋体" w:hAnsi="宋体" w:cs="宋体"/>
          <w:b/>
          <w:color w:val="000000"/>
          <w:sz w:val="30"/>
          <w:szCs w:val="30"/>
          <w:highlight w:val="none"/>
        </w:rPr>
        <w:t xml:space="preserve">、残疾人福利性单位声明函（给定格式）：</w:t>
      </w:r>
      <w:r>
        <w:rPr>
          <w:rFonts w:hint="eastAsia" w:ascii="宋体" w:hAnsi="宋体" w:cs="宋体"/>
          <w:b/>
          <w:color w:val="000000"/>
          <w:sz w:val="30"/>
          <w:szCs w:val="30"/>
          <w:highlight w:val="none"/>
        </w:rPr>
      </w:r>
      <w:r/>
    </w:p>
    <w:p>
      <w:pPr>
        <w:pStyle w:val="670"/>
        <w:ind w:firstLine="482"/>
        <w:spacing w:line="440" w:lineRule="exact"/>
        <w:rPr>
          <w:rFonts w:ascii="Arial" w:hAnsi="Arial"/>
          <w:b/>
          <w:color w:val="000000"/>
          <w:sz w:val="24"/>
          <w:highlight w:val="none"/>
        </w:rPr>
      </w:pPr>
      <w:r>
        <w:rPr>
          <w:rFonts w:ascii="Arial" w:hAnsi="Arial"/>
          <w:b/>
          <w:color w:val="000000"/>
          <w:sz w:val="24"/>
          <w:highlight w:val="none"/>
        </w:rPr>
      </w:r>
      <w:r/>
    </w:p>
    <w:p>
      <w:pPr>
        <w:pStyle w:val="670"/>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670"/>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670"/>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670"/>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670"/>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0"/>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670"/>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670"/>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670"/>
        <w:spacing w:line="360" w:lineRule="auto"/>
        <w:rPr>
          <w:rFonts w:hint="eastAsia"/>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 xml:space="preserve">六</w:t>
      </w:r>
      <w:r>
        <w:rPr>
          <w:b/>
          <w:color w:val="000000"/>
          <w:sz w:val="30"/>
          <w:szCs w:val="30"/>
          <w:highlight w:val="none"/>
        </w:rPr>
        <w:t xml:space="preserve">、投标函</w:t>
      </w:r>
      <w:r>
        <w:rPr>
          <w:rFonts w:hint="eastAsia"/>
          <w:b/>
          <w:color w:val="000000"/>
          <w:sz w:val="30"/>
          <w:szCs w:val="30"/>
          <w:highlight w:val="none"/>
        </w:rPr>
        <w:t xml:space="preserve">（给定格式）：</w:t>
      </w:r>
      <w:r>
        <w:rPr>
          <w:rFonts w:hint="eastAsia"/>
          <w:b/>
          <w:color w:val="000000"/>
          <w:sz w:val="30"/>
          <w:szCs w:val="30"/>
          <w:highlight w:val="none"/>
        </w:rPr>
      </w:r>
      <w:r/>
    </w:p>
    <w:p>
      <w:pPr>
        <w:pStyle w:val="670"/>
        <w:spacing w:line="360" w:lineRule="auto"/>
        <w:rPr>
          <w:rFonts w:hint="eastAsia"/>
          <w:b/>
          <w:color w:val="000000"/>
          <w:sz w:val="30"/>
          <w:szCs w:val="30"/>
          <w:highlight w:val="none"/>
        </w:rPr>
      </w:pPr>
      <w:r>
        <w:rPr>
          <w:rFonts w:hint="eastAsia"/>
          <w:b/>
          <w:color w:val="000000"/>
          <w:sz w:val="30"/>
          <w:szCs w:val="30"/>
          <w:highlight w:val="none"/>
        </w:rPr>
      </w:r>
      <w:r/>
    </w:p>
    <w:p>
      <w:pPr>
        <w:pStyle w:val="670"/>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67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致无锡市公共资源交易中心新吴分中心：</w:t>
      </w:r>
      <w:r>
        <w:rPr>
          <w:rFonts w:ascii="宋体"/>
          <w:bCs/>
          <w:color w:val="000000"/>
          <w:sz w:val="24"/>
          <w:szCs w:val="24"/>
          <w:highlight w:val="none"/>
        </w:rPr>
      </w:r>
      <w:r/>
    </w:p>
    <w:p>
      <w:pPr>
        <w:pStyle w:val="670"/>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670"/>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color w:val="000000"/>
          <w:sz w:val="24"/>
          <w:szCs w:val="24"/>
          <w:highlight w:val="none"/>
        </w:rPr>
        <w:t xml:space="preserve">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670"/>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4"/>
          <w:bCs/>
          <w:color w:val="000000"/>
          <w:highlight w:val="none"/>
        </w:rPr>
      </w:pPr>
      <w:r>
        <w:rPr>
          <w:rFonts w:hint="eastAsia" w:ascii="宋体" w:hAnsi="宋体"/>
          <w:bCs/>
          <w:color w:val="000000"/>
          <w:sz w:val="24"/>
          <w:szCs w:val="24"/>
          <w:highlight w:val="none"/>
        </w:rPr>
        <w:t xml:space="preserve">我方愿意提供无锡市公共资源交易中心新吴分中心在招标文件中要求的文件、资料。</w:t>
      </w:r>
      <w:r>
        <w:rPr>
          <w:rStyle w:val="744"/>
          <w:bCs/>
          <w:color w:val="000000"/>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我方同意按照招标文件中的规定，从规定的开标日期起遵循本投标文件，并在规定的投标有效期期满之前均具有约束力。</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670"/>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670"/>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670"/>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670"/>
        <w:ind w:firstLine="48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670"/>
        <w:spacing w:line="360" w:lineRule="auto"/>
        <w:rPr>
          <w:rFonts w:hint="eastAsia"/>
          <w:b/>
          <w:color w:val="000000"/>
          <w:sz w:val="30"/>
          <w:szCs w:val="30"/>
          <w:highlight w:val="none"/>
        </w:rPr>
      </w:pPr>
      <w:r>
        <w:rPr>
          <w:rFonts w:hint="eastAsia" w:ascii="宋体" w:hAnsi="宋体"/>
          <w:bCs/>
          <w:color w:val="000000"/>
          <w:sz w:val="24"/>
          <w:szCs w:val="24"/>
          <w:highlight w:val="none"/>
        </w:rPr>
        <w:br w:type="page" w:clear="all"/>
      </w:r>
      <w:r>
        <w:rPr>
          <w:rFonts w:hint="eastAsia"/>
          <w:b/>
          <w:color w:val="000000"/>
          <w:sz w:val="30"/>
          <w:szCs w:val="30"/>
          <w:highlight w:val="none"/>
        </w:rPr>
        <w:t xml:space="preserve">七、承诺书（给定格式）：</w:t>
      </w:r>
      <w:r>
        <w:rPr>
          <w:rFonts w:hint="eastAsia"/>
          <w:b/>
          <w:color w:val="000000"/>
          <w:sz w:val="30"/>
          <w:szCs w:val="30"/>
          <w:highlight w:val="none"/>
        </w:rPr>
      </w:r>
      <w:r/>
    </w:p>
    <w:p>
      <w:pPr>
        <w:pStyle w:val="67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670"/>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color w:val="000000"/>
          <w:sz w:val="24"/>
          <w:szCs w:val="24"/>
          <w:highlight w:val="none"/>
        </w:rPr>
        <w:t xml:space="preserve">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670"/>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rPr>
          <w:rFonts w:ascii="宋体" w:hAnsi="宋体"/>
          <w:bCs/>
          <w:color w:val="000000"/>
          <w:sz w:val="24"/>
          <w:szCs w:val="24"/>
          <w:highlight w:val="none"/>
        </w:rPr>
      </w:r>
      <w:r/>
    </w:p>
    <w:p>
      <w:pPr>
        <w:pStyle w:val="670"/>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670"/>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670"/>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670"/>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rPr>
          <w:rFonts w:hint="eastAsia" w:ascii="宋体" w:hAnsi="宋体" w:cs="宋体"/>
          <w:color w:val="000000"/>
          <w:sz w:val="24"/>
          <w:szCs w:val="24"/>
          <w:highlight w:val="none"/>
        </w:rPr>
      </w:r>
      <w:r/>
    </w:p>
    <w:p>
      <w:pPr>
        <w:pStyle w:val="670"/>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670"/>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670"/>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670"/>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670"/>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670"/>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670"/>
        <w:spacing w:line="480" w:lineRule="auto"/>
        <w:rPr>
          <w:rFonts w:ascii="宋体"/>
          <w:bCs/>
          <w:color w:val="000000"/>
          <w:sz w:val="24"/>
          <w:szCs w:val="24"/>
          <w:highlight w:val="none"/>
        </w:rPr>
      </w:pPr>
      <w:r>
        <w:rPr>
          <w:rFonts w:ascii="宋体"/>
          <w:bCs/>
          <w:color w:val="000000"/>
          <w:sz w:val="24"/>
          <w:szCs w:val="24"/>
          <w:highlight w:val="none"/>
        </w:rPr>
      </w:r>
      <w:r/>
    </w:p>
    <w:p>
      <w:pPr>
        <w:pStyle w:val="670"/>
        <w:spacing w:line="360" w:lineRule="auto"/>
        <w:rPr>
          <w:rFonts w:hint="eastAsia"/>
          <w:b/>
          <w:color w:val="000000"/>
          <w:sz w:val="30"/>
          <w:szCs w:val="30"/>
          <w:highlight w:val="none"/>
        </w:rPr>
      </w:pPr>
      <w:r>
        <w:rPr>
          <w:rFonts w:ascii="宋体" w:hAnsi="宋体"/>
          <w:bCs/>
          <w:color w:val="000000"/>
          <w:sz w:val="24"/>
          <w:szCs w:val="24"/>
          <w:highlight w:val="none"/>
        </w:rPr>
        <w:br w:type="page" w:clear="all"/>
      </w:r>
      <w:r>
        <w:rPr>
          <w:rFonts w:hint="eastAsia"/>
          <w:b/>
          <w:color w:val="000000"/>
          <w:sz w:val="30"/>
          <w:szCs w:val="30"/>
          <w:highlight w:val="none"/>
        </w:rPr>
        <w:t xml:space="preserve">八、开标一览表（给定格式）：</w:t>
      </w:r>
      <w:r>
        <w:rPr>
          <w:rFonts w:hint="eastAsia"/>
          <w:b/>
          <w:color w:val="000000"/>
          <w:sz w:val="30"/>
          <w:szCs w:val="30"/>
          <w:highlight w:val="none"/>
        </w:rPr>
      </w:r>
      <w:r/>
    </w:p>
    <w:p>
      <w:pPr>
        <w:pStyle w:val="670"/>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67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67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0"/>
        <w:spacing w:line="360" w:lineRule="auto"/>
        <w:rPr>
          <w:rFonts w:ascii="黑体" w:eastAsia="宋体"/>
          <w:bCs/>
          <w:color w:val="000000"/>
          <w:sz w:val="24"/>
          <w:szCs w:val="24"/>
          <w:highlight w:val="none"/>
          <w:lang w:val="en-US" w:eastAsia="zh-CN"/>
        </w:rPr>
      </w:pPr>
      <w:r>
        <w:rPr>
          <w:rFonts w:hint="eastAsia" w:ascii="黑体" w:eastAsia="黑体"/>
          <w:bCs/>
          <w:color w:val="000000"/>
          <w:sz w:val="24"/>
          <w:szCs w:val="24"/>
          <w:highlight w:val="none"/>
        </w:rPr>
        <w:t xml:space="preserve"> 项目编号：</w:t>
      </w:r>
      <w:r>
        <w:rPr>
          <w:rFonts w:hint="eastAsia"/>
          <w:color w:val="000000"/>
          <w:sz w:val="24"/>
          <w:szCs w:val="24"/>
          <w:highlight w:val="none"/>
        </w:rPr>
        <w:t xml:space="preserve">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ascii="黑体" w:eastAsia="宋体"/>
          <w:bCs/>
          <w:color w:val="000000"/>
          <w:sz w:val="24"/>
          <w:szCs w:val="24"/>
          <w:highlight w:val="none"/>
          <w:lang w:val="en-US"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0"/>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670"/>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783"/>
              <w:jc w:val="center"/>
              <w:spacing w:line="400" w:lineRule="exact"/>
              <w:rPr>
                <w:rFonts w:hAnsi="宋体"/>
                <w:bCs/>
                <w:color w:val="000000"/>
                <w:szCs w:val="24"/>
                <w:highlight w:val="none"/>
              </w:rPr>
            </w:pPr>
            <w:r>
              <w:rPr>
                <w:rFonts w:hint="eastAsia" w:ascii="黑体" w:eastAsia="黑体"/>
                <w:color w:val="000000"/>
                <w:szCs w:val="21"/>
                <w:highlight w:val="none"/>
              </w:rPr>
              <w:t xml:space="preserve">无锡科技职业学院智慧实训室</w:t>
            </w:r>
            <w:r>
              <w:rPr>
                <w:rFonts w:hAnsi="宋体"/>
                <w:bCs/>
                <w:color w:val="000000"/>
                <w:szCs w:val="24"/>
                <w:highlight w:val="none"/>
              </w:rPr>
            </w:r>
            <w:r/>
          </w:p>
        </w:tc>
        <w:tc>
          <w:tcPr>
            <w:tcW w:w="3188" w:type="dxa"/>
            <w:vAlign w:val="center"/>
            <w:textDirection w:val="lrTb"/>
            <w:noWrap w:val="false"/>
          </w:tcPr>
          <w:p>
            <w:pPr>
              <w:pStyle w:val="783"/>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670"/>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67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67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670"/>
        <w:numPr>
          <w:ilvl w:val="0"/>
          <w:numId w:val="12"/>
        </w:numPr>
        <w:ind w:firstLine="360"/>
        <w:spacing w:line="400" w:lineRule="exact"/>
        <w:rPr>
          <w:rFonts w:hint="eastAsia"/>
          <w:b/>
          <w:color w:val="000000"/>
          <w:sz w:val="30"/>
          <w:szCs w:val="30"/>
          <w:highlight w:val="none"/>
        </w:rPr>
        <w:outlineLvl w:val="0"/>
      </w:pPr>
      <w:r>
        <w:rPr>
          <w:rFonts w:hint="eastAsia" w:ascii="黑体" w:eastAsia="黑体"/>
          <w:bCs/>
          <w:color w:val="000000"/>
          <w:sz w:val="24"/>
          <w:szCs w:val="24"/>
          <w:highlight w:val="none"/>
        </w:rPr>
        <w:br w:type="page" w:clear="all"/>
      </w:r>
      <w:r>
        <w:rPr>
          <w:rFonts w:hint="eastAsia"/>
          <w:b/>
          <w:color w:val="000000"/>
          <w:sz w:val="30"/>
          <w:szCs w:val="30"/>
          <w:highlight w:val="none"/>
        </w:rPr>
        <w:t xml:space="preserve">分项</w:t>
      </w:r>
      <w:r>
        <w:rPr>
          <w:b/>
          <w:color w:val="000000"/>
          <w:sz w:val="30"/>
          <w:szCs w:val="30"/>
          <w:highlight w:val="none"/>
        </w:rPr>
        <w:t xml:space="preserve">报价表</w:t>
      </w:r>
      <w:r>
        <w:rPr>
          <w:rFonts w:hint="eastAsia"/>
          <w:b/>
          <w:color w:val="000000"/>
          <w:sz w:val="30"/>
          <w:szCs w:val="30"/>
          <w:highlight w:val="none"/>
        </w:rPr>
        <w:t xml:space="preserve">（给定格式）：</w:t>
      </w:r>
      <w:bookmarkEnd w:id="201"/>
      <w:r/>
      <w:bookmarkEnd w:id="202"/>
      <w:r/>
      <w:bookmarkEnd w:id="203"/>
      <w:r/>
      <w:bookmarkStart w:id="206" w:name="_Toc120614284"/>
      <w:r>
        <w:rPr>
          <w:rFonts w:hint="eastAsia"/>
          <w:b/>
          <w:color w:val="000000"/>
          <w:sz w:val="30"/>
          <w:szCs w:val="30"/>
          <w:highlight w:val="none"/>
        </w:rPr>
      </w:r>
      <w:r/>
    </w:p>
    <w:p>
      <w:pPr>
        <w:pStyle w:val="670"/>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670"/>
        <w:spacing w:line="400" w:lineRule="exact"/>
        <w:rPr>
          <w:rFonts w:ascii="黑体" w:eastAsia="宋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color w:val="000000"/>
          <w:sz w:val="24"/>
          <w:szCs w:val="24"/>
          <w:highlight w:val="none"/>
        </w:rPr>
        <w:t xml:space="preserve">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ascii="黑体" w:eastAsia="宋体"/>
          <w:bCs/>
          <w:color w:val="000000"/>
          <w:sz w:val="24"/>
          <w:szCs w:val="24"/>
          <w:highlight w:val="none"/>
          <w:lang w:val="en-US"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70"/>
              <w:spacing w:before="5"/>
              <w:rPr>
                <w:color w:val="000000"/>
                <w:sz w:val="18"/>
                <w:highlight w:val="none"/>
              </w:rPr>
            </w:pPr>
            <w:r>
              <w:rPr>
                <w:rFonts w:hint="eastAsia"/>
                <w:b/>
                <w:bCs/>
                <w:color w:val="000000"/>
                <w:sz w:val="24"/>
                <w:szCs w:val="24"/>
                <w:highlight w:val="none"/>
              </w:rPr>
              <w:t xml:space="preserve">货物部分</w:t>
            </w:r>
            <w:r>
              <w:rPr>
                <w:color w:val="000000"/>
                <w:sz w:val="18"/>
                <w:highlight w:val="none"/>
              </w:rPr>
            </w:r>
            <w:r/>
          </w:p>
        </w:tc>
      </w:tr>
      <w:tr>
        <w:trPr>
          <w:cantSplit/>
          <w:trHeight w:val="495"/>
        </w:trPr>
        <w:tc>
          <w:tcPr>
            <w:tcMar>
              <w:left w:w="15" w:type="dxa"/>
              <w:top w:w="15" w:type="dxa"/>
              <w:right w:w="15" w:type="dxa"/>
              <w:bottom w:w="0" w:type="dxa"/>
            </w:tcMar>
            <w:tcW w:w="420" w:type="dxa"/>
            <w:vAlign w:val="center"/>
            <w:textDirection w:val="lrTb"/>
            <w:noWrap/>
          </w:tcPr>
          <w:p>
            <w:pPr>
              <w:pStyle w:val="670"/>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1050" w:type="dxa"/>
            <w:vAlign w:val="center"/>
            <w:textDirection w:val="lrTb"/>
            <w:noWrap/>
          </w:tcPr>
          <w:p>
            <w:pPr>
              <w:pStyle w:val="670"/>
              <w:jc w:val="center"/>
              <w:spacing w:before="5"/>
              <w:rPr>
                <w:color w:val="000000"/>
                <w:sz w:val="18"/>
                <w:highlight w:val="none"/>
              </w:rPr>
            </w:pPr>
            <w:r>
              <w:rPr>
                <w:rFonts w:hint="eastAsia"/>
                <w:color w:val="000000"/>
                <w:sz w:val="18"/>
                <w:highlight w:val="none"/>
              </w:rPr>
              <w:t xml:space="preserve">名称</w:t>
            </w:r>
            <w:r>
              <w:rPr>
                <w:color w:val="000000"/>
                <w:sz w:val="18"/>
                <w:highlight w:val="none"/>
              </w:rPr>
            </w:r>
            <w:r/>
          </w:p>
        </w:tc>
        <w:tc>
          <w:tcPr>
            <w:tcMar>
              <w:left w:w="15" w:type="dxa"/>
              <w:top w:w="15" w:type="dxa"/>
              <w:right w:w="15" w:type="dxa"/>
              <w:bottom w:w="0" w:type="dxa"/>
            </w:tcMar>
            <w:tcW w:w="945" w:type="dxa"/>
            <w:vAlign w:val="center"/>
            <w:textDirection w:val="lrTb"/>
            <w:noWrap/>
          </w:tcPr>
          <w:p>
            <w:pPr>
              <w:pStyle w:val="670"/>
              <w:jc w:val="center"/>
              <w:spacing w:before="5"/>
              <w:rPr>
                <w:color w:val="000000"/>
                <w:sz w:val="18"/>
                <w:highlight w:val="none"/>
              </w:rPr>
            </w:pPr>
            <w:r>
              <w:rPr>
                <w:rFonts w:hint="eastAsia"/>
                <w:color w:val="000000"/>
                <w:sz w:val="18"/>
                <w:highlight w:val="none"/>
              </w:rPr>
              <w:t xml:space="preserve">品牌型号</w:t>
            </w:r>
            <w:r>
              <w:rPr>
                <w:color w:val="000000"/>
                <w:sz w:val="18"/>
                <w:highlight w:val="none"/>
              </w:rPr>
            </w:r>
            <w:r/>
          </w:p>
        </w:tc>
        <w:tc>
          <w:tcPr>
            <w:tcMar>
              <w:left w:w="15" w:type="dxa"/>
              <w:top w:w="15" w:type="dxa"/>
              <w:right w:w="15" w:type="dxa"/>
              <w:bottom w:w="0" w:type="dxa"/>
            </w:tcMar>
            <w:tcW w:w="3045" w:type="dxa"/>
            <w:vAlign w:val="center"/>
            <w:textDirection w:val="lrTb"/>
            <w:noWrap/>
          </w:tcPr>
          <w:p>
            <w:pPr>
              <w:pStyle w:val="670"/>
              <w:jc w:val="center"/>
              <w:spacing w:before="5"/>
              <w:rPr>
                <w:color w:val="000000"/>
                <w:sz w:val="18"/>
                <w:highlight w:val="none"/>
              </w:rPr>
            </w:pPr>
            <w:r>
              <w:rPr>
                <w:rFonts w:hint="eastAsia"/>
                <w:color w:val="000000"/>
                <w:sz w:val="18"/>
                <w:highlight w:val="none"/>
              </w:rPr>
              <w:t xml:space="preserve">性能指标</w:t>
            </w:r>
            <w:r>
              <w:rPr>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70"/>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W w:w="1276" w:type="dxa"/>
            <w:vAlign w:val="center"/>
            <w:textDirection w:val="lrTb"/>
            <w:noWrap w:val="false"/>
          </w:tcPr>
          <w:p>
            <w:pPr>
              <w:pStyle w:val="670"/>
              <w:jc w:val="center"/>
              <w:spacing w:before="5"/>
              <w:rPr>
                <w:color w:val="000000"/>
                <w:sz w:val="18"/>
                <w:highlight w:val="none"/>
              </w:rPr>
            </w:pPr>
            <w:r>
              <w:rPr>
                <w:rFonts w:hint="eastAsia"/>
                <w:color w:val="000000"/>
                <w:sz w:val="18"/>
                <w:highlight w:val="none"/>
              </w:rPr>
              <w:t xml:space="preserve">产地</w:t>
            </w:r>
            <w:r>
              <w:rPr>
                <w:color w:val="000000"/>
                <w:sz w:val="18"/>
                <w:highlight w:val="none"/>
              </w:rPr>
            </w:r>
            <w:r/>
          </w:p>
        </w:tc>
        <w:tc>
          <w:tcPr>
            <w:tcMar>
              <w:left w:w="15" w:type="dxa"/>
              <w:top w:w="15" w:type="dxa"/>
              <w:right w:w="15" w:type="dxa"/>
              <w:bottom w:w="0" w:type="dxa"/>
            </w:tcMar>
            <w:tcW w:w="992" w:type="dxa"/>
            <w:vAlign w:val="center"/>
            <w:textDirection w:val="lrTb"/>
            <w:noWrap/>
          </w:tcPr>
          <w:p>
            <w:pPr>
              <w:pStyle w:val="670"/>
              <w:jc w:val="center"/>
              <w:spacing w:before="5"/>
              <w:rPr>
                <w:color w:val="000000"/>
                <w:sz w:val="18"/>
                <w:highlight w:val="none"/>
              </w:rPr>
            </w:pPr>
            <w:r>
              <w:rPr>
                <w:rFonts w:hint="eastAsia"/>
                <w:color w:val="000000"/>
                <w:sz w:val="18"/>
                <w:highlight w:val="none"/>
              </w:rPr>
              <w:t xml:space="preserve">质保期</w:t>
            </w:r>
            <w:r>
              <w:rPr>
                <w:color w:val="000000"/>
                <w:sz w:val="18"/>
                <w:highlight w:val="none"/>
              </w:rPr>
            </w:r>
            <w:r/>
          </w:p>
        </w:tc>
        <w:tc>
          <w:tcPr>
            <w:tcW w:w="709" w:type="dxa"/>
            <w:vAlign w:val="center"/>
            <w:textDirection w:val="lrTb"/>
            <w:noWrap w:val="false"/>
          </w:tcPr>
          <w:p>
            <w:pPr>
              <w:pStyle w:val="670"/>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939" w:type="dxa"/>
            <w:vAlign w:val="center"/>
            <w:textDirection w:val="lrTb"/>
            <w:noWrap w:val="false"/>
          </w:tcPr>
          <w:p>
            <w:pPr>
              <w:pStyle w:val="670"/>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719"/>
              <w:spacing w:before="5"/>
              <w:tabs>
                <w:tab w:val="clear" w:pos="4153" w:leader="none"/>
                <w:tab w:val="clear" w:pos="8306" w:leader="none"/>
              </w:tabs>
              <w:rPr>
                <w:rFonts w:ascii="宋体"/>
                <w:color w:val="000000"/>
                <w:highlight w:val="none"/>
              </w:rPr>
              <w:pBdr>
                <w:bottom w:val="none" w:color="000000" w:sz="0" w:space="0"/>
              </w:pBdr>
            </w:pPr>
            <w:r>
              <w:rPr>
                <w:rFonts w:hint="eastAsia" w:ascii="宋体"/>
                <w:color w:val="000000"/>
                <w:highlight w:val="none"/>
              </w:rPr>
              <w:t xml:space="preserve">1</w:t>
            </w:r>
            <w:r>
              <w:rPr>
                <w:rFonts w:ascii="宋体"/>
                <w:color w:val="000000"/>
                <w:highlight w:val="none"/>
              </w:rPr>
            </w:r>
            <w:r/>
          </w:p>
        </w:tc>
        <w:tc>
          <w:tcPr>
            <w:tcMar>
              <w:left w:w="15" w:type="dxa"/>
              <w:top w:w="15" w:type="dxa"/>
              <w:right w:w="15" w:type="dxa"/>
              <w:bottom w:w="0" w:type="dxa"/>
            </w:tcMar>
            <w:tcW w:w="1050" w:type="dxa"/>
            <w:vAlign w:val="center"/>
            <w:textDirection w:val="lrTb"/>
            <w:noWrap/>
          </w:tcPr>
          <w:p>
            <w:pPr>
              <w:pStyle w:val="719"/>
              <w:tabs>
                <w:tab w:val="clear" w:pos="4153" w:leader="none"/>
                <w:tab w:val="clear" w:pos="8306" w:leader="none"/>
              </w:tabs>
              <w:rPr>
                <w:rFonts w:ascii="宋体"/>
                <w:bCs/>
                <w:color w:val="000000"/>
                <w:highlight w:val="none"/>
              </w:rPr>
              <w:pBdr>
                <w:bottom w:val="none" w:color="000000" w:sz="0" w:space="0"/>
              </w:pBdr>
            </w:pPr>
            <w:r>
              <w:rPr>
                <w:rFonts w:ascii="宋体"/>
                <w:bCs/>
                <w:color w:val="000000"/>
                <w:highlight w:val="none"/>
              </w:rPr>
            </w:r>
            <w:r/>
          </w:p>
        </w:tc>
        <w:tc>
          <w:tcPr>
            <w:tcMar>
              <w:left w:w="15" w:type="dxa"/>
              <w:top w:w="15" w:type="dxa"/>
              <w:right w:w="15" w:type="dxa"/>
              <w:bottom w:w="0" w:type="dxa"/>
            </w:tcMar>
            <w:tcW w:w="945" w:type="dxa"/>
            <w:vAlign w:val="center"/>
            <w:textDirection w:val="lrTb"/>
            <w:noWrap w:val="false"/>
          </w:tcPr>
          <w:p>
            <w:pPr>
              <w:pStyle w:val="719"/>
              <w:tabs>
                <w:tab w:val="clear" w:pos="4153" w:leader="none"/>
                <w:tab w:val="clear" w:pos="8306" w:leader="none"/>
              </w:tabs>
              <w:rPr>
                <w:rFonts w:ascii="宋体"/>
                <w:bCs/>
                <w:color w:val="000000"/>
                <w:highlight w:val="none"/>
              </w:rPr>
              <w:pBdr>
                <w:bottom w:val="none" w:color="000000" w:sz="0" w:space="0"/>
              </w:pBdr>
            </w:pPr>
            <w:r>
              <w:rPr>
                <w:rFonts w:ascii="宋体"/>
                <w:bCs/>
                <w:color w:val="000000"/>
                <w:highlight w:val="none"/>
              </w:rPr>
            </w:r>
            <w:r/>
          </w:p>
        </w:tc>
        <w:tc>
          <w:tcPr>
            <w:tcMar>
              <w:left w:w="15" w:type="dxa"/>
              <w:top w:w="15" w:type="dxa"/>
              <w:right w:w="15" w:type="dxa"/>
              <w:bottom w:w="0" w:type="dxa"/>
            </w:tcMar>
            <w:tcW w:w="3045" w:type="dxa"/>
            <w:vAlign w:val="top"/>
            <w:textDirection w:val="lrTb"/>
            <w:noWrap w:val="false"/>
          </w:tcPr>
          <w:p>
            <w:pPr>
              <w:pStyle w:val="670"/>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670"/>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719"/>
              <w:tabs>
                <w:tab w:val="clear" w:pos="4153" w:leader="none"/>
                <w:tab w:val="clear" w:pos="8306" w:leader="none"/>
              </w:tabs>
              <w:rPr>
                <w:rFonts w:ascii="宋体"/>
                <w:bCs/>
                <w:color w:val="000000"/>
                <w:highlight w:val="none"/>
              </w:rPr>
              <w:pBdr>
                <w:bottom w:val="none" w:color="000000" w:sz="0" w:space="0"/>
              </w:pBdr>
            </w:pPr>
            <w:r>
              <w:rPr>
                <w:rFonts w:ascii="宋体"/>
                <w:bCs/>
                <w:color w:val="000000"/>
                <w:highlight w:val="none"/>
              </w:rPr>
            </w:r>
            <w:r/>
          </w:p>
        </w:tc>
        <w:tc>
          <w:tcPr>
            <w:tcMar>
              <w:left w:w="15" w:type="dxa"/>
              <w:top w:w="15" w:type="dxa"/>
              <w:right w:w="15" w:type="dxa"/>
              <w:bottom w:w="0" w:type="dxa"/>
            </w:tcMar>
            <w:tcW w:w="3045" w:type="dxa"/>
            <w:vAlign w:val="center"/>
            <w:textDirection w:val="lrTb"/>
            <w:noWrap w:val="false"/>
          </w:tcPr>
          <w:p>
            <w:pPr>
              <w:pStyle w:val="670"/>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34"/>
        </w:trPr>
        <w:tc>
          <w:tcPr>
            <w:tcMar>
              <w:left w:w="15" w:type="dxa"/>
              <w:top w:w="15" w:type="dxa"/>
              <w:right w:w="15" w:type="dxa"/>
              <w:bottom w:w="0" w:type="dxa"/>
            </w:tcMar>
            <w:tcW w:w="420" w:type="dxa"/>
            <w:vAlign w:val="center"/>
            <w:textDirection w:val="lrTb"/>
            <w:noWrap/>
          </w:tcPr>
          <w:p>
            <w:pPr>
              <w:pStyle w:val="670"/>
              <w:jc w:val="center"/>
              <w:rPr>
                <w:rFonts w:hint="eastAsia" w:ascii="宋体"/>
                <w:color w:val="000000"/>
                <w:sz w:val="18"/>
                <w:highlight w:val="none"/>
              </w:rPr>
            </w:pPr>
            <w:r>
              <w:rPr>
                <w:rFonts w:hint="eastAsia" w:ascii="宋体"/>
                <w:color w:val="000000"/>
                <w:sz w:val="18"/>
                <w:highlight w:val="none"/>
              </w:rPr>
            </w:r>
            <w:r/>
          </w:p>
        </w:tc>
        <w:tc>
          <w:tcPr>
            <w:tcMar>
              <w:left w:w="15" w:type="dxa"/>
              <w:top w:w="15" w:type="dxa"/>
              <w:right w:w="15" w:type="dxa"/>
              <w:bottom w:w="0" w:type="dxa"/>
            </w:tcMar>
            <w:tcW w:w="1050" w:type="dxa"/>
            <w:vAlign w:val="center"/>
            <w:textDirection w:val="lrTb"/>
            <w:noWrap/>
          </w:tcPr>
          <w:p>
            <w:pPr>
              <w:pStyle w:val="670"/>
              <w:jc w:val="center"/>
              <w:rPr>
                <w:rFonts w:ascii="宋体"/>
                <w:color w:val="000000"/>
                <w:highlight w:val="none"/>
              </w:rPr>
            </w:pPr>
            <w:r>
              <w:rPr>
                <w:rFonts w:hint="eastAsia" w:ascii="宋体"/>
                <w:color w:val="000000"/>
                <w:highlight w:val="none"/>
              </w:rPr>
              <w:t xml:space="preserve">……</w:t>
            </w: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719"/>
              <w:tabs>
                <w:tab w:val="clear" w:pos="4153" w:leader="none"/>
                <w:tab w:val="clear" w:pos="8306" w:leader="none"/>
              </w:tabs>
              <w:rPr>
                <w:rFonts w:ascii="宋体"/>
                <w:bCs/>
                <w:color w:val="000000"/>
                <w:highlight w:val="none"/>
              </w:rPr>
              <w:pBdr>
                <w:bottom w:val="none" w:color="000000" w:sz="0" w:space="0"/>
              </w:pBdr>
            </w:pPr>
            <w:r>
              <w:rPr>
                <w:rFonts w:ascii="宋体"/>
                <w:bCs/>
                <w:color w:val="000000"/>
                <w:highlight w:val="none"/>
              </w:rPr>
            </w:r>
            <w:r/>
          </w:p>
        </w:tc>
        <w:tc>
          <w:tcPr>
            <w:tcMar>
              <w:left w:w="15" w:type="dxa"/>
              <w:top w:w="15" w:type="dxa"/>
              <w:right w:w="15" w:type="dxa"/>
              <w:bottom w:w="0" w:type="dxa"/>
            </w:tcMar>
            <w:tcW w:w="3045" w:type="dxa"/>
            <w:vAlign w:val="center"/>
            <w:textDirection w:val="lrTb"/>
            <w:noWrap w:val="false"/>
          </w:tcPr>
          <w:p>
            <w:pPr>
              <w:pStyle w:val="670"/>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pStyle w:val="670"/>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70"/>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70"/>
              <w:spacing w:before="5"/>
              <w:rPr>
                <w:rFonts w:hint="eastAsia"/>
                <w:b/>
                <w:bCs/>
                <w:color w:val="000000"/>
                <w:sz w:val="24"/>
                <w:szCs w:val="24"/>
                <w:highlight w:val="none"/>
              </w:rPr>
            </w:pPr>
            <w:r>
              <w:rPr>
                <w:rFonts w:hint="eastAsia"/>
                <w:b/>
                <w:bCs/>
                <w:color w:val="000000"/>
                <w:sz w:val="24"/>
                <w:szCs w:val="24"/>
                <w:highlight w:val="none"/>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70"/>
              <w:spacing w:before="5"/>
              <w:rPr>
                <w:rFonts w:hint="eastAsia"/>
                <w:color w:val="000000"/>
                <w:sz w:val="18"/>
                <w:highlight w:val="none"/>
              </w:rPr>
            </w:pPr>
            <w:r>
              <w:rPr>
                <w:rFonts w:hint="eastAsia"/>
                <w:b/>
                <w:bCs/>
                <w:color w:val="000000"/>
                <w:sz w:val="24"/>
                <w:szCs w:val="24"/>
                <w:highlight w:val="none"/>
              </w:rPr>
              <w:t xml:space="preserve">服务部分</w:t>
            </w:r>
            <w:r>
              <w:rPr>
                <w:rFonts w:hint="eastAsia"/>
                <w:color w:val="000000"/>
                <w:sz w:val="18"/>
                <w:highlight w:val="none"/>
              </w:rPr>
            </w:r>
            <w:r/>
          </w:p>
        </w:tc>
      </w:tr>
      <w:tr>
        <w:trPr>
          <w:cantSplit/>
          <w:trHeight w:val="495"/>
        </w:trPr>
        <w:tc>
          <w:tcPr>
            <w:tcMar>
              <w:left w:w="15" w:type="dxa"/>
              <w:top w:w="15" w:type="dxa"/>
              <w:right w:w="15" w:type="dxa"/>
              <w:bottom w:w="0" w:type="dxa"/>
            </w:tcMar>
            <w:tcW w:w="420" w:type="dxa"/>
            <w:vAlign w:val="center"/>
            <w:textDirection w:val="lrTb"/>
            <w:noWrap/>
          </w:tcPr>
          <w:p>
            <w:pPr>
              <w:pStyle w:val="670"/>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gridSpan w:val="4"/>
            <w:tcMar>
              <w:left w:w="15" w:type="dxa"/>
              <w:top w:w="15" w:type="dxa"/>
              <w:right w:w="15" w:type="dxa"/>
              <w:bottom w:w="0" w:type="dxa"/>
            </w:tcMar>
            <w:tcW w:w="5639" w:type="dxa"/>
            <w:vAlign w:val="center"/>
            <w:textDirection w:val="lrTb"/>
            <w:noWrap/>
          </w:tcPr>
          <w:p>
            <w:pPr>
              <w:pStyle w:val="670"/>
              <w:jc w:val="center"/>
              <w:spacing w:before="5"/>
              <w:rPr>
                <w:rFonts w:hint="eastAsia"/>
                <w:color w:val="000000"/>
                <w:sz w:val="18"/>
                <w:highlight w:val="none"/>
              </w:rPr>
            </w:pPr>
            <w:r>
              <w:rPr>
                <w:rFonts w:hint="eastAsia"/>
                <w:color w:val="000000"/>
                <w:sz w:val="18"/>
                <w:highlight w:val="none"/>
              </w:rPr>
              <w:t xml:space="preserve">服务内容</w:t>
            </w:r>
            <w:r>
              <w:rPr>
                <w:rFonts w:hint="eastAsia"/>
                <w:color w:val="000000"/>
                <w:sz w:val="18"/>
                <w:highlight w:val="none"/>
              </w:rPr>
            </w:r>
            <w:r/>
          </w:p>
        </w:tc>
        <w:tc>
          <w:tcPr>
            <w:tcW w:w="1276" w:type="dxa"/>
            <w:vAlign w:val="center"/>
            <w:textDirection w:val="lrTb"/>
            <w:noWrap w:val="false"/>
          </w:tcPr>
          <w:p>
            <w:pPr>
              <w:pStyle w:val="670"/>
              <w:jc w:val="center"/>
              <w:spacing w:before="5"/>
              <w:rPr>
                <w:rFonts w:hint="eastAsia"/>
                <w:color w:val="000000"/>
                <w:sz w:val="18"/>
                <w:highlight w:val="none"/>
              </w:rPr>
            </w:pPr>
            <w:r>
              <w:rPr>
                <w:rFonts w:hint="eastAsia"/>
                <w:color w:val="000000"/>
                <w:sz w:val="18"/>
                <w:highlight w:val="none"/>
              </w:rPr>
              <w:t xml:space="preserve">数量</w:t>
            </w:r>
            <w:r>
              <w:rPr>
                <w:rFonts w:hint="eastAsia"/>
                <w:color w:val="000000"/>
                <w:sz w:val="18"/>
                <w:highlight w:val="none"/>
              </w:rPr>
            </w:r>
            <w:r/>
          </w:p>
        </w:tc>
        <w:tc>
          <w:tcPr>
            <w:tcMar>
              <w:left w:w="15" w:type="dxa"/>
              <w:top w:w="15" w:type="dxa"/>
              <w:right w:w="15" w:type="dxa"/>
              <w:bottom w:w="0" w:type="dxa"/>
            </w:tcMar>
            <w:tcW w:w="992" w:type="dxa"/>
            <w:vAlign w:val="center"/>
            <w:textDirection w:val="lrTb"/>
            <w:noWrap/>
          </w:tcPr>
          <w:p>
            <w:pPr>
              <w:pStyle w:val="670"/>
              <w:jc w:val="center"/>
              <w:spacing w:before="5"/>
              <w:rPr>
                <w:rFonts w:hint="eastAsia"/>
                <w:color w:val="000000"/>
                <w:sz w:val="18"/>
                <w:highlight w:val="none"/>
              </w:rPr>
            </w:pPr>
            <w:r>
              <w:rPr>
                <w:rFonts w:hint="eastAsia"/>
                <w:color w:val="000000"/>
                <w:sz w:val="18"/>
                <w:highlight w:val="none"/>
              </w:rPr>
              <w:t xml:space="preserve">单位</w:t>
            </w:r>
            <w:r>
              <w:rPr>
                <w:rFonts w:hint="eastAsia"/>
                <w:color w:val="000000"/>
                <w:sz w:val="18"/>
                <w:highlight w:val="none"/>
              </w:rPr>
            </w:r>
            <w:r/>
          </w:p>
        </w:tc>
        <w:tc>
          <w:tcPr>
            <w:tcW w:w="709" w:type="dxa"/>
            <w:vAlign w:val="center"/>
            <w:textDirection w:val="lrTb"/>
            <w:noWrap w:val="false"/>
          </w:tcPr>
          <w:p>
            <w:pPr>
              <w:pStyle w:val="670"/>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939" w:type="dxa"/>
            <w:vAlign w:val="center"/>
            <w:textDirection w:val="lrTb"/>
            <w:noWrap w:val="false"/>
          </w:tcPr>
          <w:p>
            <w:pPr>
              <w:pStyle w:val="670"/>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719"/>
              <w:spacing w:before="5"/>
              <w:tabs>
                <w:tab w:val="clear" w:pos="4153" w:leader="none"/>
                <w:tab w:val="clear" w:pos="8306" w:leader="none"/>
              </w:tabs>
              <w:rPr>
                <w:rFonts w:ascii="宋体"/>
                <w:color w:val="000000"/>
                <w:highlight w:val="none"/>
              </w:rPr>
              <w:pBdr>
                <w:bottom w:val="none" w:color="000000" w:sz="0" w:space="0"/>
              </w:pBdr>
            </w:pPr>
            <w:r>
              <w:rPr>
                <w:rFonts w:hint="eastAsia" w:ascii="宋体"/>
                <w:color w:val="000000"/>
                <w:highlight w:val="none"/>
              </w:rPr>
              <w:t xml:space="preserve">1</w:t>
            </w:r>
            <w:r>
              <w:rPr>
                <w:rFonts w:ascii="宋体"/>
                <w:color w:val="000000"/>
                <w:highlight w:val="none"/>
              </w:rPr>
            </w:r>
            <w:r/>
          </w:p>
        </w:tc>
        <w:tc>
          <w:tcPr>
            <w:gridSpan w:val="4"/>
            <w:tcMar>
              <w:left w:w="15" w:type="dxa"/>
              <w:top w:w="15" w:type="dxa"/>
              <w:right w:w="15" w:type="dxa"/>
              <w:bottom w:w="0" w:type="dxa"/>
            </w:tcMar>
            <w:tcW w:w="5639" w:type="dxa"/>
            <w:vAlign w:val="center"/>
            <w:textDirection w:val="lrTb"/>
            <w:noWrap/>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gridSpan w:val="4"/>
            <w:tcMar>
              <w:left w:w="15" w:type="dxa"/>
              <w:top w:w="15" w:type="dxa"/>
              <w:right w:w="15" w:type="dxa"/>
              <w:bottom w:w="0" w:type="dxa"/>
            </w:tcMar>
            <w:tcW w:w="5639" w:type="dxa"/>
            <w:vAlign w:val="center"/>
            <w:textDirection w:val="lrTb"/>
            <w:noWrap/>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276"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70"/>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70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775"/>
        </w:trPr>
        <w:tc>
          <w:tcPr>
            <w:tcMar>
              <w:left w:w="15" w:type="dxa"/>
              <w:top w:w="15" w:type="dxa"/>
              <w:right w:w="15" w:type="dxa"/>
              <w:bottom w:w="0" w:type="dxa"/>
            </w:tcMar>
            <w:tcW w:w="420" w:type="dxa"/>
            <w:vAlign w:val="center"/>
            <w:textDirection w:val="lrTb"/>
            <w:noWrap/>
          </w:tcPr>
          <w:p>
            <w:pPr>
              <w:pStyle w:val="670"/>
              <w:jc w:val="center"/>
              <w:rPr>
                <w:rFonts w:ascii="宋体"/>
                <w:color w:val="000000"/>
                <w:sz w:val="18"/>
                <w:highlight w:val="none"/>
              </w:rPr>
            </w:pPr>
            <w:r>
              <w:rPr>
                <w:rFonts w:ascii="宋体"/>
                <w:color w:val="000000"/>
                <w:sz w:val="18"/>
                <w:highlight w:val="none"/>
              </w:rPr>
            </w:r>
            <w:r/>
          </w:p>
        </w:tc>
        <w:tc>
          <w:tcPr>
            <w:gridSpan w:val="4"/>
            <w:tcMar>
              <w:left w:w="15" w:type="dxa"/>
              <w:top w:w="15" w:type="dxa"/>
              <w:right w:w="15" w:type="dxa"/>
              <w:bottom w:w="0" w:type="dxa"/>
            </w:tcMar>
            <w:tcW w:w="5639" w:type="dxa"/>
            <w:vAlign w:val="center"/>
            <w:textDirection w:val="lrTb"/>
            <w:noWrap/>
          </w:tcPr>
          <w:p>
            <w:pPr>
              <w:pStyle w:val="670"/>
              <w:jc w:val="center"/>
              <w:rPr>
                <w:rFonts w:hint="eastAsia" w:ascii="黑体" w:eastAsia="黑体"/>
                <w:b/>
                <w:bCs/>
                <w:color w:val="000000"/>
                <w:highlight w:val="none"/>
              </w:rPr>
            </w:pPr>
            <w:r>
              <w:rPr>
                <w:rFonts w:ascii="宋体"/>
                <w:color w:val="000000"/>
                <w:highlight w:val="none"/>
              </w:rPr>
              <w:t xml:space="preserve">……</w:t>
            </w:r>
            <w:r>
              <w:rPr>
                <w:rFonts w:hint="eastAsia" w:ascii="黑体" w:eastAsia="黑体"/>
                <w:b/>
                <w:bCs/>
                <w:color w:val="000000"/>
                <w:highlight w:val="none"/>
              </w:rPr>
            </w:r>
            <w:r/>
          </w:p>
        </w:tc>
        <w:tc>
          <w:tcPr>
            <w:tcW w:w="1276"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pStyle w:val="670"/>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pStyle w:val="670"/>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bl>
    <w:p>
      <w:pPr>
        <w:pStyle w:val="670"/>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670"/>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670"/>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rPr>
          <w:rFonts w:ascii="宋体"/>
          <w:bCs/>
          <w:color w:val="000000"/>
          <w:highlight w:val="none"/>
        </w:rPr>
      </w:r>
      <w:r/>
    </w:p>
    <w:p>
      <w:pPr>
        <w:pStyle w:val="670"/>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rPr>
          <w:rFonts w:ascii="宋体"/>
          <w:bCs/>
          <w:color w:val="000000"/>
          <w:highlight w:val="none"/>
        </w:rPr>
      </w:r>
      <w:r/>
    </w:p>
    <w:p>
      <w:pPr>
        <w:pStyle w:val="670"/>
        <w:ind w:firstLine="315"/>
        <w:spacing w:line="400" w:lineRule="exact"/>
        <w:rPr>
          <w:rFonts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ascii="宋体" w:hAnsi="宋体"/>
          <w:bCs/>
          <w:color w:val="000000"/>
          <w:highlight w:val="none"/>
        </w:rPr>
      </w:r>
      <w:r/>
    </w:p>
    <w:p>
      <w:pPr>
        <w:pStyle w:val="670"/>
        <w:spacing w:line="360" w:lineRule="auto"/>
        <w:rPr>
          <w:rFonts w:hint="eastAsia"/>
          <w:b/>
          <w:color w:val="000000"/>
          <w:sz w:val="30"/>
          <w:szCs w:val="30"/>
          <w:highlight w:val="none"/>
        </w:rPr>
      </w:pPr>
      <w:r>
        <w:rPr>
          <w:rFonts w:ascii="宋体" w:hAnsi="宋体"/>
          <w:bCs/>
          <w:color w:val="000000"/>
          <w:highlight w:val="none"/>
        </w:rPr>
        <w:br w:type="page" w:clear="all"/>
      </w:r>
      <w:r>
        <w:rPr>
          <w:rFonts w:hint="eastAsia"/>
          <w:b/>
          <w:color w:val="000000"/>
          <w:sz w:val="30"/>
          <w:szCs w:val="30"/>
          <w:highlight w:val="none"/>
        </w:rPr>
        <w:t xml:space="preserve">十</w:t>
      </w:r>
      <w:r>
        <w:rPr>
          <w:b/>
          <w:color w:val="000000"/>
          <w:sz w:val="30"/>
          <w:szCs w:val="30"/>
          <w:highlight w:val="none"/>
        </w:rPr>
        <w:t xml:space="preserve">、</w:t>
      </w:r>
      <w:r>
        <w:rPr>
          <w:rFonts w:hint="eastAsia"/>
          <w:b/>
          <w:color w:val="000000"/>
          <w:sz w:val="30"/>
          <w:szCs w:val="30"/>
          <w:highlight w:val="none"/>
        </w:rPr>
        <w:t xml:space="preserve">投标偏离表（给定格式）：</w:t>
      </w:r>
      <w:r>
        <w:rPr>
          <w:rFonts w:hint="eastAsia"/>
          <w:b/>
          <w:color w:val="000000"/>
          <w:sz w:val="30"/>
          <w:szCs w:val="30"/>
          <w:highlight w:val="none"/>
        </w:rPr>
      </w:r>
      <w:r/>
    </w:p>
    <w:p>
      <w:pPr>
        <w:pStyle w:val="670"/>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0"/>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670"/>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0"/>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670"/>
        <w:spacing w:line="400" w:lineRule="exact"/>
        <w:rPr>
          <w:rFonts w:ascii="黑体" w:eastAsia="宋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color w:val="000000"/>
          <w:sz w:val="24"/>
          <w:szCs w:val="24"/>
          <w:highlight w:val="none"/>
        </w:rPr>
        <w:t xml:space="preserve">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ascii="黑体" w:eastAsia="宋体"/>
          <w:bCs/>
          <w:color w:val="000000"/>
          <w:sz w:val="24"/>
          <w:szCs w:val="24"/>
          <w:highlight w:val="none"/>
          <w:lang w:val="en-US"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0"/>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0"/>
              <w:jc w:val="center"/>
              <w:rPr>
                <w:rFonts w:ascii="宋体"/>
                <w:bCs/>
                <w:color w:val="000000"/>
                <w:highlight w:val="none"/>
              </w:rPr>
            </w:pPr>
            <w:r>
              <w:rPr>
                <w:rFonts w:ascii="宋体"/>
                <w:bCs/>
                <w:color w:val="000000"/>
                <w:highlight w:val="none"/>
              </w:rPr>
            </w:r>
            <w:r/>
          </w:p>
        </w:tc>
      </w:tr>
    </w:tbl>
    <w:p>
      <w:pPr>
        <w:pStyle w:val="670"/>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670"/>
        <w:rPr>
          <w:rFonts w:ascii="宋体"/>
          <w:bCs/>
          <w:color w:val="000000"/>
          <w:sz w:val="30"/>
          <w:highlight w:val="none"/>
        </w:rPr>
      </w:pPr>
      <w:r>
        <w:rPr>
          <w:rFonts w:ascii="宋体"/>
          <w:bCs/>
          <w:color w:val="000000"/>
          <w:sz w:val="30"/>
          <w:highlight w:val="none"/>
        </w:rPr>
      </w:r>
      <w:r/>
    </w:p>
    <w:p>
      <w:pPr>
        <w:pStyle w:val="670"/>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670"/>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rPr>
          <w:rFonts w:ascii="宋体" w:hAnsi="宋体"/>
          <w:bCs/>
          <w:color w:val="000000"/>
          <w:sz w:val="24"/>
          <w:szCs w:val="24"/>
          <w:highlight w:val="none"/>
        </w:rPr>
      </w:r>
      <w:r/>
    </w:p>
    <w:p>
      <w:pPr>
        <w:pStyle w:val="670"/>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（3）如有技术偏离项，请于本表中列明偏离内容，如需要可自行延长，其余无偏离内容不须赘述。</w:t>
      </w:r>
      <w:bookmarkEnd w:id="191"/>
      <w:r/>
      <w:bookmarkEnd w:id="192"/>
      <w:r/>
      <w:bookmarkEnd w:id="206"/>
      <w:r/>
      <w:bookmarkStart w:id="207" w:name="_Hlt26955066"/>
      <w:r/>
      <w:bookmarkEnd w:id="207"/>
      <w:r/>
      <w:bookmarkStart w:id="208" w:name="_格式2__法定代表人授权书"/>
      <w:r/>
      <w:bookmarkEnd w:id="208"/>
      <w:r/>
      <w:bookmarkStart w:id="209" w:name="_Hlt26671374"/>
      <w:r/>
      <w:bookmarkEnd w:id="209"/>
      <w:r/>
      <w:bookmarkStart w:id="210" w:name="_Hlt26609389"/>
      <w:r/>
      <w:bookmarkEnd w:id="210"/>
      <w:r>
        <w:rPr>
          <w:rFonts w:hint="eastAsia" w:ascii="宋体" w:hAnsi="宋体"/>
          <w:bCs/>
          <w:color w:val="000000"/>
          <w:sz w:val="24"/>
          <w:szCs w:val="24"/>
          <w:highlight w:val="none"/>
        </w:rPr>
      </w:r>
      <w:r/>
    </w:p>
    <w:p>
      <w:pPr>
        <w:pStyle w:val="670"/>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670"/>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670"/>
        <w:rPr>
          <w:color w:val="000000"/>
          <w:highlight w:val="none"/>
        </w:rPr>
      </w:pPr>
      <w:r>
        <w:rPr>
          <w:color w:val="000000"/>
          <w:highlight w:val="none"/>
        </w:rPr>
      </w:r>
      <w:r/>
    </w:p>
    <w:p>
      <w:pPr>
        <w:pStyle w:val="670"/>
        <w:spacing w:line="360" w:lineRule="auto"/>
        <w:rPr>
          <w:rFonts w:ascii="黑体" w:eastAsia="黑体"/>
          <w:bCs/>
          <w:color w:val="000000"/>
          <w:sz w:val="24"/>
          <w:szCs w:val="24"/>
          <w:highlight w:val="none"/>
        </w:rPr>
      </w:pPr>
      <w:r>
        <w:rPr>
          <w:rFonts w:ascii="宋体" w:hAnsi="宋体"/>
          <w:bCs/>
          <w:color w:val="000000"/>
          <w:sz w:val="24"/>
          <w:szCs w:val="24"/>
          <w:highlight w:val="none"/>
        </w:rPr>
        <w:br w:type="page" w:clear="all"/>
      </w:r>
      <w:r>
        <w:rPr>
          <w:rFonts w:hint="eastAsia"/>
          <w:b/>
          <w:color w:val="000000"/>
          <w:sz w:val="30"/>
          <w:szCs w:val="30"/>
          <w:highlight w:val="none"/>
        </w:rPr>
        <w:t xml:space="preserve">十一、证明材料汇总表</w:t>
      </w:r>
      <w:r>
        <w:rPr>
          <w:rFonts w:ascii="黑体" w:eastAsia="黑体"/>
          <w:bCs/>
          <w:color w:val="000000"/>
          <w:sz w:val="24"/>
          <w:szCs w:val="24"/>
          <w:highlight w:val="none"/>
        </w:rPr>
      </w:r>
      <w:r/>
    </w:p>
    <w:p>
      <w:pPr>
        <w:pStyle w:val="670"/>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color w:val="000000"/>
          <w:sz w:val="24"/>
          <w:szCs w:val="24"/>
          <w:highlight w:val="none"/>
        </w:rPr>
        <w:t xml:space="preserve">JSZC-320214-JZCG-G202</w:t>
      </w:r>
      <w:r>
        <w:rPr>
          <w:rFonts w:hint="eastAsia"/>
          <w:color w:val="000000"/>
          <w:sz w:val="24"/>
          <w:szCs w:val="24"/>
          <w:highlight w:val="none"/>
          <w:lang w:val="en-US" w:eastAsia="zh-CN"/>
        </w:rPr>
        <w:t xml:space="preserve">5</w:t>
      </w:r>
      <w:r>
        <w:rPr>
          <w:rFonts w:hint="eastAsia"/>
          <w:color w:val="000000"/>
          <w:sz w:val="24"/>
          <w:szCs w:val="24"/>
          <w:highlight w:val="none"/>
        </w:rPr>
        <w:t xml:space="preserve">-00</w:t>
      </w:r>
      <w:r>
        <w:rPr>
          <w:rFonts w:hint="eastAsia"/>
          <w:color w:val="000000"/>
          <w:sz w:val="24"/>
          <w:szCs w:val="24"/>
          <w:highlight w:val="none"/>
          <w:lang w:val="en-US" w:eastAsia="zh-CN"/>
        </w:rPr>
        <w:t xml:space="preserve">05</w:t>
      </w:r>
      <w:r>
        <w:rPr>
          <w:rFonts w:ascii="黑体" w:eastAsia="黑体"/>
          <w:bCs/>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658"/>
        <w:gridCol w:w="3360"/>
        <w:gridCol w:w="3325"/>
        <w:gridCol w:w="657"/>
        <w:gridCol w:w="644"/>
      </w:tblGrid>
      <w:tr>
        <w:trPr>
          <w:trHeight w:val="278"/>
        </w:trPr>
        <w:tc>
          <w:tcPr>
            <w:tcW w:w="286" w:type="dxa"/>
            <w:vAlign w:val="center"/>
            <w:textDirection w:val="lrTb"/>
            <w:noWrap w:val="false"/>
          </w:tcPr>
          <w:p>
            <w:pPr>
              <w:pStyle w:val="670"/>
              <w:jc w:val="left"/>
              <w:widowControl/>
              <w:rPr>
                <w:rFonts w:ascii="宋体" w:hAnsi="宋体" w:cs="宋体"/>
                <w:color w:val="000000"/>
                <w:highlight w:val="none"/>
              </w:rPr>
            </w:pPr>
            <w:r/>
            <w:bookmarkStart w:id="211" w:name="_Hlk148954265"/>
            <w:r>
              <w:rPr>
                <w:rFonts w:hint="eastAsia" w:ascii="宋体" w:hAnsi="宋体" w:cs="宋体"/>
                <w:color w:val="000000"/>
                <w:highlight w:val="none"/>
              </w:rPr>
              <w:t xml:space="preserve">序号</w:t>
            </w:r>
            <w:r>
              <w:rPr>
                <w:rFonts w:ascii="宋体" w:hAnsi="宋体" w:cs="宋体"/>
                <w:color w:val="000000"/>
                <w:highlight w:val="none"/>
              </w:rPr>
            </w:r>
            <w:r/>
          </w:p>
        </w:tc>
        <w:tc>
          <w:tcPr>
            <w:tcW w:w="359"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设备名称</w:t>
            </w:r>
            <w:r>
              <w:rPr>
                <w:rFonts w:ascii="宋体" w:hAnsi="宋体" w:cs="宋体"/>
                <w:color w:val="000000"/>
                <w:highlight w:val="none"/>
              </w:rPr>
            </w:r>
            <w:r/>
          </w:p>
        </w:tc>
        <w:tc>
          <w:tcPr>
            <w:tcW w:w="183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参数</w:t>
            </w:r>
            <w:r>
              <w:rPr>
                <w:rFonts w:ascii="宋体" w:hAnsi="宋体" w:cs="宋体"/>
                <w:color w:val="000000"/>
                <w:highlight w:val="none"/>
              </w:rPr>
            </w:r>
            <w:r/>
          </w:p>
        </w:tc>
        <w:tc>
          <w:tcPr>
            <w:tcW w:w="1812"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证明材料</w:t>
            </w:r>
            <w:r>
              <w:rPr>
                <w:rFonts w:ascii="宋体" w:hAnsi="宋体" w:cs="宋体"/>
                <w:color w:val="000000"/>
                <w:highlight w:val="none"/>
              </w:rPr>
            </w:r>
            <w:r/>
          </w:p>
        </w:tc>
        <w:tc>
          <w:tcPr>
            <w:tcW w:w="358"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是否提供</w:t>
            </w:r>
            <w:r>
              <w:rPr>
                <w:rFonts w:ascii="宋体" w:hAnsi="宋体" w:cs="宋体"/>
                <w:color w:val="000000"/>
                <w:highlight w:val="none"/>
              </w:rPr>
            </w:r>
            <w:r/>
          </w:p>
        </w:tc>
        <w:tc>
          <w:tcPr>
            <w:tcW w:w="351"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对应页码</w:t>
            </w:r>
            <w:r>
              <w:rPr>
                <w:rFonts w:ascii="宋体" w:hAnsi="宋体" w:cs="宋体"/>
                <w:color w:val="000000"/>
                <w:highlight w:val="none"/>
              </w:rPr>
            </w:r>
            <w:r/>
          </w:p>
        </w:tc>
      </w:tr>
      <w:tr>
        <w:trPr>
          <w:trHeight w:val="278"/>
        </w:trPr>
        <w:tc>
          <w:tcPr>
            <w:tcW w:w="286"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359" w:type="dxa"/>
            <w:vAlign w:val="center"/>
            <w:textDirection w:val="lrTb"/>
            <w:noWrap w:val="false"/>
          </w:tcPr>
          <w:p>
            <w:pPr>
              <w:pStyle w:val="670"/>
              <w:jc w:val="left"/>
              <w:widowControl/>
              <w:rPr>
                <w:rFonts w:ascii="宋体" w:hAnsi="宋体" w:cs="宋体"/>
                <w:bCs/>
                <w:color w:val="000000"/>
                <w:highlight w:val="none"/>
              </w:rPr>
            </w:pPr>
            <w:r>
              <w:rPr>
                <w:rFonts w:hint="eastAsia"/>
                <w:bCs/>
                <w:color w:val="000000"/>
                <w:highlight w:val="none"/>
              </w:rPr>
              <w:t xml:space="preserve">通用服务器</w:t>
            </w:r>
            <w:r>
              <w:rPr>
                <w:rFonts w:ascii="宋体" w:hAnsi="宋体" w:cs="宋体"/>
                <w:bCs/>
                <w:color w:val="000000"/>
                <w:highlight w:val="none"/>
              </w:rPr>
            </w:r>
            <w:r/>
          </w:p>
        </w:tc>
        <w:tc>
          <w:tcPr>
            <w:tcW w:w="1831" w:type="dxa"/>
            <w:vAlign w:val="center"/>
            <w:textDirection w:val="lrTb"/>
            <w:noWrap w:val="false"/>
          </w:tcPr>
          <w:p>
            <w:pPr>
              <w:pStyle w:val="670"/>
              <w:jc w:val="left"/>
              <w:widowControl/>
              <w:rPr>
                <w:rFonts w:ascii="宋体" w:hAnsi="宋体"/>
                <w:bCs/>
                <w:color w:val="000000"/>
                <w:highlight w:val="none"/>
              </w:rPr>
            </w:pPr>
            <w:r>
              <w:rPr>
                <w:rFonts w:ascii="宋体" w:hAnsi="宋体"/>
                <w:bCs/>
                <w:color w:val="000000"/>
                <w:highlight w:val="none"/>
              </w:rPr>
            </w:r>
            <w:r/>
          </w:p>
        </w:tc>
        <w:tc>
          <w:tcPr>
            <w:tcW w:w="1812" w:type="dxa"/>
            <w:vAlign w:val="center"/>
            <w:textDirection w:val="lrTb"/>
            <w:noWrap w:val="false"/>
          </w:tcPr>
          <w:p>
            <w:pPr>
              <w:pStyle w:val="670"/>
              <w:jc w:val="left"/>
              <w:widowControl/>
              <w:rPr>
                <w:rFonts w:ascii="宋体" w:hAnsi="宋体"/>
                <w:color w:val="000000"/>
                <w:highlight w:val="none"/>
              </w:rPr>
            </w:pPr>
            <w:r>
              <w:rPr>
                <w:b/>
                <w:bCs/>
                <w:color w:val="000000"/>
                <w:highlight w:val="none"/>
              </w:rPr>
              <w:t xml:space="preserve">供应商提供供应链稳定承诺书，确保产品的部件在产品服务周期内稳定供货</w:t>
            </w:r>
            <w:r>
              <w:rPr>
                <w:rFonts w:ascii="宋体" w:hAnsi="宋体"/>
                <w:color w:val="000000"/>
                <w:highlight w:val="none"/>
              </w:rPr>
            </w:r>
            <w:r/>
          </w:p>
        </w:tc>
        <w:tc>
          <w:tcPr>
            <w:tcW w:w="358"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c>
          <w:tcPr>
            <w:tcW w:w="351"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r>
      <w:tr>
        <w:trPr>
          <w:trHeight w:val="278"/>
        </w:trPr>
        <w:tc>
          <w:tcPr>
            <w:tcW w:w="286"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359" w:type="dxa"/>
            <w:vAlign w:val="center"/>
            <w:textDirection w:val="lrTb"/>
            <w:noWrap w:val="false"/>
          </w:tcPr>
          <w:p>
            <w:pPr>
              <w:pStyle w:val="670"/>
              <w:jc w:val="left"/>
              <w:widowControl/>
              <w:rPr>
                <w:rFonts w:ascii="宋体" w:hAnsi="宋体" w:cs="宋体"/>
                <w:bCs/>
                <w:color w:val="000000"/>
                <w:highlight w:val="none"/>
              </w:rPr>
            </w:pPr>
            <w:r>
              <w:rPr>
                <w:rFonts w:hint="eastAsia"/>
                <w:bCs/>
                <w:color w:val="000000"/>
                <w:highlight w:val="none"/>
              </w:rPr>
              <w:t xml:space="preserve">教师端</w:t>
            </w:r>
            <w:r>
              <w:rPr>
                <w:rFonts w:hint="eastAsia" w:cs="宋体"/>
                <w:bCs/>
                <w:color w:val="000000"/>
                <w:highlight w:val="none"/>
              </w:rPr>
              <w:t xml:space="preserve">高清摄像机</w:t>
            </w:r>
            <w:r>
              <w:rPr>
                <w:rFonts w:ascii="宋体" w:hAnsi="宋体" w:cs="宋体"/>
                <w:bCs/>
                <w:color w:val="000000"/>
                <w:highlight w:val="none"/>
              </w:rPr>
            </w:r>
            <w:r/>
          </w:p>
        </w:tc>
        <w:tc>
          <w:tcPr>
            <w:tcW w:w="1831" w:type="dxa"/>
            <w:vAlign w:val="center"/>
            <w:textDirection w:val="lrTb"/>
            <w:noWrap w:val="false"/>
          </w:tcPr>
          <w:p>
            <w:pPr>
              <w:pStyle w:val="670"/>
              <w:jc w:val="left"/>
              <w:widowControl/>
              <w:rPr>
                <w:rFonts w:ascii="宋体" w:hAnsi="宋体"/>
                <w:bCs/>
                <w:color w:val="000000"/>
                <w:highlight w:val="none"/>
              </w:rPr>
            </w:pPr>
            <w:r>
              <w:rPr>
                <w:rFonts w:hint="eastAsia"/>
                <w:bCs/>
                <w:color w:val="000000"/>
                <w:highlight w:val="none"/>
              </w:rPr>
              <w:t xml:space="preserve">须接入学校现有智慧教室云平台实现统一管理</w:t>
            </w:r>
            <w:r>
              <w:rPr>
                <w:rFonts w:ascii="宋体" w:hAnsi="宋体"/>
                <w:bCs/>
                <w:color w:val="000000"/>
                <w:highlight w:val="none"/>
              </w:rPr>
            </w:r>
            <w:r/>
          </w:p>
        </w:tc>
        <w:tc>
          <w:tcPr>
            <w:tcW w:w="1812" w:type="dxa"/>
            <w:vAlign w:val="center"/>
            <w:textDirection w:val="lrTb"/>
            <w:noWrap w:val="false"/>
          </w:tcPr>
          <w:p>
            <w:pPr>
              <w:pStyle w:val="670"/>
              <w:jc w:val="left"/>
              <w:widowControl/>
              <w:rPr>
                <w:rFonts w:ascii="宋体" w:hAnsi="宋体"/>
                <w:color w:val="000000"/>
                <w:highlight w:val="none"/>
              </w:rPr>
            </w:pPr>
            <w:r>
              <w:rPr>
                <w:b/>
                <w:bCs/>
                <w:color w:val="000000"/>
                <w:highlight w:val="none"/>
              </w:rPr>
              <w:t xml:space="preserve">供应商</w:t>
            </w:r>
            <w:r>
              <w:rPr>
                <w:rFonts w:hint="eastAsia"/>
                <w:b/>
                <w:color w:val="000000"/>
                <w:highlight w:val="none"/>
              </w:rPr>
              <w:t xml:space="preserve">须提供对接承诺函并加盖投标人公章</w:t>
            </w:r>
            <w:r>
              <w:rPr>
                <w:rFonts w:ascii="宋体" w:hAnsi="宋体"/>
                <w:color w:val="000000"/>
                <w:highlight w:val="none"/>
              </w:rPr>
            </w:r>
            <w:r/>
          </w:p>
        </w:tc>
        <w:tc>
          <w:tcPr>
            <w:tcW w:w="358"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c>
          <w:tcPr>
            <w:tcW w:w="351"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r>
      <w:tr>
        <w:trPr>
          <w:trHeight w:val="278"/>
        </w:trPr>
        <w:tc>
          <w:tcPr>
            <w:tcW w:w="286"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359" w:type="dxa"/>
            <w:vAlign w:val="center"/>
            <w:textDirection w:val="lrTb"/>
            <w:noWrap w:val="false"/>
          </w:tcPr>
          <w:p>
            <w:pPr>
              <w:pStyle w:val="670"/>
              <w:jc w:val="left"/>
              <w:widowControl/>
              <w:rPr>
                <w:rFonts w:ascii="宋体" w:hAnsi="宋体" w:cs="宋体"/>
                <w:bCs/>
                <w:color w:val="000000"/>
                <w:highlight w:val="none"/>
              </w:rPr>
            </w:pPr>
            <w:r>
              <w:rPr>
                <w:rFonts w:hint="eastAsia"/>
                <w:bCs/>
                <w:color w:val="000000"/>
                <w:highlight w:val="none"/>
              </w:rPr>
              <w:t xml:space="preserve">学生端高清</w:t>
            </w:r>
            <w:r>
              <w:rPr>
                <w:rFonts w:hint="eastAsia" w:cs="宋体"/>
                <w:bCs/>
                <w:color w:val="000000"/>
                <w:highlight w:val="none"/>
              </w:rPr>
              <w:t xml:space="preserve">摄像机</w:t>
            </w:r>
            <w:r>
              <w:rPr>
                <w:rFonts w:ascii="宋体" w:hAnsi="宋体" w:cs="宋体"/>
                <w:bCs/>
                <w:color w:val="000000"/>
                <w:highlight w:val="none"/>
              </w:rPr>
            </w:r>
            <w:r/>
          </w:p>
        </w:tc>
        <w:tc>
          <w:tcPr>
            <w:tcW w:w="1831" w:type="dxa"/>
            <w:vAlign w:val="center"/>
            <w:textDirection w:val="lrTb"/>
            <w:noWrap w:val="false"/>
          </w:tcPr>
          <w:p>
            <w:pPr>
              <w:pStyle w:val="670"/>
              <w:jc w:val="left"/>
              <w:widowControl/>
              <w:rPr>
                <w:rFonts w:ascii="宋体" w:hAnsi="宋体"/>
                <w:bCs/>
                <w:color w:val="000000"/>
                <w:highlight w:val="none"/>
              </w:rPr>
            </w:pPr>
            <w:r>
              <w:rPr>
                <w:rFonts w:hint="eastAsia"/>
                <w:bCs/>
                <w:color w:val="000000"/>
                <w:highlight w:val="none"/>
              </w:rPr>
              <w:t xml:space="preserve">须接入学校现有智慧教室云平台实现统一管理</w:t>
            </w:r>
            <w:r>
              <w:rPr>
                <w:rFonts w:ascii="宋体" w:hAnsi="宋体"/>
                <w:bCs/>
                <w:color w:val="000000"/>
                <w:highlight w:val="none"/>
              </w:rPr>
            </w:r>
            <w:r/>
          </w:p>
        </w:tc>
        <w:tc>
          <w:tcPr>
            <w:tcW w:w="1812" w:type="dxa"/>
            <w:vAlign w:val="center"/>
            <w:textDirection w:val="lrTb"/>
            <w:noWrap w:val="false"/>
          </w:tcPr>
          <w:p>
            <w:pPr>
              <w:pStyle w:val="670"/>
              <w:jc w:val="left"/>
              <w:widowControl/>
              <w:rPr>
                <w:rFonts w:ascii="宋体" w:hAnsi="宋体"/>
                <w:color w:val="000000"/>
                <w:highlight w:val="none"/>
              </w:rPr>
            </w:pPr>
            <w:r>
              <w:rPr>
                <w:b/>
                <w:bCs/>
                <w:color w:val="000000"/>
                <w:highlight w:val="none"/>
              </w:rPr>
              <w:t xml:space="preserve">供应商</w:t>
            </w:r>
            <w:r>
              <w:rPr>
                <w:rFonts w:hint="eastAsia"/>
                <w:b/>
                <w:color w:val="000000"/>
                <w:highlight w:val="none"/>
              </w:rPr>
              <w:t xml:space="preserve">须提供对接承诺函并加盖投标人公章</w:t>
            </w:r>
            <w:r>
              <w:rPr>
                <w:rFonts w:ascii="宋体" w:hAnsi="宋体"/>
                <w:color w:val="000000"/>
                <w:highlight w:val="none"/>
              </w:rPr>
            </w:r>
            <w:r/>
          </w:p>
        </w:tc>
        <w:tc>
          <w:tcPr>
            <w:tcW w:w="358"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c>
          <w:tcPr>
            <w:tcW w:w="351"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r>
      <w:tr>
        <w:trPr>
          <w:trHeight w:val="278"/>
        </w:trPr>
        <w:tc>
          <w:tcPr>
            <w:tcW w:w="286"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359" w:type="dxa"/>
            <w:vAlign w:val="center"/>
            <w:textDirection w:val="lrTb"/>
            <w:noWrap w:val="false"/>
          </w:tcPr>
          <w:p>
            <w:pPr>
              <w:pStyle w:val="670"/>
              <w:jc w:val="left"/>
              <w:widowControl/>
              <w:rPr>
                <w:rFonts w:ascii="宋体" w:hAnsi="宋体" w:cs="宋体"/>
                <w:bCs/>
                <w:color w:val="000000"/>
                <w:highlight w:val="none"/>
              </w:rPr>
            </w:pPr>
            <w:r>
              <w:rPr>
                <w:rFonts w:hint="eastAsia" w:cs="宋体"/>
                <w:bCs/>
                <w:color w:val="000000"/>
                <w:highlight w:val="none"/>
              </w:rPr>
              <w:t xml:space="preserve">桌面硬件采集编码器</w:t>
            </w:r>
            <w:r>
              <w:rPr>
                <w:rFonts w:ascii="宋体" w:hAnsi="宋体" w:cs="宋体"/>
                <w:bCs/>
                <w:color w:val="000000"/>
                <w:highlight w:val="none"/>
              </w:rPr>
            </w:r>
            <w:r/>
          </w:p>
        </w:tc>
        <w:tc>
          <w:tcPr>
            <w:tcW w:w="1831" w:type="dxa"/>
            <w:vAlign w:val="center"/>
            <w:textDirection w:val="lrTb"/>
            <w:noWrap w:val="false"/>
          </w:tcPr>
          <w:p>
            <w:pPr>
              <w:pStyle w:val="670"/>
              <w:jc w:val="left"/>
              <w:widowControl/>
              <w:rPr>
                <w:rFonts w:ascii="宋体" w:hAnsi="宋体"/>
                <w:bCs/>
                <w:color w:val="000000"/>
                <w:highlight w:val="none"/>
              </w:rPr>
            </w:pPr>
            <w:r>
              <w:rPr>
                <w:rFonts w:hint="eastAsia"/>
                <w:bCs/>
                <w:color w:val="000000"/>
                <w:highlight w:val="none"/>
              </w:rPr>
              <w:t xml:space="preserve">须接入学校现有智慧教室云平台实现统一管理</w:t>
            </w:r>
            <w:r>
              <w:rPr>
                <w:rFonts w:ascii="宋体" w:hAnsi="宋体"/>
                <w:bCs/>
                <w:color w:val="000000"/>
                <w:highlight w:val="none"/>
              </w:rPr>
            </w:r>
            <w:r/>
          </w:p>
        </w:tc>
        <w:tc>
          <w:tcPr>
            <w:tcW w:w="1812" w:type="dxa"/>
            <w:vAlign w:val="center"/>
            <w:textDirection w:val="lrTb"/>
            <w:noWrap w:val="false"/>
          </w:tcPr>
          <w:p>
            <w:pPr>
              <w:pStyle w:val="670"/>
              <w:jc w:val="left"/>
              <w:widowControl/>
              <w:rPr>
                <w:rFonts w:ascii="宋体" w:hAnsi="宋体"/>
                <w:color w:val="000000"/>
                <w:highlight w:val="none"/>
              </w:rPr>
            </w:pPr>
            <w:r>
              <w:rPr>
                <w:b/>
                <w:bCs/>
                <w:color w:val="000000"/>
                <w:highlight w:val="none"/>
              </w:rPr>
              <w:t xml:space="preserve">供应商</w:t>
            </w:r>
            <w:r>
              <w:rPr>
                <w:rFonts w:hint="eastAsia"/>
                <w:b/>
                <w:color w:val="000000"/>
                <w:highlight w:val="none"/>
              </w:rPr>
              <w:t xml:space="preserve">须提供对接承诺函并加盖投标人公章</w:t>
            </w:r>
            <w:r>
              <w:rPr>
                <w:rFonts w:ascii="宋体" w:hAnsi="宋体"/>
                <w:color w:val="000000"/>
                <w:highlight w:val="none"/>
              </w:rPr>
            </w:r>
            <w:r/>
          </w:p>
        </w:tc>
        <w:tc>
          <w:tcPr>
            <w:tcW w:w="358"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c>
          <w:tcPr>
            <w:tcW w:w="351"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r>
      <w:tr>
        <w:trPr>
          <w:trHeight w:val="278"/>
        </w:trPr>
        <w:tc>
          <w:tcPr>
            <w:tcW w:w="286" w:type="dxa"/>
            <w:vAlign w:val="center"/>
            <w:textDirection w:val="lrTb"/>
            <w:noWrap w:val="false"/>
          </w:tcPr>
          <w:p>
            <w:pPr>
              <w:pStyle w:val="670"/>
              <w:jc w:val="left"/>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359" w:type="dxa"/>
            <w:vAlign w:val="center"/>
            <w:textDirection w:val="lrTb"/>
            <w:noWrap w:val="false"/>
          </w:tcPr>
          <w:p>
            <w:pPr>
              <w:pStyle w:val="670"/>
              <w:jc w:val="left"/>
              <w:widowControl/>
              <w:rPr>
                <w:rFonts w:ascii="宋体" w:hAnsi="宋体" w:cs="宋体"/>
                <w:bCs/>
                <w:color w:val="000000"/>
                <w:highlight w:val="none"/>
              </w:rPr>
            </w:pPr>
            <w:r>
              <w:rPr>
                <w:rFonts w:hint="eastAsia" w:cs="宋体"/>
                <w:bCs/>
                <w:color w:val="000000"/>
                <w:highlight w:val="none"/>
              </w:rPr>
              <w:t xml:space="preserve">云录播平台系统</w:t>
            </w:r>
            <w:r>
              <w:rPr>
                <w:rFonts w:ascii="宋体" w:hAnsi="宋体" w:cs="宋体"/>
                <w:bCs/>
                <w:color w:val="000000"/>
                <w:highlight w:val="none"/>
              </w:rPr>
            </w:r>
            <w:r/>
          </w:p>
        </w:tc>
        <w:tc>
          <w:tcPr>
            <w:tcW w:w="1831" w:type="dxa"/>
            <w:vAlign w:val="center"/>
            <w:textDirection w:val="lrTb"/>
            <w:noWrap w:val="false"/>
          </w:tcPr>
          <w:p>
            <w:pPr>
              <w:pStyle w:val="670"/>
              <w:jc w:val="left"/>
              <w:widowControl/>
              <w:rPr>
                <w:rFonts w:ascii="宋体" w:hAnsi="宋体"/>
                <w:bCs/>
                <w:color w:val="000000"/>
                <w:highlight w:val="none"/>
              </w:rPr>
            </w:pPr>
            <w:r>
              <w:rPr>
                <w:rFonts w:hint="eastAsia"/>
                <w:bCs/>
                <w:color w:val="000000"/>
                <w:highlight w:val="none"/>
              </w:rPr>
              <w:t xml:space="preserve">须接入学校现有智慧教室云平台实现统一管理</w:t>
            </w:r>
            <w:r>
              <w:rPr>
                <w:rFonts w:ascii="宋体" w:hAnsi="宋体"/>
                <w:bCs/>
                <w:color w:val="000000"/>
                <w:highlight w:val="none"/>
              </w:rPr>
            </w:r>
            <w:r/>
          </w:p>
        </w:tc>
        <w:tc>
          <w:tcPr>
            <w:tcW w:w="1812" w:type="dxa"/>
            <w:vAlign w:val="center"/>
            <w:textDirection w:val="lrTb"/>
            <w:noWrap w:val="false"/>
          </w:tcPr>
          <w:p>
            <w:pPr>
              <w:pStyle w:val="670"/>
              <w:jc w:val="left"/>
              <w:widowControl/>
              <w:rPr>
                <w:rFonts w:ascii="宋体" w:hAnsi="宋体"/>
                <w:color w:val="000000"/>
                <w:highlight w:val="none"/>
              </w:rPr>
            </w:pPr>
            <w:r>
              <w:rPr>
                <w:b/>
                <w:bCs/>
                <w:color w:val="000000"/>
                <w:highlight w:val="none"/>
              </w:rPr>
              <w:t xml:space="preserve">供应商</w:t>
            </w:r>
            <w:r>
              <w:rPr>
                <w:rFonts w:hint="eastAsia"/>
                <w:b/>
                <w:color w:val="000000"/>
                <w:highlight w:val="none"/>
              </w:rPr>
              <w:t xml:space="preserve">须提供对接承诺函并加盖投标人公章</w:t>
            </w:r>
            <w:r>
              <w:rPr>
                <w:rFonts w:ascii="宋体" w:hAnsi="宋体"/>
                <w:color w:val="000000"/>
                <w:highlight w:val="none"/>
              </w:rPr>
            </w:r>
            <w:r/>
          </w:p>
        </w:tc>
        <w:tc>
          <w:tcPr>
            <w:tcW w:w="358"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c>
          <w:tcPr>
            <w:tcW w:w="351" w:type="dxa"/>
            <w:vAlign w:val="center"/>
            <w:textDirection w:val="lrTb"/>
            <w:noWrap w:val="false"/>
          </w:tcPr>
          <w:p>
            <w:pPr>
              <w:pStyle w:val="670"/>
              <w:jc w:val="left"/>
              <w:widowControl/>
              <w:rPr>
                <w:rFonts w:ascii="宋体" w:hAnsi="宋体" w:cs="宋体"/>
                <w:color w:val="000000"/>
                <w:highlight w:val="none"/>
              </w:rPr>
            </w:pPr>
            <w:r>
              <w:rPr>
                <w:rFonts w:ascii="宋体" w:hAnsi="宋体" w:cs="宋体"/>
                <w:color w:val="000000"/>
                <w:highlight w:val="none"/>
              </w:rPr>
            </w:r>
            <w:r/>
          </w:p>
        </w:tc>
      </w:tr>
    </w:tbl>
    <w:p>
      <w:pPr>
        <w:pStyle w:val="670"/>
        <w:rPr>
          <w:rFonts w:ascii="宋体"/>
          <w:bCs/>
          <w:color w:val="000000"/>
          <w:sz w:val="30"/>
          <w:highlight w:val="none"/>
        </w:rPr>
      </w:pPr>
      <w:r/>
      <w:bookmarkEnd w:id="211"/>
      <w:r>
        <w:rPr>
          <w:rFonts w:hint="eastAsia" w:ascii="黑体" w:eastAsia="黑体"/>
          <w:bCs/>
          <w:color w:val="000000"/>
          <w:sz w:val="24"/>
          <w:szCs w:val="24"/>
          <w:highlight w:val="none"/>
        </w:rPr>
        <w:t xml:space="preserve">投标人名称（盖章）：</w:t>
      </w:r>
      <w:r>
        <w:rPr>
          <w:rFonts w:ascii="宋体"/>
          <w:bCs/>
          <w:color w:val="000000"/>
          <w:sz w:val="30"/>
          <w:highlight w:val="none"/>
        </w:rPr>
      </w:r>
      <w:r/>
    </w:p>
    <w:p>
      <w:pPr>
        <w:pStyle w:val="787"/>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注：所有承诺函加盖公章，否则视为无效；</w:t>
      </w:r>
      <w:r>
        <w:rPr>
          <w:rFonts w:ascii="宋体" w:hAnsi="宋体" w:eastAsia="宋体"/>
          <w:color w:val="000000"/>
          <w:sz w:val="24"/>
          <w:szCs w:val="24"/>
          <w:highlight w:val="none"/>
        </w:rPr>
      </w:r>
      <w:r/>
    </w:p>
    <w:p>
      <w:pPr>
        <w:pStyle w:val="670"/>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不按要求提供承诺函视为无效投标文件；</w:t>
      </w:r>
      <w:r>
        <w:rPr>
          <w:rFonts w:ascii="宋体" w:hAnsi="宋体"/>
          <w:bCs/>
          <w:color w:val="000000"/>
          <w:sz w:val="24"/>
          <w:szCs w:val="24"/>
          <w:highlight w:val="none"/>
        </w:rPr>
      </w:r>
      <w:r/>
    </w:p>
    <w:p>
      <w:pPr>
        <w:pStyle w:val="670"/>
        <w:rPr>
          <w:rFonts w:hint="eastAsia" w:ascii="宋体" w:hAnsi="宋体"/>
          <w:bCs/>
          <w:color w:val="000000"/>
          <w:highlight w:val="none"/>
        </w:rPr>
      </w:pP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Fonts w:ascii="宋体" w:hAnsi="宋体"/>
      </w:rPr>
      <w:framePr w:wrap="around" w:vAnchor="text" w:hAnchor="margin" w:xAlign="center" w:y="1"/>
    </w:pPr>
    <w:r>
      <w:rPr>
        <w:rFonts w:ascii="宋体" w:hAnsi="宋体"/>
      </w:rPr>
      <w:fldChar w:fldCharType="begin"/>
    </w:r>
    <w:r>
      <w:rPr>
        <w:rStyle w:val="742"/>
        <w:rFonts w:ascii="宋体" w:hAnsi="宋体"/>
      </w:rPr>
      <w:instrText xml:space="preserve">PAGE  </w:instrText>
    </w:r>
    <w:r>
      <w:rPr>
        <w:rFonts w:ascii="宋体" w:hAnsi="宋体"/>
      </w:rPr>
      <w:fldChar w:fldCharType="separate"/>
    </w:r>
    <w:r>
      <w:rPr>
        <w:rStyle w:val="742"/>
        <w:rFonts w:ascii="宋体" w:hAnsi="宋体"/>
      </w:rPr>
      <w:t xml:space="preserve">４</w:t>
    </w:r>
    <w:r>
      <w:rPr>
        <w:rFonts w:ascii="宋体" w:hAnsi="宋体"/>
      </w:rPr>
      <w:fldChar w:fldCharType="end"/>
    </w:r>
    <w:r>
      <w:rPr>
        <w:rStyle w:val="742"/>
        <w:rFonts w:ascii="宋体" w:hAnsi="宋体"/>
      </w:rPr>
    </w:r>
    <w:r/>
  </w:p>
  <w:p>
    <w:pPr>
      <w:pStyle w:val="717"/>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49"/>
      <w:isLgl w:val="false"/>
      <w:suff w:val="tab"/>
      <w:lvlText w:val="附录%1."/>
      <w:lvlJc w:val="left"/>
      <w:pPr>
        <w:pStyle w:val="6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70"/>
        <w:ind w:left="1080" w:hanging="1080"/>
        <w:tabs>
          <w:tab w:val="num" w:pos="1080" w:leader="none"/>
        </w:tabs>
      </w:pPr>
      <w:rPr>
        <w:rFonts w:hint="eastAsia" w:cs="Times New Roman"/>
      </w:rPr>
    </w:lvl>
    <w:lvl w:ilvl="1">
      <w:start w:val="1"/>
      <w:numFmt w:val="decimal"/>
      <w:isLgl w:val="false"/>
      <w:suff w:val="tab"/>
      <w:lvlText w:val="%2."/>
      <w:lvlJc w:val="left"/>
      <w:pPr>
        <w:pStyle w:val="67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5">
    <w:multiLevelType w:val="hybridMultilevel"/>
    <w:lvl w:ilvl="0">
      <w:start w:val="9"/>
      <w:numFmt w:val="chineseCounting"/>
      <w:isLgl w:val="false"/>
      <w:suff w:val="nothing"/>
      <w:lvlText w:val="%1、"/>
      <w:lvlJc w:val="left"/>
      <w:pPr>
        <w:pStyle w:val="6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6"/>
      <w:isLgl w:val="false"/>
      <w:suff w:val="tab"/>
      <w:lvlText w:val="%1."/>
      <w:lvlJc w:val="left"/>
      <w:pPr>
        <w:pStyle w:val="670"/>
        <w:ind w:left="709" w:hanging="709"/>
        <w:tabs>
          <w:tab w:val="num" w:pos="709" w:leader="none"/>
        </w:tabs>
      </w:pPr>
      <w:rPr>
        <w:rFonts w:hint="eastAsia"/>
      </w:rPr>
    </w:lvl>
    <w:lvl w:ilvl="1">
      <w:start w:val="1"/>
      <w:numFmt w:val="decimal"/>
      <w:isLgl w:val="false"/>
      <w:suff w:val="tab"/>
      <w:lvlText w:val="%1.%2"/>
      <w:lvlJc w:val="left"/>
      <w:pPr>
        <w:pStyle w:val="670"/>
        <w:ind w:left="709" w:hanging="709"/>
        <w:tabs>
          <w:tab w:val="num" w:pos="709" w:leader="none"/>
        </w:tabs>
      </w:pPr>
      <w:rPr>
        <w:rFonts w:hint="eastAsia"/>
      </w:rPr>
    </w:lvl>
    <w:lvl w:ilvl="2">
      <w:start w:val="1"/>
      <w:numFmt w:val="decimal"/>
      <w:isLgl w:val="false"/>
      <w:suff w:val="tab"/>
      <w:lvlText w:val="%1.%2.%3."/>
      <w:lvlJc w:val="left"/>
      <w:pPr>
        <w:pStyle w:val="670"/>
        <w:ind w:left="425" w:hanging="425"/>
        <w:tabs>
          <w:tab w:val="num" w:pos="425" w:leader="none"/>
        </w:tabs>
      </w:pPr>
      <w:rPr>
        <w:rFonts w:hint="eastAsia"/>
      </w:rPr>
    </w:lvl>
    <w:lvl w:ilvl="3">
      <w:start w:val="1"/>
      <w:numFmt w:val="decimal"/>
      <w:isLgl w:val="false"/>
      <w:suff w:val="tab"/>
      <w:lvlText w:val="%1.%2.%3.%4."/>
      <w:lvlJc w:val="left"/>
      <w:pPr>
        <w:pStyle w:val="670"/>
        <w:ind w:left="851" w:hanging="851"/>
        <w:tabs>
          <w:tab w:val="num" w:pos="851" w:leader="none"/>
        </w:tabs>
      </w:pPr>
      <w:rPr>
        <w:rFonts w:hint="eastAsia"/>
      </w:rPr>
    </w:lvl>
    <w:lvl w:ilvl="4">
      <w:start w:val="1"/>
      <w:numFmt w:val="decimal"/>
      <w:isLgl w:val="false"/>
      <w:suff w:val="tab"/>
      <w:lvlText w:val="%1.%2.%3.%4.%5."/>
      <w:lvlJc w:val="left"/>
      <w:pPr>
        <w:pStyle w:val="670"/>
        <w:ind w:left="992" w:hanging="992"/>
        <w:tabs>
          <w:tab w:val="num" w:pos="992" w:leader="none"/>
        </w:tabs>
      </w:pPr>
      <w:rPr>
        <w:rFonts w:hint="eastAsia"/>
      </w:rPr>
    </w:lvl>
    <w:lvl w:ilvl="5">
      <w:start w:val="1"/>
      <w:numFmt w:val="decimal"/>
      <w:isLgl w:val="false"/>
      <w:suff w:val="tab"/>
      <w:lvlText w:val="%1.%2.%3.%4.%5.%6."/>
      <w:lvlJc w:val="left"/>
      <w:pPr>
        <w:pStyle w:val="670"/>
        <w:ind w:left="1134" w:hanging="1134"/>
        <w:tabs>
          <w:tab w:val="num" w:pos="1134" w:leader="none"/>
        </w:tabs>
      </w:pPr>
      <w:rPr>
        <w:rFonts w:hint="eastAsia"/>
      </w:rPr>
    </w:lvl>
    <w:lvl w:ilvl="6">
      <w:start w:val="1"/>
      <w:numFmt w:val="decimal"/>
      <w:isLgl w:val="false"/>
      <w:suff w:val="tab"/>
      <w:lvlText w:val="%1.%2.%3.%4.%5.%6.%7."/>
      <w:lvlJc w:val="left"/>
      <w:pPr>
        <w:pStyle w:val="670"/>
        <w:ind w:left="1276" w:hanging="1276"/>
        <w:tabs>
          <w:tab w:val="num" w:pos="1276" w:leader="none"/>
        </w:tabs>
      </w:pPr>
      <w:rPr>
        <w:rFonts w:hint="eastAsia"/>
      </w:rPr>
    </w:lvl>
    <w:lvl w:ilvl="7">
      <w:start w:val="1"/>
      <w:numFmt w:val="decimal"/>
      <w:isLgl w:val="false"/>
      <w:suff w:val="tab"/>
      <w:lvlText w:val="%1.%2.%3.%4.%5.%6.%7.%8."/>
      <w:lvlJc w:val="left"/>
      <w:pPr>
        <w:pStyle w:val="670"/>
        <w:ind w:left="1418" w:hanging="1418"/>
        <w:tabs>
          <w:tab w:val="num" w:pos="1418" w:leader="none"/>
        </w:tabs>
      </w:pPr>
      <w:rPr>
        <w:rFonts w:hint="eastAsia"/>
      </w:rPr>
    </w:lvl>
    <w:lvl w:ilvl="8">
      <w:start w:val="1"/>
      <w:numFmt w:val="decimal"/>
      <w:isLgl w:val="false"/>
      <w:suff w:val="tab"/>
      <w:lvlText w:val="%1.%2.%3.%4.%5.%6.%7.%8.%9."/>
      <w:lvlJc w:val="left"/>
      <w:pPr>
        <w:pStyle w:val="670"/>
        <w:ind w:left="1559" w:hanging="1559"/>
        <w:tabs>
          <w:tab w:val="num" w:pos="1559" w:leader="none"/>
        </w:tabs>
      </w:pPr>
      <w:rPr>
        <w:rFonts w:hint="eastAsia"/>
      </w:rPr>
    </w:lvl>
  </w:abstractNum>
  <w:abstractNum w:abstractNumId="7">
    <w:multiLevelType w:val="hybridMultilevel"/>
    <w:lvl w:ilvl="0">
      <w:start w:val="1"/>
      <w:numFmt w:val="japaneseCounting"/>
      <w:isLgl w:val="false"/>
      <w:suff w:val="tab"/>
      <w:lvlText w:val="（%1）"/>
      <w:lvlJc w:val="left"/>
      <w:pPr>
        <w:pStyle w:val="670"/>
        <w:ind w:left="1080" w:hanging="1080"/>
        <w:tabs>
          <w:tab w:val="num" w:pos="1080" w:leader="none"/>
        </w:tabs>
      </w:pPr>
      <w:rPr>
        <w:rFonts w:cs="Times New Roman"/>
      </w:rPr>
    </w:lvl>
    <w:lvl w:ilvl="1">
      <w:start w:val="1"/>
      <w:numFmt w:val="decimal"/>
      <w:isLgl w:val="false"/>
      <w:suff w:val="tab"/>
      <w:lvlText w:val="%2."/>
      <w:lvlJc w:val="left"/>
      <w:pPr>
        <w:pStyle w:val="670"/>
        <w:ind w:left="780" w:hanging="360"/>
        <w:tabs>
          <w:tab w:val="num" w:pos="780" w:leader="none"/>
        </w:tabs>
      </w:pPr>
      <w:rPr>
        <w:rFonts w:cs="Times New Roman"/>
        <w:color w:val="000000"/>
      </w:rPr>
    </w:lvl>
    <w:lvl w:ilvl="2">
      <w:start w:val="1"/>
      <w:numFmt w:val="lowerRoman"/>
      <w:isLgl w:val="false"/>
      <w:suff w:val="tab"/>
      <w:lvlText w:val="%3."/>
      <w:lvlJc w:val="right"/>
      <w:pPr>
        <w:pStyle w:val="670"/>
        <w:ind w:left="1260" w:hanging="420"/>
        <w:tabs>
          <w:tab w:val="num" w:pos="126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pStyle w:val="670"/>
        <w:ind w:left="0" w:firstLine="0"/>
      </w:pPr>
      <w:rPr>
        <w:rFonts w:hint="eastAsia"/>
      </w:rPr>
    </w:lvl>
    <w:lvl w:ilvl="1">
      <w:start w:val="1"/>
      <w:numFmt w:val="decimal"/>
      <w:isLgl w:val="false"/>
      <w:suff w:val="nothing"/>
      <w:lvlText w:val="%2、"/>
      <w:lvlJc w:val="left"/>
      <w:pPr>
        <w:pStyle w:val="670"/>
        <w:ind w:left="0" w:firstLine="0"/>
      </w:pPr>
      <w:rPr>
        <w:rFonts w:hint="eastAsia"/>
      </w:rPr>
    </w:lvl>
    <w:lvl w:ilvl="2">
      <w:start w:val="1"/>
      <w:numFmt w:val="decimal"/>
      <w:isLgl w:val="false"/>
      <w:suff w:val="nothing"/>
      <w:lvlText w:val="%2.%3 "/>
      <w:lvlJc w:val="left"/>
      <w:pPr>
        <w:pStyle w:val="670"/>
        <w:ind w:left="0" w:firstLine="0"/>
      </w:pPr>
      <w:rPr>
        <w:rFonts w:hint="eastAsia"/>
      </w:rPr>
    </w:lvl>
    <w:lvl w:ilvl="3">
      <w:start w:val="1"/>
      <w:numFmt w:val="decimal"/>
      <w:isLgl w:val="false"/>
      <w:suff w:val="nothing"/>
      <w:lvlText w:val="%2.%3.%4 "/>
      <w:lvlJc w:val="left"/>
      <w:pPr>
        <w:pStyle w:val="670"/>
        <w:ind w:left="0" w:firstLine="0"/>
      </w:pPr>
      <w:rPr>
        <w:rFonts w:hint="eastAsia"/>
      </w:rPr>
    </w:lvl>
    <w:lvl w:ilvl="4">
      <w:start w:val="1"/>
      <w:numFmt w:val="decimal"/>
      <w:isLgl w:val="false"/>
      <w:suff w:val="nothing"/>
      <w:lvlText w:val="%2.%3.%4.%5 "/>
      <w:lvlJc w:val="left"/>
      <w:pPr>
        <w:pStyle w:val="670"/>
        <w:ind w:left="0" w:firstLine="0"/>
      </w:pPr>
      <w:rPr>
        <w:rFonts w:hint="eastAsia"/>
      </w:rPr>
    </w:lvl>
    <w:lvl w:ilvl="5">
      <w:start w:val="1"/>
      <w:numFmt w:val="decimal"/>
      <w:pStyle w:val="676"/>
      <w:isLgl w:val="false"/>
      <w:suff w:val="nothing"/>
      <w:lvlText w:val=""/>
      <w:lvlJc w:val="left"/>
      <w:pPr>
        <w:pStyle w:val="670"/>
        <w:ind w:left="0" w:firstLine="0"/>
      </w:pPr>
      <w:rPr>
        <w:rFonts w:hint="eastAsia"/>
      </w:rPr>
    </w:lvl>
    <w:lvl w:ilvl="6">
      <w:start w:val="1"/>
      <w:numFmt w:val="decimal"/>
      <w:pStyle w:val="677"/>
      <w:isLgl w:val="false"/>
      <w:suff w:val="nothing"/>
      <w:lvlText w:val=""/>
      <w:lvlJc w:val="left"/>
      <w:pPr>
        <w:pStyle w:val="670"/>
        <w:ind w:left="0" w:firstLine="0"/>
      </w:pPr>
      <w:rPr>
        <w:rFonts w:hint="eastAsia"/>
      </w:rPr>
    </w:lvl>
    <w:lvl w:ilvl="7">
      <w:start w:val="1"/>
      <w:numFmt w:val="decimal"/>
      <w:pStyle w:val="678"/>
      <w:isLgl w:val="false"/>
      <w:suff w:val="nothing"/>
      <w:lvlText w:val=""/>
      <w:lvlJc w:val="left"/>
      <w:pPr>
        <w:pStyle w:val="670"/>
        <w:ind w:left="0" w:firstLine="0"/>
      </w:pPr>
      <w:rPr>
        <w:rFonts w:hint="eastAsia"/>
      </w:rPr>
    </w:lvl>
    <w:lvl w:ilvl="8">
      <w:start w:val="1"/>
      <w:numFmt w:val="decimal"/>
      <w:pStyle w:val="679"/>
      <w:isLgl w:val="false"/>
      <w:suff w:val="nothing"/>
      <w:lvlText w:val=""/>
      <w:lvlJc w:val="left"/>
      <w:pPr>
        <w:pStyle w:val="670"/>
        <w:ind w:left="0" w:firstLine="0"/>
      </w:pPr>
      <w:rPr>
        <w:rFonts w:hint="eastAsia"/>
      </w:rPr>
    </w:lvl>
  </w:abstractNum>
  <w:abstractNum w:abstractNumId="9">
    <w:multiLevelType w:val="hybridMultilevel"/>
    <w:lvl w:ilvl="0">
      <w:start w:val="1"/>
      <w:numFmt w:val="decimal"/>
      <w:isLgl w:val="false"/>
      <w:suff w:val="tab"/>
      <w:lvlText w:val="%1."/>
      <w:lvlJc w:val="left"/>
      <w:pPr>
        <w:pStyle w:val="670"/>
        <w:ind w:left="510" w:hanging="360"/>
        <w:tabs>
          <w:tab w:val="num" w:pos="510" w:leader="none"/>
        </w:tabs>
      </w:pPr>
      <w:rPr>
        <w:rFonts w:hint="eastAsia" w:cs="Times New Roman"/>
      </w:rPr>
    </w:lvl>
    <w:lvl w:ilvl="1">
      <w:start w:val="1"/>
      <w:numFmt w:val="decimal"/>
      <w:isLgl w:val="false"/>
      <w:suff w:val="tab"/>
      <w:lvlText w:val="%2．"/>
      <w:lvlJc w:val="left"/>
      <w:pPr>
        <w:pStyle w:val="670"/>
        <w:ind w:left="1290" w:hanging="720"/>
        <w:tabs>
          <w:tab w:val="num" w:pos="1290" w:leader="none"/>
        </w:tabs>
      </w:pPr>
      <w:rPr>
        <w:rFonts w:hint="eastAsia" w:cs="Times New Roman"/>
      </w:rPr>
    </w:lvl>
    <w:lvl w:ilvl="2">
      <w:start w:val="3"/>
      <w:numFmt w:val="decimal"/>
      <w:isLgl w:val="false"/>
      <w:suff w:val="tab"/>
      <w:lvlText w:val="（%3）"/>
      <w:lvlJc w:val="left"/>
      <w:pPr>
        <w:pStyle w:val="670"/>
        <w:ind w:left="1140" w:hanging="720"/>
        <w:tabs>
          <w:tab w:val="num" w:pos="1140" w:leader="none"/>
        </w:tabs>
      </w:pPr>
      <w:rPr>
        <w:rFonts w:hint="eastAsia" w:cs="Times New Roman"/>
      </w:rPr>
    </w:lvl>
    <w:lvl w:ilvl="3">
      <w:start w:val="1"/>
      <w:numFmt w:val="decimal"/>
      <w:isLgl w:val="false"/>
      <w:suff w:val="tab"/>
      <w:lvlText w:val="（%4）"/>
      <w:lvlJc w:val="left"/>
      <w:pPr>
        <w:pStyle w:val="670"/>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0"/>
        <w:ind w:left="2250" w:hanging="420"/>
        <w:tabs>
          <w:tab w:val="num" w:pos="2250" w:leader="none"/>
        </w:tabs>
      </w:pPr>
      <w:rPr>
        <w:rFonts w:hint="eastAsia"/>
        <w:b/>
        <w:lang w:val="en-US"/>
      </w:rPr>
    </w:lvl>
    <w:lvl w:ilvl="5">
      <w:start w:val="10"/>
      <w:numFmt w:val="japaneseCounting"/>
      <w:isLgl w:val="false"/>
      <w:suff w:val="tab"/>
      <w:lvlText w:val="（%6）"/>
      <w:lvlJc w:val="left"/>
      <w:pPr>
        <w:pStyle w:val="670"/>
        <w:ind w:left="2970" w:hanging="720"/>
      </w:pPr>
      <w:rPr>
        <w:rFonts w:cs="Times New Roman"/>
      </w:rPr>
    </w:lvl>
    <w:lvl w:ilvl="6">
      <w:start w:val="1"/>
      <w:numFmt w:val="decimal"/>
      <w:isLgl w:val="false"/>
      <w:suff w:val="tab"/>
      <w:lvlText w:val="（%7）"/>
      <w:lvlJc w:val="left"/>
      <w:pPr>
        <w:pStyle w:val="670"/>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0"/>
        <w:ind w:left="3510" w:hanging="420"/>
        <w:tabs>
          <w:tab w:val="num" w:pos="3510" w:leader="none"/>
        </w:tabs>
      </w:pPr>
      <w:rPr>
        <w:rFonts w:cs="Times New Roman"/>
      </w:rPr>
    </w:lvl>
    <w:lvl w:ilvl="8">
      <w:start w:val="1"/>
      <w:numFmt w:val="lowerRoman"/>
      <w:isLgl w:val="false"/>
      <w:suff w:val="tab"/>
      <w:lvlText w:val="%9."/>
      <w:lvlJc w:val="right"/>
      <w:pPr>
        <w:pStyle w:val="670"/>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670"/>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0"/>
        <w:ind w:left="840" w:hanging="420"/>
        <w:tabs>
          <w:tab w:val="num" w:pos="840" w:leader="none"/>
        </w:tabs>
      </w:pPr>
      <w:rPr>
        <w:rFonts w:cs="Times New Roman"/>
      </w:rPr>
    </w:lvl>
    <w:lvl w:ilvl="2">
      <w:start w:val="10"/>
      <w:numFmt w:val="decimal"/>
      <w:isLgl w:val="false"/>
      <w:suff w:val="tab"/>
      <w:lvlText w:val="%3."/>
      <w:lvlJc w:val="left"/>
      <w:pPr>
        <w:pStyle w:val="670"/>
        <w:ind w:left="1200" w:hanging="360"/>
        <w:tabs>
          <w:tab w:val="num" w:pos="1200" w:leader="none"/>
        </w:tabs>
      </w:pPr>
      <w:rPr>
        <w:rFonts w:cs="Times New Roman"/>
      </w:rPr>
    </w:lvl>
    <w:lvl w:ilvl="3">
      <w:start w:val="1"/>
      <w:numFmt w:val="decimal"/>
      <w:isLgl w:val="false"/>
      <w:suff w:val="tab"/>
      <w:lvlText w:val="%4."/>
      <w:lvlJc w:val="left"/>
      <w:pPr>
        <w:pStyle w:val="670"/>
        <w:ind w:left="1680" w:hanging="420"/>
        <w:tabs>
          <w:tab w:val="num" w:pos="1680" w:leader="none"/>
        </w:tabs>
      </w:pPr>
      <w:rPr>
        <w:rFonts w:cs="Times New Roman"/>
      </w:rPr>
    </w:lvl>
    <w:lvl w:ilvl="4">
      <w:start w:val="1"/>
      <w:numFmt w:val="lowerLetter"/>
      <w:isLgl w:val="false"/>
      <w:suff w:val="tab"/>
      <w:lvlText w:val="%5)"/>
      <w:lvlJc w:val="left"/>
      <w:pPr>
        <w:pStyle w:val="670"/>
        <w:ind w:left="2100" w:hanging="420"/>
        <w:tabs>
          <w:tab w:val="num" w:pos="2100" w:leader="none"/>
        </w:tabs>
      </w:pPr>
      <w:rPr>
        <w:rFonts w:cs="Times New Roman"/>
      </w:rPr>
    </w:lvl>
    <w:lvl w:ilvl="5">
      <w:start w:val="1"/>
      <w:numFmt w:val="lowerRoman"/>
      <w:isLgl w:val="false"/>
      <w:suff w:val="tab"/>
      <w:lvlText w:val="%6."/>
      <w:lvlJc w:val="right"/>
      <w:pPr>
        <w:pStyle w:val="670"/>
        <w:ind w:left="2520" w:hanging="420"/>
        <w:tabs>
          <w:tab w:val="num" w:pos="2520" w:leader="none"/>
        </w:tabs>
      </w:pPr>
      <w:rPr>
        <w:rFonts w:cs="Times New Roman"/>
      </w:rPr>
    </w:lvl>
    <w:lvl w:ilvl="6">
      <w:start w:val="1"/>
      <w:numFmt w:val="decimal"/>
      <w:isLgl w:val="false"/>
      <w:suff w:val="tab"/>
      <w:lvlText w:val="%7."/>
      <w:lvlJc w:val="left"/>
      <w:pPr>
        <w:pStyle w:val="670"/>
        <w:ind w:left="2940" w:hanging="420"/>
        <w:tabs>
          <w:tab w:val="num" w:pos="2940" w:leader="none"/>
        </w:tabs>
      </w:pPr>
      <w:rPr>
        <w:rFonts w:cs="Times New Roman"/>
      </w:rPr>
    </w:lvl>
    <w:lvl w:ilvl="7">
      <w:start w:val="1"/>
      <w:numFmt w:val="lowerLetter"/>
      <w:isLgl w:val="false"/>
      <w:suff w:val="tab"/>
      <w:lvlText w:val="%8)"/>
      <w:lvlJc w:val="left"/>
      <w:pPr>
        <w:pStyle w:val="670"/>
        <w:ind w:left="3360" w:hanging="420"/>
        <w:tabs>
          <w:tab w:val="num" w:pos="3360" w:leader="none"/>
        </w:tabs>
      </w:pPr>
      <w:rPr>
        <w:rFonts w:cs="Times New Roman"/>
      </w:rPr>
    </w:lvl>
    <w:lvl w:ilvl="8">
      <w:start w:val="1"/>
      <w:numFmt w:val="lowerRoman"/>
      <w:isLgl w:val="false"/>
      <w:suff w:val="tab"/>
      <w:lvlText w:val="%9."/>
      <w:lvlJc w:val="right"/>
      <w:pPr>
        <w:pStyle w:val="670"/>
        <w:ind w:left="3780" w:hanging="420"/>
        <w:tabs>
          <w:tab w:val="num" w:pos="3780" w:leader="none"/>
        </w:tabs>
      </w:pPr>
      <w:rPr>
        <w:rFonts w:cs="Times New Roman"/>
      </w:rPr>
    </w:lvl>
  </w:abstractNum>
  <w:abstractNum w:abstractNumId="11">
    <w:multiLevelType w:val="hybridMultilevel"/>
    <w:lvl w:ilvl="0">
      <w:start w:val="1"/>
      <w:numFmt w:val="japaneseCounting"/>
      <w:isLgl w:val="false"/>
      <w:suff w:val="tab"/>
      <w:lvlText w:val="第%1章"/>
      <w:lvlJc w:val="left"/>
      <w:pPr>
        <w:pStyle w:val="670"/>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11"/>
  </w:num>
  <w:num w:numId="5">
    <w:abstractNumId w:val="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2"/>
  </w:num>
  <w:num w:numId="9">
    <w:abstractNumId w:val="0"/>
  </w:num>
  <w:num w:numId="10">
    <w:abstractNumId w:val="1"/>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0"/>
    <w:link w:val="670"/>
    <w:qFormat/>
    <w:pPr>
      <w:jc w:val="both"/>
      <w:widowControl w:val="off"/>
    </w:pPr>
    <w:rPr>
      <w:sz w:val="21"/>
      <w:szCs w:val="21"/>
      <w:lang w:val="en-US" w:eastAsia="zh-CN" w:bidi="ar-SA"/>
    </w:rPr>
  </w:style>
  <w:style w:type="paragraph" w:styleId="671">
    <w:name w:val="标题 1"/>
    <w:basedOn w:val="670"/>
    <w:next w:val="670"/>
    <w:link w:val="682"/>
    <w:qFormat/>
    <w:pPr>
      <w:jc w:val="center"/>
      <w:keepNext/>
      <w:outlineLvl w:val="0"/>
    </w:pPr>
    <w:rPr>
      <w:rFonts w:ascii="楷体_GB2312" w:eastAsia="楷体_GB2312"/>
      <w:sz w:val="28"/>
      <w:szCs w:val="28"/>
    </w:rPr>
  </w:style>
  <w:style w:type="paragraph" w:styleId="672">
    <w:name w:val="标题 2"/>
    <w:basedOn w:val="670"/>
    <w:next w:val="684"/>
    <w:link w:val="683"/>
    <w:qFormat/>
    <w:pPr>
      <w:jc w:val="center"/>
      <w:keepLines/>
      <w:keepNext/>
      <w:spacing w:before="260" w:after="260" w:line="416" w:lineRule="auto"/>
      <w:outlineLvl w:val="1"/>
    </w:pPr>
    <w:rPr>
      <w:rFonts w:ascii="Arial" w:hAnsi="Arial" w:eastAsia="幼圆"/>
      <w:b/>
      <w:bCs/>
      <w:sz w:val="44"/>
      <w:szCs w:val="44"/>
    </w:rPr>
  </w:style>
  <w:style w:type="paragraph" w:styleId="673">
    <w:name w:val="标题 3"/>
    <w:basedOn w:val="670"/>
    <w:next w:val="684"/>
    <w:link w:val="686"/>
    <w:qFormat/>
    <w:pPr>
      <w:keepLines/>
      <w:keepNext/>
      <w:spacing w:before="260" w:after="260" w:line="416" w:lineRule="auto"/>
      <w:outlineLvl w:val="2"/>
    </w:pPr>
    <w:rPr>
      <w:b/>
      <w:bCs/>
      <w:sz w:val="32"/>
      <w:szCs w:val="32"/>
    </w:rPr>
  </w:style>
  <w:style w:type="paragraph" w:styleId="674">
    <w:name w:val="标题 4"/>
    <w:basedOn w:val="670"/>
    <w:next w:val="684"/>
    <w:link w:val="687"/>
    <w:qFormat/>
    <w:pPr>
      <w:keepLines/>
      <w:keepNext/>
      <w:spacing w:before="280" w:after="290" w:line="376" w:lineRule="auto"/>
      <w:outlineLvl w:val="3"/>
    </w:pPr>
    <w:rPr>
      <w:rFonts w:ascii="Arial" w:hAnsi="Arial" w:eastAsia="黑体"/>
      <w:b/>
      <w:bCs/>
      <w:sz w:val="28"/>
      <w:szCs w:val="28"/>
    </w:rPr>
  </w:style>
  <w:style w:type="paragraph" w:styleId="675">
    <w:name w:val="标题 5"/>
    <w:basedOn w:val="670"/>
    <w:next w:val="684"/>
    <w:link w:val="688"/>
    <w:qFormat/>
    <w:pPr>
      <w:keepNext/>
      <w:outlineLvl w:val="4"/>
    </w:pPr>
    <w:rPr>
      <w:rFonts w:ascii="宋体"/>
      <w:color w:val="000000"/>
      <w:sz w:val="28"/>
      <w:szCs w:val="28"/>
    </w:rPr>
  </w:style>
  <w:style w:type="paragraph" w:styleId="676">
    <w:name w:val="标题 6"/>
    <w:basedOn w:val="670"/>
    <w:next w:val="670"/>
    <w:link w:val="689"/>
    <w:qFormat/>
    <w:pPr>
      <w:numPr>
        <w:ilvl w:val="5"/>
        <w:numId w:val="1"/>
      </w:numPr>
      <w:keepLines/>
      <w:keepNext/>
      <w:spacing w:before="240" w:after="64" w:line="320" w:lineRule="auto"/>
      <w:outlineLvl w:val="5"/>
    </w:pPr>
    <w:rPr>
      <w:rFonts w:ascii="Arial" w:hAnsi="Arial" w:eastAsia="黑体"/>
      <w:b/>
      <w:bCs/>
      <w:sz w:val="24"/>
      <w:szCs w:val="24"/>
    </w:rPr>
  </w:style>
  <w:style w:type="paragraph" w:styleId="677">
    <w:name w:val="标题 7"/>
    <w:basedOn w:val="670"/>
    <w:next w:val="670"/>
    <w:link w:val="690"/>
    <w:qFormat/>
    <w:pPr>
      <w:numPr>
        <w:ilvl w:val="6"/>
        <w:numId w:val="1"/>
      </w:numPr>
      <w:keepLines/>
      <w:keepNext/>
      <w:spacing w:before="240" w:after="64" w:line="320" w:lineRule="auto"/>
      <w:outlineLvl w:val="6"/>
    </w:pPr>
    <w:rPr>
      <w:b/>
      <w:bCs/>
      <w:sz w:val="24"/>
      <w:szCs w:val="24"/>
    </w:rPr>
  </w:style>
  <w:style w:type="paragraph" w:styleId="678">
    <w:name w:val="标题 8"/>
    <w:basedOn w:val="670"/>
    <w:next w:val="670"/>
    <w:link w:val="691"/>
    <w:qFormat/>
    <w:pPr>
      <w:numPr>
        <w:ilvl w:val="7"/>
        <w:numId w:val="1"/>
      </w:numPr>
      <w:keepLines/>
      <w:keepNext/>
      <w:spacing w:before="240" w:after="64" w:line="320" w:lineRule="auto"/>
      <w:outlineLvl w:val="7"/>
    </w:pPr>
    <w:rPr>
      <w:rFonts w:ascii="Arial" w:hAnsi="Arial" w:eastAsia="黑体"/>
      <w:sz w:val="24"/>
      <w:szCs w:val="24"/>
    </w:rPr>
  </w:style>
  <w:style w:type="paragraph" w:styleId="679">
    <w:name w:val="标题 9"/>
    <w:basedOn w:val="670"/>
    <w:next w:val="670"/>
    <w:link w:val="692"/>
    <w:qFormat/>
    <w:pPr>
      <w:numPr>
        <w:ilvl w:val="8"/>
        <w:numId w:val="1"/>
      </w:numPr>
      <w:keepLines/>
      <w:keepNext/>
      <w:spacing w:before="240" w:after="64" w:line="320" w:lineRule="auto"/>
      <w:outlineLvl w:val="8"/>
    </w:pPr>
    <w:rPr>
      <w:rFonts w:ascii="Arial" w:hAnsi="Arial" w:eastAsia="黑体"/>
      <w:sz w:val="20"/>
    </w:rPr>
  </w:style>
  <w:style w:type="character" w:styleId="680">
    <w:name w:val="默认段落字体"/>
    <w:next w:val="680"/>
    <w:link w:val="670"/>
    <w:uiPriority w:val="1"/>
    <w:unhideWhenUsed/>
  </w:style>
  <w:style w:type="table" w:styleId="681">
    <w:name w:val="普通表格"/>
    <w:next w:val="681"/>
    <w:link w:val="670"/>
    <w:uiPriority w:val="99"/>
    <w:unhideWhenUsed/>
    <w:tblPr/>
  </w:style>
  <w:style w:type="character" w:styleId="682">
    <w:name w:val="标题 1 Char"/>
    <w:next w:val="682"/>
    <w:link w:val="671"/>
    <w:rPr>
      <w:rFonts w:ascii="楷体_GB2312" w:hAnsi="Times New Roman" w:eastAsia="楷体_GB2312" w:cs="Times New Roman"/>
      <w:sz w:val="28"/>
      <w:szCs w:val="28"/>
    </w:rPr>
  </w:style>
  <w:style w:type="character" w:styleId="683">
    <w:name w:val="标题 2 Char"/>
    <w:next w:val="683"/>
    <w:link w:val="672"/>
    <w:rPr>
      <w:rFonts w:ascii="Arial" w:hAnsi="Arial" w:eastAsia="幼圆" w:cs="Arial"/>
      <w:b/>
      <w:bCs/>
      <w:sz w:val="44"/>
      <w:szCs w:val="44"/>
    </w:rPr>
  </w:style>
  <w:style w:type="paragraph" w:styleId="684">
    <w:name w:val="正文缩进"/>
    <w:basedOn w:val="670"/>
    <w:next w:val="684"/>
    <w:link w:val="685"/>
    <w:pPr>
      <w:ind w:firstLine="420"/>
    </w:pPr>
    <w:rPr>
      <w:sz w:val="20"/>
    </w:rPr>
  </w:style>
  <w:style w:type="character" w:styleId="685">
    <w:name w:val="正文缩进 Char"/>
    <w:next w:val="685"/>
    <w:link w:val="684"/>
    <w:rPr>
      <w:rFonts w:ascii="Times New Roman" w:hAnsi="Times New Roman" w:eastAsia="宋体" w:cs="Times New Roman"/>
      <w:szCs w:val="21"/>
    </w:rPr>
  </w:style>
  <w:style w:type="character" w:styleId="686">
    <w:name w:val="标题 3 Char"/>
    <w:next w:val="686"/>
    <w:link w:val="673"/>
    <w:rPr>
      <w:rFonts w:ascii="Times New Roman" w:hAnsi="Times New Roman" w:eastAsia="宋体" w:cs="Times New Roman"/>
      <w:b/>
      <w:bCs/>
      <w:sz w:val="32"/>
      <w:szCs w:val="32"/>
    </w:rPr>
  </w:style>
  <w:style w:type="character" w:styleId="687">
    <w:name w:val="标题 4 Char"/>
    <w:next w:val="687"/>
    <w:link w:val="674"/>
    <w:rPr>
      <w:rFonts w:ascii="Arial" w:hAnsi="Arial" w:eastAsia="黑体" w:cs="Arial"/>
      <w:b/>
      <w:bCs/>
      <w:sz w:val="28"/>
      <w:szCs w:val="28"/>
    </w:rPr>
  </w:style>
  <w:style w:type="character" w:styleId="688">
    <w:name w:val="标题 5 Char"/>
    <w:next w:val="688"/>
    <w:link w:val="675"/>
    <w:rPr>
      <w:rFonts w:ascii="宋体" w:hAnsi="Times New Roman" w:eastAsia="宋体" w:cs="Times New Roman"/>
      <w:color w:val="000000"/>
      <w:sz w:val="28"/>
      <w:szCs w:val="28"/>
    </w:rPr>
  </w:style>
  <w:style w:type="character" w:styleId="689">
    <w:name w:val="标题 6 Char"/>
    <w:next w:val="689"/>
    <w:link w:val="676"/>
    <w:rPr>
      <w:rFonts w:ascii="Arial" w:hAnsi="Arial" w:eastAsia="黑体" w:cs="Times New Roman"/>
      <w:b/>
      <w:bCs/>
      <w:sz w:val="24"/>
      <w:szCs w:val="24"/>
    </w:rPr>
  </w:style>
  <w:style w:type="character" w:styleId="690">
    <w:name w:val="标题 7 Char"/>
    <w:next w:val="690"/>
    <w:link w:val="677"/>
    <w:rPr>
      <w:rFonts w:ascii="Times New Roman" w:hAnsi="Times New Roman" w:eastAsia="宋体" w:cs="Times New Roman"/>
      <w:b/>
      <w:bCs/>
      <w:sz w:val="24"/>
      <w:szCs w:val="24"/>
    </w:rPr>
  </w:style>
  <w:style w:type="character" w:styleId="691">
    <w:name w:val="标题 8 Char"/>
    <w:next w:val="691"/>
    <w:link w:val="678"/>
    <w:rPr>
      <w:rFonts w:ascii="Arial" w:hAnsi="Arial" w:eastAsia="黑体" w:cs="Times New Roman"/>
      <w:sz w:val="24"/>
      <w:szCs w:val="24"/>
    </w:rPr>
  </w:style>
  <w:style w:type="character" w:styleId="692">
    <w:name w:val="标题 9 Char"/>
    <w:next w:val="692"/>
    <w:link w:val="679"/>
    <w:rPr>
      <w:rFonts w:ascii="Arial" w:hAnsi="Arial" w:eastAsia="黑体" w:cs="Times New Roman"/>
      <w:szCs w:val="21"/>
    </w:rPr>
  </w:style>
  <w:style w:type="paragraph" w:styleId="693">
    <w:name w:val="列表 3"/>
    <w:basedOn w:val="670"/>
    <w:next w:val="693"/>
    <w:link w:val="670"/>
    <w:pPr>
      <w:ind w:left="100" w:hanging="200"/>
    </w:pPr>
  </w:style>
  <w:style w:type="paragraph" w:styleId="694">
    <w:name w:val="目录 7"/>
    <w:basedOn w:val="670"/>
    <w:next w:val="670"/>
    <w:link w:val="670"/>
    <w:semiHidden/>
    <w:pPr>
      <w:ind w:left="1260"/>
      <w:jc w:val="left"/>
    </w:pPr>
  </w:style>
  <w:style w:type="paragraph" w:styleId="695">
    <w:name w:val="文档结构图"/>
    <w:basedOn w:val="670"/>
    <w:next w:val="695"/>
    <w:link w:val="696"/>
    <w:semiHidden/>
    <w:pPr>
      <w:shd w:val="clear" w:color="auto" w:fill="000080"/>
    </w:pPr>
    <w:rPr>
      <w:sz w:val="20"/>
    </w:rPr>
  </w:style>
  <w:style w:type="character" w:styleId="696">
    <w:name w:val="文档结构图 Char"/>
    <w:next w:val="696"/>
    <w:link w:val="695"/>
    <w:semiHidden/>
    <w:rPr>
      <w:rFonts w:ascii="Times New Roman" w:hAnsi="Times New Roman" w:eastAsia="宋体" w:cs="Times New Roman"/>
      <w:szCs w:val="21"/>
      <w:shd w:val="clear" w:color="auto" w:fill="000080"/>
    </w:rPr>
  </w:style>
  <w:style w:type="paragraph" w:styleId="697">
    <w:name w:val="批注文字"/>
    <w:basedOn w:val="670"/>
    <w:next w:val="697"/>
    <w:link w:val="698"/>
    <w:semiHidden/>
    <w:pPr>
      <w:jc w:val="left"/>
    </w:pPr>
    <w:rPr>
      <w:sz w:val="20"/>
    </w:rPr>
  </w:style>
  <w:style w:type="character" w:styleId="698">
    <w:name w:val="批注文字 Char"/>
    <w:next w:val="698"/>
    <w:link w:val="697"/>
    <w:semiHidden/>
    <w:rPr>
      <w:rFonts w:ascii="Times New Roman" w:hAnsi="Times New Roman" w:eastAsia="宋体" w:cs="Times New Roman"/>
      <w:szCs w:val="21"/>
    </w:rPr>
  </w:style>
  <w:style w:type="paragraph" w:styleId="699">
    <w:name w:val="正文文本 3"/>
    <w:basedOn w:val="670"/>
    <w:next w:val="699"/>
    <w:link w:val="700"/>
    <w:rPr>
      <w:rFonts w:ascii="仿宋_GB2312" w:hAnsi="Arial" w:eastAsia="仿宋_GB2312"/>
      <w:sz w:val="32"/>
      <w:szCs w:val="32"/>
    </w:rPr>
  </w:style>
  <w:style w:type="character" w:styleId="700">
    <w:name w:val="正文文本 3 Char"/>
    <w:next w:val="700"/>
    <w:link w:val="699"/>
    <w:rPr>
      <w:rFonts w:ascii="仿宋_GB2312" w:hAnsi="Arial" w:eastAsia="仿宋_GB2312" w:cs="Times New Roman"/>
      <w:sz w:val="32"/>
      <w:szCs w:val="32"/>
    </w:rPr>
  </w:style>
  <w:style w:type="paragraph" w:styleId="701">
    <w:name w:val="正文文本"/>
    <w:basedOn w:val="670"/>
    <w:next w:val="701"/>
    <w:link w:val="702"/>
    <w:rPr>
      <w:rFonts w:ascii="楷体_GB2312" w:hAnsi="Arial" w:eastAsia="楷体_GB2312"/>
      <w:sz w:val="28"/>
      <w:szCs w:val="28"/>
    </w:rPr>
  </w:style>
  <w:style w:type="character" w:styleId="702">
    <w:name w:val="正文文本 Char"/>
    <w:next w:val="702"/>
    <w:link w:val="701"/>
    <w:rPr>
      <w:rFonts w:ascii="楷体_GB2312" w:hAnsi="Arial" w:eastAsia="楷体_GB2312" w:cs="Times New Roman"/>
      <w:sz w:val="28"/>
      <w:szCs w:val="28"/>
    </w:rPr>
  </w:style>
  <w:style w:type="paragraph" w:styleId="703">
    <w:name w:val="正文文本缩进"/>
    <w:basedOn w:val="670"/>
    <w:next w:val="703"/>
    <w:link w:val="704"/>
    <w:pPr>
      <w:ind w:firstLine="645"/>
    </w:pPr>
    <w:rPr>
      <w:rFonts w:ascii="楷体_GB2312" w:eastAsia="楷体_GB2312"/>
      <w:sz w:val="32"/>
      <w:szCs w:val="32"/>
    </w:rPr>
  </w:style>
  <w:style w:type="character" w:styleId="704">
    <w:name w:val="正文文本缩进 Char"/>
    <w:next w:val="704"/>
    <w:link w:val="703"/>
    <w:rPr>
      <w:rFonts w:ascii="楷体_GB2312" w:hAnsi="Times New Roman" w:eastAsia="楷体_GB2312" w:cs="Times New Roman"/>
      <w:sz w:val="32"/>
      <w:szCs w:val="32"/>
    </w:rPr>
  </w:style>
  <w:style w:type="paragraph" w:styleId="705">
    <w:name w:val="列表 2"/>
    <w:basedOn w:val="670"/>
    <w:next w:val="705"/>
    <w:link w:val="670"/>
    <w:pPr>
      <w:ind w:left="100" w:hanging="200"/>
    </w:pPr>
  </w:style>
  <w:style w:type="paragraph" w:styleId="706">
    <w:name w:val="目录 5"/>
    <w:basedOn w:val="670"/>
    <w:next w:val="670"/>
    <w:link w:val="670"/>
    <w:semiHidden/>
    <w:pPr>
      <w:ind w:left="840"/>
      <w:jc w:val="left"/>
    </w:pPr>
  </w:style>
  <w:style w:type="paragraph" w:styleId="707">
    <w:name w:val="目录 3"/>
    <w:basedOn w:val="670"/>
    <w:next w:val="670"/>
    <w:link w:val="670"/>
    <w:semiHidden/>
    <w:pPr>
      <w:ind w:left="420"/>
      <w:jc w:val="left"/>
    </w:pPr>
    <w:rPr>
      <w:i/>
      <w:iCs/>
      <w:szCs w:val="24"/>
    </w:rPr>
  </w:style>
  <w:style w:type="paragraph" w:styleId="708">
    <w:name w:val="纯文本"/>
    <w:basedOn w:val="670"/>
    <w:next w:val="708"/>
    <w:link w:val="709"/>
    <w:rPr>
      <w:rFonts w:ascii="宋体" w:hAnsi="Courier New"/>
      <w:sz w:val="20"/>
    </w:rPr>
  </w:style>
  <w:style w:type="character" w:styleId="709">
    <w:name w:val="纯文本 Char"/>
    <w:next w:val="709"/>
    <w:link w:val="708"/>
    <w:rPr>
      <w:rFonts w:ascii="宋体" w:hAnsi="Courier New" w:eastAsia="宋体" w:cs="Courier New"/>
      <w:szCs w:val="21"/>
    </w:rPr>
  </w:style>
  <w:style w:type="paragraph" w:styleId="710">
    <w:name w:val="目录 8"/>
    <w:basedOn w:val="670"/>
    <w:next w:val="670"/>
    <w:link w:val="670"/>
    <w:semiHidden/>
    <w:pPr>
      <w:ind w:left="1470"/>
      <w:jc w:val="left"/>
    </w:pPr>
  </w:style>
  <w:style w:type="paragraph" w:styleId="711">
    <w:name w:val="日期"/>
    <w:basedOn w:val="670"/>
    <w:next w:val="670"/>
    <w:link w:val="712"/>
    <w:rPr>
      <w:sz w:val="24"/>
      <w:szCs w:val="24"/>
    </w:rPr>
  </w:style>
  <w:style w:type="character" w:styleId="712">
    <w:name w:val="日期 Char"/>
    <w:next w:val="712"/>
    <w:link w:val="711"/>
    <w:rPr>
      <w:rFonts w:ascii="Times New Roman" w:hAnsi="Times New Roman" w:eastAsia="宋体" w:cs="Times New Roman"/>
      <w:sz w:val="24"/>
      <w:szCs w:val="24"/>
    </w:rPr>
  </w:style>
  <w:style w:type="paragraph" w:styleId="713">
    <w:name w:val="正文文本缩进 2"/>
    <w:basedOn w:val="670"/>
    <w:next w:val="713"/>
    <w:link w:val="714"/>
    <w:pPr>
      <w:ind w:left="630" w:firstLine="645"/>
    </w:pPr>
    <w:rPr>
      <w:rFonts w:ascii="Arial" w:hAnsi="Arial" w:eastAsia="仿宋_GB2312"/>
      <w:sz w:val="32"/>
      <w:szCs w:val="32"/>
    </w:rPr>
  </w:style>
  <w:style w:type="character" w:styleId="714">
    <w:name w:val="正文文本缩进 2 Char"/>
    <w:next w:val="714"/>
    <w:link w:val="713"/>
    <w:rPr>
      <w:rFonts w:ascii="Arial" w:hAnsi="Arial" w:eastAsia="仿宋_GB2312" w:cs="Arial"/>
      <w:sz w:val="32"/>
      <w:szCs w:val="32"/>
    </w:rPr>
  </w:style>
  <w:style w:type="paragraph" w:styleId="715">
    <w:name w:val="批注框文本"/>
    <w:basedOn w:val="670"/>
    <w:next w:val="715"/>
    <w:link w:val="716"/>
    <w:semiHidden/>
    <w:rPr>
      <w:sz w:val="18"/>
      <w:szCs w:val="18"/>
    </w:rPr>
  </w:style>
  <w:style w:type="character" w:styleId="716">
    <w:name w:val="批注框文本 Char"/>
    <w:next w:val="716"/>
    <w:link w:val="715"/>
    <w:semiHidden/>
    <w:rPr>
      <w:rFonts w:ascii="Times New Roman" w:hAnsi="Times New Roman" w:eastAsia="宋体" w:cs="Times New Roman"/>
      <w:sz w:val="18"/>
      <w:szCs w:val="18"/>
    </w:rPr>
  </w:style>
  <w:style w:type="paragraph" w:styleId="717">
    <w:name w:val="页脚"/>
    <w:basedOn w:val="670"/>
    <w:next w:val="717"/>
    <w:link w:val="718"/>
    <w:pPr>
      <w:jc w:val="left"/>
      <w:tabs>
        <w:tab w:val="center" w:pos="4153" w:leader="none"/>
        <w:tab w:val="right" w:pos="8306" w:leader="none"/>
      </w:tabs>
    </w:pPr>
    <w:rPr>
      <w:sz w:val="18"/>
      <w:szCs w:val="18"/>
    </w:rPr>
  </w:style>
  <w:style w:type="character" w:styleId="718">
    <w:name w:val="页脚 Char"/>
    <w:next w:val="718"/>
    <w:link w:val="717"/>
    <w:rPr>
      <w:rFonts w:ascii="Times New Roman" w:hAnsi="Times New Roman" w:eastAsia="宋体" w:cs="Times New Roman"/>
      <w:sz w:val="18"/>
      <w:szCs w:val="18"/>
    </w:rPr>
  </w:style>
  <w:style w:type="paragraph" w:styleId="719">
    <w:name w:val="页眉"/>
    <w:basedOn w:val="670"/>
    <w:next w:val="719"/>
    <w:link w:val="720"/>
    <w:uiPriority w:val="99"/>
    <w:qFormat/>
    <w:pPr>
      <w:jc w:val="center"/>
      <w:tabs>
        <w:tab w:val="center" w:pos="4153" w:leader="none"/>
        <w:tab w:val="right" w:pos="8306" w:leader="none"/>
      </w:tabs>
      <w:pBdr>
        <w:bottom w:val="single" w:color="000000" w:sz="6" w:space="1"/>
      </w:pBdr>
    </w:pPr>
    <w:rPr>
      <w:sz w:val="18"/>
      <w:szCs w:val="18"/>
    </w:rPr>
  </w:style>
  <w:style w:type="character" w:styleId="720">
    <w:name w:val="页眉 Char"/>
    <w:next w:val="720"/>
    <w:link w:val="719"/>
    <w:uiPriority w:val="99"/>
    <w:qFormat/>
    <w:rPr>
      <w:rFonts w:ascii="Times New Roman" w:hAnsi="Times New Roman" w:eastAsia="宋体" w:cs="Times New Roman"/>
      <w:sz w:val="18"/>
      <w:szCs w:val="18"/>
    </w:rPr>
  </w:style>
  <w:style w:type="paragraph" w:styleId="721">
    <w:name w:val="目录 1"/>
    <w:basedOn w:val="670"/>
    <w:next w:val="670"/>
    <w:link w:val="670"/>
    <w:semiHidden/>
    <w:pPr>
      <w:jc w:val="left"/>
      <w:spacing w:before="120" w:after="120" w:line="400" w:lineRule="exact"/>
      <w:tabs>
        <w:tab w:val="right" w:pos="8720" w:leader="dot"/>
      </w:tabs>
    </w:pPr>
    <w:rPr>
      <w:rFonts w:ascii="宋体" w:hAnsi="宋体"/>
      <w:caps/>
      <w:sz w:val="24"/>
      <w:szCs w:val="24"/>
    </w:rPr>
  </w:style>
  <w:style w:type="paragraph" w:styleId="722">
    <w:name w:val="目录 4"/>
    <w:basedOn w:val="670"/>
    <w:next w:val="670"/>
    <w:link w:val="670"/>
    <w:semiHidden/>
    <w:pPr>
      <w:ind w:left="630"/>
      <w:jc w:val="left"/>
    </w:pPr>
  </w:style>
  <w:style w:type="paragraph" w:styleId="723">
    <w:name w:val="列表"/>
    <w:basedOn w:val="670"/>
    <w:next w:val="723"/>
    <w:link w:val="670"/>
    <w:pPr>
      <w:ind w:left="200" w:hanging="200"/>
    </w:pPr>
  </w:style>
  <w:style w:type="paragraph" w:styleId="724">
    <w:name w:val="目录 6"/>
    <w:basedOn w:val="670"/>
    <w:next w:val="670"/>
    <w:link w:val="670"/>
    <w:semiHidden/>
    <w:pPr>
      <w:ind w:left="1050"/>
      <w:jc w:val="left"/>
    </w:pPr>
  </w:style>
  <w:style w:type="paragraph" w:styleId="725">
    <w:name w:val="正文文本缩进 3"/>
    <w:basedOn w:val="670"/>
    <w:next w:val="725"/>
    <w:link w:val="726"/>
    <w:pPr>
      <w:ind w:left="645" w:firstLine="645"/>
    </w:pPr>
    <w:rPr>
      <w:rFonts w:ascii="Arial" w:hAnsi="Arial" w:eastAsia="仿宋_GB2312"/>
      <w:color w:val="ffff00"/>
      <w:sz w:val="32"/>
      <w:szCs w:val="32"/>
    </w:rPr>
  </w:style>
  <w:style w:type="character" w:styleId="726">
    <w:name w:val="正文文本缩进 3 Char"/>
    <w:next w:val="726"/>
    <w:link w:val="725"/>
    <w:rPr>
      <w:rFonts w:ascii="Arial" w:hAnsi="Arial" w:eastAsia="仿宋_GB2312" w:cs="Arial"/>
      <w:color w:val="ffff00"/>
      <w:sz w:val="32"/>
      <w:szCs w:val="32"/>
    </w:rPr>
  </w:style>
  <w:style w:type="paragraph" w:styleId="727">
    <w:name w:val="图表目录"/>
    <w:basedOn w:val="670"/>
    <w:next w:val="670"/>
    <w:link w:val="670"/>
    <w:semiHidden/>
    <w:pPr>
      <w:ind w:left="840" w:hanging="420"/>
    </w:pPr>
  </w:style>
  <w:style w:type="paragraph" w:styleId="728">
    <w:name w:val="目录 2"/>
    <w:basedOn w:val="670"/>
    <w:next w:val="670"/>
    <w:link w:val="670"/>
    <w:semiHidden/>
    <w:pPr>
      <w:ind w:left="210"/>
      <w:jc w:val="left"/>
    </w:pPr>
    <w:rPr>
      <w:smallCaps/>
      <w:szCs w:val="24"/>
    </w:rPr>
  </w:style>
  <w:style w:type="paragraph" w:styleId="729">
    <w:name w:val="目录 9"/>
    <w:basedOn w:val="670"/>
    <w:next w:val="670"/>
    <w:link w:val="670"/>
    <w:semiHidden/>
    <w:pPr>
      <w:ind w:left="1680"/>
      <w:jc w:val="left"/>
    </w:pPr>
  </w:style>
  <w:style w:type="paragraph" w:styleId="730">
    <w:name w:val="正文文本 2"/>
    <w:basedOn w:val="670"/>
    <w:next w:val="730"/>
    <w:link w:val="731"/>
    <w:pPr>
      <w:jc w:val="center"/>
      <w:widowControl/>
    </w:pPr>
    <w:rPr>
      <w:rFonts w:ascii="楷体_GB2312" w:eastAsia="楷体_GB2312"/>
      <w:sz w:val="28"/>
      <w:szCs w:val="28"/>
    </w:rPr>
  </w:style>
  <w:style w:type="character" w:styleId="731">
    <w:name w:val="正文文本 2 Char"/>
    <w:next w:val="731"/>
    <w:link w:val="730"/>
    <w:rPr>
      <w:rFonts w:ascii="楷体_GB2312" w:hAnsi="Times New Roman" w:eastAsia="楷体_GB2312" w:cs="Times New Roman"/>
      <w:sz w:val="28"/>
      <w:szCs w:val="28"/>
    </w:rPr>
  </w:style>
  <w:style w:type="paragraph" w:styleId="732">
    <w:name w:val="普通(网站)"/>
    <w:basedOn w:val="670"/>
    <w:next w:val="732"/>
    <w:link w:val="670"/>
    <w:uiPriority w:val="99"/>
    <w:pPr>
      <w:jc w:val="left"/>
      <w:spacing w:before="100" w:beforeAutospacing="1" w:after="100" w:afterAutospacing="1"/>
      <w:widowControl/>
    </w:pPr>
    <w:rPr>
      <w:rFonts w:ascii="宋体" w:hAnsi="宋体" w:cs="宋体"/>
      <w:sz w:val="24"/>
      <w:szCs w:val="24"/>
    </w:rPr>
  </w:style>
  <w:style w:type="paragraph" w:styleId="733">
    <w:name w:val="索引 1"/>
    <w:basedOn w:val="670"/>
    <w:next w:val="670"/>
    <w:link w:val="670"/>
    <w:semiHidden/>
    <w:pPr>
      <w:spacing w:line="240" w:lineRule="atLeast"/>
    </w:pPr>
    <w:rPr>
      <w:b/>
      <w:bCs/>
    </w:rPr>
  </w:style>
  <w:style w:type="paragraph" w:styleId="734">
    <w:name w:val="批注主题"/>
    <w:basedOn w:val="697"/>
    <w:next w:val="697"/>
    <w:link w:val="735"/>
    <w:semiHidden/>
    <w:rPr>
      <w:b/>
      <w:bCs/>
    </w:rPr>
  </w:style>
  <w:style w:type="character" w:styleId="735">
    <w:name w:val="批注主题 Char"/>
    <w:next w:val="735"/>
    <w:link w:val="734"/>
    <w:semiHidden/>
    <w:rPr>
      <w:rFonts w:ascii="Times New Roman" w:hAnsi="Times New Roman" w:eastAsia="宋体" w:cs="Times New Roman"/>
      <w:b/>
      <w:bCs/>
      <w:szCs w:val="21"/>
    </w:rPr>
  </w:style>
  <w:style w:type="paragraph" w:styleId="736">
    <w:name w:val="正文首行缩进"/>
    <w:basedOn w:val="670"/>
    <w:next w:val="736"/>
    <w:link w:val="737"/>
    <w:pPr>
      <w:ind w:firstLine="200"/>
      <w:spacing w:line="360" w:lineRule="auto"/>
    </w:pPr>
    <w:rPr>
      <w:rFonts w:ascii="仿宋_GB2312" w:eastAsia="仿宋_GB2312"/>
      <w:sz w:val="30"/>
      <w:szCs w:val="30"/>
    </w:rPr>
  </w:style>
  <w:style w:type="character" w:styleId="737">
    <w:name w:val="正文首行缩进 Char"/>
    <w:next w:val="737"/>
    <w:link w:val="736"/>
    <w:rPr>
      <w:rFonts w:ascii="仿宋_GB2312" w:hAnsi="Times New Roman" w:eastAsia="仿宋_GB2312" w:cs="Times New Roman"/>
      <w:sz w:val="30"/>
      <w:szCs w:val="30"/>
    </w:rPr>
  </w:style>
  <w:style w:type="paragraph" w:styleId="738">
    <w:name w:val="正文首行缩进 2"/>
    <w:basedOn w:val="703"/>
    <w:next w:val="738"/>
    <w:link w:val="739"/>
    <w:pPr>
      <w:ind w:firstLine="420"/>
      <w:spacing w:line="360" w:lineRule="auto"/>
    </w:pPr>
    <w:rPr>
      <w:rFonts w:ascii="宋体" w:hAnsi="宋体" w:eastAsia="宋体"/>
      <w:szCs w:val="20"/>
    </w:rPr>
  </w:style>
  <w:style w:type="character" w:styleId="739">
    <w:name w:val="正文首行缩进 2 Char"/>
    <w:next w:val="739"/>
    <w:link w:val="738"/>
    <w:rPr>
      <w:rFonts w:ascii="宋体" w:hAnsi="宋体" w:eastAsia="宋体" w:cs="Times New Roman"/>
      <w:sz w:val="32"/>
      <w:szCs w:val="20"/>
    </w:rPr>
  </w:style>
  <w:style w:type="table" w:styleId="740">
    <w:name w:val="网格型"/>
    <w:basedOn w:val="681"/>
    <w:next w:val="740"/>
    <w:link w:val="670"/>
    <w:pPr>
      <w:jc w:val="both"/>
      <w:widowControl w:val="off"/>
    </w:pPr>
    <w:rPr>
      <w:rFonts w:ascii="Times New Roman" w:hAnsi="Times New Roman" w:eastAsia="宋体" w:cs="Times New Roman"/>
      <w:sz w:val="20"/>
      <w:szCs w:val="20"/>
    </w:rPr>
    <w:tblPr/>
  </w:style>
  <w:style w:type="character" w:styleId="741">
    <w:name w:val="要点"/>
    <w:next w:val="741"/>
    <w:link w:val="670"/>
    <w:qFormat/>
    <w:rPr>
      <w:b/>
      <w:bCs/>
    </w:rPr>
  </w:style>
  <w:style w:type="character" w:styleId="742">
    <w:name w:val="页码"/>
    <w:next w:val="742"/>
    <w:link w:val="670"/>
  </w:style>
  <w:style w:type="character" w:styleId="743">
    <w:name w:val="已访问的超链接"/>
    <w:next w:val="743"/>
    <w:link w:val="670"/>
    <w:rPr>
      <w:color w:val="800080"/>
      <w:u w:val="single"/>
    </w:rPr>
  </w:style>
  <w:style w:type="character" w:styleId="744">
    <w:name w:val="HTML 打字机"/>
    <w:next w:val="744"/>
    <w:link w:val="670"/>
    <w:uiPriority w:val="99"/>
    <w:rPr>
      <w:rFonts w:ascii="宋体" w:hAnsi="宋体" w:eastAsia="宋体" w:cs="宋体"/>
      <w:sz w:val="24"/>
      <w:szCs w:val="24"/>
    </w:rPr>
  </w:style>
  <w:style w:type="character" w:styleId="745">
    <w:name w:val="超链接"/>
    <w:next w:val="745"/>
    <w:link w:val="670"/>
    <w:rPr>
      <w:color w:val="0000ff"/>
      <w:u w:val="single"/>
    </w:rPr>
  </w:style>
  <w:style w:type="character" w:styleId="746">
    <w:name w:val="批注引用"/>
    <w:next w:val="746"/>
    <w:link w:val="670"/>
    <w:semiHidden/>
    <w:rPr>
      <w:sz w:val="21"/>
      <w:szCs w:val="21"/>
    </w:rPr>
  </w:style>
  <w:style w:type="character" w:styleId="747">
    <w:name w:val="font5 Char"/>
    <w:next w:val="747"/>
    <w:link w:val="670"/>
    <w:rPr>
      <w:rFonts w:ascii="宋体" w:hAnsi="宋体" w:eastAsia="宋体"/>
      <w:sz w:val="28"/>
      <w:szCs w:val="28"/>
      <w:lang w:val="en-US" w:eastAsia="zh-CN" w:bidi="ar-SA"/>
    </w:rPr>
  </w:style>
  <w:style w:type="character" w:styleId="748">
    <w:name w:val="二级目录 Char"/>
    <w:next w:val="748"/>
    <w:link w:val="749"/>
    <w:rPr>
      <w:b/>
      <w:sz w:val="30"/>
      <w:szCs w:val="28"/>
      <w:lang w:val="en-US" w:eastAsia="zh-CN" w:bidi="ar-SA"/>
    </w:rPr>
  </w:style>
  <w:style w:type="paragraph" w:styleId="749">
    <w:name w:val="二级目录"/>
    <w:next w:val="670"/>
    <w:link w:val="748"/>
    <w:pPr>
      <w:numPr>
        <w:ilvl w:val="0"/>
        <w:numId w:val="2"/>
      </w:numPr>
      <w:tabs>
        <w:tab w:val="left" w:pos="907" w:leader="none"/>
        <w:tab w:val="left" w:pos="1145" w:leader="none"/>
      </w:tabs>
      <w:outlineLvl w:val="1"/>
    </w:pPr>
    <w:rPr>
      <w:b/>
      <w:sz w:val="30"/>
      <w:szCs w:val="28"/>
      <w:lang w:val="en-US" w:eastAsia="zh-CN" w:bidi="ar-SA"/>
    </w:rPr>
  </w:style>
  <w:style w:type="character" w:styleId="750">
    <w:name w:val="列出段落 Char,Bullet List Char,numbered Char,FooterText Char,List Paragraph1 Char,Paragraphe de liste1 Char"/>
    <w:next w:val="750"/>
    <w:link w:val="751"/>
    <w:rPr>
      <w:rFonts w:ascii="Calibri" w:hAnsi="Calibri"/>
      <w:sz w:val="24"/>
      <w:szCs w:val="24"/>
      <w:lang w:eastAsia="en-US" w:bidi="en-US"/>
    </w:rPr>
  </w:style>
  <w:style w:type="paragraph" w:styleId="751">
    <w:name w:val="列出段落1"/>
    <w:basedOn w:val="670"/>
    <w:next w:val="751"/>
    <w:link w:val="750"/>
    <w:qFormat/>
    <w:pPr>
      <w:contextualSpacing/>
      <w:ind w:left="720"/>
      <w:jc w:val="left"/>
      <w:widowControl/>
    </w:pPr>
    <w:rPr>
      <w:rFonts w:ascii="Calibri" w:hAnsi="Calibri"/>
      <w:sz w:val="24"/>
      <w:szCs w:val="24"/>
      <w:lang w:eastAsia="en-US" w:bidi="en-US"/>
    </w:rPr>
  </w:style>
  <w:style w:type="paragraph" w:styleId="752">
    <w:name w:val="Body Text(ch)"/>
    <w:basedOn w:val="670"/>
    <w:next w:val="701"/>
    <w:link w:val="670"/>
    <w:pPr>
      <w:spacing w:after="120"/>
    </w:pPr>
    <w:rPr>
      <w:rFonts w:ascii="宋体" w:hAnsi="Arial"/>
      <w:bCs/>
      <w:iCs/>
      <w:szCs w:val="24"/>
    </w:rPr>
  </w:style>
  <w:style w:type="paragraph" w:styleId="753">
    <w:name w:val="xl27"/>
    <w:basedOn w:val="670"/>
    <w:next w:val="753"/>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4">
    <w:name w:val="xl26"/>
    <w:basedOn w:val="670"/>
    <w:next w:val="754"/>
    <w:link w:val="6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5">
    <w:name w:val="Char"/>
    <w:basedOn w:val="670"/>
    <w:next w:val="755"/>
    <w:link w:val="670"/>
    <w:pPr>
      <w:ind w:firstLine="200"/>
      <w:tabs>
        <w:tab w:val="left" w:pos="360" w:leader="none"/>
      </w:tabs>
    </w:pPr>
    <w:rPr>
      <w:sz w:val="28"/>
      <w:szCs w:val="30"/>
    </w:rPr>
  </w:style>
  <w:style w:type="paragraph" w:styleId="756">
    <w:name w:val=" Char"/>
    <w:basedOn w:val="695"/>
    <w:next w:val="756"/>
    <w:link w:val="670"/>
    <w:rPr>
      <w:rFonts w:ascii="Tahoma" w:hAnsi="Tahoma"/>
      <w:sz w:val="24"/>
      <w:szCs w:val="24"/>
    </w:rPr>
  </w:style>
  <w:style w:type="paragraph" w:styleId="757">
    <w:name w:val="普通正文"/>
    <w:basedOn w:val="670"/>
    <w:next w:val="757"/>
    <w:link w:val="670"/>
    <w:pPr>
      <w:ind w:firstLine="480"/>
      <w:jc w:val="left"/>
      <w:spacing w:before="120" w:after="120" w:line="360" w:lineRule="auto"/>
    </w:pPr>
    <w:rPr>
      <w:rFonts w:ascii="Arial" w:hAnsi="Arial"/>
      <w:sz w:val="24"/>
      <w:szCs w:val="24"/>
    </w:rPr>
  </w:style>
  <w:style w:type="paragraph" w:styleId="758">
    <w:name w:val="table_lines"/>
    <w:basedOn w:val="670"/>
    <w:next w:val="758"/>
    <w:link w:val="670"/>
    <w:pPr>
      <w:jc w:val="left"/>
      <w:widowControl/>
    </w:pPr>
    <w:rPr>
      <w:sz w:val="20"/>
      <w:szCs w:val="20"/>
      <w:lang w:val="de-DE" w:eastAsia="de-DE"/>
    </w:rPr>
  </w:style>
  <w:style w:type="paragraph" w:styleId="759">
    <w:name w:val="附录1"/>
    <w:next w:val="759"/>
    <w:link w:val="670"/>
    <w:pPr>
      <w:numPr>
        <w:ilvl w:val="0"/>
        <w:numId w:val="2"/>
      </w:numPr>
      <w:spacing w:before="240" w:line="600" w:lineRule="atLeast"/>
      <w:tabs>
        <w:tab w:val="left" w:pos="907" w:leader="none"/>
      </w:tabs>
    </w:pPr>
    <w:rPr>
      <w:b/>
      <w:i/>
      <w:sz w:val="28"/>
      <w:lang w:val="en-US" w:eastAsia="zh-CN" w:bidi="ar-SA"/>
    </w:rPr>
  </w:style>
  <w:style w:type="paragraph" w:styleId="760">
    <w:name w:val="font7"/>
    <w:basedOn w:val="670"/>
    <w:next w:val="760"/>
    <w:link w:val="670"/>
    <w:pPr>
      <w:jc w:val="left"/>
      <w:spacing w:before="100" w:beforeAutospacing="1" w:after="100" w:afterAutospacing="1"/>
      <w:widowControl/>
    </w:pPr>
    <w:rPr>
      <w:rFonts w:hint="eastAsia" w:ascii="宋体" w:hAnsi="宋体"/>
      <w:sz w:val="18"/>
      <w:szCs w:val="18"/>
    </w:rPr>
  </w:style>
  <w:style w:type="paragraph" w:styleId="761">
    <w:name w:val=" Char Char Char Char"/>
    <w:basedOn w:val="695"/>
    <w:next w:val="761"/>
    <w:link w:val="670"/>
    <w:pPr>
      <w:spacing w:line="360" w:lineRule="auto"/>
    </w:pPr>
    <w:rPr>
      <w:rFonts w:ascii="Tahoma" w:hAnsi="Tahoma"/>
      <w:sz w:val="24"/>
      <w:szCs w:val="24"/>
    </w:rPr>
  </w:style>
  <w:style w:type="paragraph" w:styleId="762">
    <w:name w:val="列出段落"/>
    <w:basedOn w:val="670"/>
    <w:next w:val="762"/>
    <w:link w:val="670"/>
    <w:uiPriority w:val="99"/>
    <w:qFormat/>
    <w:pPr>
      <w:contextualSpacing/>
      <w:ind w:left="720"/>
      <w:jc w:val="left"/>
      <w:widowControl/>
    </w:pPr>
    <w:rPr>
      <w:rFonts w:ascii="Calibri" w:hAnsi="Calibri"/>
      <w:sz w:val="24"/>
      <w:szCs w:val="24"/>
      <w:lang w:eastAsia="en-US" w:bidi="en-US"/>
    </w:rPr>
  </w:style>
  <w:style w:type="paragraph" w:styleId="763">
    <w:name w:val="4"/>
    <w:basedOn w:val="670"/>
    <w:next w:val="725"/>
    <w:link w:val="670"/>
    <w:pPr>
      <w:ind w:firstLine="420"/>
      <w:spacing w:line="360" w:lineRule="auto"/>
    </w:pPr>
    <w:rPr>
      <w:color w:val="ff0000"/>
      <w:sz w:val="24"/>
      <w:szCs w:val="24"/>
    </w:rPr>
  </w:style>
  <w:style w:type="paragraph" w:styleId="764">
    <w:name w:val="普通 (Web)"/>
    <w:basedOn w:val="670"/>
    <w:next w:val="764"/>
    <w:link w:val="670"/>
    <w:pPr>
      <w:jc w:val="left"/>
      <w:spacing w:before="100" w:beforeAutospacing="1" w:after="100" w:afterAutospacing="1"/>
      <w:widowControl/>
    </w:pPr>
    <w:rPr>
      <w:rFonts w:ascii="宋体" w:hAnsi="宋体"/>
      <w:sz w:val="24"/>
      <w:szCs w:val="24"/>
    </w:rPr>
  </w:style>
  <w:style w:type="paragraph" w:styleId="765">
    <w:name w:val=" Char Char Char Char Char Char Char Char Char Char"/>
    <w:basedOn w:val="670"/>
    <w:next w:val="765"/>
    <w:link w:val="670"/>
    <w:pPr>
      <w:spacing w:line="360" w:lineRule="auto"/>
    </w:pPr>
    <w:rPr>
      <w:sz w:val="24"/>
      <w:szCs w:val="20"/>
    </w:rPr>
  </w:style>
  <w:style w:type="paragraph" w:styleId="766">
    <w:name w:val="样式1"/>
    <w:basedOn w:val="670"/>
    <w:next w:val="766"/>
    <w:link w:val="670"/>
    <w:pPr>
      <w:numPr>
        <w:ilvl w:val="0"/>
        <w:numId w:val="3"/>
      </w:numPr>
      <w:tabs>
        <w:tab w:val="left" w:pos="709" w:leader="none"/>
      </w:tabs>
    </w:pPr>
    <w:rPr>
      <w:rFonts w:ascii="宋体" w:hAnsi="宋体"/>
    </w:rPr>
  </w:style>
  <w:style w:type="paragraph" w:styleId="767">
    <w:name w:val="font6"/>
    <w:basedOn w:val="670"/>
    <w:next w:val="767"/>
    <w:link w:val="670"/>
    <w:pPr>
      <w:jc w:val="left"/>
      <w:spacing w:before="100" w:beforeAutospacing="1" w:after="100" w:afterAutospacing="1"/>
      <w:widowControl/>
    </w:pPr>
    <w:rPr>
      <w:rFonts w:hint="eastAsia" w:ascii="宋体" w:hAnsi="宋体"/>
      <w:sz w:val="28"/>
      <w:szCs w:val="28"/>
      <w:u w:val="single"/>
    </w:rPr>
  </w:style>
  <w:style w:type="paragraph" w:styleId="768">
    <w:name w:val="xl25"/>
    <w:basedOn w:val="670"/>
    <w:next w:val="768"/>
    <w:link w:val="6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9">
    <w:name w:val="图标"/>
    <w:basedOn w:val="670"/>
    <w:next w:val="670"/>
    <w:link w:val="67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0">
    <w:name w:val="标题3"/>
    <w:basedOn w:val="670"/>
    <w:next w:val="670"/>
    <w:link w:val="670"/>
    <w:pPr>
      <w:ind w:firstLine="624"/>
      <w:spacing w:line="590" w:lineRule="atLeast"/>
    </w:pPr>
    <w:rPr>
      <w:rFonts w:ascii="方正黑体_GBK" w:eastAsia="方正黑体_GBK"/>
      <w:sz w:val="32"/>
      <w:szCs w:val="32"/>
    </w:rPr>
  </w:style>
  <w:style w:type="paragraph" w:styleId="771">
    <w:name w:val="xl24"/>
    <w:basedOn w:val="670"/>
    <w:next w:val="771"/>
    <w:link w:val="6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2">
    <w:name w:val="xl29"/>
    <w:basedOn w:val="670"/>
    <w:next w:val="772"/>
    <w:link w:val="67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3">
    <w:name w:val="Char Char Char Char Char Char Char Char"/>
    <w:basedOn w:val="670"/>
    <w:next w:val="773"/>
    <w:link w:val="670"/>
    <w:pPr>
      <w:jc w:val="left"/>
      <w:spacing w:after="160" w:line="240" w:lineRule="exact"/>
      <w:widowControl/>
    </w:pPr>
    <w:rPr>
      <w:rFonts w:ascii="Verdana" w:hAnsi="Verdana"/>
      <w:sz w:val="20"/>
      <w:szCs w:val="20"/>
      <w:lang w:eastAsia="en-US"/>
    </w:rPr>
  </w:style>
  <w:style w:type="paragraph" w:styleId="774">
    <w:name w:val="xl28"/>
    <w:basedOn w:val="670"/>
    <w:next w:val="774"/>
    <w:link w:val="6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5">
    <w:name w:val=" Char Char Char Char Char Char Char Char"/>
    <w:basedOn w:val="670"/>
    <w:next w:val="775"/>
    <w:link w:val="670"/>
    <w:pPr>
      <w:jc w:val="left"/>
      <w:spacing w:after="160" w:line="240" w:lineRule="exact"/>
      <w:widowControl/>
    </w:pPr>
    <w:rPr>
      <w:rFonts w:ascii="Verdana" w:hAnsi="Verdana"/>
      <w:sz w:val="20"/>
      <w:szCs w:val="20"/>
      <w:lang w:eastAsia="en-US"/>
    </w:rPr>
  </w:style>
  <w:style w:type="paragraph" w:styleId="776">
    <w:name w:val="xl30"/>
    <w:basedOn w:val="670"/>
    <w:next w:val="776"/>
    <w:link w:val="670"/>
    <w:pPr>
      <w:jc w:val="center"/>
      <w:spacing w:before="100" w:beforeAutospacing="1" w:after="100" w:afterAutospacing="1"/>
      <w:widowControl/>
    </w:pPr>
    <w:rPr>
      <w:rFonts w:ascii="宋体" w:hAnsi="宋体"/>
      <w:b/>
      <w:bCs/>
      <w:sz w:val="36"/>
      <w:szCs w:val="36"/>
    </w:rPr>
  </w:style>
  <w:style w:type="paragraph" w:styleId="777">
    <w:name w:val="Char Char Char Char"/>
    <w:basedOn w:val="695"/>
    <w:next w:val="777"/>
    <w:link w:val="670"/>
    <w:pPr>
      <w:spacing w:line="360" w:lineRule="auto"/>
    </w:pPr>
    <w:rPr>
      <w:rFonts w:ascii="Tahoma" w:hAnsi="Tahoma"/>
      <w:sz w:val="24"/>
      <w:szCs w:val="24"/>
    </w:rPr>
  </w:style>
  <w:style w:type="paragraph" w:styleId="778">
    <w:name w:val="table_1stline"/>
    <w:basedOn w:val="670"/>
    <w:next w:val="778"/>
    <w:link w:val="670"/>
    <w:pPr>
      <w:jc w:val="left"/>
      <w:spacing w:before="120"/>
      <w:widowControl/>
    </w:pPr>
    <w:rPr>
      <w:bCs/>
      <w:sz w:val="20"/>
      <w:szCs w:val="20"/>
      <w:lang w:val="de-DE" w:eastAsia="de-DE"/>
    </w:rPr>
  </w:style>
  <w:style w:type="paragraph" w:styleId="779">
    <w:name w:val="font5"/>
    <w:basedOn w:val="670"/>
    <w:next w:val="779"/>
    <w:link w:val="670"/>
    <w:pPr>
      <w:jc w:val="left"/>
      <w:spacing w:before="100" w:beforeAutospacing="1" w:after="100" w:afterAutospacing="1"/>
      <w:widowControl/>
    </w:pPr>
    <w:rPr>
      <w:rFonts w:hint="eastAsia" w:ascii="宋体" w:hAnsi="宋体"/>
      <w:sz w:val="28"/>
      <w:szCs w:val="28"/>
    </w:rPr>
  </w:style>
  <w:style w:type="paragraph" w:styleId="780">
    <w:name w:val="标题1"/>
    <w:basedOn w:val="670"/>
    <w:next w:val="670"/>
    <w:link w:val="670"/>
    <w:pPr>
      <w:jc w:val="center"/>
      <w:spacing w:line="700" w:lineRule="atLeast"/>
      <w:tabs>
        <w:tab w:val="left" w:pos="9193" w:leader="none"/>
        <w:tab w:val="left" w:pos="9827" w:leader="none"/>
      </w:tabs>
    </w:pPr>
    <w:rPr>
      <w:rFonts w:ascii="方正小标宋_GBK" w:eastAsia="方正小标宋_GBK"/>
      <w:sz w:val="44"/>
      <w:szCs w:val="20"/>
    </w:rPr>
  </w:style>
  <w:style w:type="paragraph" w:styleId="781">
    <w:name w:val="修订"/>
    <w:next w:val="781"/>
    <w:link w:val="670"/>
    <w:uiPriority w:val="99"/>
    <w:semiHidden/>
    <w:rPr>
      <w:sz w:val="21"/>
      <w:szCs w:val="21"/>
      <w:lang w:val="en-US" w:eastAsia="zh-CN" w:bidi="ar-SA"/>
    </w:rPr>
  </w:style>
  <w:style w:type="paragraph" w:styleId="782">
    <w:name w:val="无间隔"/>
    <w:next w:val="782"/>
    <w:link w:val="670"/>
    <w:uiPriority w:val="99"/>
    <w:qFormat/>
    <w:pPr>
      <w:jc w:val="both"/>
      <w:widowControl w:val="off"/>
    </w:pPr>
    <w:rPr>
      <w:sz w:val="21"/>
      <w:szCs w:val="21"/>
      <w:lang w:val="en-US" w:eastAsia="zh-CN" w:bidi="ar-SA"/>
    </w:rPr>
  </w:style>
  <w:style w:type="paragraph" w:styleId="783">
    <w:name w:val="普通文字"/>
    <w:basedOn w:val="670"/>
    <w:next w:val="670"/>
    <w:link w:val="670"/>
    <w:uiPriority w:val="99"/>
    <w:rPr>
      <w:rFonts w:ascii="宋体" w:hAnsi="Times New Roman" w:eastAsia="宋体" w:cs="Times New Roman"/>
      <w:sz w:val="24"/>
      <w:szCs w:val="20"/>
      <w:u w:val="none"/>
    </w:rPr>
  </w:style>
  <w:style w:type="paragraph" w:styleId="784">
    <w:name w:val="目录 111"/>
    <w:basedOn w:val="670"/>
    <w:next w:val="670"/>
    <w:link w:val="670"/>
    <w:uiPriority w:val="39"/>
    <w:unhideWhenUsed/>
    <w:qFormat/>
    <w:pPr>
      <w:jc w:val="left"/>
      <w:spacing w:after="100" w:line="259" w:lineRule="auto"/>
      <w:widowControl/>
    </w:pPr>
    <w:rPr>
      <w:rFonts w:ascii="Calibri" w:hAnsi="Calibri" w:eastAsia="宋体"/>
      <w:sz w:val="22"/>
      <w:szCs w:val="22"/>
    </w:rPr>
  </w:style>
  <w:style w:type="paragraph" w:styleId="785">
    <w:name w:val="列表段落1"/>
    <w:basedOn w:val="670"/>
    <w:next w:val="785"/>
    <w:link w:val="670"/>
    <w:uiPriority w:val="34"/>
    <w:qFormat/>
    <w:pPr>
      <w:ind w:firstLine="420"/>
    </w:pPr>
    <w:rPr>
      <w:rFonts w:ascii="Calibri" w:hAnsi="Calibri" w:cs="Calibri"/>
      <w:szCs w:val="21"/>
    </w:rPr>
  </w:style>
  <w:style w:type="paragraph" w:styleId="786">
    <w:name w:val="Table Text"/>
    <w:basedOn w:val="670"/>
    <w:next w:val="786"/>
    <w:link w:val="670"/>
    <w:semiHidden/>
    <w:qFormat/>
    <w:pPr>
      <w:jc w:val="left"/>
      <w:widowControl/>
    </w:pPr>
    <w:rPr>
      <w:rFonts w:ascii="黑体" w:hAnsi="黑体" w:eastAsia="黑体" w:cs="黑体"/>
      <w:color w:val="000000"/>
      <w:sz w:val="18"/>
      <w:szCs w:val="18"/>
      <w:lang w:eastAsia="en-US"/>
    </w:rPr>
  </w:style>
  <w:style w:type="paragraph" w:styleId="787">
    <w:name w:val="正文文本1"/>
    <w:basedOn w:val="670"/>
    <w:next w:val="787"/>
    <w:link w:val="670"/>
    <w:uiPriority w:val="99"/>
    <w:qFormat/>
    <w:rPr>
      <w:rFonts w:ascii="华文中宋" w:eastAsia="华文中宋"/>
      <w:bCs/>
      <w:sz w:val="28"/>
    </w:rPr>
  </w:style>
  <w:style w:type="character" w:styleId="20629" w:default="1">
    <w:name w:val="Default Paragraph Font"/>
    <w:uiPriority w:val="1"/>
    <w:semiHidden/>
    <w:unhideWhenUsed/>
  </w:style>
  <w:style w:type="numbering" w:styleId="20630" w:default="1">
    <w:name w:val="No List"/>
    <w:uiPriority w:val="99"/>
    <w:semiHidden/>
    <w:unhideWhenUsed/>
  </w:style>
  <w:style w:type="table" w:styleId="206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乔凡</dc:creator>
  <cp:lastModifiedBy>陈辰</cp:lastModifiedBy>
  <cp:revision>4</cp:revision>
  <dcterms:created xsi:type="dcterms:W3CDTF">2023-03-16T02:16:00Z</dcterms:created>
  <dcterms:modified xsi:type="dcterms:W3CDTF">2025-01-20T01:28:21Z</dcterms:modified>
</cp:coreProperties>
</file>