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ascii="宋体" w:hAnsi="宋体" w:cs="宋体"/>
          <w:szCs w:val="21"/>
        </w:rPr>
      </w:pPr>
      <w:r>
        <w:rPr>
          <w:rFonts w:hint="eastAsia" w:ascii="宋体" w:hAnsi="宋体" w:cs="宋体"/>
          <w:szCs w:val="21"/>
        </w:rPr>
        <w:t xml:space="preserve"> </w:t>
      </w:r>
      <w:r/>
    </w:p>
    <w:p>
      <w:pPr>
        <w:jc w:val="right"/>
        <w:rPr>
          <w:rFonts w:ascii="宋体" w:hAnsi="宋体"/>
          <w:sz w:val="28"/>
        </w:rPr>
      </w:pPr>
      <w:r>
        <w:rPr>
          <w:rFonts w:ascii="宋体" w:hAnsi="宋体"/>
          <w:sz w:val="28"/>
        </w:rPr>
      </w:r>
      <w:r/>
    </w:p>
    <w:p>
      <w:pPr>
        <w:jc w:val="right"/>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pStyle w:val="1162"/>
        <w:ind w:firstLine="0"/>
        <w:jc w:val="center"/>
        <w:rPr>
          <w:rFonts w:eastAsia="黑体"/>
          <w:b/>
          <w:bCs/>
          <w:sz w:val="84"/>
        </w:rPr>
      </w:pPr>
      <w:r>
        <w:rPr>
          <w:rFonts w:hint="eastAsia" w:eastAsia="黑体"/>
          <w:b/>
          <w:bCs/>
          <w:sz w:val="84"/>
        </w:rPr>
        <w:t xml:space="preserve">招　标　文　件</w:t>
      </w:r>
      <w:r/>
    </w:p>
    <w:p>
      <w:pPr>
        <w:pStyle w:val="1162"/>
        <w:ind w:firstLine="2249"/>
        <w:rPr>
          <w:b/>
          <w:bCs/>
          <w:sz w:val="32"/>
        </w:rPr>
      </w:pPr>
      <w:r>
        <w:rPr>
          <w:b/>
          <w:bCs/>
          <w:sz w:val="32"/>
        </w:rPr>
      </w:r>
      <w:r/>
    </w:p>
    <w:p>
      <w:pPr>
        <w:pStyle w:val="1162"/>
        <w:ind w:firstLine="2249"/>
        <w:rPr>
          <w:b/>
          <w:bCs/>
          <w:spacing w:val="-20"/>
          <w:sz w:val="32"/>
        </w:rPr>
      </w:pPr>
      <w:r>
        <w:rPr>
          <w:b/>
          <w:bCs/>
          <w:spacing w:val="-20"/>
          <w:sz w:val="32"/>
        </w:rPr>
      </w:r>
      <w:r/>
    </w:p>
    <w:p>
      <w:pPr>
        <w:pStyle w:val="1162"/>
        <w:ind w:left="2030" w:hanging="1400"/>
        <w:rPr>
          <w:rFonts w:ascii="宋体" w:hAnsi="宋体"/>
          <w:sz w:val="28"/>
          <w:szCs w:val="28"/>
        </w:rPr>
      </w:pPr>
      <w:r>
        <w:rPr>
          <w:rFonts w:hint="eastAsia" w:ascii="宋体" w:hAnsi="宋体"/>
          <w:sz w:val="28"/>
          <w:szCs w:val="28"/>
        </w:rPr>
        <w:t xml:space="preserve">项目名称：宝应县农业综合行政执法大队2023年宝应县渔政执法装备设施建设项目</w:t>
      </w:r>
      <w:r/>
    </w:p>
    <w:p>
      <w:pPr>
        <w:ind w:firstLine="643"/>
        <w:rPr>
          <w:rFonts w:ascii="宋体" w:hAnsi="宋体"/>
          <w:sz w:val="28"/>
          <w:szCs w:val="28"/>
        </w:rPr>
      </w:pPr>
      <w:r>
        <w:rPr>
          <w:rFonts w:hint="eastAsia" w:ascii="宋体" w:hAnsi="宋体"/>
          <w:sz w:val="28"/>
          <w:szCs w:val="28"/>
        </w:rPr>
        <w:t xml:space="preserve">项目编号：JSZC-321023-YZDC-G2024-0014   </w:t>
      </w:r>
      <w:r>
        <w:rPr>
          <w:rFonts w:ascii="宋体" w:hAnsi="宋体"/>
          <w:sz w:val="28"/>
          <w:szCs w:val="28"/>
        </w:rPr>
        <w:t xml:space="preserve">   </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rPr>
          <w:rFonts w:ascii="宋体" w:hAnsi="宋体"/>
          <w:sz w:val="36"/>
        </w:rPr>
      </w:pPr>
      <w:r>
        <w:rPr>
          <w:rFonts w:ascii="宋体" w:hAnsi="宋体"/>
          <w:sz w:val="36"/>
        </w:rPr>
      </w:r>
      <w:r/>
    </w:p>
    <w:p>
      <w:pPr>
        <w:jc w:val="center"/>
        <w:rPr>
          <w:rFonts w:ascii="宋体" w:hAnsi="宋体"/>
          <w:sz w:val="28"/>
          <w:szCs w:val="28"/>
        </w:rPr>
      </w:pPr>
      <w:r>
        <w:rPr>
          <w:rFonts w:hint="eastAsia" w:ascii="宋体" w:hAnsi="宋体"/>
          <w:sz w:val="28"/>
          <w:szCs w:val="28"/>
        </w:rPr>
        <w:t xml:space="preserve">采购代理机构：江苏省鼎诚建设工程顾问有限公司</w:t>
      </w:r>
      <w:r/>
    </w:p>
    <w:p>
      <w:pPr>
        <w:jc w:val="center"/>
        <w:rPr>
          <w:rFonts w:ascii="宋体" w:hAnsi="宋体"/>
          <w:sz w:val="28"/>
          <w:szCs w:val="28"/>
        </w:rPr>
        <w:sectPr>
          <w:headerReference w:type="default" r:id="rId9"/>
          <w:footerReference w:type="default" r:id="rId11"/>
          <w:footnotePr/>
          <w:endnotePr/>
          <w:type w:val="nextPage"/>
          <w:pgSz w:w="11906" w:h="16838" w:orient="portrait"/>
          <w:pgMar w:top="1440" w:right="1558" w:bottom="1440" w:left="1701" w:header="851" w:footer="992" w:gutter="0"/>
          <w:cols w:num="1" w:sep="0" w:space="720" w:equalWidth="1"/>
          <w:docGrid w:linePitch="360"/>
        </w:sectPr>
      </w:pPr>
      <w:r>
        <w:rPr>
          <w:rFonts w:ascii="宋体" w:hAnsi="宋体"/>
          <w:sz w:val="28"/>
          <w:szCs w:val="28"/>
        </w:rPr>
        <w:t xml:space="preserve">20</w:t>
      </w:r>
      <w:r>
        <w:rPr>
          <w:rFonts w:hint="eastAsia" w:ascii="宋体" w:hAnsi="宋体"/>
          <w:sz w:val="28"/>
          <w:szCs w:val="28"/>
        </w:rPr>
        <w:t xml:space="preserve">24</w:t>
      </w:r>
      <w:r>
        <w:rPr>
          <w:rFonts w:ascii="宋体" w:hAnsi="宋体"/>
          <w:sz w:val="28"/>
          <w:szCs w:val="28"/>
        </w:rPr>
        <w:t xml:space="preserve">年</w:t>
      </w:r>
      <w:r>
        <w:rPr>
          <w:rFonts w:hint="eastAsia" w:ascii="宋体" w:hAnsi="宋体"/>
          <w:sz w:val="28"/>
          <w:szCs w:val="28"/>
        </w:rPr>
        <w:t xml:space="preserve">9</w:t>
      </w:r>
      <w:r>
        <w:rPr>
          <w:rFonts w:ascii="宋体" w:hAnsi="宋体"/>
          <w:sz w:val="28"/>
          <w:szCs w:val="28"/>
        </w:rPr>
        <w:t xml:space="preserve">月</w:t>
      </w:r>
      <w:r/>
    </w:p>
    <w:p>
      <w:pPr>
        <w:jc w:val="center"/>
        <w:rPr>
          <w:rFonts w:ascii="宋体" w:hAnsi="宋体"/>
          <w:sz w:val="32"/>
        </w:rPr>
      </w:pPr>
      <w:r/>
      <w:bookmarkStart w:id="0" w:name="_Toc498520458"/>
      <w:r>
        <w:rPr>
          <w:rFonts w:hint="eastAsia" w:ascii="宋体" w:hAnsi="宋体"/>
          <w:sz w:val="32"/>
        </w:rPr>
        <w:t xml:space="preserve">目</w:t>
      </w:r>
      <w:r>
        <w:rPr>
          <w:rFonts w:ascii="宋体" w:hAnsi="宋体"/>
          <w:sz w:val="32"/>
        </w:rPr>
        <w:t xml:space="preserve"> 录</w:t>
      </w:r>
      <w:r/>
    </w:p>
    <w:p>
      <w:pPr>
        <w:pStyle w:val="894"/>
        <w:tabs>
          <w:tab w:val="right" w:pos="8296" w:leader="dot"/>
        </w:tabs>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TOC \o "1-3" \f </w:instrText>
      </w:r>
      <w:r>
        <w:rPr>
          <w:rFonts w:hint="eastAsia" w:ascii="宋体" w:hAnsi="宋体" w:cs="宋体"/>
          <w:szCs w:val="21"/>
        </w:rPr>
        <w:fldChar w:fldCharType="separate"/>
      </w:r>
      <w:r>
        <w:rPr>
          <w:rFonts w:hint="eastAsia" w:ascii="宋体" w:hAnsi="宋体" w:cs="宋体"/>
          <w:szCs w:val="21"/>
        </w:rPr>
        <w:t xml:space="preserve">第一章 投标邀请</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_Toc498520458 \h </w:instrText>
      </w:r>
      <w:r>
        <w:rPr>
          <w:rFonts w:hint="eastAsia" w:ascii="宋体" w:hAnsi="宋体" w:cs="宋体"/>
          <w:szCs w:val="21"/>
        </w:rPr>
        <w:fldChar w:fldCharType="separate"/>
      </w:r>
      <w:r>
        <w:rPr>
          <w:rFonts w:ascii="宋体" w:hAnsi="宋体" w:cs="宋体"/>
          <w:szCs w:val="21"/>
        </w:rPr>
        <w:t xml:space="preserve">2</w:t>
      </w:r>
      <w:r>
        <w:rPr>
          <w:rFonts w:hint="eastAsia" w:ascii="宋体" w:hAnsi="宋体" w:cs="宋体"/>
          <w:szCs w:val="21"/>
        </w:rPr>
        <w:fldChar w:fldCharType="end"/>
      </w:r>
      <w:r/>
    </w:p>
    <w:p>
      <w:pPr>
        <w:pStyle w:val="894"/>
        <w:tabs>
          <w:tab w:val="right" w:pos="8296" w:leader="dot"/>
        </w:tabs>
        <w:rPr>
          <w:rFonts w:ascii="宋体" w:hAnsi="宋体" w:cs="宋体"/>
          <w:szCs w:val="21"/>
        </w:rPr>
      </w:pPr>
      <w:r>
        <w:rPr>
          <w:rFonts w:hint="eastAsia" w:ascii="宋体" w:hAnsi="宋体" w:cs="宋体"/>
          <w:szCs w:val="21"/>
        </w:rPr>
        <w:t xml:space="preserve">第二章 投标人须知</w:t>
      </w:r>
      <w:r>
        <w:rPr>
          <w:rFonts w:hint="eastAsia" w:ascii="宋体" w:hAnsi="宋体" w:cs="宋体"/>
          <w:szCs w:val="21"/>
        </w:rPr>
        <w:tab/>
      </w:r>
      <w:r>
        <w:rPr>
          <w:rFonts w:hint="eastAsia" w:ascii="宋体" w:hAnsi="宋体" w:cs="宋体"/>
          <w:szCs w:val="21"/>
        </w:rPr>
        <w:t xml:space="preserve">8</w:t>
      </w:r>
      <w:r/>
    </w:p>
    <w:p>
      <w:pPr>
        <w:pStyle w:val="894"/>
        <w:tabs>
          <w:tab w:val="right" w:pos="8296" w:leader="dot"/>
        </w:tabs>
        <w:rPr>
          <w:rFonts w:ascii="宋体" w:hAnsi="宋体" w:cs="宋体"/>
          <w:szCs w:val="21"/>
        </w:rPr>
      </w:pPr>
      <w:r>
        <w:rPr>
          <w:rFonts w:hint="eastAsia" w:ascii="宋体" w:hAnsi="宋体" w:cs="宋体"/>
          <w:szCs w:val="21"/>
        </w:rPr>
        <w:t xml:space="preserve">第三章 合同文本</w:t>
      </w:r>
      <w:r>
        <w:rPr>
          <w:rFonts w:hint="eastAsia" w:ascii="宋体" w:hAnsi="宋体" w:cs="宋体"/>
          <w:szCs w:val="21"/>
        </w:rPr>
        <w:tab/>
      </w:r>
      <w:r>
        <w:rPr>
          <w:rFonts w:hint="eastAsia" w:ascii="宋体" w:hAnsi="宋体" w:cs="宋体"/>
          <w:szCs w:val="21"/>
        </w:rPr>
        <w:t xml:space="preserve">20</w:t>
      </w:r>
      <w:r/>
    </w:p>
    <w:p>
      <w:pPr>
        <w:pStyle w:val="894"/>
        <w:tabs>
          <w:tab w:val="right" w:pos="8296" w:leader="dot"/>
        </w:tabs>
        <w:rPr>
          <w:rFonts w:ascii="宋体" w:hAnsi="宋体" w:cs="宋体"/>
          <w:szCs w:val="21"/>
        </w:rPr>
      </w:pPr>
      <w:r>
        <w:rPr>
          <w:rFonts w:hint="eastAsia" w:ascii="宋体" w:hAnsi="宋体" w:cs="宋体"/>
          <w:szCs w:val="21"/>
        </w:rPr>
        <w:t xml:space="preserve">第四章 采购需求</w:t>
      </w:r>
      <w:r>
        <w:rPr>
          <w:rFonts w:hint="eastAsia" w:ascii="宋体" w:hAnsi="宋体" w:cs="宋体"/>
          <w:szCs w:val="21"/>
        </w:rPr>
        <w:tab/>
      </w:r>
      <w:r>
        <w:rPr>
          <w:rFonts w:hint="eastAsia" w:ascii="宋体" w:hAnsi="宋体" w:cs="宋体"/>
          <w:szCs w:val="21"/>
        </w:rPr>
        <w:fldChar w:fldCharType="begin"/>
      </w:r>
      <w:r>
        <w:rPr>
          <w:rFonts w:hint="eastAsia" w:ascii="宋体" w:hAnsi="宋体" w:cs="宋体"/>
          <w:szCs w:val="21"/>
        </w:rPr>
        <w:instrText xml:space="preserve"> PAGEREF _Toc498520461 \h </w:instrText>
      </w:r>
      <w:r>
        <w:rPr>
          <w:rFonts w:hint="eastAsia" w:ascii="宋体" w:hAnsi="宋体" w:cs="宋体"/>
          <w:szCs w:val="21"/>
        </w:rPr>
        <w:fldChar w:fldCharType="separate"/>
      </w:r>
      <w:r>
        <w:rPr>
          <w:rFonts w:ascii="宋体" w:hAnsi="宋体" w:cs="宋体"/>
          <w:szCs w:val="21"/>
        </w:rPr>
        <w:t xml:space="preserve">22</w:t>
      </w:r>
      <w:r>
        <w:rPr>
          <w:rFonts w:hint="eastAsia" w:ascii="宋体" w:hAnsi="宋体" w:cs="宋体"/>
          <w:szCs w:val="21"/>
        </w:rPr>
        <w:fldChar w:fldCharType="end"/>
      </w:r>
      <w:r/>
    </w:p>
    <w:p>
      <w:pPr>
        <w:pStyle w:val="894"/>
        <w:tabs>
          <w:tab w:val="right" w:pos="8296" w:leader="dot"/>
        </w:tabs>
        <w:rPr>
          <w:rFonts w:ascii="宋体" w:hAnsi="宋体" w:cs="宋体"/>
          <w:szCs w:val="21"/>
        </w:rPr>
      </w:pPr>
      <w:r>
        <w:rPr>
          <w:rFonts w:hint="eastAsia" w:ascii="宋体" w:hAnsi="宋体" w:cs="宋体"/>
          <w:szCs w:val="21"/>
        </w:rPr>
        <w:t xml:space="preserve">第五章 评标方法及评标标准</w:t>
      </w:r>
      <w:r>
        <w:rPr>
          <w:rFonts w:hint="eastAsia" w:ascii="宋体" w:hAnsi="宋体" w:cs="宋体"/>
          <w:szCs w:val="21"/>
        </w:rPr>
        <w:tab/>
      </w:r>
      <w:r>
        <w:rPr>
          <w:rFonts w:hint="eastAsia" w:ascii="宋体" w:hAnsi="宋体" w:cs="宋体"/>
          <w:szCs w:val="21"/>
        </w:rPr>
        <w:t xml:space="preserve">33</w:t>
      </w:r>
      <w:r/>
    </w:p>
    <w:p>
      <w:pPr>
        <w:pStyle w:val="894"/>
        <w:tabs>
          <w:tab w:val="right" w:pos="8296" w:leader="dot"/>
        </w:tabs>
        <w:rPr>
          <w:rFonts w:ascii="宋体" w:hAnsi="宋体" w:cs="宋体"/>
          <w:szCs w:val="21"/>
        </w:rPr>
      </w:pPr>
      <w:r>
        <w:rPr>
          <w:rFonts w:hint="eastAsia" w:ascii="宋体" w:hAnsi="宋体" w:cs="宋体"/>
          <w:szCs w:val="21"/>
        </w:rPr>
        <w:t xml:space="preserve">第六章 投标文件格式</w:t>
      </w:r>
      <w:r>
        <w:rPr>
          <w:rFonts w:hint="eastAsia" w:ascii="宋体" w:hAnsi="宋体" w:cs="宋体"/>
          <w:szCs w:val="21"/>
        </w:rPr>
        <w:tab/>
      </w:r>
      <w:r>
        <w:rPr>
          <w:rFonts w:hint="eastAsia" w:ascii="宋体" w:hAnsi="宋体" w:cs="宋体"/>
          <w:szCs w:val="21"/>
        </w:rPr>
        <w:t xml:space="preserve">36</w:t>
      </w:r>
      <w:r/>
    </w:p>
    <w:p>
      <w:pPr>
        <w:pStyle w:val="867"/>
        <w:jc w:val="center"/>
        <w:spacing w:line="500" w:lineRule="exact"/>
        <w:rPr>
          <w:rFonts w:ascii="宋体" w:hAnsi="宋体"/>
          <w:sz w:val="36"/>
        </w:rPr>
      </w:pPr>
      <w:r>
        <w:rPr>
          <w:rFonts w:hint="eastAsia" w:ascii="宋体" w:hAnsi="宋体" w:cs="宋体"/>
          <w:szCs w:val="21"/>
        </w:rPr>
        <w:fldChar w:fldCharType="end"/>
      </w:r>
      <w:r/>
    </w:p>
    <w:p>
      <w:pPr>
        <w:pStyle w:val="867"/>
        <w:jc w:val="center"/>
        <w:spacing w:line="500" w:lineRule="exact"/>
        <w:rPr>
          <w:rFonts w:ascii="宋体" w:hAnsi="宋体"/>
          <w:sz w:val="36"/>
        </w:rPr>
      </w:pPr>
      <w:r>
        <w:rPr>
          <w:rFonts w:ascii="宋体" w:hAnsi="宋体"/>
          <w:sz w:val="36"/>
        </w:rPr>
      </w:r>
      <w:r/>
    </w:p>
    <w:p>
      <w:pPr>
        <w:pStyle w:val="867"/>
        <w:jc w:val="center"/>
        <w:spacing w:line="500" w:lineRule="exact"/>
        <w:rPr>
          <w:rFonts w:ascii="宋体" w:hAnsi="宋体"/>
          <w:sz w:val="36"/>
        </w:rPr>
      </w:pPr>
      <w:r>
        <w:rPr>
          <w:rFonts w:ascii="宋体" w:hAnsi="宋体"/>
          <w:sz w:val="36"/>
        </w:rPr>
      </w:r>
      <w:r/>
    </w:p>
    <w:p>
      <w:pPr>
        <w:pStyle w:val="878"/>
        <w:rPr>
          <w:szCs w:val="44"/>
        </w:rPr>
      </w:pPr>
      <w:r>
        <w:br w:type="page" w:clear="all"/>
      </w:r>
      <w:r/>
    </w:p>
    <w:p>
      <w:pPr>
        <w:pStyle w:val="867"/>
        <w:jc w:val="center"/>
        <w:spacing w:line="500" w:lineRule="exact"/>
        <w:rPr>
          <w:rFonts w:ascii="宋体" w:hAnsi="宋体"/>
          <w:sz w:val="32"/>
          <w:szCs w:val="32"/>
        </w:rPr>
      </w:pPr>
      <w:r>
        <w:rPr>
          <w:rFonts w:hint="eastAsia" w:ascii="宋体" w:hAnsi="宋体"/>
          <w:sz w:val="32"/>
          <w:szCs w:val="32"/>
        </w:rPr>
        <w:t xml:space="preserve">第一章</w:t>
      </w:r>
      <w:r>
        <w:rPr>
          <w:rFonts w:ascii="宋体" w:hAnsi="宋体"/>
          <w:sz w:val="32"/>
          <w:szCs w:val="32"/>
        </w:rPr>
        <w:t xml:space="preserve"> </w:t>
      </w:r>
      <w:bookmarkEnd w:id="0"/>
      <w:r>
        <w:rPr>
          <w:rFonts w:hint="eastAsia" w:ascii="宋体" w:hAnsi="宋体"/>
          <w:sz w:val="32"/>
          <w:szCs w:val="32"/>
        </w:rPr>
        <w:t xml:space="preserve">投标邀请</w:t>
      </w:r>
      <w:r/>
    </w:p>
    <w:p>
      <w:pPr>
        <w:ind w:firstLine="315"/>
        <w:jc w:val="left"/>
        <w:spacing w:before="100" w:beforeAutospacing="1" w:after="100" w:afterAutospacing="1" w:line="400" w:lineRule="exact"/>
        <w:widowControl/>
        <w:rPr>
          <w:rStyle w:val="990"/>
          <w:szCs w:val="21"/>
          <w:shd w:val="clear" w:color="auto" w:fill="ffffff"/>
        </w:rPr>
      </w:pPr>
      <w:r>
        <w:rPr>
          <w:rStyle w:val="990"/>
          <w:szCs w:val="21"/>
          <w:shd w:val="clear" w:color="auto" w:fill="ffffff"/>
        </w:rPr>
        <w:t xml:space="preserve">受</w:t>
      </w:r>
      <w:r>
        <w:rPr>
          <w:rStyle w:val="990"/>
          <w:rFonts w:hint="eastAsia"/>
          <w:szCs w:val="21"/>
          <w:shd w:val="clear" w:color="auto" w:fill="ffffff"/>
        </w:rPr>
        <w:t xml:space="preserve">宝应县农业综合行政执法大队</w:t>
      </w:r>
      <w:r>
        <w:rPr>
          <w:rStyle w:val="990"/>
          <w:szCs w:val="21"/>
          <w:shd w:val="clear" w:color="auto" w:fill="ffffff"/>
        </w:rPr>
        <w:t xml:space="preserve">的委托，</w:t>
      </w:r>
      <w:r>
        <w:rPr>
          <w:rStyle w:val="990"/>
          <w:rFonts w:hint="eastAsia"/>
          <w:szCs w:val="21"/>
          <w:shd w:val="clear" w:color="auto" w:fill="ffffff"/>
        </w:rPr>
        <w:t xml:space="preserve">江苏省鼎诚建设工程顾问有限公司</w:t>
      </w:r>
      <w:r>
        <w:rPr>
          <w:rStyle w:val="990"/>
          <w:szCs w:val="21"/>
          <w:shd w:val="clear" w:color="auto" w:fill="ffffff"/>
        </w:rPr>
        <w:t xml:space="preserve">就</w:t>
      </w:r>
      <w:r>
        <w:rPr>
          <w:rStyle w:val="990"/>
          <w:rFonts w:hint="eastAsia"/>
          <w:szCs w:val="21"/>
          <w:u w:val="single"/>
          <w:shd w:val="clear" w:color="auto" w:fill="ffffff"/>
        </w:rPr>
        <w:t xml:space="preserve">2023年宝应县渔政执法装备设施建设项目</w:t>
      </w:r>
      <w:r>
        <w:rPr>
          <w:rStyle w:val="990"/>
          <w:szCs w:val="21"/>
          <w:shd w:val="clear" w:color="auto" w:fill="ffffff"/>
        </w:rPr>
        <w:t xml:space="preserve">(</w:t>
      </w:r>
      <w:r>
        <w:rPr>
          <w:rStyle w:val="990"/>
          <w:rFonts w:hint="eastAsia"/>
          <w:szCs w:val="21"/>
          <w:shd w:val="clear" w:color="auto" w:fill="ffffff"/>
        </w:rPr>
        <w:t xml:space="preserve">JSZC-321023-YZDC-G2024-0014)</w:t>
      </w:r>
      <w:r>
        <w:rPr>
          <w:rStyle w:val="990"/>
          <w:szCs w:val="21"/>
          <w:shd w:val="clear" w:color="auto" w:fill="ffffff"/>
        </w:rPr>
        <w:t xml:space="preserve">项目进行公开招标采购，欢迎符合条件的供应商投标</w:t>
      </w:r>
      <w:r>
        <w:rPr>
          <w:rStyle w:val="990"/>
          <w:rFonts w:hint="eastAsia"/>
          <w:szCs w:val="21"/>
          <w:shd w:val="clear" w:color="auto" w:fill="ffffff"/>
        </w:rPr>
        <w:t xml:space="preserve">。</w:t>
      </w:r>
      <w:r/>
    </w:p>
    <w:p>
      <w:pPr>
        <w:pStyle w:val="1110"/>
        <w:ind w:firstLine="422"/>
        <w:jc w:val="both"/>
        <w:spacing w:before="0" w:beforeAutospacing="0" w:after="0" w:afterAutospacing="0" w:line="400" w:lineRule="exact"/>
        <w:shd w:val="clear" w:color="auto" w:fill="ffffff"/>
        <w:rPr>
          <w:rFonts w:ascii="Calibri" w:hAnsi="Calibri"/>
          <w:sz w:val="21"/>
          <w:szCs w:val="21"/>
        </w:rPr>
        <w:pBdr>
          <w:top w:val="single" w:color="000000" w:sz="8" w:space="0"/>
          <w:left w:val="single" w:color="000000" w:sz="8" w:space="0"/>
          <w:right w:val="single" w:color="000000" w:sz="8" w:space="0"/>
        </w:pBdr>
      </w:pPr>
      <w:r>
        <w:rPr>
          <w:rStyle w:val="990"/>
          <w:rFonts w:ascii="Calibri" w:hAnsi="Calibri"/>
          <w:b/>
          <w:bCs/>
          <w:sz w:val="21"/>
          <w:szCs w:val="21"/>
        </w:rPr>
        <w:t xml:space="preserve">项目概况</w:t>
      </w:r>
      <w:r/>
    </w:p>
    <w:p>
      <w:pPr>
        <w:pStyle w:val="1110"/>
        <w:ind w:firstLine="420"/>
        <w:jc w:val="both"/>
        <w:spacing w:before="0" w:beforeAutospacing="0" w:after="0" w:afterAutospacing="0" w:line="400" w:lineRule="exact"/>
        <w:shd w:val="clear" w:color="auto" w:fill="ffffff"/>
        <w:rPr>
          <w:rStyle w:val="990"/>
          <w:rFonts w:ascii="Calibri" w:hAnsi="Calibri"/>
          <w:sz w:val="21"/>
          <w:szCs w:val="21"/>
        </w:rPr>
        <w:pBdr>
          <w:left w:val="single" w:color="000000" w:sz="8" w:space="0"/>
          <w:bottom w:val="single" w:color="000000" w:sz="8" w:space="0"/>
          <w:right w:val="single" w:color="000000" w:sz="8" w:space="0"/>
        </w:pBdr>
      </w:pPr>
      <w:r>
        <w:rPr>
          <w:rStyle w:val="990"/>
          <w:rFonts w:hint="eastAsia" w:ascii="Calibri" w:hAnsi="Calibri" w:cs="Times New Roman"/>
          <w:sz w:val="21"/>
          <w:szCs w:val="21"/>
          <w:u w:val="single"/>
        </w:rPr>
        <w:t xml:space="preserve">2023年宝应县渔政执法装备设施建设项目</w:t>
      </w:r>
      <w:r>
        <w:rPr>
          <w:rStyle w:val="990"/>
          <w:rFonts w:ascii="Calibri" w:hAnsi="Calibri"/>
          <w:sz w:val="21"/>
          <w:szCs w:val="21"/>
        </w:rPr>
        <w:t xml:space="preserve">的潜在投标人可在</w:t>
      </w:r>
      <w:r>
        <w:rPr>
          <w:rStyle w:val="990"/>
          <w:rFonts w:ascii="Calibri" w:hAnsi="Calibri"/>
          <w:sz w:val="21"/>
          <w:szCs w:val="21"/>
          <w:u w:val="single"/>
        </w:rPr>
        <w:t xml:space="preserve"> “江苏省政府采购网”</w:t>
      </w:r>
      <w:r>
        <w:rPr>
          <w:rStyle w:val="990"/>
          <w:rFonts w:hint="eastAsia" w:ascii="Calibri" w:hAnsi="Calibri"/>
          <w:sz w:val="21"/>
          <w:szCs w:val="21"/>
          <w:u w:val="single"/>
        </w:rPr>
        <w:t xml:space="preserve">、 </w:t>
      </w:r>
      <w:r>
        <w:rPr>
          <w:rStyle w:val="990"/>
          <w:rFonts w:ascii="Calibri" w:hAnsi="Calibri"/>
          <w:sz w:val="21"/>
          <w:szCs w:val="21"/>
          <w:u w:val="single"/>
        </w:rPr>
        <w:t xml:space="preserve">“扬州市政府采购网”</w:t>
      </w:r>
      <w:r>
        <w:rPr>
          <w:rStyle w:val="990"/>
          <w:rFonts w:ascii="Calibri" w:hAnsi="Calibri"/>
          <w:sz w:val="21"/>
          <w:szCs w:val="21"/>
        </w:rPr>
        <w:t xml:space="preserve">自行下载招标文件，并于</w:t>
      </w:r>
      <w:r>
        <w:rPr>
          <w:rStyle w:val="990"/>
          <w:rFonts w:ascii="Calibri" w:hAnsi="Calibri"/>
          <w:sz w:val="21"/>
          <w:szCs w:val="21"/>
          <w:u w:val="single"/>
        </w:rPr>
        <w:t xml:space="preserve">20</w:t>
      </w:r>
      <w:r>
        <w:rPr>
          <w:rStyle w:val="990"/>
          <w:rFonts w:hint="eastAsia" w:ascii="Calibri" w:hAnsi="Calibri"/>
          <w:sz w:val="21"/>
          <w:szCs w:val="21"/>
          <w:u w:val="single"/>
        </w:rPr>
        <w:t xml:space="preserve">24</w:t>
      </w:r>
      <w:r>
        <w:rPr>
          <w:rStyle w:val="990"/>
          <w:rFonts w:ascii="Calibri" w:hAnsi="Calibri"/>
          <w:sz w:val="21"/>
          <w:szCs w:val="21"/>
          <w:u w:val="single"/>
        </w:rPr>
        <w:t xml:space="preserve">年</w:t>
      </w:r>
      <w:r>
        <w:rPr>
          <w:rStyle w:val="990"/>
          <w:rFonts w:hint="eastAsia" w:ascii="Calibri" w:hAnsi="Calibri"/>
          <w:sz w:val="21"/>
          <w:szCs w:val="21"/>
          <w:u w:val="single"/>
        </w:rPr>
        <w:t xml:space="preserve">10</w:t>
      </w:r>
      <w:r>
        <w:rPr>
          <w:rStyle w:val="990"/>
          <w:rFonts w:ascii="Calibri" w:hAnsi="Calibri"/>
          <w:sz w:val="21"/>
          <w:szCs w:val="21"/>
          <w:u w:val="single"/>
        </w:rPr>
        <w:t xml:space="preserve">月</w:t>
      </w:r>
      <w:r>
        <w:rPr>
          <w:rStyle w:val="990"/>
          <w:rFonts w:hint="eastAsia" w:ascii="Calibri" w:hAnsi="Calibri"/>
          <w:sz w:val="21"/>
          <w:szCs w:val="21"/>
          <w:u w:val="single"/>
        </w:rPr>
        <w:t xml:space="preserve">22</w:t>
      </w:r>
      <w:r>
        <w:rPr>
          <w:rStyle w:val="990"/>
          <w:rFonts w:ascii="Calibri" w:hAnsi="Calibri"/>
          <w:sz w:val="21"/>
          <w:szCs w:val="21"/>
          <w:u w:val="single"/>
        </w:rPr>
        <w:t xml:space="preserve">日</w:t>
      </w:r>
      <w:r>
        <w:rPr>
          <w:rStyle w:val="990"/>
          <w:rFonts w:hint="eastAsia" w:ascii="Calibri" w:hAnsi="Calibri"/>
          <w:sz w:val="21"/>
          <w:szCs w:val="21"/>
          <w:u w:val="single"/>
        </w:rPr>
        <w:t xml:space="preserve">9</w:t>
      </w:r>
      <w:r>
        <w:rPr>
          <w:rStyle w:val="990"/>
          <w:rFonts w:ascii="Calibri" w:hAnsi="Calibri"/>
          <w:sz w:val="21"/>
          <w:szCs w:val="21"/>
          <w:u w:val="single"/>
        </w:rPr>
        <w:t xml:space="preserve">点</w:t>
      </w:r>
      <w:r>
        <w:rPr>
          <w:rStyle w:val="990"/>
          <w:rFonts w:hint="eastAsia" w:ascii="Calibri" w:hAnsi="Calibri"/>
          <w:sz w:val="21"/>
          <w:szCs w:val="21"/>
          <w:u w:val="single"/>
        </w:rPr>
        <w:t xml:space="preserve">00</w:t>
      </w:r>
      <w:r>
        <w:rPr>
          <w:rStyle w:val="990"/>
          <w:rFonts w:ascii="Calibri" w:hAnsi="Calibri"/>
          <w:sz w:val="21"/>
          <w:szCs w:val="21"/>
          <w:u w:val="single"/>
        </w:rPr>
        <w:t xml:space="preserve">分（</w:t>
      </w:r>
      <w:r>
        <w:rPr>
          <w:rStyle w:val="990"/>
          <w:rFonts w:ascii="Calibri" w:hAnsi="Calibri"/>
          <w:sz w:val="21"/>
          <w:szCs w:val="21"/>
        </w:rPr>
        <w:t xml:space="preserve">北京时间）前递交投标文件。</w:t>
      </w:r>
      <w:r/>
    </w:p>
    <w:p>
      <w:pPr>
        <w:jc w:val="left"/>
        <w:spacing w:before="100" w:beforeAutospacing="1" w:after="100" w:afterAutospacing="1" w:line="400" w:lineRule="exact"/>
        <w:widowControl/>
        <w:rPr>
          <w:rFonts w:ascii="宋体" w:cs="宋体"/>
          <w:b/>
          <w:szCs w:val="21"/>
        </w:rPr>
      </w:pPr>
      <w:r>
        <w:rPr>
          <w:rFonts w:hint="eastAsia" w:ascii="宋体" w:hAnsi="宋体" w:cs="宋体"/>
          <w:b/>
          <w:szCs w:val="21"/>
        </w:rPr>
        <w:t xml:space="preserve">一、项目基本情况：</w:t>
      </w:r>
      <w:r/>
    </w:p>
    <w:p>
      <w:pPr>
        <w:ind w:firstLine="420"/>
        <w:spacing w:line="400" w:lineRule="exact"/>
        <w:rPr>
          <w:rFonts w:hAnsi="宋体"/>
          <w:szCs w:val="21"/>
        </w:rPr>
      </w:pPr>
      <w:r>
        <w:rPr>
          <w:rFonts w:hint="eastAsia" w:hAnsi="宋体"/>
          <w:szCs w:val="21"/>
        </w:rPr>
        <w:t xml:space="preserve">1.项目编号：JSZC-321023-YZDC-G2024-0014  </w:t>
      </w:r>
      <w:r/>
    </w:p>
    <w:p>
      <w:pPr>
        <w:ind w:firstLine="420"/>
        <w:spacing w:line="400" w:lineRule="exact"/>
        <w:rPr>
          <w:rFonts w:hAnsi="宋体"/>
          <w:szCs w:val="21"/>
        </w:rPr>
      </w:pPr>
      <w:r>
        <w:rPr>
          <w:rFonts w:hint="eastAsia" w:hAnsi="宋体"/>
          <w:szCs w:val="21"/>
        </w:rPr>
        <w:t xml:space="preserve">2.项目名称：2023年宝应县渔政执法装备设施建设项目 </w:t>
      </w:r>
      <w:r/>
    </w:p>
    <w:p>
      <w:pPr>
        <w:ind w:firstLine="420"/>
        <w:spacing w:line="400" w:lineRule="exact"/>
        <w:rPr>
          <w:rFonts w:hAnsi="宋体"/>
          <w:szCs w:val="21"/>
        </w:rPr>
      </w:pPr>
      <w:r>
        <w:rPr>
          <w:rFonts w:hint="eastAsia" w:hAnsi="宋体"/>
          <w:szCs w:val="21"/>
        </w:rPr>
        <w:t xml:space="preserve">3.预算金额：84.5万元 </w:t>
      </w:r>
      <w:r/>
    </w:p>
    <w:p>
      <w:pPr>
        <w:ind w:firstLine="420"/>
        <w:spacing w:line="400" w:lineRule="exact"/>
        <w:rPr>
          <w:rFonts w:hAnsi="宋体"/>
          <w:szCs w:val="21"/>
        </w:rPr>
      </w:pPr>
      <w:r>
        <w:rPr>
          <w:rFonts w:hint="eastAsia" w:hAnsi="宋体"/>
          <w:szCs w:val="21"/>
        </w:rPr>
        <w:t xml:space="preserve">4.最高限价：84.5万元 </w:t>
      </w:r>
      <w:r/>
    </w:p>
    <w:p>
      <w:pPr>
        <w:ind w:firstLine="420"/>
        <w:spacing w:line="400" w:lineRule="exact"/>
        <w:rPr>
          <w:rFonts w:hAnsi="宋体"/>
          <w:i/>
          <w:szCs w:val="21"/>
          <w:u w:val="single"/>
        </w:rPr>
      </w:pPr>
      <w:r>
        <w:rPr>
          <w:rFonts w:hint="eastAsia" w:hAnsi="宋体"/>
          <w:szCs w:val="21"/>
        </w:rPr>
        <w:t xml:space="preserve">5.采购需求：</w:t>
      </w:r>
      <w:r>
        <w:rPr>
          <w:rFonts w:hint="eastAsia" w:hAnsi="宋体"/>
          <w:i/>
          <w:szCs w:val="21"/>
          <w:u w:val="single"/>
        </w:rPr>
        <w:t xml:space="preserve">详细内容见本招标文件第四章。</w:t>
      </w:r>
      <w:r/>
    </w:p>
    <w:p>
      <w:pPr>
        <w:ind w:firstLine="420"/>
        <w:spacing w:line="400" w:lineRule="exact"/>
        <w:rPr>
          <w:rFonts w:hAnsi="宋体"/>
          <w:szCs w:val="21"/>
        </w:rPr>
      </w:pPr>
      <w:r>
        <w:rPr>
          <w:rFonts w:hint="eastAsia" w:hAnsi="宋体"/>
          <w:szCs w:val="21"/>
        </w:rPr>
        <w:t xml:space="preserve">6.合同履行期限：合同签订后90天内施工安装调试到位。</w:t>
      </w:r>
      <w:r/>
    </w:p>
    <w:p>
      <w:pPr>
        <w:jc w:val="left"/>
        <w:spacing w:before="100" w:beforeAutospacing="1" w:after="100" w:afterAutospacing="1" w:line="400" w:lineRule="exact"/>
        <w:widowControl/>
        <w:rPr>
          <w:rFonts w:ascii="宋体" w:hAnsi="宋体" w:cs="宋体"/>
          <w:b/>
          <w:szCs w:val="21"/>
        </w:rPr>
      </w:pPr>
      <w:r>
        <w:rPr>
          <w:rFonts w:hint="eastAsia" w:ascii="宋体" w:hAnsi="宋体" w:cs="宋体"/>
          <w:b/>
          <w:szCs w:val="21"/>
        </w:rPr>
        <w:t xml:space="preserve">二、申请人的资格要求：</w:t>
      </w:r>
      <w:r/>
    </w:p>
    <w:p>
      <w:pPr>
        <w:ind w:firstLine="210"/>
        <w:spacing w:line="400" w:lineRule="exact"/>
        <w:rPr>
          <w:rFonts w:hAnsi="宋体"/>
          <w:szCs w:val="21"/>
        </w:rPr>
      </w:pPr>
      <w:r>
        <w:rPr>
          <w:rFonts w:hint="eastAsia" w:hAnsi="宋体"/>
          <w:szCs w:val="21"/>
        </w:rPr>
        <w:t xml:space="preserve">（一）通用资格要求</w:t>
      </w:r>
      <w:r/>
    </w:p>
    <w:p>
      <w:pPr>
        <w:ind w:firstLine="210"/>
        <w:spacing w:line="400" w:lineRule="exact"/>
        <w:rPr>
          <w:rFonts w:hAnsi="宋体"/>
          <w:szCs w:val="21"/>
        </w:rPr>
      </w:pPr>
      <w:r>
        <w:rPr>
          <w:rFonts w:hint="eastAsia" w:hAnsi="宋体"/>
          <w:szCs w:val="21"/>
        </w:rPr>
        <w:t xml:space="preserve">1.满足《中华人民共和国政府采购法》第二十二条规定，并提供下列材料：</w:t>
      </w:r>
      <w:r/>
    </w:p>
    <w:p>
      <w:pPr>
        <w:ind w:firstLine="420"/>
        <w:spacing w:line="360" w:lineRule="auto"/>
        <w:rPr>
          <w:rFonts w:ascii="宋体" w:hAnsi="宋体" w:cs="宋体"/>
          <w:i/>
          <w:szCs w:val="21"/>
          <w:u w:val="single"/>
        </w:rPr>
      </w:pPr>
      <w:r/>
      <w:bookmarkStart w:id="1" w:name="_Toc35393623"/>
      <w:r/>
      <w:bookmarkStart w:id="2" w:name="_Toc35393792"/>
      <w:r>
        <w:rPr>
          <w:rFonts w:hint="eastAsia" w:ascii="宋体" w:hAnsi="宋体" w:cs="宋体"/>
          <w:i/>
          <w:szCs w:val="21"/>
          <w:u w:val="single"/>
        </w:rPr>
        <w:t xml:space="preserve">1.1 法人或者其他组织的营业执照等证明文件，自然人的身份证明；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1.2上一年度的财务状况报告（成立不满一年无需提供）；</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1.4具备履行合同所必需的设备和专业技术能力的书面声明；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1.5参加政府采购活动前3年内在经营活动中没有重大违法记录的书面声明；</w:t>
      </w:r>
      <w:r/>
    </w:p>
    <w:p>
      <w:pPr>
        <w:ind w:firstLine="420"/>
        <w:spacing w:line="360" w:lineRule="auto"/>
        <w:rPr>
          <w:rFonts w:ascii="宋体" w:hAnsi="宋体" w:cs="宋体"/>
          <w:i/>
          <w:szCs w:val="21"/>
          <w:u w:val="single"/>
        </w:rPr>
      </w:pPr>
      <w:r>
        <w:rPr>
          <w:rFonts w:hint="eastAsia" w:ascii="宋体" w:hAnsi="宋体" w:cs="宋体"/>
          <w:i/>
          <w:szCs w:val="21"/>
          <w:u w:val="single"/>
        </w:rPr>
        <w:t xml:space="preserve">1.6供应商信用承诺函；</w:t>
      </w:r>
      <w:r/>
    </w:p>
    <w:p>
      <w:pPr>
        <w:ind w:firstLine="420"/>
        <w:spacing w:line="360" w:lineRule="auto"/>
        <w:rPr>
          <w:rFonts w:ascii="宋体" w:hAnsi="宋体" w:cs="宋体"/>
          <w:b/>
          <w:bCs/>
          <w:i/>
          <w:iCs/>
          <w:szCs w:val="21"/>
          <w:u w:val="single"/>
        </w:rPr>
      </w:pPr>
      <w:r>
        <w:rPr>
          <w:rFonts w:hint="eastAsia" w:ascii="宋体" w:hAnsi="宋体" w:cs="宋体"/>
          <w:i/>
          <w:szCs w:val="21"/>
          <w:u w:val="singl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210"/>
        <w:spacing w:line="360" w:lineRule="auto"/>
        <w:rPr>
          <w:rFonts w:ascii="宋体" w:hAnsi="宋体" w:cs="宋体"/>
          <w:i/>
          <w:iCs/>
          <w:szCs w:val="21"/>
          <w:u w:val="single"/>
        </w:rPr>
      </w:pPr>
      <w:r>
        <w:rPr>
          <w:rFonts w:hint="eastAsia" w:ascii="宋体" w:hAnsi="宋体" w:cs="宋体"/>
          <w:szCs w:val="21"/>
        </w:rPr>
        <w:t xml:space="preserve">3.落实政府采购政策需满足的资格要求：</w:t>
      </w:r>
      <w:r>
        <w:rPr>
          <w:rFonts w:hint="eastAsia" w:ascii="宋体" w:hAnsi="宋体" w:cs="宋体"/>
          <w:i/>
          <w:iCs/>
          <w:szCs w:val="21"/>
          <w:u w:val="single"/>
        </w:rPr>
        <w:t xml:space="preserve">/</w:t>
      </w:r>
      <w:r/>
    </w:p>
    <w:p>
      <w:pPr>
        <w:ind w:firstLine="210"/>
        <w:spacing w:line="360" w:lineRule="auto"/>
        <w:rPr>
          <w:rFonts w:ascii="宋体" w:hAnsi="宋体" w:cs="宋体"/>
          <w:szCs w:val="21"/>
        </w:rPr>
      </w:pPr>
      <w:r>
        <w:rPr>
          <w:rFonts w:hint="eastAsia" w:ascii="宋体" w:hAnsi="宋体" w:cs="宋体"/>
          <w:szCs w:val="21"/>
        </w:rPr>
        <w:t xml:space="preserve">4.本项目不接受联合体参与投标。</w:t>
      </w:r>
      <w:r/>
    </w:p>
    <w:p>
      <w:pPr>
        <w:ind w:firstLine="210"/>
        <w:spacing w:line="360" w:lineRule="auto"/>
        <w:rPr>
          <w:rFonts w:ascii="宋体" w:hAnsi="宋体" w:cs="宋体"/>
          <w:szCs w:val="21"/>
        </w:rPr>
      </w:pPr>
      <w:r>
        <w:rPr>
          <w:rFonts w:hint="eastAsia" w:ascii="宋体" w:hAnsi="宋体" w:cs="宋体"/>
          <w:szCs w:val="21"/>
        </w:rPr>
        <w:t xml:space="preserve">5.本项目不接受进口产品参与投标。</w:t>
      </w:r>
      <w:r/>
    </w:p>
    <w:p>
      <w:pPr>
        <w:ind w:firstLine="210"/>
        <w:spacing w:line="400" w:lineRule="exact"/>
        <w:rPr>
          <w:rFonts w:hAnsi="宋体"/>
          <w:szCs w:val="21"/>
        </w:rPr>
      </w:pPr>
      <w:r>
        <w:rPr>
          <w:rFonts w:hint="eastAsia" w:hAnsi="宋体"/>
          <w:szCs w:val="21"/>
        </w:rPr>
        <w:t xml:space="preserve">（二）本项目的特定资格要求：</w:t>
      </w:r>
      <w:r/>
    </w:p>
    <w:p>
      <w:pPr>
        <w:pStyle w:val="1110"/>
        <w:ind w:firstLine="210"/>
        <w:spacing w:line="400" w:lineRule="exact"/>
        <w:shd w:val="clear" w:color="auto" w:fill="ffffff"/>
        <w:rPr>
          <w:i/>
          <w:iCs/>
          <w:szCs w:val="21"/>
          <w:u w:val="single"/>
        </w:rPr>
      </w:pPr>
      <w:r>
        <w:rPr>
          <w:rStyle w:val="990"/>
          <w:rFonts w:hint="eastAsia" w:ascii="Calibri" w:hAnsi="Calibri"/>
          <w:sz w:val="21"/>
          <w:szCs w:val="21"/>
        </w:rPr>
        <w:t xml:space="preserve">1</w:t>
      </w:r>
      <w:r>
        <w:rPr>
          <w:rStyle w:val="990"/>
          <w:rFonts w:ascii="Calibri" w:hAnsi="Calibri"/>
          <w:sz w:val="21"/>
          <w:szCs w:val="21"/>
        </w:rPr>
        <w:t xml:space="preserve">.本项目的特定资格要求：</w:t>
      </w:r>
      <w:r>
        <w:rPr>
          <w:rFonts w:hint="eastAsia"/>
          <w:i/>
          <w:iCs/>
          <w:sz w:val="21"/>
          <w:szCs w:val="22"/>
          <w:u w:val="single"/>
        </w:rPr>
        <w:t xml:space="preserve">/</w:t>
      </w:r>
      <w:r/>
    </w:p>
    <w:p>
      <w:pPr>
        <w:jc w:val="left"/>
        <w:spacing w:before="100" w:beforeAutospacing="1" w:after="100" w:afterAutospacing="1" w:line="400" w:lineRule="exact"/>
        <w:widowControl/>
        <w:rPr>
          <w:rFonts w:ascii="宋体" w:hAnsi="宋体" w:cs="宋体"/>
          <w:b/>
          <w:szCs w:val="21"/>
        </w:rPr>
      </w:pPr>
      <w:r>
        <w:rPr>
          <w:rFonts w:hint="eastAsia" w:ascii="宋体" w:hAnsi="宋体" w:cs="宋体"/>
          <w:b/>
          <w:szCs w:val="21"/>
        </w:rPr>
        <w:t xml:space="preserve">三、获取招标文件</w:t>
      </w:r>
      <w:bookmarkEnd w:id="1"/>
      <w:r/>
      <w:bookmarkEnd w:id="2"/>
      <w:r>
        <w:rPr>
          <w:rFonts w:hint="eastAsia" w:ascii="宋体" w:hAnsi="宋体" w:cs="宋体"/>
          <w:b/>
          <w:szCs w:val="21"/>
        </w:rPr>
        <w:t xml:space="preserve">：</w:t>
      </w:r>
      <w:r/>
    </w:p>
    <w:p>
      <w:pPr>
        <w:ind w:firstLine="210"/>
        <w:spacing w:line="360" w:lineRule="auto"/>
        <w:rPr>
          <w:rFonts w:ascii="宋体" w:hAnsi="宋体" w:cs="宋体"/>
          <w:szCs w:val="21"/>
        </w:rPr>
      </w:pPr>
      <w:r>
        <w:rPr>
          <w:rFonts w:hint="eastAsia" w:ascii="宋体" w:hAnsi="宋体" w:cs="宋体"/>
          <w:szCs w:val="21"/>
        </w:rPr>
        <w:t xml:space="preserve">1.时间：自招标文件公告发布之日起5个工作日。</w:t>
      </w:r>
      <w:r/>
    </w:p>
    <w:p>
      <w:pPr>
        <w:ind w:firstLine="210"/>
        <w:spacing w:line="360" w:lineRule="auto"/>
        <w:rPr>
          <w:rFonts w:ascii="宋体" w:hAnsi="宋体" w:cs="宋体"/>
          <w:szCs w:val="21"/>
        </w:rPr>
      </w:pPr>
      <w:r>
        <w:rPr>
          <w:rFonts w:hint="eastAsia" w:ascii="宋体" w:hAnsi="宋体" w:cs="宋体"/>
          <w:szCs w:val="21"/>
        </w:rPr>
        <w:t xml:space="preserve">2.方式：在“江苏政府采购网、扬州市政府采购网”自行免费下载招标文件。</w:t>
      </w:r>
      <w:r/>
    </w:p>
    <w:p>
      <w:pPr>
        <w:jc w:val="left"/>
        <w:spacing w:before="100" w:beforeAutospacing="1" w:after="100" w:afterAutospacing="1" w:line="400" w:lineRule="exact"/>
        <w:widowControl/>
        <w:rPr>
          <w:rFonts w:ascii="宋体" w:hAnsi="宋体" w:cs="宋体"/>
          <w:b/>
          <w:szCs w:val="21"/>
        </w:rPr>
      </w:pPr>
      <w:r>
        <w:rPr>
          <w:rFonts w:hint="eastAsia" w:ascii="宋体" w:hAnsi="宋体" w:cs="宋体"/>
          <w:b/>
          <w:szCs w:val="21"/>
        </w:rPr>
        <w:t xml:space="preserve">四、提交投标文件截止时间、开标时间和地点：</w:t>
      </w:r>
      <w:r/>
    </w:p>
    <w:p>
      <w:pPr>
        <w:ind w:firstLine="210"/>
        <w:spacing w:line="360" w:lineRule="auto"/>
        <w:rPr>
          <w:rFonts w:ascii="宋体" w:hAnsi="宋体" w:cs="宋体"/>
          <w:szCs w:val="21"/>
        </w:rPr>
      </w:pPr>
      <w:r/>
      <w:bookmarkStart w:id="3" w:name="_Toc28359084"/>
      <w:r/>
      <w:bookmarkStart w:id="4" w:name="_Toc35393794"/>
      <w:r/>
      <w:bookmarkStart w:id="5" w:name="_Toc28359007"/>
      <w:r/>
      <w:bookmarkStart w:id="6" w:name="_Toc35393625"/>
      <w:r>
        <w:rPr>
          <w:rFonts w:hint="eastAsia" w:ascii="宋体" w:hAnsi="宋体" w:cs="宋体"/>
          <w:szCs w:val="21"/>
        </w:rPr>
        <w:t xml:space="preserve">1. 2024年10月22日 9点00分（北京时间）</w:t>
      </w:r>
      <w:r/>
    </w:p>
    <w:p>
      <w:pPr>
        <w:ind w:firstLine="210"/>
        <w:spacing w:line="360" w:lineRule="auto"/>
        <w:rPr>
          <w:rFonts w:ascii="宋体" w:hAnsi="宋体" w:cs="宋体"/>
          <w:szCs w:val="21"/>
        </w:rPr>
      </w:pPr>
      <w:r>
        <w:rPr>
          <w:rFonts w:hint="eastAsia" w:ascii="宋体" w:hAnsi="宋体" w:cs="宋体"/>
          <w:szCs w:val="21"/>
        </w:rPr>
        <w:t xml:space="preserve">2.地点：“苏采云”政府采购交易系统网上开标大厅。</w:t>
      </w:r>
      <w:r/>
    </w:p>
    <w:p>
      <w:pPr>
        <w:pStyle w:val="868"/>
        <w:spacing w:line="400" w:lineRule="exact"/>
        <w:rPr>
          <w:rFonts w:ascii="宋体" w:hAnsi="宋体" w:cs="宋体"/>
          <w:bCs w:val="0"/>
          <w:sz w:val="21"/>
          <w:szCs w:val="21"/>
        </w:rPr>
      </w:pPr>
      <w:r>
        <w:rPr>
          <w:rFonts w:hint="eastAsia" w:ascii="宋体" w:hAnsi="宋体" w:cs="宋体"/>
          <w:bCs w:val="0"/>
          <w:sz w:val="21"/>
          <w:szCs w:val="21"/>
        </w:rPr>
        <w:t xml:space="preserve">五、公告期限</w:t>
      </w:r>
      <w:bookmarkEnd w:id="3"/>
      <w:r/>
      <w:bookmarkEnd w:id="4"/>
      <w:r/>
      <w:bookmarkEnd w:id="5"/>
      <w:r/>
      <w:bookmarkEnd w:id="6"/>
      <w:r>
        <w:rPr>
          <w:rFonts w:hint="eastAsia" w:ascii="宋体" w:hAnsi="宋体" w:cs="宋体"/>
          <w:bCs w:val="0"/>
          <w:sz w:val="21"/>
          <w:szCs w:val="21"/>
        </w:rPr>
        <w:t xml:space="preserve">：</w:t>
      </w:r>
      <w:r/>
    </w:p>
    <w:p>
      <w:pPr>
        <w:ind w:firstLine="420"/>
        <w:spacing w:line="400" w:lineRule="exact"/>
        <w:rPr>
          <w:rFonts w:hAnsi="宋体"/>
          <w:szCs w:val="21"/>
        </w:rPr>
      </w:pPr>
      <w:r>
        <w:rPr>
          <w:rFonts w:hint="eastAsia" w:hAnsi="宋体"/>
          <w:szCs w:val="21"/>
        </w:rPr>
        <w:t xml:space="preserve">招标公告及招标文件公告期限为自本公告发布之日起5个工作日。</w:t>
      </w:r>
      <w:r/>
    </w:p>
    <w:p>
      <w:pPr>
        <w:pStyle w:val="868"/>
        <w:spacing w:line="400" w:lineRule="exact"/>
        <w:rPr>
          <w:rFonts w:ascii="宋体" w:hAnsi="宋体" w:cs="宋体"/>
          <w:bCs w:val="0"/>
          <w:sz w:val="21"/>
          <w:szCs w:val="21"/>
        </w:rPr>
      </w:pPr>
      <w:r>
        <w:rPr>
          <w:rFonts w:hint="eastAsia" w:ascii="宋体" w:hAnsi="宋体" w:cs="宋体"/>
          <w:bCs w:val="0"/>
          <w:sz w:val="21"/>
          <w:szCs w:val="21"/>
        </w:rPr>
        <w:t xml:space="preserve">六、其他补充事宜： </w:t>
      </w:r>
      <w:r/>
    </w:p>
    <w:p>
      <w:pPr>
        <w:ind w:firstLine="420"/>
        <w:spacing w:line="400" w:lineRule="exact"/>
        <w:rPr>
          <w:rFonts w:hAnsi="宋体"/>
          <w:szCs w:val="21"/>
        </w:rPr>
      </w:pPr>
      <w:r>
        <w:rPr>
          <w:rFonts w:hint="eastAsia" w:hAnsi="宋体"/>
          <w:szCs w:val="21"/>
        </w:rPr>
        <w:t xml:space="preserve">无</w:t>
      </w:r>
      <w:r/>
    </w:p>
    <w:p>
      <w:pPr>
        <w:pStyle w:val="868"/>
        <w:spacing w:line="400" w:lineRule="exact"/>
        <w:rPr>
          <w:rFonts w:ascii="宋体" w:hAnsi="宋体" w:cs="宋体"/>
          <w:bCs w:val="0"/>
          <w:sz w:val="21"/>
          <w:szCs w:val="21"/>
        </w:rPr>
      </w:pPr>
      <w:r>
        <w:rPr>
          <w:rFonts w:hint="eastAsia" w:ascii="宋体" w:hAnsi="宋体" w:cs="宋体"/>
          <w:bCs w:val="0"/>
          <w:sz w:val="21"/>
          <w:szCs w:val="21"/>
        </w:rPr>
        <w:t xml:space="preserve">七、对本次招标提出询问，请按以下方式联系：</w:t>
      </w:r>
      <w:r/>
    </w:p>
    <w:p>
      <w:pPr>
        <w:ind w:firstLine="420"/>
        <w:spacing w:line="400" w:lineRule="exact"/>
        <w:rPr>
          <w:rFonts w:hAnsi="宋体"/>
          <w:szCs w:val="21"/>
        </w:rPr>
      </w:pPr>
      <w:r>
        <w:rPr>
          <w:rFonts w:hint="eastAsia" w:hAnsi="宋体"/>
          <w:szCs w:val="21"/>
        </w:rPr>
        <w:t xml:space="preserve">1.采购人信息</w:t>
      </w:r>
      <w:r/>
    </w:p>
    <w:p>
      <w:pPr>
        <w:ind w:firstLine="420"/>
        <w:spacing w:line="400" w:lineRule="exact"/>
        <w:rPr>
          <w:rFonts w:hAnsi="宋体"/>
          <w:szCs w:val="21"/>
        </w:rPr>
      </w:pPr>
      <w:r>
        <w:rPr>
          <w:rFonts w:hint="eastAsia" w:hAnsi="宋体"/>
          <w:szCs w:val="21"/>
        </w:rPr>
        <w:t xml:space="preserve">名 称：宝应县农业综合行政执法大队 </w:t>
      </w:r>
      <w:r/>
    </w:p>
    <w:p>
      <w:pPr>
        <w:ind w:firstLine="420"/>
        <w:spacing w:line="400" w:lineRule="exact"/>
        <w:rPr>
          <w:rFonts w:hAnsi="宋体"/>
          <w:szCs w:val="21"/>
        </w:rPr>
      </w:pPr>
      <w:r>
        <w:rPr>
          <w:rFonts w:hint="eastAsia" w:hAnsi="宋体"/>
          <w:szCs w:val="21"/>
        </w:rPr>
        <w:t xml:space="preserve">地 址：宝应县安民路4号</w:t>
      </w:r>
      <w:r/>
    </w:p>
    <w:p>
      <w:pPr>
        <w:ind w:firstLine="420"/>
        <w:spacing w:line="400" w:lineRule="exact"/>
        <w:rPr>
          <w:rFonts w:hAnsi="宋体"/>
          <w:szCs w:val="21"/>
        </w:rPr>
      </w:pPr>
      <w:r>
        <w:rPr>
          <w:rFonts w:hint="eastAsia" w:hAnsi="宋体"/>
          <w:szCs w:val="21"/>
        </w:rPr>
        <w:t xml:space="preserve">联系人： 陈文琪</w:t>
      </w:r>
      <w:r/>
    </w:p>
    <w:p>
      <w:pPr>
        <w:ind w:firstLine="420"/>
        <w:spacing w:line="400" w:lineRule="exact"/>
        <w:rPr>
          <w:rFonts w:hAnsi="宋体"/>
          <w:szCs w:val="21"/>
        </w:rPr>
      </w:pPr>
      <w:r>
        <w:rPr>
          <w:rFonts w:hint="eastAsia" w:hAnsi="宋体"/>
          <w:szCs w:val="21"/>
        </w:rPr>
        <w:t xml:space="preserve">联系方式： 139212919350</w:t>
      </w:r>
      <w:r/>
    </w:p>
    <w:p>
      <w:pPr>
        <w:ind w:firstLine="420"/>
        <w:spacing w:line="400" w:lineRule="exact"/>
        <w:rPr>
          <w:rFonts w:hAnsi="宋体"/>
          <w:szCs w:val="21"/>
        </w:rPr>
      </w:pPr>
      <w:r>
        <w:rPr>
          <w:rFonts w:hint="eastAsia" w:hAnsi="宋体"/>
          <w:szCs w:val="21"/>
        </w:rPr>
        <w:t xml:space="preserve">2.采购代理机构信息 </w:t>
      </w:r>
      <w:r/>
    </w:p>
    <w:p>
      <w:pPr>
        <w:ind w:firstLine="420"/>
        <w:spacing w:line="400" w:lineRule="exact"/>
        <w:rPr>
          <w:rFonts w:hAnsi="宋体"/>
          <w:szCs w:val="21"/>
        </w:rPr>
      </w:pPr>
      <w:r>
        <w:rPr>
          <w:rFonts w:hint="eastAsia" w:hAnsi="宋体"/>
          <w:szCs w:val="21"/>
        </w:rPr>
        <w:t xml:space="preserve">名 称：江苏省鼎诚建设工程顾问有限公司</w:t>
      </w:r>
      <w:r/>
    </w:p>
    <w:p>
      <w:pPr>
        <w:ind w:firstLine="420"/>
        <w:spacing w:line="400" w:lineRule="exact"/>
        <w:rPr>
          <w:rFonts w:hAnsi="宋体"/>
          <w:szCs w:val="21"/>
        </w:rPr>
      </w:pPr>
      <w:r>
        <w:rPr>
          <w:rFonts w:hint="eastAsia" w:hAnsi="宋体"/>
          <w:szCs w:val="21"/>
        </w:rPr>
        <w:t xml:space="preserve">地 址：宝应县淮江大道8号</w:t>
      </w:r>
      <w:r/>
    </w:p>
    <w:p>
      <w:pPr>
        <w:ind w:firstLine="420"/>
        <w:spacing w:line="400" w:lineRule="exact"/>
        <w:rPr>
          <w:rFonts w:hAnsi="宋体"/>
          <w:szCs w:val="21"/>
        </w:rPr>
      </w:pPr>
      <w:r>
        <w:rPr>
          <w:rFonts w:hint="eastAsia" w:hAnsi="宋体"/>
          <w:szCs w:val="21"/>
        </w:rPr>
        <w:t xml:space="preserve">联系方式：15161857080</w:t>
      </w:r>
      <w:r/>
    </w:p>
    <w:p>
      <w:pPr>
        <w:pStyle w:val="878"/>
      </w:pPr>
      <w:r/>
      <w:r/>
    </w:p>
    <w:p>
      <w:pPr>
        <w:pStyle w:val="868"/>
        <w:spacing w:line="400" w:lineRule="exact"/>
        <w:rPr>
          <w:rFonts w:ascii="宋体" w:hAnsi="宋体" w:cs="宋体"/>
          <w:bCs w:val="0"/>
          <w:sz w:val="21"/>
          <w:szCs w:val="21"/>
        </w:rPr>
      </w:pPr>
      <w:r/>
      <w:bookmarkStart w:id="7" w:name="_Toc498520459"/>
      <w:r>
        <w:rPr>
          <w:rFonts w:hint="eastAsia" w:ascii="宋体" w:hAnsi="宋体" w:cs="宋体"/>
          <w:bCs w:val="0"/>
          <w:sz w:val="21"/>
          <w:szCs w:val="21"/>
        </w:rPr>
        <w:t xml:space="preserve">八、其他</w:t>
      </w:r>
      <w:r/>
    </w:p>
    <w:p>
      <w:pPr>
        <w:ind w:firstLine="422"/>
        <w:spacing w:line="400" w:lineRule="exact"/>
        <w:rPr>
          <w:rFonts w:hAnsi="宋体"/>
          <w:b/>
          <w:szCs w:val="21"/>
        </w:rPr>
      </w:pPr>
      <w:r>
        <w:rPr>
          <w:rFonts w:hAnsi="宋体"/>
          <w:b/>
          <w:szCs w:val="21"/>
        </w:rPr>
        <w:t xml:space="preserve">1. 根据省财政厅《关于更换全省政府采购交易系统CA数字证书和电</w:t>
      </w:r>
      <w:r>
        <w:rPr>
          <w:rFonts w:hAnsi="宋体"/>
          <w:b/>
          <w:szCs w:val="21"/>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ind w:firstLine="420"/>
        <w:spacing w:line="400" w:lineRule="exact"/>
        <w:rPr>
          <w:rFonts w:hAnsi="宋体"/>
          <w:szCs w:val="21"/>
        </w:rPr>
      </w:pPr>
      <w:r>
        <w:rPr>
          <w:rFonts w:hAnsi="宋体"/>
          <w:szCs w:val="21"/>
        </w:rPr>
        <w:t xml:space="preserve">领取CA和办理电子签章（请至扬州市文昌东路9号广陵新城市民中心1号楼5楼办理，具体联系方式：18952716110）。</w:t>
      </w:r>
      <w:r/>
    </w:p>
    <w:p>
      <w:pPr>
        <w:ind w:firstLine="420"/>
        <w:spacing w:line="400" w:lineRule="exact"/>
        <w:rPr>
          <w:rFonts w:hAnsi="宋体"/>
          <w:szCs w:val="21"/>
        </w:rPr>
      </w:pPr>
      <w:r>
        <w:rPr>
          <w:rFonts w:hint="eastAsia" w:hAnsi="宋体"/>
          <w:szCs w:val="21"/>
        </w:rPr>
        <w:t xml:space="preserve">2. 有关本次招标的事项若存在变动或修改，敬请及时关注代理机构在“江苏政府采购网”、“扬州市政府采购网”发布的更正公告。</w:t>
      </w:r>
      <w:r/>
    </w:p>
    <w:p>
      <w:pPr>
        <w:ind w:firstLine="420"/>
        <w:spacing w:line="400" w:lineRule="exact"/>
        <w:rPr>
          <w:rFonts w:ascii="宋体" w:hAnsi="宋体"/>
          <w:sz w:val="24"/>
        </w:rPr>
      </w:pPr>
      <w:r>
        <w:rPr>
          <w:rFonts w:hint="eastAsia" w:hAnsi="宋体"/>
          <w:szCs w:val="21"/>
        </w:rPr>
        <w:t xml:space="preserve">3. 本次招标不收取投标保证金。</w:t>
      </w:r>
      <w:r/>
    </w:p>
    <w:p>
      <w:pPr>
        <w:pStyle w:val="867"/>
        <w:jc w:val="center"/>
        <w:spacing w:line="400" w:lineRule="exact"/>
        <w:rPr>
          <w:rFonts w:ascii="宋体" w:hAnsi="宋体"/>
          <w:sz w:val="36"/>
        </w:rPr>
      </w:pPr>
      <w:r>
        <w:rPr>
          <w:rFonts w:hint="eastAsia" w:ascii="宋体" w:hAnsi="宋体"/>
          <w:sz w:val="36"/>
        </w:rPr>
        <w:br w:type="page" w:clear="all"/>
      </w:r>
      <w:r>
        <w:rPr>
          <w:rFonts w:hint="eastAsia" w:ascii="宋体" w:hAnsi="宋体"/>
          <w:sz w:val="36"/>
        </w:rPr>
        <w:t xml:space="preserve">第二章 投标人须知</w:t>
      </w:r>
      <w:bookmarkEnd w:id="7"/>
      <w:r/>
      <w:r/>
    </w:p>
    <w:p>
      <w:pPr>
        <w:pStyle w:val="1189"/>
        <w:ind w:firstLine="498"/>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一、总则</w:t>
      </w:r>
      <w:r/>
    </w:p>
    <w:p>
      <w:pPr>
        <w:ind w:firstLine="420"/>
        <w:spacing w:line="400" w:lineRule="exact"/>
        <w:rPr>
          <w:rFonts w:hAnsi="宋体"/>
          <w:szCs w:val="21"/>
        </w:rPr>
      </w:pPr>
      <w:r>
        <w:rPr>
          <w:rFonts w:hint="eastAsia" w:hAnsi="宋体"/>
          <w:szCs w:val="21"/>
        </w:rPr>
        <w:t xml:space="preserve">1、招标方式</w:t>
      </w:r>
      <w:r/>
    </w:p>
    <w:p>
      <w:pPr>
        <w:ind w:firstLine="420"/>
        <w:spacing w:line="400" w:lineRule="exact"/>
        <w:rPr>
          <w:rFonts w:hAnsi="宋体"/>
          <w:szCs w:val="21"/>
        </w:rPr>
      </w:pPr>
      <w:r>
        <w:rPr>
          <w:rFonts w:hint="eastAsia" w:hAnsi="宋体"/>
          <w:szCs w:val="21"/>
        </w:rPr>
        <w:t xml:space="preserve">1.1 本次招标采取公开招标方式，本招标文件仅适用于招标公告中所述项目。</w:t>
      </w:r>
      <w:r/>
    </w:p>
    <w:p>
      <w:pPr>
        <w:ind w:firstLine="420"/>
        <w:spacing w:line="400" w:lineRule="exact"/>
        <w:rPr>
          <w:rFonts w:hAnsi="宋体"/>
          <w:szCs w:val="21"/>
        </w:rPr>
      </w:pPr>
      <w:r>
        <w:rPr>
          <w:rFonts w:hint="eastAsia" w:hAnsi="宋体"/>
          <w:szCs w:val="21"/>
        </w:rPr>
        <w:t xml:space="preserve">2、合格的投标人</w:t>
      </w:r>
      <w:r/>
    </w:p>
    <w:p>
      <w:pPr>
        <w:ind w:firstLine="420"/>
        <w:spacing w:line="400" w:lineRule="exact"/>
        <w:rPr>
          <w:rFonts w:hAnsi="宋体"/>
          <w:szCs w:val="21"/>
        </w:rPr>
      </w:pPr>
      <w:r>
        <w:rPr>
          <w:rFonts w:hint="eastAsia" w:hAnsi="宋体"/>
          <w:szCs w:val="21"/>
        </w:rPr>
        <w:t xml:space="preserve">2.1满足招标公告中供应商的资格要求的规定。</w:t>
      </w:r>
      <w:r/>
    </w:p>
    <w:p>
      <w:pPr>
        <w:ind w:firstLine="420"/>
        <w:spacing w:line="400" w:lineRule="exact"/>
        <w:rPr>
          <w:rFonts w:hAnsi="宋体"/>
          <w:szCs w:val="21"/>
        </w:rPr>
      </w:pPr>
      <w:r>
        <w:rPr>
          <w:rFonts w:hint="eastAsia" w:hAnsi="宋体"/>
          <w:szCs w:val="21"/>
        </w:rPr>
        <w:t xml:space="preserve">2.2 满足本文件实质性要求和条件的规定。</w:t>
      </w:r>
      <w:r/>
    </w:p>
    <w:p>
      <w:pPr>
        <w:ind w:firstLine="420"/>
        <w:spacing w:line="400" w:lineRule="exact"/>
        <w:rPr>
          <w:rFonts w:hAnsi="宋体"/>
          <w:szCs w:val="21"/>
        </w:rPr>
      </w:pPr>
      <w:r>
        <w:rPr>
          <w:rFonts w:hint="eastAsia" w:hAnsi="宋体"/>
          <w:szCs w:val="21"/>
        </w:rPr>
        <w:t xml:space="preserve">3、适用法律</w:t>
      </w:r>
      <w:r/>
    </w:p>
    <w:p>
      <w:pPr>
        <w:ind w:firstLine="420"/>
        <w:spacing w:line="400" w:lineRule="exact"/>
        <w:rPr>
          <w:rFonts w:hAnsi="宋体"/>
          <w:szCs w:val="21"/>
        </w:rPr>
      </w:pPr>
      <w:r>
        <w:rPr>
          <w:rFonts w:hint="eastAsia" w:hAnsi="宋体"/>
          <w:szCs w:val="21"/>
        </w:rPr>
        <w:t xml:space="preserve">3.1 本次招标及由此产生的合同受中华人民共和国有关的法律法规制约和保护</w:t>
      </w:r>
      <w:r>
        <w:rPr>
          <w:rFonts w:hAnsi="宋体"/>
          <w:szCs w:val="21"/>
        </w:rPr>
        <w:t xml:space="preserve">。</w:t>
      </w:r>
      <w:r/>
    </w:p>
    <w:p>
      <w:pPr>
        <w:ind w:firstLine="420"/>
        <w:spacing w:line="400" w:lineRule="exact"/>
        <w:rPr>
          <w:rFonts w:hAnsi="宋体"/>
          <w:szCs w:val="21"/>
        </w:rPr>
      </w:pPr>
      <w:r>
        <w:rPr>
          <w:rFonts w:hint="eastAsia" w:hAnsi="宋体"/>
          <w:szCs w:val="21"/>
        </w:rPr>
        <w:t xml:space="preserve">4、投标费用</w:t>
      </w:r>
      <w:r/>
    </w:p>
    <w:p>
      <w:pPr>
        <w:ind w:firstLine="420"/>
        <w:spacing w:line="400" w:lineRule="exact"/>
        <w:rPr>
          <w:rFonts w:hAnsi="宋体"/>
          <w:szCs w:val="21"/>
        </w:rPr>
      </w:pPr>
      <w:r>
        <w:rPr>
          <w:rFonts w:hint="eastAsia" w:hAnsi="宋体"/>
          <w:szCs w:val="21"/>
        </w:rPr>
        <w:t xml:space="preserve">4.1 投标人应自行承担所有与参加投标有关的费用，无论投标过程中的做法和结果如何，江苏省鼎诚建设工程顾问有限公司(以下简称代理机构)在任何情况下均无义务和责任承担这些费用。</w:t>
      </w:r>
      <w:r/>
    </w:p>
    <w:p>
      <w:pPr>
        <w:ind w:firstLine="420"/>
        <w:spacing w:line="400" w:lineRule="exact"/>
        <w:rPr>
          <w:rFonts w:hAnsi="宋体"/>
          <w:b/>
          <w:szCs w:val="21"/>
        </w:rPr>
      </w:pPr>
      <w:r>
        <w:rPr>
          <w:rFonts w:hint="eastAsia" w:hAnsi="宋体"/>
          <w:szCs w:val="21"/>
        </w:rPr>
        <w:t xml:space="preserve">4.2</w:t>
      </w:r>
      <w:r>
        <w:rPr>
          <w:rFonts w:hint="eastAsia" w:hAnsi="宋体"/>
          <w:b/>
          <w:szCs w:val="21"/>
        </w:rPr>
        <w:t xml:space="preserve">本次采购由成交单位于领取中标通知书前按照苏招协【2022】002号货物类的标准一次性支付给招标代理机构招标代理服务费。 </w:t>
      </w:r>
      <w:r/>
    </w:p>
    <w:p>
      <w:pPr>
        <w:ind w:firstLine="420"/>
        <w:spacing w:line="400" w:lineRule="exact"/>
        <w:rPr>
          <w:rFonts w:hAnsi="宋体"/>
          <w:szCs w:val="21"/>
        </w:rPr>
      </w:pPr>
      <w:r>
        <w:rPr>
          <w:rFonts w:hint="eastAsia" w:hAnsi="宋体"/>
          <w:szCs w:val="21"/>
        </w:rPr>
        <w:t xml:space="preserve">该费用由中标单位在领取成交通知书前，向招标代理机构付清。</w:t>
      </w:r>
      <w:r/>
    </w:p>
    <w:p>
      <w:pPr>
        <w:ind w:firstLine="420"/>
        <w:spacing w:line="400" w:lineRule="exact"/>
        <w:rPr>
          <w:rFonts w:hAnsi="宋体"/>
          <w:szCs w:val="21"/>
        </w:rPr>
      </w:pPr>
      <w:r>
        <w:rPr>
          <w:rFonts w:hint="eastAsia" w:hAnsi="宋体"/>
          <w:szCs w:val="21"/>
        </w:rPr>
        <w:t xml:space="preserve">（1）代理服务费以人民币支付； </w:t>
      </w:r>
      <w:r/>
    </w:p>
    <w:p>
      <w:pPr>
        <w:ind w:firstLine="420"/>
        <w:spacing w:line="400" w:lineRule="exact"/>
        <w:rPr>
          <w:rFonts w:hAnsi="宋体"/>
          <w:szCs w:val="21"/>
        </w:rPr>
      </w:pPr>
      <w:r>
        <w:rPr>
          <w:rFonts w:hint="eastAsia" w:hAnsi="宋体"/>
          <w:szCs w:val="21"/>
        </w:rPr>
        <w:t xml:space="preserve">（2）代理服务费一次性以电汇、转账等非现金形式支付； </w:t>
      </w:r>
      <w:r/>
    </w:p>
    <w:p>
      <w:pPr>
        <w:ind w:firstLine="420"/>
        <w:spacing w:line="400" w:lineRule="exact"/>
        <w:rPr>
          <w:rFonts w:hAnsi="宋体"/>
          <w:szCs w:val="21"/>
        </w:rPr>
      </w:pPr>
      <w:r>
        <w:rPr>
          <w:rFonts w:hint="eastAsia" w:hAnsi="宋体"/>
          <w:szCs w:val="21"/>
        </w:rPr>
        <w:t xml:space="preserve">（3）招标代理服务费不在磋商报价中单列，包含在磋商总价中，由成交单位支付给代理机构。 </w:t>
      </w:r>
      <w:r/>
    </w:p>
    <w:p>
      <w:pPr>
        <w:ind w:firstLine="420"/>
        <w:spacing w:line="400" w:lineRule="exact"/>
        <w:rPr>
          <w:rFonts w:hAnsi="宋体"/>
          <w:szCs w:val="21"/>
        </w:rPr>
      </w:pPr>
      <w:r>
        <w:rPr>
          <w:rFonts w:hint="eastAsia" w:hAnsi="宋体"/>
          <w:szCs w:val="21"/>
        </w:rPr>
        <w:t xml:space="preserve">账户名称：江苏省鼎诚建设工程顾问有限公司宝应分公司</w:t>
      </w:r>
      <w:r/>
    </w:p>
    <w:p>
      <w:pPr>
        <w:ind w:firstLine="420"/>
        <w:spacing w:line="400" w:lineRule="exact"/>
        <w:rPr>
          <w:rFonts w:hAnsi="宋体"/>
          <w:szCs w:val="21"/>
        </w:rPr>
      </w:pPr>
      <w:r>
        <w:rPr>
          <w:rFonts w:hint="eastAsia" w:hAnsi="宋体"/>
          <w:szCs w:val="21"/>
        </w:rPr>
        <w:t xml:space="preserve">开户行：中国银行宝应氾水支行</w:t>
      </w:r>
      <w:r/>
    </w:p>
    <w:p>
      <w:pPr>
        <w:ind w:firstLine="420"/>
        <w:spacing w:line="400" w:lineRule="exact"/>
        <w:rPr>
          <w:rFonts w:hAnsi="宋体"/>
          <w:szCs w:val="21"/>
        </w:rPr>
      </w:pPr>
      <w:r>
        <w:rPr>
          <w:rFonts w:hint="eastAsia" w:hAnsi="宋体"/>
          <w:szCs w:val="21"/>
        </w:rPr>
        <w:t xml:space="preserve">开户账号:545673806210</w:t>
      </w:r>
      <w:r/>
    </w:p>
    <w:p>
      <w:pPr>
        <w:ind w:firstLine="422"/>
        <w:spacing w:line="400" w:lineRule="exact"/>
        <w:rPr>
          <w:rFonts w:hAnsi="宋体"/>
          <w:b/>
          <w:szCs w:val="21"/>
        </w:rPr>
      </w:pPr>
      <w:r>
        <w:rPr>
          <w:rFonts w:hint="eastAsia" w:hAnsi="宋体"/>
          <w:b/>
          <w:szCs w:val="21"/>
        </w:rPr>
        <w:t xml:space="preserve">4.3专家评审费按宝财购〔2020〕14号《关于进一步规范宝应县政府采购专家评审费标准的通知》执行。</w:t>
      </w:r>
      <w:r/>
    </w:p>
    <w:p>
      <w:pPr>
        <w:ind w:firstLine="420"/>
        <w:spacing w:line="400" w:lineRule="exact"/>
        <w:rPr>
          <w:rFonts w:hAnsi="宋体"/>
          <w:szCs w:val="21"/>
        </w:rPr>
      </w:pPr>
      <w:r>
        <w:rPr>
          <w:rFonts w:hint="eastAsia" w:hAnsi="宋体"/>
          <w:szCs w:val="21"/>
        </w:rPr>
        <w:t xml:space="preserve">5、招标文件的约束力</w:t>
      </w:r>
      <w:r/>
    </w:p>
    <w:p>
      <w:pPr>
        <w:ind w:firstLine="420"/>
        <w:spacing w:line="400" w:lineRule="exact"/>
        <w:rPr>
          <w:rFonts w:hAnsi="宋体"/>
          <w:szCs w:val="21"/>
        </w:rPr>
      </w:pPr>
      <w:r>
        <w:rPr>
          <w:rFonts w:hint="eastAsia" w:hAnsi="宋体"/>
          <w:szCs w:val="21"/>
        </w:rPr>
        <w:t xml:space="preserve">5.1投标人一旦参加本项目采购活动，即被认为接受了本招标文件的规定和约束。</w:t>
      </w:r>
      <w:r/>
    </w:p>
    <w:p>
      <w:pPr>
        <w:pStyle w:val="1189"/>
        <w:ind w:firstLine="321"/>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二、招标文件</w:t>
      </w:r>
      <w:r/>
    </w:p>
    <w:p>
      <w:pPr>
        <w:ind w:firstLine="420"/>
        <w:spacing w:line="400" w:lineRule="exact"/>
        <w:rPr>
          <w:rFonts w:hAnsi="宋体"/>
          <w:szCs w:val="21"/>
        </w:rPr>
      </w:pPr>
      <w:r>
        <w:rPr>
          <w:rFonts w:hint="eastAsia" w:hAnsi="宋体"/>
          <w:szCs w:val="21"/>
        </w:rPr>
        <w:t xml:space="preserve">6、招标文件构成</w:t>
      </w:r>
      <w:r/>
    </w:p>
    <w:p>
      <w:pPr>
        <w:ind w:firstLine="420"/>
        <w:spacing w:line="400" w:lineRule="exact"/>
        <w:rPr>
          <w:rFonts w:hAnsi="宋体"/>
          <w:szCs w:val="21"/>
        </w:rPr>
      </w:pPr>
      <w:r>
        <w:rPr>
          <w:rFonts w:hint="eastAsia" w:hAnsi="宋体"/>
          <w:szCs w:val="21"/>
        </w:rPr>
        <w:t xml:space="preserve">6.1 招标文件由以下部分组成：</w:t>
      </w:r>
      <w:r/>
    </w:p>
    <w:p>
      <w:pPr>
        <w:ind w:firstLine="420"/>
        <w:spacing w:line="400" w:lineRule="exact"/>
        <w:rPr>
          <w:rFonts w:hAnsi="宋体"/>
          <w:szCs w:val="21"/>
        </w:rPr>
      </w:pPr>
      <w:r>
        <w:rPr>
          <w:rFonts w:hint="eastAsia" w:hAnsi="宋体"/>
          <w:szCs w:val="21"/>
        </w:rPr>
        <w:t xml:space="preserve">（1）投标</w:t>
      </w:r>
      <w:r>
        <w:rPr>
          <w:rFonts w:hAnsi="宋体"/>
          <w:szCs w:val="21"/>
        </w:rPr>
        <w:t xml:space="preserve">邀请</w:t>
      </w:r>
      <w:r/>
    </w:p>
    <w:p>
      <w:pPr>
        <w:ind w:firstLine="420"/>
        <w:spacing w:line="400" w:lineRule="exact"/>
        <w:rPr>
          <w:rFonts w:hAnsi="宋体"/>
          <w:szCs w:val="21"/>
        </w:rPr>
      </w:pPr>
      <w:r>
        <w:rPr>
          <w:rFonts w:hint="eastAsia" w:hAnsi="宋体"/>
          <w:szCs w:val="21"/>
        </w:rPr>
        <w:t xml:space="preserve">（2）投标人须知</w:t>
      </w:r>
      <w:r/>
    </w:p>
    <w:p>
      <w:pPr>
        <w:ind w:firstLine="420"/>
        <w:spacing w:line="400" w:lineRule="exact"/>
        <w:rPr>
          <w:rFonts w:hAnsi="宋体"/>
          <w:szCs w:val="21"/>
        </w:rPr>
      </w:pPr>
      <w:r>
        <w:rPr>
          <w:rFonts w:hint="eastAsia" w:hAnsi="宋体"/>
          <w:szCs w:val="21"/>
        </w:rPr>
        <w:t xml:space="preserve">（3）合同文本</w:t>
      </w:r>
      <w:r/>
    </w:p>
    <w:p>
      <w:pPr>
        <w:ind w:firstLine="420"/>
        <w:spacing w:line="400" w:lineRule="exact"/>
        <w:rPr>
          <w:rFonts w:hAnsi="宋体"/>
          <w:szCs w:val="21"/>
        </w:rPr>
      </w:pPr>
      <w:r>
        <w:rPr>
          <w:rFonts w:hint="eastAsia" w:hAnsi="宋体"/>
          <w:szCs w:val="21"/>
        </w:rPr>
        <w:t xml:space="preserve">（4）采购需求</w:t>
      </w:r>
      <w:r/>
    </w:p>
    <w:p>
      <w:pPr>
        <w:ind w:firstLine="420"/>
        <w:spacing w:line="400" w:lineRule="exact"/>
        <w:rPr>
          <w:rFonts w:hAnsi="宋体"/>
          <w:szCs w:val="21"/>
        </w:rPr>
      </w:pPr>
      <w:r>
        <w:rPr>
          <w:rFonts w:hint="eastAsia" w:hAnsi="宋体"/>
          <w:szCs w:val="21"/>
        </w:rPr>
        <w:t xml:space="preserve">（5）评标方法与评标标准</w:t>
      </w:r>
      <w:r/>
    </w:p>
    <w:p>
      <w:pPr>
        <w:ind w:firstLine="420"/>
        <w:spacing w:line="400" w:lineRule="exact"/>
        <w:rPr>
          <w:rFonts w:hAnsi="宋体"/>
          <w:szCs w:val="21"/>
        </w:rPr>
      </w:pPr>
      <w:r>
        <w:rPr>
          <w:rFonts w:hint="eastAsia" w:hAnsi="宋体"/>
          <w:szCs w:val="21"/>
        </w:rPr>
        <w:t xml:space="preserve">（6）投标文件格式</w:t>
      </w:r>
      <w:r/>
    </w:p>
    <w:p>
      <w:pPr>
        <w:ind w:firstLine="420"/>
        <w:spacing w:line="400" w:lineRule="exact"/>
        <w:rPr>
          <w:rFonts w:hAnsi="宋体"/>
          <w:szCs w:val="21"/>
        </w:rPr>
      </w:pPr>
      <w:r>
        <w:rPr>
          <w:rFonts w:hint="eastAsia" w:hAnsi="宋体"/>
          <w:szCs w:val="21"/>
        </w:rPr>
        <w:t xml:space="preserve">请仔细检查招标文件是否齐全，如有缺漏请立即与代理机构联系解决。</w:t>
      </w:r>
      <w:r/>
    </w:p>
    <w:p>
      <w:pPr>
        <w:ind w:firstLine="420"/>
        <w:spacing w:line="400" w:lineRule="exact"/>
        <w:rPr>
          <w:rFonts w:hAnsi="宋体"/>
          <w:szCs w:val="21"/>
        </w:rPr>
      </w:pPr>
      <w:r>
        <w:rPr>
          <w:rFonts w:hint="eastAsia" w:hAnsi="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hAnsi="宋体"/>
          <w:szCs w:val="21"/>
        </w:rPr>
      </w:pPr>
      <w:r>
        <w:rPr>
          <w:rFonts w:hint="eastAsia" w:hAnsi="宋体"/>
          <w:szCs w:val="21"/>
        </w:rPr>
        <w:t xml:space="preserve">7、招标文件的澄清</w:t>
      </w:r>
      <w:r/>
    </w:p>
    <w:p>
      <w:pPr>
        <w:ind w:firstLine="420"/>
        <w:spacing w:line="400" w:lineRule="exact"/>
        <w:rPr>
          <w:rFonts w:hAnsi="宋体"/>
          <w:szCs w:val="21"/>
        </w:rPr>
      </w:pPr>
      <w:r>
        <w:rPr>
          <w:rFonts w:hint="eastAsia" w:hAnsi="宋体"/>
          <w:szCs w:val="21"/>
        </w:rPr>
        <w:t xml:space="preserve">7.1 任何要求对招标文件进行澄清的投标人，应在投标截止期</w:t>
      </w:r>
      <w:r>
        <w:rPr>
          <w:rFonts w:hint="eastAsia" w:hAnsi="宋体"/>
          <w:b/>
          <w:szCs w:val="21"/>
        </w:rPr>
        <w:t xml:space="preserve">十日</w:t>
      </w:r>
      <w:r>
        <w:rPr>
          <w:rFonts w:hint="eastAsia" w:hAnsi="宋体"/>
          <w:szCs w:val="21"/>
        </w:rPr>
        <w:t xml:space="preserve">前按招标公告中的通讯地址，以书面形式通知代理机构。</w:t>
      </w:r>
      <w:r/>
    </w:p>
    <w:p>
      <w:pPr>
        <w:ind w:firstLine="420"/>
        <w:spacing w:line="400" w:lineRule="exact"/>
        <w:rPr>
          <w:rFonts w:hAnsi="宋体"/>
          <w:szCs w:val="21"/>
        </w:rPr>
      </w:pPr>
      <w:r>
        <w:rPr>
          <w:rFonts w:hint="eastAsia" w:hAnsi="宋体"/>
          <w:szCs w:val="21"/>
        </w:rPr>
        <w:t xml:space="preserve">8、招标文件的修改</w:t>
      </w:r>
      <w:r/>
    </w:p>
    <w:p>
      <w:pPr>
        <w:ind w:firstLine="420"/>
        <w:spacing w:line="400" w:lineRule="exact"/>
        <w:rPr>
          <w:rFonts w:hAnsi="宋体"/>
          <w:szCs w:val="21"/>
        </w:rPr>
      </w:pPr>
      <w:r>
        <w:rPr>
          <w:rFonts w:hint="eastAsia" w:hAnsi="宋体"/>
          <w:szCs w:val="21"/>
        </w:rPr>
        <w:t xml:space="preserve">8.1 在投标截止时间前，代理机构可以对招标文件进行修改。</w:t>
      </w:r>
      <w:r/>
    </w:p>
    <w:p>
      <w:pPr>
        <w:ind w:firstLine="420"/>
        <w:spacing w:line="400" w:lineRule="exact"/>
        <w:rPr>
          <w:rFonts w:hAnsi="宋体"/>
          <w:szCs w:val="21"/>
        </w:rPr>
      </w:pPr>
      <w:r>
        <w:rPr>
          <w:rFonts w:hint="eastAsia" w:hAnsi="宋体"/>
          <w:szCs w:val="21"/>
        </w:rPr>
        <w:t xml:space="preserve">8.2 代理机构有权按照法定的要求推迟投标截止日期和开标日期。</w:t>
      </w:r>
      <w:r/>
    </w:p>
    <w:p>
      <w:pPr>
        <w:ind w:firstLine="420"/>
        <w:spacing w:line="400" w:lineRule="exact"/>
        <w:rPr>
          <w:rFonts w:hAnsi="宋体"/>
          <w:szCs w:val="21"/>
        </w:rPr>
      </w:pPr>
      <w:r>
        <w:rPr>
          <w:rFonts w:hint="eastAsia" w:hAnsi="宋体"/>
          <w:szCs w:val="21"/>
        </w:rPr>
        <w:t xml:space="preserve">8.3 招标文件的修改将在江苏政府采购网、扬州市政府采购网公布，补充文件将作为招标文件的组成部分，并对投标人具有约束力。</w:t>
      </w:r>
      <w:r/>
    </w:p>
    <w:p>
      <w:pPr>
        <w:pStyle w:val="1189"/>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三、投标文件的编制</w:t>
      </w:r>
      <w:r/>
    </w:p>
    <w:p>
      <w:pPr>
        <w:ind w:firstLine="420"/>
        <w:spacing w:line="400" w:lineRule="exact"/>
        <w:rPr>
          <w:rFonts w:hAnsi="宋体"/>
          <w:szCs w:val="21"/>
        </w:rPr>
      </w:pPr>
      <w:r>
        <w:rPr>
          <w:rFonts w:hint="eastAsia" w:hAnsi="宋体"/>
          <w:szCs w:val="21"/>
        </w:rPr>
        <w:t xml:space="preserve">9、投标文件的语言及度量衡单位</w:t>
      </w:r>
      <w:r/>
    </w:p>
    <w:p>
      <w:pPr>
        <w:ind w:firstLine="420"/>
        <w:spacing w:line="400" w:lineRule="exact"/>
        <w:rPr>
          <w:rFonts w:hAnsi="宋体"/>
          <w:szCs w:val="21"/>
        </w:rPr>
      </w:pPr>
      <w:r>
        <w:rPr>
          <w:rFonts w:hint="eastAsia" w:hAnsi="宋体"/>
          <w:szCs w:val="21"/>
        </w:rPr>
        <w:t xml:space="preserve">9.1投标人提交的投标文件以及投标人与代理机构就有关投标的所有来往通知、函件和文件均应使用</w:t>
      </w:r>
      <w:r>
        <w:rPr>
          <w:rFonts w:hint="eastAsia" w:hAnsi="宋体"/>
          <w:b/>
          <w:szCs w:val="21"/>
        </w:rPr>
        <w:t xml:space="preserve">简体中文</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9.2 除技术性能另有规定外，投标文件所使用的度量衡单位，均须采用国家法定计量单位。</w:t>
      </w:r>
      <w:r/>
    </w:p>
    <w:p>
      <w:pPr>
        <w:ind w:firstLine="420"/>
        <w:spacing w:line="400" w:lineRule="exact"/>
        <w:rPr>
          <w:rFonts w:hAnsi="宋体"/>
          <w:szCs w:val="21"/>
        </w:rPr>
      </w:pPr>
      <w:r>
        <w:rPr>
          <w:rFonts w:hint="eastAsia" w:hAnsi="宋体"/>
          <w:szCs w:val="21"/>
        </w:rPr>
        <w:t xml:space="preserve">10、投标文件构成</w:t>
      </w:r>
      <w:r/>
    </w:p>
    <w:p>
      <w:pPr>
        <w:ind w:firstLine="420"/>
        <w:spacing w:line="400" w:lineRule="exact"/>
        <w:rPr>
          <w:rFonts w:hAnsi="宋体"/>
          <w:szCs w:val="21"/>
        </w:rPr>
      </w:pPr>
      <w:r>
        <w:rPr>
          <w:rFonts w:hint="eastAsia" w:hAnsi="宋体"/>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hAnsi="宋体"/>
          <w:szCs w:val="21"/>
        </w:rPr>
      </w:pPr>
      <w:r>
        <w:rPr>
          <w:rFonts w:hint="eastAsia" w:hAnsi="宋体"/>
          <w:szCs w:val="21"/>
        </w:rPr>
        <w:t xml:space="preserve">10.2 如标书制作工具中格式和内容与“江苏政府采购网”发布的招标文件不一致，请以“江苏政府采购网”发布的招标文件为准。</w:t>
      </w:r>
      <w:r/>
    </w:p>
    <w:p>
      <w:pPr>
        <w:ind w:firstLine="420"/>
        <w:spacing w:line="400" w:lineRule="exact"/>
        <w:rPr>
          <w:rFonts w:hAnsi="宋体"/>
          <w:szCs w:val="21"/>
        </w:rPr>
      </w:pPr>
      <w:r>
        <w:rPr>
          <w:rFonts w:hint="eastAsia" w:hAnsi="宋体"/>
          <w:szCs w:val="21"/>
        </w:rPr>
        <w:t xml:space="preserve">11、证明投标人及投标标的符合招标文件规定的文件</w:t>
      </w:r>
      <w:r/>
    </w:p>
    <w:p>
      <w:pPr>
        <w:ind w:firstLine="420"/>
        <w:spacing w:line="400" w:lineRule="exact"/>
        <w:rPr>
          <w:rFonts w:hAnsi="宋体"/>
          <w:szCs w:val="21"/>
        </w:rPr>
      </w:pPr>
      <w:r>
        <w:rPr>
          <w:rFonts w:hint="eastAsia" w:hAnsi="宋体"/>
          <w:szCs w:val="21"/>
        </w:rPr>
        <w:t xml:space="preserve">    11.1 投标人应按照法律、法规、规章和规范性文件以及招标文件要求提交证明文件，证明其及投标标的符合招标文件规定。</w:t>
      </w:r>
      <w:r/>
    </w:p>
    <w:p>
      <w:pPr>
        <w:ind w:firstLine="420"/>
        <w:spacing w:line="400" w:lineRule="exact"/>
        <w:rPr>
          <w:rFonts w:hAnsi="宋体"/>
          <w:szCs w:val="21"/>
        </w:rPr>
      </w:pPr>
      <w:r>
        <w:rPr>
          <w:rFonts w:hint="eastAsia" w:hAnsi="宋体"/>
          <w:szCs w:val="21"/>
        </w:rPr>
        <w:t xml:space="preserve">11.2招标文件对证明文件无明确形式要求的，证明文件可以以文字资料、图纸和数据等形式提交。</w:t>
      </w:r>
      <w:r/>
    </w:p>
    <w:p>
      <w:pPr>
        <w:ind w:firstLine="420"/>
        <w:spacing w:line="400" w:lineRule="exact"/>
        <w:rPr>
          <w:rFonts w:hAnsi="宋体"/>
          <w:szCs w:val="21"/>
        </w:rPr>
      </w:pPr>
      <w:r>
        <w:rPr>
          <w:rFonts w:hint="eastAsia" w:hAnsi="宋体"/>
          <w:szCs w:val="21"/>
        </w:rPr>
        <w:t xml:space="preserve">12、投标分项报价表</w:t>
      </w:r>
      <w:r/>
    </w:p>
    <w:p>
      <w:pPr>
        <w:ind w:firstLine="420"/>
        <w:spacing w:line="400" w:lineRule="exact"/>
        <w:rPr>
          <w:rFonts w:hAnsi="宋体"/>
          <w:szCs w:val="21"/>
        </w:rPr>
      </w:pPr>
      <w:r>
        <w:rPr>
          <w:rFonts w:hint="eastAsia" w:hAnsi="宋体"/>
          <w:szCs w:val="21"/>
        </w:rPr>
        <w:t xml:space="preserve">12.1 投标人应按照招标文件规定格式填报投标分项报价表。</w:t>
      </w:r>
      <w:r/>
    </w:p>
    <w:p>
      <w:pPr>
        <w:ind w:firstLine="420"/>
        <w:spacing w:line="400" w:lineRule="exact"/>
        <w:rPr>
          <w:rFonts w:hAnsi="宋体"/>
          <w:szCs w:val="21"/>
        </w:rPr>
      </w:pPr>
      <w:r>
        <w:rPr>
          <w:rFonts w:hint="eastAsia" w:hAnsi="宋体"/>
          <w:szCs w:val="21"/>
        </w:rPr>
        <w:t xml:space="preserve">12.2投标货币。投标文件中的单价和总价无特殊规定的采用人民币报价，以元为单位标注。招标文件中另有规定的按规定执行。</w:t>
      </w:r>
      <w:r/>
    </w:p>
    <w:p>
      <w:pPr>
        <w:ind w:firstLine="420"/>
        <w:spacing w:line="400" w:lineRule="exact"/>
        <w:rPr>
          <w:rFonts w:hAnsi="宋体"/>
          <w:szCs w:val="21"/>
        </w:rPr>
      </w:pPr>
      <w:r>
        <w:rPr>
          <w:rFonts w:hint="eastAsia" w:hAnsi="宋体"/>
          <w:szCs w:val="21"/>
        </w:rPr>
        <w:t xml:space="preserve">13、技术要求响应及偏离表、商务要求响应及偏离表</w:t>
      </w:r>
      <w:r/>
    </w:p>
    <w:p>
      <w:pPr>
        <w:ind w:firstLine="420"/>
        <w:spacing w:line="400" w:lineRule="exact"/>
        <w:rPr>
          <w:rFonts w:hAnsi="宋体"/>
          <w:szCs w:val="21"/>
        </w:rPr>
      </w:pPr>
      <w:r>
        <w:rPr>
          <w:rFonts w:hAnsi="宋体"/>
          <w:szCs w:val="21"/>
        </w:rPr>
        <w:t xml:space="preserve">1</w:t>
      </w:r>
      <w:r>
        <w:rPr>
          <w:rFonts w:hint="eastAsia" w:hAnsi="宋体"/>
          <w:szCs w:val="21"/>
        </w:rPr>
        <w:t xml:space="preserve">3</w:t>
      </w:r>
      <w:r>
        <w:rPr>
          <w:rFonts w:hAnsi="宋体"/>
          <w:szCs w:val="21"/>
        </w:rPr>
        <w:t xml:space="preserve">.1 </w:t>
      </w:r>
      <w:r>
        <w:rPr>
          <w:rFonts w:hint="eastAsia" w:hAnsi="宋体"/>
          <w:szCs w:val="21"/>
        </w:rPr>
        <w:t xml:space="preserve">投标人需对招标文件中的技术要求与商务要求逐项作出响应或偏离，并说明原因。</w:t>
      </w:r>
      <w:r/>
    </w:p>
    <w:p>
      <w:pPr>
        <w:ind w:firstLine="420"/>
        <w:spacing w:line="400" w:lineRule="exact"/>
        <w:rPr>
          <w:rFonts w:hAnsi="宋体"/>
          <w:szCs w:val="21"/>
        </w:rPr>
      </w:pPr>
      <w:r>
        <w:rPr>
          <w:rFonts w:hint="eastAsia" w:hAnsi="宋体"/>
          <w:szCs w:val="21"/>
        </w:rPr>
        <w:t xml:space="preserve">13.2 投标人可在投标文件中提供认为需要的其他技术文件或说明。</w:t>
      </w:r>
      <w:r/>
    </w:p>
    <w:p>
      <w:pPr>
        <w:ind w:firstLine="420"/>
        <w:spacing w:line="400" w:lineRule="exact"/>
        <w:rPr>
          <w:rFonts w:hAnsi="宋体"/>
          <w:szCs w:val="21"/>
        </w:rPr>
      </w:pPr>
      <w:r>
        <w:rPr>
          <w:rFonts w:hint="eastAsia" w:hAnsi="宋体"/>
          <w:szCs w:val="21"/>
        </w:rPr>
        <w:t xml:space="preserve">14、服务承诺、培训计划、人员安排及其他</w:t>
      </w:r>
      <w:r/>
    </w:p>
    <w:p>
      <w:pPr>
        <w:ind w:firstLine="420"/>
        <w:spacing w:line="400" w:lineRule="exact"/>
        <w:rPr>
          <w:rFonts w:hAnsi="宋体"/>
          <w:szCs w:val="21"/>
        </w:rPr>
      </w:pPr>
      <w:r>
        <w:rPr>
          <w:rFonts w:hint="eastAsia" w:hAnsi="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400" w:lineRule="exact"/>
        <w:rPr>
          <w:rFonts w:hAnsi="宋体"/>
          <w:szCs w:val="21"/>
        </w:rPr>
      </w:pPr>
      <w:r>
        <w:rPr>
          <w:rFonts w:hint="eastAsia" w:hAnsi="宋体"/>
          <w:szCs w:val="21"/>
        </w:rPr>
        <w:t xml:space="preserve">14.2 投标人需根据招标文件要求提供培训计划。</w:t>
      </w:r>
      <w:r/>
    </w:p>
    <w:p>
      <w:pPr>
        <w:ind w:firstLine="420"/>
        <w:spacing w:line="400" w:lineRule="exact"/>
        <w:rPr>
          <w:rFonts w:hAnsi="宋体"/>
          <w:szCs w:val="21"/>
        </w:rPr>
      </w:pPr>
      <w:r>
        <w:rPr>
          <w:rFonts w:hint="eastAsia" w:hAnsi="宋体"/>
          <w:szCs w:val="21"/>
        </w:rPr>
        <w:t xml:space="preserve">14.3  投标人需根据招标文件要求提供所投标的的主要组成部分、功能设计、实现思路及关键技术等。</w:t>
      </w:r>
      <w:r/>
    </w:p>
    <w:p>
      <w:pPr>
        <w:ind w:firstLine="420"/>
        <w:spacing w:line="400" w:lineRule="exact"/>
        <w:rPr>
          <w:rFonts w:hAnsi="宋体"/>
          <w:szCs w:val="21"/>
        </w:rPr>
      </w:pPr>
      <w:r>
        <w:rPr>
          <w:rFonts w:hint="eastAsia" w:hAnsi="宋体"/>
          <w:szCs w:val="21"/>
        </w:rPr>
        <w:t xml:space="preserve">15、投标函和开标一览表</w:t>
      </w:r>
      <w:r/>
    </w:p>
    <w:p>
      <w:pPr>
        <w:ind w:firstLine="420"/>
        <w:spacing w:line="400" w:lineRule="exact"/>
        <w:rPr>
          <w:rFonts w:hAnsi="宋体"/>
          <w:szCs w:val="21"/>
        </w:rPr>
      </w:pPr>
      <w:r>
        <w:rPr>
          <w:rFonts w:hint="eastAsia" w:hAnsi="宋体"/>
          <w:szCs w:val="21"/>
        </w:rPr>
        <w:t xml:space="preserve">15.1 投标人应按照招标文件中提供的格式完整、正确填写投标函、开标一览表。</w:t>
      </w:r>
      <w:r/>
    </w:p>
    <w:p>
      <w:pPr>
        <w:ind w:firstLine="420"/>
        <w:spacing w:line="400" w:lineRule="exact"/>
        <w:rPr>
          <w:rFonts w:hAnsi="宋体"/>
          <w:szCs w:val="21"/>
        </w:rPr>
      </w:pPr>
      <w:r>
        <w:rPr>
          <w:rFonts w:hint="eastAsia" w:hAnsi="宋体"/>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hAnsi="宋体"/>
          <w:szCs w:val="21"/>
        </w:rPr>
      </w:pPr>
      <w:r>
        <w:rPr>
          <w:rFonts w:hint="eastAsia" w:hAnsi="宋体"/>
          <w:szCs w:val="21"/>
        </w:rPr>
        <w:t xml:space="preserve">16、投标有效期</w:t>
      </w:r>
      <w:r/>
    </w:p>
    <w:p>
      <w:pPr>
        <w:ind w:firstLine="420"/>
        <w:spacing w:line="400" w:lineRule="exact"/>
        <w:rPr>
          <w:rFonts w:hAnsi="宋体"/>
          <w:szCs w:val="21"/>
        </w:rPr>
      </w:pPr>
      <w:r>
        <w:rPr>
          <w:rFonts w:hint="eastAsia" w:hAnsi="宋体"/>
          <w:szCs w:val="21"/>
        </w:rPr>
        <w:t xml:space="preserve">16.1 投标有效期为代理机构规定的开标之日后</w:t>
      </w:r>
      <w:r>
        <w:rPr>
          <w:rFonts w:hint="eastAsia" w:hAnsi="宋体"/>
          <w:b/>
          <w:szCs w:val="21"/>
          <w:u w:val="single"/>
        </w:rPr>
        <w:t xml:space="preserve">六十（60）天</w:t>
      </w:r>
      <w:r>
        <w:rPr>
          <w:rFonts w:hint="eastAsia" w:hAnsi="宋体"/>
          <w:szCs w:val="21"/>
        </w:rPr>
        <w:t xml:space="preserve">。投标有效期比规定短的将被视为未实质性响应招标</w:t>
      </w:r>
      <w:r>
        <w:rPr>
          <w:rFonts w:hAnsi="宋体"/>
          <w:szCs w:val="21"/>
        </w:rPr>
        <w:t xml:space="preserve">文件</w:t>
      </w:r>
      <w:r>
        <w:rPr>
          <w:rFonts w:hint="eastAsia" w:hAnsi="宋体"/>
          <w:szCs w:val="21"/>
        </w:rPr>
        <w:t xml:space="preserve">而予以拒绝。</w:t>
      </w:r>
      <w:r/>
    </w:p>
    <w:p>
      <w:pPr>
        <w:ind w:firstLine="420"/>
        <w:spacing w:line="400" w:lineRule="exact"/>
        <w:rPr>
          <w:rFonts w:hAnsi="宋体"/>
          <w:szCs w:val="21"/>
        </w:rPr>
      </w:pPr>
      <w:r>
        <w:rPr>
          <w:rFonts w:hint="eastAsia" w:hAnsi="宋体"/>
          <w:szCs w:val="21"/>
        </w:rPr>
        <w:t xml:space="preserve">17、投标有效期的延长</w:t>
      </w:r>
      <w:r/>
    </w:p>
    <w:p>
      <w:pPr>
        <w:ind w:firstLine="420"/>
        <w:spacing w:line="400" w:lineRule="exact"/>
        <w:rPr>
          <w:rFonts w:hAnsi="宋体"/>
          <w:szCs w:val="21"/>
        </w:rPr>
      </w:pPr>
      <w:r>
        <w:rPr>
          <w:rFonts w:hint="eastAsia" w:hAnsi="宋体"/>
          <w:szCs w:val="21"/>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1189"/>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四、投标文件的递交</w:t>
      </w:r>
      <w:r/>
    </w:p>
    <w:p>
      <w:pPr>
        <w:ind w:firstLine="420"/>
        <w:spacing w:line="400" w:lineRule="exact"/>
        <w:rPr>
          <w:rFonts w:hAnsi="宋体"/>
          <w:szCs w:val="21"/>
        </w:rPr>
      </w:pPr>
      <w:r>
        <w:rPr>
          <w:rFonts w:hint="eastAsia" w:hAnsi="宋体"/>
          <w:szCs w:val="21"/>
        </w:rPr>
        <w:t xml:space="preserve">18、投标文件的递交</w:t>
      </w:r>
      <w:r/>
    </w:p>
    <w:p>
      <w:pPr>
        <w:ind w:firstLine="420"/>
        <w:spacing w:line="400" w:lineRule="exact"/>
        <w:rPr>
          <w:rFonts w:hAnsi="宋体"/>
          <w:szCs w:val="21"/>
        </w:rPr>
      </w:pPr>
      <w:r>
        <w:rPr>
          <w:rFonts w:hint="eastAsia" w:hAnsi="宋体"/>
          <w:szCs w:val="21"/>
        </w:rPr>
        <w:t xml:space="preserve">18.1 电子投标文件的递交</w:t>
      </w:r>
      <w:r/>
    </w:p>
    <w:p>
      <w:pPr>
        <w:ind w:firstLine="420"/>
        <w:spacing w:line="400" w:lineRule="exact"/>
        <w:rPr>
          <w:rFonts w:hAnsi="宋体"/>
          <w:szCs w:val="21"/>
        </w:rPr>
      </w:pPr>
      <w:r>
        <w:rPr>
          <w:rFonts w:hint="eastAsia" w:hAnsi="宋体"/>
          <w:szCs w:val="21"/>
        </w:rPr>
        <w:t xml:space="preserve">投标人应当按照《操作手册》规定，在投标截止时间前</w:t>
      </w:r>
      <w:r>
        <w:rPr>
          <w:rFonts w:hAnsi="宋体"/>
          <w:szCs w:val="21"/>
        </w:rPr>
        <w:t xml:space="preserve">制作</w:t>
      </w:r>
      <w:r>
        <w:rPr>
          <w:rFonts w:hint="eastAsia" w:hAnsi="宋体"/>
          <w:szCs w:val="21"/>
        </w:rPr>
        <w:t xml:space="preserve">并上传电子投标文件。</w:t>
      </w:r>
      <w:r/>
    </w:p>
    <w:p>
      <w:pPr>
        <w:ind w:firstLine="420"/>
        <w:spacing w:line="400" w:lineRule="exact"/>
        <w:rPr>
          <w:rFonts w:hAnsi="宋体"/>
          <w:szCs w:val="21"/>
        </w:rPr>
      </w:pPr>
      <w:r>
        <w:rPr>
          <w:rFonts w:hint="eastAsia" w:hAnsi="宋体"/>
          <w:szCs w:val="21"/>
        </w:rPr>
        <w:t xml:space="preserve">19、投标截止时间</w:t>
      </w:r>
      <w:r/>
    </w:p>
    <w:p>
      <w:pPr>
        <w:ind w:firstLine="420"/>
        <w:spacing w:line="400" w:lineRule="exact"/>
        <w:rPr>
          <w:rFonts w:hAnsi="宋体"/>
          <w:i/>
          <w:szCs w:val="21"/>
          <w:u w:val="single"/>
        </w:rPr>
      </w:pPr>
      <w:r>
        <w:rPr>
          <w:rFonts w:hint="eastAsia" w:hAnsi="宋体"/>
          <w:i/>
          <w:szCs w:val="21"/>
          <w:u w:val="single"/>
        </w:rPr>
        <w:t xml:space="preserve">19.1 投标人上传电子投标文件的时间不得迟于招标公告中规定的投标截止时间。</w:t>
      </w:r>
      <w:r/>
    </w:p>
    <w:p>
      <w:pPr>
        <w:ind w:firstLine="420"/>
        <w:spacing w:line="400" w:lineRule="exact"/>
        <w:rPr>
          <w:rFonts w:hAnsi="宋体"/>
          <w:szCs w:val="21"/>
        </w:rPr>
      </w:pPr>
      <w:r>
        <w:rPr>
          <w:rFonts w:hint="eastAsia" w:hAnsi="宋体"/>
          <w:szCs w:val="21"/>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400" w:lineRule="exact"/>
        <w:rPr>
          <w:rFonts w:hAnsi="宋体"/>
          <w:szCs w:val="21"/>
        </w:rPr>
      </w:pPr>
      <w:r>
        <w:rPr>
          <w:rFonts w:hint="eastAsia" w:hAnsi="宋体"/>
          <w:szCs w:val="21"/>
        </w:rPr>
        <w:t xml:space="preserve">19.2 代理机构可以按照规定，通过修改招标文件酌情延长投标截止时间，在此情况下，投标人的所有权利和义务以及投标人受制的截止时间均应以延长后新的截止时间为准。</w:t>
      </w:r>
      <w:r/>
    </w:p>
    <w:p>
      <w:pPr>
        <w:ind w:firstLine="420"/>
        <w:spacing w:line="400" w:lineRule="exact"/>
        <w:rPr>
          <w:rFonts w:hAnsi="宋体"/>
          <w:szCs w:val="21"/>
        </w:rPr>
      </w:pPr>
      <w:r>
        <w:rPr>
          <w:rFonts w:hint="eastAsia" w:hAnsi="宋体"/>
          <w:szCs w:val="21"/>
        </w:rPr>
        <w:t xml:space="preserve">20、投标文件的拒收</w:t>
      </w:r>
      <w:r/>
    </w:p>
    <w:p>
      <w:pPr>
        <w:ind w:firstLine="420"/>
        <w:spacing w:line="400" w:lineRule="exact"/>
        <w:rPr>
          <w:rFonts w:hAnsi="宋体"/>
          <w:szCs w:val="21"/>
        </w:rPr>
      </w:pPr>
      <w:r>
        <w:rPr>
          <w:rFonts w:hint="eastAsia" w:hAnsi="宋体"/>
          <w:szCs w:val="21"/>
        </w:rPr>
        <w:t xml:space="preserve">20.1代理机构拒绝接收在其规定的投标截止时间后上传的任何投标文件。</w:t>
      </w:r>
      <w:r/>
    </w:p>
    <w:p>
      <w:pPr>
        <w:ind w:firstLine="420"/>
        <w:spacing w:line="400" w:lineRule="exact"/>
        <w:rPr>
          <w:rFonts w:hAnsi="宋体"/>
          <w:szCs w:val="21"/>
        </w:rPr>
      </w:pPr>
      <w:r>
        <w:rPr>
          <w:rFonts w:hint="eastAsia" w:hAnsi="宋体"/>
          <w:szCs w:val="21"/>
        </w:rPr>
        <w:t xml:space="preserve">21、投标文件的撤回和修改</w:t>
      </w:r>
      <w:r/>
    </w:p>
    <w:p>
      <w:pPr>
        <w:ind w:firstLine="420"/>
        <w:spacing w:line="400" w:lineRule="exact"/>
        <w:rPr>
          <w:rFonts w:hAnsi="宋体"/>
          <w:szCs w:val="21"/>
        </w:rPr>
      </w:pPr>
      <w:r>
        <w:rPr>
          <w:rFonts w:hint="eastAsia" w:hAnsi="宋体"/>
          <w:szCs w:val="21"/>
        </w:rPr>
        <w:t xml:space="preserve">21.1 投标文件的撤回</w:t>
      </w:r>
      <w:r/>
    </w:p>
    <w:p>
      <w:pPr>
        <w:ind w:firstLine="420"/>
        <w:spacing w:line="400" w:lineRule="exact"/>
        <w:rPr>
          <w:rFonts w:hAnsi="宋体"/>
          <w:szCs w:val="21"/>
        </w:rPr>
      </w:pPr>
      <w:r>
        <w:rPr>
          <w:rFonts w:hint="eastAsia" w:hAnsi="宋体"/>
          <w:szCs w:val="21"/>
        </w:rPr>
        <w:t xml:space="preserve">21.1.1 电子投标文件的撤回</w:t>
      </w:r>
      <w:r/>
    </w:p>
    <w:p>
      <w:pPr>
        <w:ind w:firstLine="420"/>
        <w:spacing w:line="400" w:lineRule="exact"/>
        <w:rPr>
          <w:rFonts w:hAnsi="宋体"/>
          <w:szCs w:val="21"/>
        </w:rPr>
      </w:pPr>
      <w:r>
        <w:rPr>
          <w:rFonts w:hint="eastAsia" w:hAnsi="宋体"/>
          <w:szCs w:val="21"/>
        </w:rPr>
        <w:t xml:space="preserve">投标人可在投标截止时间前，撤回其电子投标文件，具体操作方法见《操作手册》。</w:t>
      </w:r>
      <w:r/>
    </w:p>
    <w:p>
      <w:pPr>
        <w:ind w:firstLine="420"/>
        <w:spacing w:line="400" w:lineRule="exact"/>
        <w:rPr>
          <w:rFonts w:hAnsi="宋体"/>
          <w:szCs w:val="21"/>
        </w:rPr>
      </w:pPr>
      <w:r>
        <w:rPr>
          <w:rFonts w:hint="eastAsia" w:hAnsi="宋体"/>
          <w:szCs w:val="21"/>
        </w:rPr>
        <w:t xml:space="preserve">21.1.</w:t>
      </w:r>
      <w:r>
        <w:rPr>
          <w:rFonts w:hAnsi="宋体"/>
          <w:szCs w:val="21"/>
        </w:rPr>
        <w:t xml:space="preserve">2</w:t>
      </w:r>
      <w:r>
        <w:rPr>
          <w:rFonts w:hint="eastAsia" w:hAnsi="宋体"/>
          <w:szCs w:val="21"/>
        </w:rPr>
        <w:t xml:space="preserve"> 投标人撤回电子投标文件，则认为其不再参与本项目投标活动。</w:t>
      </w:r>
      <w:r/>
    </w:p>
    <w:p>
      <w:pPr>
        <w:ind w:firstLine="420"/>
        <w:spacing w:line="400" w:lineRule="exact"/>
        <w:rPr>
          <w:rFonts w:hAnsi="宋体"/>
          <w:szCs w:val="21"/>
        </w:rPr>
      </w:pPr>
      <w:r>
        <w:rPr>
          <w:rFonts w:hint="eastAsia" w:hAnsi="宋体"/>
          <w:szCs w:val="21"/>
        </w:rPr>
        <w:t xml:space="preserve">21.2 投标文件的修改</w:t>
      </w:r>
      <w:r/>
    </w:p>
    <w:p>
      <w:pPr>
        <w:ind w:firstLine="420"/>
        <w:spacing w:line="400" w:lineRule="exact"/>
        <w:rPr>
          <w:rFonts w:hAnsi="宋体"/>
          <w:szCs w:val="21"/>
        </w:rPr>
      </w:pPr>
      <w:r>
        <w:rPr>
          <w:rFonts w:hint="eastAsia" w:hAnsi="宋体"/>
          <w:szCs w:val="21"/>
        </w:rPr>
        <w:t xml:space="preserve">21.2.1投标人可在投标截止时间前，对其电子投标文件进行修改，具体操作方法见《操作手册》。</w:t>
      </w:r>
      <w:r/>
    </w:p>
    <w:p>
      <w:pPr>
        <w:ind w:firstLine="420"/>
        <w:spacing w:line="400" w:lineRule="exact"/>
        <w:rPr>
          <w:rFonts w:hAnsi="宋体"/>
          <w:szCs w:val="21"/>
        </w:rPr>
      </w:pPr>
      <w:r>
        <w:rPr>
          <w:rFonts w:hint="eastAsia" w:hAnsi="宋体"/>
          <w:szCs w:val="21"/>
        </w:rPr>
        <w:t xml:space="preserve">21.2.2 在投标截止时间之后，投标人不得对其电子投标文件作任何修改。</w:t>
      </w:r>
      <w:r/>
    </w:p>
    <w:p>
      <w:pPr>
        <w:ind w:firstLine="420"/>
        <w:spacing w:line="400" w:lineRule="exact"/>
        <w:rPr>
          <w:rFonts w:hAnsi="宋体"/>
          <w:szCs w:val="21"/>
        </w:rPr>
      </w:pPr>
      <w:r>
        <w:rPr>
          <w:rFonts w:hint="eastAsia" w:hAnsi="宋体"/>
          <w:szCs w:val="21"/>
        </w:rPr>
        <w:t xml:space="preserve">21.3 在投标截止时间至招标文件中规定的投标有效期满之间的这段时间内，投标人不得撤回其投标。</w:t>
      </w:r>
      <w:r/>
    </w:p>
    <w:p>
      <w:pPr>
        <w:pStyle w:val="1189"/>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五、开标与评标</w:t>
      </w:r>
      <w:r/>
    </w:p>
    <w:p>
      <w:pPr>
        <w:ind w:firstLine="420"/>
        <w:spacing w:line="400" w:lineRule="exact"/>
        <w:rPr>
          <w:rFonts w:hAnsi="宋体"/>
          <w:szCs w:val="21"/>
        </w:rPr>
      </w:pPr>
      <w:r>
        <w:rPr>
          <w:rFonts w:hint="eastAsia" w:hAnsi="宋体"/>
          <w:szCs w:val="21"/>
        </w:rPr>
        <w:t xml:space="preserve">22、开标</w:t>
      </w:r>
      <w:r/>
    </w:p>
    <w:p>
      <w:pPr>
        <w:ind w:firstLine="420"/>
        <w:spacing w:line="400" w:lineRule="exact"/>
        <w:rPr>
          <w:rFonts w:hAnsi="宋体"/>
          <w:szCs w:val="21"/>
        </w:rPr>
      </w:pPr>
      <w:r>
        <w:rPr>
          <w:rFonts w:hint="eastAsia" w:hAnsi="宋体"/>
          <w:szCs w:val="21"/>
        </w:rPr>
        <w:t xml:space="preserve">22.1 代理机构将在招标公告中规定的时间和地点组织公开开标。投标人应当按照《操作手册》规定，</w:t>
      </w:r>
      <w:r>
        <w:rPr>
          <w:rFonts w:hAnsi="宋体"/>
          <w:szCs w:val="21"/>
        </w:rPr>
        <w:t xml:space="preserve">参加开标活动</w:t>
      </w:r>
      <w:r>
        <w:rPr>
          <w:rFonts w:hint="eastAsia" w:hAnsi="宋体"/>
          <w:szCs w:val="21"/>
        </w:rPr>
        <w:t xml:space="preserve">和在苏采云系统规定的时间内对投标文件进行解密。</w:t>
      </w:r>
      <w:r/>
    </w:p>
    <w:p>
      <w:pPr>
        <w:ind w:firstLine="420"/>
        <w:spacing w:line="400" w:lineRule="exact"/>
        <w:rPr>
          <w:rFonts w:hAnsi="宋体"/>
          <w:szCs w:val="21"/>
        </w:rPr>
      </w:pPr>
      <w:r>
        <w:rPr>
          <w:rFonts w:hint="eastAsia" w:hAnsi="宋体"/>
          <w:szCs w:val="21"/>
        </w:rPr>
        <w:t xml:space="preserve">22.2开标仪式由代理机构组织。苏采云系统将自动对</w:t>
      </w:r>
      <w:r>
        <w:rPr>
          <w:rFonts w:hAnsi="宋体"/>
          <w:szCs w:val="21"/>
        </w:rPr>
        <w:t xml:space="preserve">项目进行开标，并</w:t>
      </w:r>
      <w:r>
        <w:rPr>
          <w:rFonts w:hint="eastAsia" w:hAnsi="宋体"/>
          <w:szCs w:val="21"/>
        </w:rPr>
        <w:t xml:space="preserve">宣布各</w:t>
      </w:r>
      <w:r>
        <w:rPr>
          <w:rFonts w:hAnsi="宋体"/>
          <w:szCs w:val="21"/>
        </w:rPr>
        <w:t xml:space="preserve">投标人</w:t>
      </w:r>
      <w:r>
        <w:rPr>
          <w:rFonts w:hint="eastAsia" w:hAnsi="宋体"/>
          <w:szCs w:val="21"/>
        </w:rPr>
        <w:t xml:space="preserve">名称和投标价格。</w:t>
      </w:r>
      <w:r/>
    </w:p>
    <w:p>
      <w:pPr>
        <w:ind w:firstLine="420"/>
        <w:spacing w:line="400" w:lineRule="exact"/>
        <w:rPr>
          <w:rFonts w:hAnsi="宋体"/>
          <w:szCs w:val="21"/>
        </w:rPr>
      </w:pPr>
      <w:r>
        <w:rPr>
          <w:rFonts w:hint="eastAsia" w:hAnsi="宋体"/>
          <w:szCs w:val="21"/>
        </w:rPr>
        <w:t xml:space="preserve">22.3投标人在开标过程中涉及到的投标文件解密、开标结果确认等工作，应按照《操作手册》规定执行。</w:t>
      </w:r>
      <w:r/>
    </w:p>
    <w:p>
      <w:pPr>
        <w:ind w:firstLine="420"/>
        <w:spacing w:line="400" w:lineRule="exact"/>
        <w:rPr>
          <w:rFonts w:hAnsi="宋体"/>
          <w:szCs w:val="21"/>
        </w:rPr>
      </w:pPr>
      <w:r>
        <w:rPr>
          <w:rFonts w:hint="eastAsia" w:hAnsi="宋体"/>
          <w:szCs w:val="21"/>
        </w:rPr>
        <w:t xml:space="preserve">22.4投标人如果对开标过程和开标记录有疑义，应当根据《操作手册》规定提出，如 苏采云系统中《开标记录表》宣布后5分钟内未提出的，视同认可开标结果。</w:t>
      </w:r>
      <w:r/>
    </w:p>
    <w:p>
      <w:pPr>
        <w:ind w:firstLine="420"/>
        <w:spacing w:line="400" w:lineRule="exact"/>
        <w:rPr>
          <w:rFonts w:hAnsi="宋体"/>
          <w:szCs w:val="21"/>
        </w:rPr>
      </w:pPr>
      <w:r>
        <w:rPr>
          <w:rFonts w:hint="eastAsia" w:hAnsi="宋体"/>
          <w:szCs w:val="21"/>
        </w:rPr>
        <w:t xml:space="preserve">23、评标委员会</w:t>
      </w:r>
      <w:r/>
    </w:p>
    <w:p>
      <w:pPr>
        <w:ind w:firstLine="420"/>
        <w:spacing w:line="400" w:lineRule="exact"/>
        <w:rPr>
          <w:rFonts w:hAnsi="宋体"/>
          <w:szCs w:val="21"/>
        </w:rPr>
      </w:pPr>
      <w:r>
        <w:rPr>
          <w:rFonts w:hint="eastAsia" w:hAnsi="宋体"/>
          <w:szCs w:val="21"/>
        </w:rPr>
        <w:t xml:space="preserve">   23.1 开标后，代理机构将立即组织评标委员会（以下简称评委会）进行评标。</w:t>
      </w:r>
      <w:r/>
    </w:p>
    <w:p>
      <w:pPr>
        <w:ind w:firstLine="420"/>
        <w:spacing w:line="400" w:lineRule="exact"/>
        <w:rPr>
          <w:rFonts w:hAnsi="宋体"/>
          <w:szCs w:val="21"/>
        </w:rPr>
      </w:pPr>
      <w:r>
        <w:rPr>
          <w:rFonts w:hint="eastAsia" w:hAnsi="宋体"/>
          <w:szCs w:val="21"/>
        </w:rPr>
        <w:t xml:space="preserve">   23.2 评委会由采购人代表和有关技术、经济等方面的专家组成，且人员构成符合政府采购有关规定。</w:t>
      </w:r>
      <w:r/>
    </w:p>
    <w:p>
      <w:pPr>
        <w:ind w:firstLine="420"/>
        <w:spacing w:line="400" w:lineRule="exact"/>
        <w:rPr>
          <w:rFonts w:hAnsi="宋体"/>
          <w:szCs w:val="21"/>
        </w:rPr>
      </w:pPr>
      <w:r>
        <w:rPr>
          <w:rFonts w:hint="eastAsia" w:hAnsi="宋体"/>
          <w:szCs w:val="21"/>
        </w:rPr>
        <w:t xml:space="preserve">   23.3评委会独立工作，负责评审所有投标文件并确定中标侯选人。</w:t>
      </w:r>
      <w:r/>
    </w:p>
    <w:p>
      <w:pPr>
        <w:ind w:firstLine="420"/>
        <w:spacing w:line="400" w:lineRule="exact"/>
        <w:rPr>
          <w:rFonts w:hAnsi="宋体"/>
          <w:szCs w:val="21"/>
        </w:rPr>
      </w:pPr>
      <w:r>
        <w:rPr>
          <w:rFonts w:hint="eastAsia" w:hAnsi="宋体"/>
          <w:szCs w:val="21"/>
        </w:rPr>
        <w:t xml:space="preserve">24、评标过程的保密与公正</w:t>
      </w:r>
      <w:r/>
    </w:p>
    <w:p>
      <w:pPr>
        <w:ind w:firstLine="420"/>
        <w:spacing w:line="400" w:lineRule="exact"/>
        <w:rPr>
          <w:rFonts w:hAnsi="宋体"/>
          <w:szCs w:val="21"/>
        </w:rPr>
      </w:pPr>
      <w:r>
        <w:rPr>
          <w:rFonts w:hint="eastAsia" w:hAnsi="宋体"/>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hAnsi="宋体"/>
          <w:szCs w:val="21"/>
        </w:rPr>
      </w:pPr>
      <w:r>
        <w:rPr>
          <w:rFonts w:hint="eastAsia" w:hAnsi="宋体"/>
          <w:szCs w:val="21"/>
        </w:rPr>
        <w:t xml:space="preserve">24.2在评标过程中，投标人不得以任何行为影响评标过程，否则其投标文件将被作为无效投标文件。</w:t>
      </w:r>
      <w:r/>
    </w:p>
    <w:p>
      <w:pPr>
        <w:ind w:firstLine="420"/>
        <w:spacing w:line="400" w:lineRule="exact"/>
        <w:rPr>
          <w:rFonts w:hAnsi="宋体"/>
          <w:szCs w:val="21"/>
        </w:rPr>
      </w:pPr>
      <w:r>
        <w:rPr>
          <w:rFonts w:hint="eastAsia" w:hAnsi="宋体"/>
          <w:szCs w:val="21"/>
        </w:rPr>
        <w:t xml:space="preserve">24.</w:t>
      </w:r>
      <w:r>
        <w:rPr>
          <w:rFonts w:hAnsi="宋体"/>
          <w:szCs w:val="21"/>
        </w:rPr>
        <w:t xml:space="preserve">3</w:t>
      </w:r>
      <w:r>
        <w:rPr>
          <w:rFonts w:hint="eastAsia" w:hAnsi="宋体"/>
          <w:szCs w:val="21"/>
        </w:rPr>
        <w:t xml:space="preserve"> 代理机构和评标委员会不向未中标的投标人解释未中标原因，也不公布评标过程中的相关细节。</w:t>
      </w:r>
      <w:r/>
    </w:p>
    <w:p>
      <w:pPr>
        <w:ind w:firstLine="420"/>
        <w:spacing w:line="400" w:lineRule="exact"/>
        <w:rPr>
          <w:rFonts w:hAnsi="宋体"/>
          <w:szCs w:val="21"/>
        </w:rPr>
      </w:pPr>
      <w:r>
        <w:rPr>
          <w:rFonts w:hint="eastAsia" w:hAnsi="宋体"/>
          <w:szCs w:val="21"/>
        </w:rPr>
        <w:t xml:space="preserve">24.4 采用综合评分法的项目，未中标的投标人可于中标结果公告期限届满之日起通过苏采云系统查看自己的评审得分及排序情况。</w:t>
      </w:r>
      <w:r/>
    </w:p>
    <w:p>
      <w:pPr>
        <w:ind w:firstLine="420"/>
        <w:spacing w:line="400" w:lineRule="exact"/>
        <w:rPr>
          <w:rFonts w:hAnsi="宋体"/>
          <w:szCs w:val="21"/>
        </w:rPr>
      </w:pPr>
      <w:r>
        <w:rPr>
          <w:rFonts w:hint="eastAsia" w:hAnsi="宋体"/>
          <w:szCs w:val="21"/>
        </w:rPr>
        <w:t xml:space="preserve">25、投标文件的澄清</w:t>
      </w:r>
      <w:r/>
    </w:p>
    <w:p>
      <w:pPr>
        <w:ind w:firstLine="420"/>
        <w:spacing w:line="400" w:lineRule="exact"/>
        <w:rPr>
          <w:rFonts w:hAnsi="宋体"/>
          <w:szCs w:val="21"/>
        </w:rPr>
      </w:pPr>
      <w:r>
        <w:rPr>
          <w:rFonts w:hAnsi="宋体"/>
          <w:szCs w:val="21"/>
        </w:rPr>
        <w:t xml:space="preserve">2</w:t>
      </w:r>
      <w:r>
        <w:rPr>
          <w:rFonts w:hint="eastAsia" w:hAnsi="宋体"/>
          <w:szCs w:val="21"/>
        </w:rPr>
        <w:t xml:space="preserve">5.</w:t>
      </w:r>
      <w:r>
        <w:rPr>
          <w:rFonts w:hAnsi="宋体"/>
          <w:szCs w:val="21"/>
        </w:rPr>
        <w:t xml:space="preserve">1</w:t>
      </w:r>
      <w:r>
        <w:rPr>
          <w:rFonts w:hint="eastAsia" w:hAnsi="宋体"/>
          <w:szCs w:val="21"/>
        </w:rPr>
        <w:t xml:space="preserve">评标期间，评委会对投标文件中含义不明确、同类问题表述不一致或者有明显文字和计算错误的内容</w:t>
      </w:r>
      <w:r>
        <w:rPr>
          <w:rFonts w:hAnsi="宋体"/>
          <w:szCs w:val="21"/>
        </w:rPr>
        <w:t xml:space="preserve"> </w:t>
      </w:r>
      <w:r>
        <w:rPr>
          <w:rFonts w:hint="eastAsia" w:hAnsi="宋体"/>
          <w:szCs w:val="21"/>
        </w:rPr>
        <w:t xml:space="preserve">，有权要求投标人作出必要的澄清、说明或者补正。</w:t>
      </w:r>
      <w:r/>
    </w:p>
    <w:p>
      <w:pPr>
        <w:ind w:firstLine="420"/>
        <w:spacing w:line="400" w:lineRule="exact"/>
        <w:rPr>
          <w:rFonts w:hAnsi="宋体"/>
          <w:szCs w:val="21"/>
        </w:rPr>
      </w:pPr>
      <w:r>
        <w:rPr>
          <w:rFonts w:hint="eastAsia" w:hAnsi="宋体"/>
          <w:szCs w:val="21"/>
        </w:rPr>
        <w:t xml:space="preserve">投标人的澄清、说明或者补正不得超出投标文件的范围或者改变投标文件的实质性内容。</w:t>
      </w:r>
      <w:r/>
    </w:p>
    <w:p>
      <w:pPr>
        <w:ind w:firstLine="420"/>
        <w:spacing w:line="400" w:lineRule="exact"/>
        <w:rPr>
          <w:rFonts w:hAnsi="宋体"/>
          <w:szCs w:val="21"/>
        </w:rPr>
      </w:pPr>
      <w:r>
        <w:rPr>
          <w:rFonts w:hint="eastAsia" w:hAnsi="宋体"/>
          <w:szCs w:val="21"/>
        </w:rPr>
        <w:t xml:space="preserve">评标</w:t>
      </w:r>
      <w:r>
        <w:rPr>
          <w:rFonts w:hAnsi="宋体"/>
          <w:szCs w:val="21"/>
        </w:rPr>
        <w:t xml:space="preserve">委员会并非对每个投标人都做澄清要求</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Ansi="宋体"/>
          <w:szCs w:val="21"/>
        </w:rPr>
      </w:pPr>
      <w:r>
        <w:rPr>
          <w:rFonts w:hint="eastAsia" w:hAnsi="宋体"/>
          <w:szCs w:val="21"/>
        </w:rPr>
        <w:t xml:space="preserve">    25.3 接到评委会澄清、说明和补正要求的投标人如未按规定做出澄清、说明和补正，其风险由投标人自行承担。</w:t>
      </w:r>
      <w:r/>
    </w:p>
    <w:p>
      <w:pPr>
        <w:ind w:firstLine="420"/>
        <w:spacing w:line="400" w:lineRule="exact"/>
        <w:rPr>
          <w:rFonts w:hAnsi="宋体"/>
          <w:szCs w:val="21"/>
        </w:rPr>
      </w:pPr>
      <w:r>
        <w:rPr>
          <w:rFonts w:hint="eastAsia" w:hAnsi="宋体"/>
          <w:szCs w:val="21"/>
        </w:rPr>
        <w:t xml:space="preserve">26、对投标文件的初审</w:t>
      </w:r>
      <w:r/>
    </w:p>
    <w:p>
      <w:pPr>
        <w:ind w:firstLine="420"/>
        <w:spacing w:line="400" w:lineRule="exact"/>
        <w:rPr>
          <w:rFonts w:hAnsi="宋体"/>
          <w:szCs w:val="21"/>
        </w:rPr>
      </w:pPr>
      <w:r>
        <w:rPr>
          <w:rFonts w:hint="eastAsia" w:hAnsi="宋体"/>
          <w:szCs w:val="21"/>
        </w:rPr>
        <w:t xml:space="preserve">26.1投标文件初审分为资格审查和符合性审查。</w:t>
      </w:r>
      <w:r/>
    </w:p>
    <w:p>
      <w:pPr>
        <w:ind w:firstLine="420"/>
        <w:spacing w:line="400" w:lineRule="exact"/>
        <w:rPr>
          <w:rFonts w:hAnsi="宋体"/>
          <w:szCs w:val="21"/>
        </w:rPr>
      </w:pPr>
      <w:r>
        <w:rPr>
          <w:rFonts w:hint="eastAsia" w:hAnsi="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hAnsi="宋体"/>
          <w:szCs w:val="21"/>
        </w:rPr>
      </w:pPr>
      <w:r>
        <w:rPr>
          <w:rFonts w:hint="eastAsia" w:hAnsi="宋体"/>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spacing w:line="400" w:lineRule="exact"/>
        <w:rPr>
          <w:rFonts w:hAnsi="宋体"/>
          <w:szCs w:val="21"/>
        </w:rPr>
      </w:pPr>
      <w:r>
        <w:rPr>
          <w:rFonts w:hint="eastAsia" w:hAnsi="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hAnsi="宋体"/>
          <w:szCs w:val="21"/>
        </w:rPr>
      </w:pPr>
      <w:r>
        <w:rPr>
          <w:rFonts w:hint="eastAsia" w:hAnsi="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hAnsi="宋体"/>
          <w:szCs w:val="21"/>
        </w:rPr>
      </w:pPr>
      <w:r>
        <w:rPr>
          <w:rFonts w:hint="eastAsia" w:hAnsi="宋体"/>
          <w:szCs w:val="21"/>
        </w:rPr>
        <w:t xml:space="preserve">26.</w:t>
      </w:r>
      <w:r>
        <w:rPr>
          <w:rFonts w:hAnsi="宋体"/>
          <w:szCs w:val="21"/>
        </w:rPr>
        <w:t xml:space="preserve">1.</w:t>
      </w:r>
      <w:r>
        <w:rPr>
          <w:rFonts w:hint="eastAsia" w:hAnsi="宋体"/>
          <w:szCs w:val="21"/>
        </w:rPr>
        <w:t xml:space="preserve">3 未通过资格审查或符合性审查的投标人，代理机构将在苏采云系统中告知未通过资格审查或符合性审查的原因，</w:t>
      </w:r>
      <w:r>
        <w:rPr>
          <w:rFonts w:hAnsi="宋体"/>
          <w:szCs w:val="21"/>
        </w:rPr>
        <w:t xml:space="preserve">评标结束后，</w:t>
      </w:r>
      <w:r>
        <w:rPr>
          <w:rFonts w:hint="eastAsia" w:hAnsi="宋体"/>
          <w:szCs w:val="21"/>
        </w:rPr>
        <w:t xml:space="preserve">代理机构</w:t>
      </w:r>
      <w:r>
        <w:rPr>
          <w:rFonts w:hAnsi="宋体"/>
          <w:szCs w:val="21"/>
        </w:rPr>
        <w:t xml:space="preserve">将不再告知未通过资格审查和</w:t>
      </w:r>
      <w:r>
        <w:rPr>
          <w:rFonts w:hint="eastAsia" w:hAnsi="宋体"/>
          <w:szCs w:val="21"/>
        </w:rPr>
        <w:t xml:space="preserve">符合性</w:t>
      </w:r>
      <w:r>
        <w:rPr>
          <w:rFonts w:hAnsi="宋体"/>
          <w:szCs w:val="21"/>
        </w:rPr>
        <w:t xml:space="preserve">审查的原因。</w:t>
      </w:r>
      <w:r/>
    </w:p>
    <w:p>
      <w:pPr>
        <w:ind w:firstLine="420"/>
        <w:spacing w:line="400" w:lineRule="exact"/>
        <w:rPr>
          <w:rFonts w:hAnsi="宋体"/>
          <w:szCs w:val="21"/>
        </w:rPr>
      </w:pPr>
      <w:r>
        <w:rPr>
          <w:rFonts w:hint="eastAsia" w:hAnsi="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Ansi="宋体"/>
          <w:szCs w:val="21"/>
        </w:rPr>
      </w:pPr>
      <w:r>
        <w:rPr>
          <w:rFonts w:hint="eastAsia" w:hAnsi="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hAnsi="宋体"/>
          <w:szCs w:val="21"/>
        </w:rPr>
      </w:pPr>
      <w:r>
        <w:rPr>
          <w:rFonts w:hint="eastAsia" w:hAnsi="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400" w:lineRule="exact"/>
        <w:rPr>
          <w:rFonts w:hAnsi="宋体"/>
          <w:szCs w:val="21"/>
        </w:rPr>
      </w:pPr>
      <w:r>
        <w:rPr>
          <w:rFonts w:hint="eastAsia" w:hAnsi="宋体"/>
          <w:szCs w:val="21"/>
        </w:rPr>
        <w:t xml:space="preserve">26.</w:t>
      </w:r>
      <w:r>
        <w:rPr>
          <w:rFonts w:hAnsi="宋体"/>
          <w:szCs w:val="21"/>
        </w:rPr>
        <w:t xml:space="preserve">4</w:t>
      </w:r>
      <w:r>
        <w:rPr>
          <w:rFonts w:hint="eastAsia" w:hAnsi="宋体"/>
          <w:szCs w:val="21"/>
        </w:rPr>
        <w:t xml:space="preserve">评委会将对确定为实质性响应的投标进行进一步审核，确定其是否有计算上或累加上的算术错误，修正错误的原则如下：</w:t>
      </w:r>
      <w:r/>
    </w:p>
    <w:p>
      <w:pPr>
        <w:ind w:firstLine="420"/>
        <w:spacing w:line="400" w:lineRule="exact"/>
        <w:rPr>
          <w:rFonts w:hAnsi="宋体"/>
          <w:szCs w:val="21"/>
        </w:rPr>
      </w:pPr>
      <w:r>
        <w:rPr>
          <w:rFonts w:hint="eastAsia" w:hAnsi="宋体"/>
          <w:szCs w:val="21"/>
        </w:rPr>
        <w:t xml:space="preserve">（1）投标文件中开标一览表内容与投标文件中相应内容不一致的，以开标一览表为准。</w:t>
      </w:r>
      <w:r/>
    </w:p>
    <w:p>
      <w:pPr>
        <w:ind w:firstLine="420"/>
        <w:spacing w:line="400" w:lineRule="exact"/>
        <w:rPr>
          <w:rFonts w:hAnsi="宋体"/>
          <w:szCs w:val="21"/>
        </w:rPr>
      </w:pPr>
      <w:r>
        <w:rPr>
          <w:rFonts w:hint="eastAsia" w:hAnsi="宋体"/>
          <w:szCs w:val="21"/>
        </w:rPr>
        <w:t xml:space="preserve">（2）大写金额和小写金额不一致的，以大写金额为准。</w:t>
      </w:r>
      <w:r/>
    </w:p>
    <w:p>
      <w:pPr>
        <w:ind w:firstLine="420"/>
        <w:spacing w:line="400" w:lineRule="exact"/>
        <w:rPr>
          <w:rFonts w:hAnsi="宋体"/>
          <w:szCs w:val="21"/>
        </w:rPr>
      </w:pPr>
      <w:r>
        <w:rPr>
          <w:rFonts w:hint="eastAsia" w:hAnsi="宋体"/>
          <w:szCs w:val="21"/>
        </w:rPr>
        <w:t xml:space="preserve">（3）单价金额小数点或者百分比有明显错位的，以开标一览表的总价为准，并修改单价。</w:t>
      </w:r>
      <w:r/>
    </w:p>
    <w:p>
      <w:pPr>
        <w:ind w:firstLine="420"/>
        <w:spacing w:line="400" w:lineRule="exact"/>
        <w:rPr>
          <w:rFonts w:hAnsi="宋体"/>
          <w:szCs w:val="21"/>
        </w:rPr>
      </w:pPr>
      <w:r>
        <w:rPr>
          <w:rFonts w:hint="eastAsia" w:hAnsi="宋体"/>
          <w:szCs w:val="21"/>
        </w:rPr>
        <w:t xml:space="preserve">（4）总价金额与按单价汇总金额不一致的，以单价金额计算结果为准。</w:t>
      </w:r>
      <w:r/>
    </w:p>
    <w:p>
      <w:pPr>
        <w:ind w:firstLine="420"/>
        <w:spacing w:line="400" w:lineRule="exact"/>
        <w:rPr>
          <w:rFonts w:hAnsi="宋体"/>
          <w:szCs w:val="21"/>
        </w:rPr>
      </w:pPr>
      <w:r>
        <w:rPr>
          <w:rFonts w:hint="eastAsia" w:hAnsi="宋体"/>
          <w:szCs w:val="21"/>
        </w:rPr>
        <w:t xml:space="preserve">同时出现两种以上错误的，按照前款规定的顺序修正。</w:t>
      </w:r>
      <w:r/>
    </w:p>
    <w:p>
      <w:pPr>
        <w:ind w:firstLine="420"/>
        <w:spacing w:line="400" w:lineRule="exact"/>
        <w:rPr>
          <w:rFonts w:hAnsi="宋体"/>
          <w:szCs w:val="21"/>
        </w:rPr>
      </w:pPr>
      <w:r>
        <w:rPr>
          <w:rFonts w:hint="eastAsia" w:hAnsi="宋体"/>
          <w:szCs w:val="21"/>
        </w:rPr>
        <w:t xml:space="preserve">26.</w:t>
      </w:r>
      <w:r>
        <w:rPr>
          <w:rFonts w:hAnsi="宋体"/>
          <w:szCs w:val="21"/>
        </w:rPr>
        <w:t xml:space="preserve">5</w:t>
      </w:r>
      <w:r>
        <w:rPr>
          <w:rFonts w:hint="eastAsia" w:hAnsi="宋体"/>
          <w:szCs w:val="21"/>
        </w:rPr>
        <w:t xml:space="preserve"> 评委会将按上述修正错误的方法调整投标文件中的投标报价，并</w:t>
      </w:r>
      <w:r>
        <w:rPr>
          <w:rFonts w:hAnsi="宋体"/>
          <w:szCs w:val="21"/>
        </w:rPr>
        <w:t xml:space="preserve">通过</w:t>
      </w:r>
      <w:r>
        <w:rPr>
          <w:rFonts w:hint="eastAsia" w:hAnsi="宋体"/>
          <w:szCs w:val="21"/>
        </w:rPr>
        <w:t xml:space="preserve">苏采云系统告知</w:t>
      </w:r>
      <w:r>
        <w:rPr>
          <w:rFonts w:hAnsi="宋体"/>
          <w:szCs w:val="21"/>
        </w:rPr>
        <w:t xml:space="preserve">投标人，</w:t>
      </w:r>
      <w:r>
        <w:rPr>
          <w:rFonts w:hint="eastAsia" w:hAnsi="宋体"/>
          <w:szCs w:val="21"/>
        </w:rPr>
        <w:t xml:space="preserve">调整后的价格应对投标人具有约束力。如果投标人不接受修正后的价格，则其投标将被拒绝。</w:t>
      </w:r>
      <w:r/>
    </w:p>
    <w:p>
      <w:pPr>
        <w:ind w:firstLine="420"/>
        <w:spacing w:line="400" w:lineRule="exact"/>
        <w:rPr>
          <w:rFonts w:hAnsi="宋体"/>
          <w:szCs w:val="21"/>
        </w:rPr>
      </w:pPr>
      <w:r>
        <w:rPr>
          <w:rFonts w:hint="eastAsia" w:hAnsi="宋体"/>
          <w:szCs w:val="21"/>
        </w:rPr>
        <w:t xml:space="preserve">26.6投标人在开、评标全过程中应保持通讯畅通，及时登录苏采云系统查阅</w:t>
      </w:r>
      <w:r>
        <w:rPr>
          <w:rFonts w:hAnsi="宋体"/>
          <w:szCs w:val="21"/>
        </w:rPr>
        <w:t xml:space="preserve">、答复相关</w:t>
      </w:r>
      <w:r>
        <w:rPr>
          <w:rFonts w:hint="eastAsia" w:hAnsi="宋体"/>
          <w:szCs w:val="21"/>
        </w:rPr>
        <w:t xml:space="preserve">信息</w:t>
      </w:r>
      <w:r>
        <w:rPr>
          <w:rFonts w:hAnsi="宋体"/>
          <w:szCs w:val="21"/>
        </w:rPr>
        <w:t xml:space="preserve">，</w:t>
      </w:r>
      <w:r>
        <w:rPr>
          <w:rFonts w:hint="eastAsia" w:hAnsi="宋体"/>
          <w:szCs w:val="21"/>
        </w:rPr>
        <w:t xml:space="preserve">并安排专人与代理机构及评标委员会联系。</w:t>
      </w:r>
      <w:r/>
    </w:p>
    <w:p>
      <w:pPr>
        <w:ind w:firstLine="420"/>
        <w:spacing w:line="400" w:lineRule="exact"/>
        <w:rPr>
          <w:rFonts w:hAnsi="宋体"/>
          <w:szCs w:val="21"/>
        </w:rPr>
      </w:pPr>
      <w:r>
        <w:rPr>
          <w:rFonts w:hint="eastAsia" w:hAnsi="宋体"/>
          <w:szCs w:val="21"/>
        </w:rPr>
        <w:t xml:space="preserve">27、无效投标条款和废标条款</w:t>
      </w:r>
      <w:r/>
    </w:p>
    <w:p>
      <w:pPr>
        <w:ind w:firstLine="420"/>
        <w:spacing w:line="400" w:lineRule="exact"/>
        <w:rPr>
          <w:rFonts w:hAnsi="宋体"/>
          <w:szCs w:val="21"/>
        </w:rPr>
      </w:pPr>
      <w:r>
        <w:rPr>
          <w:rFonts w:hint="eastAsia" w:hAnsi="宋体"/>
          <w:szCs w:val="21"/>
        </w:rPr>
        <w:t xml:space="preserve">27.1无效投标条款</w:t>
      </w:r>
      <w:r/>
    </w:p>
    <w:p>
      <w:pPr>
        <w:ind w:firstLine="420"/>
        <w:spacing w:line="400" w:lineRule="exact"/>
        <w:rPr>
          <w:rFonts w:hAnsi="宋体"/>
          <w:szCs w:val="21"/>
        </w:rPr>
      </w:pPr>
      <w:r>
        <w:rPr>
          <w:rFonts w:hint="eastAsia" w:hAnsi="宋体"/>
          <w:szCs w:val="21"/>
        </w:rPr>
        <w:t xml:space="preserve">27.1.1 投标人在苏采云系统规定的时间内未成功解密电子投标文件的。</w:t>
      </w:r>
      <w:r/>
    </w:p>
    <w:p>
      <w:pPr>
        <w:ind w:firstLine="420"/>
        <w:spacing w:line="400" w:lineRule="exact"/>
        <w:rPr>
          <w:rFonts w:hAnsi="宋体"/>
          <w:szCs w:val="21"/>
        </w:rPr>
      </w:pPr>
      <w:r>
        <w:rPr>
          <w:rFonts w:hint="eastAsia" w:hAnsi="宋体"/>
          <w:szCs w:val="21"/>
        </w:rPr>
        <w:t xml:space="preserve">27.1.2 投标人未按照招标文件要求上传电子投标文件的。</w:t>
      </w:r>
      <w:r/>
    </w:p>
    <w:p>
      <w:pPr>
        <w:ind w:firstLine="420"/>
        <w:spacing w:line="400" w:lineRule="exact"/>
        <w:rPr>
          <w:rFonts w:hAnsi="宋体"/>
          <w:szCs w:val="21"/>
        </w:rPr>
      </w:pPr>
      <w:r>
        <w:rPr>
          <w:rFonts w:hint="eastAsia" w:hAnsi="宋体"/>
          <w:szCs w:val="21"/>
        </w:rPr>
        <w:t xml:space="preserve">27.1.3同一投标人提交两个（含两个）以上不同的投标报价的。</w:t>
      </w:r>
      <w:r/>
    </w:p>
    <w:p>
      <w:pPr>
        <w:ind w:firstLine="420"/>
        <w:spacing w:line="400" w:lineRule="exact"/>
        <w:rPr>
          <w:rFonts w:hAnsi="宋体"/>
          <w:szCs w:val="21"/>
        </w:rPr>
      </w:pPr>
      <w:r>
        <w:rPr>
          <w:rFonts w:hint="eastAsia" w:hAnsi="宋体"/>
          <w:szCs w:val="21"/>
        </w:rPr>
        <w:t xml:space="preserve">27.1.4投标人不具备招标文件中规定资格要求的。</w:t>
      </w:r>
      <w:r/>
    </w:p>
    <w:p>
      <w:pPr>
        <w:ind w:firstLine="420"/>
        <w:spacing w:line="400" w:lineRule="exact"/>
        <w:rPr>
          <w:rFonts w:hAnsi="宋体"/>
          <w:szCs w:val="21"/>
        </w:rPr>
      </w:pPr>
      <w:r>
        <w:rPr>
          <w:rFonts w:hint="eastAsia" w:hAnsi="宋体"/>
          <w:szCs w:val="21"/>
        </w:rPr>
        <w:t xml:space="preserve">27.1.5投标人的报价超过了采购预算或最高限价的。</w:t>
      </w:r>
      <w:r/>
    </w:p>
    <w:p>
      <w:pPr>
        <w:ind w:firstLine="420"/>
        <w:spacing w:line="400" w:lineRule="exact"/>
        <w:rPr>
          <w:rFonts w:hAnsi="宋体"/>
          <w:szCs w:val="21"/>
        </w:rPr>
      </w:pPr>
      <w:r>
        <w:rPr>
          <w:rFonts w:hint="eastAsia" w:hAnsi="宋体"/>
          <w:szCs w:val="21"/>
        </w:rPr>
        <w:t xml:space="preserve">27.1.6未通过符合性审查的。</w:t>
      </w:r>
      <w:r/>
    </w:p>
    <w:p>
      <w:pPr>
        <w:ind w:firstLine="420"/>
        <w:spacing w:line="400" w:lineRule="exact"/>
        <w:rPr>
          <w:rFonts w:hAnsi="宋体"/>
          <w:szCs w:val="21"/>
        </w:rPr>
      </w:pPr>
      <w:r>
        <w:rPr>
          <w:rFonts w:hint="eastAsia" w:hAnsi="宋体"/>
          <w:szCs w:val="21"/>
        </w:rPr>
        <w:t xml:space="preserve"> 27.1.7不符合招标文件中规定的实质性要求和条件的（</w:t>
      </w:r>
      <w:r>
        <w:rPr>
          <w:rFonts w:hint="eastAsia" w:hAnsi="宋体"/>
          <w:i/>
          <w:szCs w:val="21"/>
          <w:u w:val="single"/>
        </w:rPr>
        <w:t xml:space="preserve">本招标文件中斜体且有下划线部分为实质性要求和条件</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27.1.8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spacing w:line="400" w:lineRule="exact"/>
        <w:rPr>
          <w:rFonts w:hAnsi="宋体"/>
          <w:szCs w:val="21"/>
        </w:rPr>
      </w:pPr>
      <w:r>
        <w:rPr>
          <w:rFonts w:hint="eastAsia" w:hAnsi="宋体"/>
          <w:szCs w:val="21"/>
        </w:rPr>
        <w:t xml:space="preserve">27.1.9 投标文件含有采购人不能接受的附加条件的。</w:t>
      </w:r>
      <w:r/>
    </w:p>
    <w:p>
      <w:pPr>
        <w:ind w:firstLine="420"/>
        <w:spacing w:line="400" w:lineRule="exact"/>
        <w:rPr>
          <w:rFonts w:hAnsi="宋体"/>
          <w:szCs w:val="21"/>
        </w:rPr>
      </w:pPr>
      <w:r>
        <w:rPr>
          <w:rFonts w:hint="eastAsia" w:hAnsi="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400" w:lineRule="exact"/>
        <w:rPr>
          <w:rFonts w:hAnsi="宋体"/>
          <w:szCs w:val="21"/>
        </w:rPr>
      </w:pPr>
      <w:r>
        <w:rPr>
          <w:rFonts w:hint="eastAsia" w:hAnsi="宋体"/>
          <w:szCs w:val="21"/>
        </w:rPr>
        <w:t xml:space="preserve">27.1.11 投标文件未按照招标文件要求加盖CA</w:t>
      </w:r>
      <w:r>
        <w:rPr>
          <w:rFonts w:hAnsi="宋体"/>
          <w:szCs w:val="21"/>
        </w:rPr>
        <w:t xml:space="preserve">电子公章的</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27.1.12其他法律、法规及本招标文件规定的属无效投标的情形。</w:t>
      </w:r>
      <w:r/>
    </w:p>
    <w:p>
      <w:pPr>
        <w:ind w:firstLine="420"/>
        <w:spacing w:line="400" w:lineRule="exact"/>
        <w:rPr>
          <w:rFonts w:hAnsi="宋体"/>
          <w:szCs w:val="21"/>
        </w:rPr>
      </w:pPr>
      <w:r>
        <w:rPr>
          <w:rFonts w:hint="eastAsia" w:hAnsi="宋体"/>
          <w:szCs w:val="21"/>
        </w:rPr>
        <w:t xml:space="preserve">27.2废标条款</w:t>
      </w:r>
      <w:r/>
    </w:p>
    <w:p>
      <w:pPr>
        <w:ind w:firstLine="420"/>
        <w:spacing w:line="400" w:lineRule="exact"/>
        <w:rPr>
          <w:rFonts w:hAnsi="宋体"/>
          <w:szCs w:val="21"/>
        </w:rPr>
      </w:pPr>
      <w:r>
        <w:rPr>
          <w:rFonts w:hint="eastAsia" w:hAnsi="宋体"/>
          <w:szCs w:val="21"/>
        </w:rPr>
        <w:t xml:space="preserve">27.2.1符合专业条件的供应商或者对招标文件作实质响应的供应商不足三家的。27.2.2出现影响采购公正的违法、违规行为的。</w:t>
      </w:r>
      <w:r/>
    </w:p>
    <w:p>
      <w:pPr>
        <w:ind w:firstLine="420"/>
        <w:spacing w:line="400" w:lineRule="exact"/>
        <w:rPr>
          <w:rFonts w:hAnsi="宋体"/>
          <w:szCs w:val="21"/>
        </w:rPr>
      </w:pPr>
      <w:r>
        <w:rPr>
          <w:rFonts w:hint="eastAsia" w:hAnsi="宋体"/>
          <w:szCs w:val="21"/>
        </w:rPr>
        <w:t xml:space="preserve">27.2.3因重大变故，采购任务取消的。</w:t>
      </w:r>
      <w:r/>
    </w:p>
    <w:p>
      <w:pPr>
        <w:ind w:firstLine="420"/>
        <w:spacing w:line="400" w:lineRule="exact"/>
        <w:rPr>
          <w:rFonts w:hAnsi="宋体"/>
          <w:szCs w:val="21"/>
        </w:rPr>
      </w:pPr>
      <w:r>
        <w:rPr>
          <w:rFonts w:hint="eastAsia" w:hAnsi="宋体"/>
          <w:szCs w:val="21"/>
        </w:rPr>
        <w:t xml:space="preserve">27.2.4评标委员会认定招标文件存在歧义、重大缺陷导致评审工作无法进行。</w:t>
      </w:r>
      <w:r/>
    </w:p>
    <w:p>
      <w:pPr>
        <w:ind w:firstLine="420"/>
        <w:spacing w:line="400" w:lineRule="exact"/>
        <w:rPr>
          <w:rFonts w:hAnsi="宋体"/>
          <w:szCs w:val="21"/>
        </w:rPr>
      </w:pPr>
      <w:r>
        <w:rPr>
          <w:rFonts w:hint="eastAsia" w:hAnsi="宋体"/>
          <w:szCs w:val="21"/>
        </w:rPr>
        <w:t xml:space="preserve">27.2.5 因苏采云系统</w:t>
      </w:r>
      <w:r>
        <w:rPr>
          <w:rFonts w:hAnsi="宋体"/>
          <w:szCs w:val="21"/>
        </w:rPr>
        <w:t xml:space="preserve">系统故障原因造成开标不成功</w:t>
      </w:r>
      <w:r>
        <w:rPr>
          <w:rFonts w:hint="eastAsia" w:hAnsi="宋体"/>
          <w:szCs w:val="21"/>
        </w:rPr>
        <w:t xml:space="preserve">的</w:t>
      </w:r>
      <w:r>
        <w:rPr>
          <w:rFonts w:hAnsi="宋体"/>
          <w:szCs w:val="21"/>
        </w:rPr>
        <w:t xml:space="preserve">。</w:t>
      </w:r>
      <w:r/>
    </w:p>
    <w:p>
      <w:pPr>
        <w:ind w:firstLine="420"/>
        <w:spacing w:line="400" w:lineRule="exact"/>
        <w:rPr>
          <w:rFonts w:hAnsi="宋体"/>
          <w:szCs w:val="21"/>
        </w:rPr>
      </w:pPr>
      <w:r>
        <w:rPr>
          <w:rFonts w:hint="eastAsia" w:hAnsi="宋体"/>
          <w:szCs w:val="21"/>
        </w:rPr>
        <w:t xml:space="preserve">27.3 投标截止时间结束后参加投标的供应商不足三家的处理：</w:t>
      </w:r>
      <w:r/>
    </w:p>
    <w:p>
      <w:pPr>
        <w:ind w:firstLine="420"/>
        <w:spacing w:line="400" w:lineRule="exact"/>
        <w:rPr>
          <w:rFonts w:hAnsi="宋体"/>
          <w:szCs w:val="21"/>
        </w:rPr>
      </w:pPr>
      <w:r>
        <w:rPr>
          <w:rFonts w:hint="eastAsia" w:hAnsi="宋体"/>
          <w:szCs w:val="21"/>
        </w:rPr>
        <w:t xml:space="preserve">27.3.1如出现投标截止时间结束后参加投标的供应商或者在评标期间对招标文件做出实质响应的供应商不足三家情况，按政府采购相关规定执行。</w:t>
      </w:r>
      <w:r/>
    </w:p>
    <w:p>
      <w:pPr>
        <w:pStyle w:val="1189"/>
        <w:ind w:firstLine="482"/>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六、定标</w:t>
      </w:r>
      <w:r/>
    </w:p>
    <w:p>
      <w:pPr>
        <w:ind w:firstLine="420"/>
        <w:spacing w:line="400" w:lineRule="exact"/>
        <w:rPr>
          <w:rFonts w:hAnsi="宋体"/>
          <w:szCs w:val="21"/>
        </w:rPr>
      </w:pPr>
      <w:r>
        <w:rPr>
          <w:rFonts w:hint="eastAsia" w:hAnsi="宋体"/>
          <w:szCs w:val="21"/>
        </w:rPr>
        <w:t xml:space="preserve">28、确定中标单位</w:t>
      </w:r>
      <w:r/>
    </w:p>
    <w:p>
      <w:pPr>
        <w:ind w:firstLine="420"/>
        <w:spacing w:line="400" w:lineRule="exact"/>
        <w:rPr>
          <w:rFonts w:hAnsi="宋体"/>
          <w:szCs w:val="21"/>
        </w:rPr>
      </w:pPr>
      <w:r>
        <w:rPr>
          <w:rFonts w:hint="eastAsia" w:hAnsi="宋体"/>
          <w:szCs w:val="21"/>
        </w:rPr>
        <w:t xml:space="preserve">28.1中标候选人的选取原则和数量见招标文件第五章规定。 </w:t>
      </w:r>
      <w:r/>
    </w:p>
    <w:p>
      <w:pPr>
        <w:ind w:firstLine="420"/>
        <w:spacing w:line="400" w:lineRule="exact"/>
        <w:rPr>
          <w:rFonts w:hAnsi="宋体"/>
          <w:szCs w:val="21"/>
        </w:rPr>
      </w:pPr>
      <w:r>
        <w:rPr>
          <w:rFonts w:hint="eastAsia" w:hAnsi="宋体"/>
          <w:szCs w:val="21"/>
        </w:rPr>
        <w:t xml:space="preserve">28.2 采购人应根据评委会推荐的中标候选人确定中标人。</w:t>
      </w:r>
      <w:r/>
    </w:p>
    <w:p>
      <w:pPr>
        <w:ind w:firstLine="420"/>
        <w:spacing w:line="400" w:lineRule="exact"/>
        <w:rPr>
          <w:rFonts w:hAnsi="宋体"/>
          <w:szCs w:val="21"/>
        </w:rPr>
      </w:pPr>
      <w:r>
        <w:rPr>
          <w:rFonts w:hint="eastAsia" w:hAnsi="宋体"/>
          <w:szCs w:val="21"/>
        </w:rPr>
        <w:t xml:space="preserve">28.3 代理机构将在“江苏政府采购网”、“扬州市政府采购网”发布中标公告，公告期限为1个工作日。</w:t>
      </w:r>
      <w:r/>
    </w:p>
    <w:p>
      <w:pPr>
        <w:ind w:firstLine="420"/>
        <w:spacing w:line="400" w:lineRule="exact"/>
        <w:rPr>
          <w:rFonts w:hAnsi="宋体"/>
          <w:szCs w:val="21"/>
        </w:rPr>
      </w:pPr>
      <w:r>
        <w:rPr>
          <w:rFonts w:hint="eastAsia" w:hAnsi="宋体"/>
          <w:szCs w:val="21"/>
        </w:rPr>
        <w:t xml:space="preserve">28.4  若有充分证据证明，中标人出现下列情况之一的，一经查实，将被取消中标资格：</w:t>
      </w:r>
      <w:r/>
    </w:p>
    <w:p>
      <w:pPr>
        <w:ind w:firstLine="420"/>
        <w:spacing w:line="400" w:lineRule="exact"/>
        <w:rPr>
          <w:rFonts w:hAnsi="宋体"/>
          <w:szCs w:val="21"/>
        </w:rPr>
      </w:pPr>
      <w:r>
        <w:rPr>
          <w:rFonts w:hint="eastAsia" w:hAnsi="宋体"/>
          <w:szCs w:val="21"/>
        </w:rPr>
        <w:t xml:space="preserve">28.4.1提供虚假材料谋取中标的。</w:t>
      </w:r>
      <w:r/>
    </w:p>
    <w:p>
      <w:pPr>
        <w:ind w:firstLine="420"/>
        <w:spacing w:line="400" w:lineRule="exact"/>
        <w:rPr>
          <w:rFonts w:hAnsi="宋体"/>
          <w:szCs w:val="21"/>
        </w:rPr>
      </w:pPr>
      <w:r>
        <w:rPr>
          <w:rFonts w:hint="eastAsia" w:hAnsi="宋体"/>
          <w:szCs w:val="21"/>
        </w:rPr>
        <w:t xml:space="preserve">28.4.2向采购人、代理机构行贿或者提供其他不正当利益的。</w:t>
      </w:r>
      <w:r/>
    </w:p>
    <w:p>
      <w:pPr>
        <w:ind w:firstLine="420"/>
        <w:spacing w:line="400" w:lineRule="exact"/>
        <w:rPr>
          <w:rFonts w:hAnsi="宋体"/>
          <w:szCs w:val="21"/>
        </w:rPr>
      </w:pPr>
      <w:r>
        <w:rPr>
          <w:rFonts w:hint="eastAsia" w:hAnsi="宋体"/>
          <w:szCs w:val="21"/>
        </w:rPr>
        <w:t xml:space="preserve">28.4.3属于本文件规定的无效条件，但在评标过程中又未被评委会发现的。</w:t>
      </w:r>
      <w:r/>
    </w:p>
    <w:p>
      <w:pPr>
        <w:ind w:firstLine="420"/>
        <w:spacing w:line="400" w:lineRule="exact"/>
        <w:rPr>
          <w:rFonts w:hAnsi="宋体"/>
          <w:szCs w:val="21"/>
        </w:rPr>
      </w:pPr>
      <w:r>
        <w:rPr>
          <w:rFonts w:hint="eastAsia" w:hAnsi="宋体"/>
          <w:szCs w:val="21"/>
        </w:rPr>
        <w:t xml:space="preserve">28.4.4与采购人或者其他供应商恶意串通的。</w:t>
      </w:r>
      <w:r/>
    </w:p>
    <w:p>
      <w:pPr>
        <w:ind w:firstLine="420"/>
        <w:spacing w:line="400" w:lineRule="exact"/>
        <w:rPr>
          <w:rFonts w:hAnsi="宋体"/>
          <w:szCs w:val="21"/>
        </w:rPr>
      </w:pPr>
      <w:r>
        <w:rPr>
          <w:rFonts w:hint="eastAsia" w:hAnsi="宋体"/>
          <w:szCs w:val="21"/>
        </w:rPr>
        <w:t xml:space="preserve">28.4.5采取不正当手段诋毁、排挤其他供应商的。</w:t>
      </w:r>
      <w:r/>
    </w:p>
    <w:p>
      <w:pPr>
        <w:ind w:firstLine="420"/>
        <w:spacing w:line="400" w:lineRule="exact"/>
        <w:rPr>
          <w:rFonts w:hAnsi="宋体"/>
          <w:szCs w:val="21"/>
        </w:rPr>
      </w:pPr>
      <w:r>
        <w:rPr>
          <w:rFonts w:hint="eastAsia" w:hAnsi="宋体"/>
          <w:szCs w:val="21"/>
        </w:rPr>
        <w:t xml:space="preserve">28.5 </w:t>
      </w:r>
      <w:r>
        <w:rPr>
          <w:rFonts w:hAnsi="宋体"/>
          <w:szCs w:val="21"/>
        </w:rPr>
        <w:t xml:space="preserve">有下列情形之一的，</w:t>
      </w:r>
      <w:r>
        <w:rPr>
          <w:rFonts w:hint="eastAsia" w:hAnsi="宋体"/>
          <w:szCs w:val="21"/>
        </w:rPr>
        <w:t xml:space="preserve">视为投标人</w:t>
      </w:r>
      <w:r>
        <w:rPr>
          <w:rFonts w:hAnsi="宋体"/>
          <w:szCs w:val="21"/>
        </w:rPr>
        <w:t xml:space="preserve">串通</w:t>
      </w:r>
      <w:r>
        <w:rPr>
          <w:rFonts w:hint="eastAsia" w:hAnsi="宋体"/>
          <w:szCs w:val="21"/>
        </w:rPr>
        <w:t xml:space="preserve">投标，投标无效：</w:t>
      </w:r>
      <w:r/>
    </w:p>
    <w:p>
      <w:pPr>
        <w:ind w:firstLine="420"/>
        <w:spacing w:line="400" w:lineRule="exact"/>
        <w:rPr>
          <w:rFonts w:hAnsi="宋体"/>
          <w:szCs w:val="21"/>
        </w:rPr>
      </w:pPr>
      <w:r>
        <w:rPr>
          <w:rFonts w:hint="eastAsia" w:hAnsi="宋体"/>
          <w:szCs w:val="21"/>
        </w:rPr>
        <w:t xml:space="preserve">28.5.1不同投标人的投标文件由同一单位或者个人编制。</w:t>
      </w:r>
      <w:r/>
    </w:p>
    <w:p>
      <w:pPr>
        <w:ind w:firstLine="420"/>
        <w:spacing w:line="400" w:lineRule="exact"/>
        <w:rPr>
          <w:rFonts w:hAnsi="宋体"/>
          <w:szCs w:val="21"/>
        </w:rPr>
      </w:pPr>
      <w:r>
        <w:rPr>
          <w:rFonts w:hint="eastAsia" w:hAnsi="宋体"/>
          <w:szCs w:val="21"/>
        </w:rPr>
        <w:t xml:space="preserve">28.5.2不同投标人委托同一单位或者个人办理投标事宜。</w:t>
      </w:r>
      <w:r/>
    </w:p>
    <w:p>
      <w:pPr>
        <w:ind w:firstLine="420"/>
        <w:spacing w:line="400" w:lineRule="exact"/>
        <w:rPr>
          <w:rFonts w:hAnsi="宋体"/>
          <w:szCs w:val="21"/>
        </w:rPr>
      </w:pPr>
      <w:r>
        <w:rPr>
          <w:rFonts w:hint="eastAsia" w:hAnsi="宋体"/>
          <w:szCs w:val="21"/>
        </w:rPr>
        <w:t xml:space="preserve">28.5.3 不同投标人的投标文件载明的项目管理成员或者联系人员为同一人。</w:t>
      </w:r>
      <w:r/>
    </w:p>
    <w:p>
      <w:pPr>
        <w:ind w:firstLine="420"/>
        <w:spacing w:line="400" w:lineRule="exact"/>
        <w:rPr>
          <w:rFonts w:hAnsi="宋体"/>
          <w:szCs w:val="21"/>
        </w:rPr>
      </w:pPr>
      <w:r>
        <w:rPr>
          <w:rFonts w:hint="eastAsia" w:hAnsi="宋体"/>
          <w:szCs w:val="21"/>
        </w:rPr>
        <w:t xml:space="preserve">28.5.4不同投标人的投标文件异常一致或者投标报价呈规律性差异。</w:t>
      </w:r>
      <w:r/>
    </w:p>
    <w:p>
      <w:pPr>
        <w:ind w:firstLine="420"/>
        <w:spacing w:line="400" w:lineRule="exact"/>
        <w:rPr>
          <w:rFonts w:hAnsi="宋体"/>
          <w:szCs w:val="21"/>
        </w:rPr>
      </w:pPr>
      <w:r>
        <w:rPr>
          <w:rFonts w:hint="eastAsia" w:hAnsi="宋体"/>
          <w:szCs w:val="21"/>
        </w:rPr>
        <w:t xml:space="preserve">29、质疑处理</w:t>
      </w:r>
      <w:r/>
    </w:p>
    <w:p>
      <w:pPr>
        <w:ind w:firstLine="420"/>
        <w:spacing w:line="400" w:lineRule="exact"/>
        <w:rPr>
          <w:rFonts w:hAnsi="宋体"/>
          <w:szCs w:val="21"/>
        </w:rPr>
      </w:pPr>
      <w:r>
        <w:rPr>
          <w:rFonts w:hint="eastAsia" w:hAnsi="宋体"/>
          <w:szCs w:val="21"/>
        </w:rPr>
        <w:t xml:space="preserve">29.1 提出质疑的供应商应当是参与所质疑项目采购活动的供应商。潜在供应商依法获取其可质疑的采购文件的，可以对采购文件提出质疑。</w:t>
      </w:r>
      <w:r/>
    </w:p>
    <w:p>
      <w:pPr>
        <w:ind w:firstLine="420"/>
        <w:spacing w:line="400" w:lineRule="exact"/>
        <w:rPr>
          <w:rFonts w:hAnsi="宋体"/>
          <w:szCs w:val="21"/>
        </w:rPr>
      </w:pPr>
      <w:r>
        <w:rPr>
          <w:rFonts w:hint="eastAsia" w:hAnsi="宋体"/>
          <w:szCs w:val="21"/>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400" w:lineRule="exact"/>
        <w:rPr>
          <w:rFonts w:hAnsi="宋体"/>
          <w:szCs w:val="21"/>
        </w:rPr>
      </w:pPr>
      <w:r>
        <w:rPr>
          <w:rFonts w:hint="eastAsia" w:hAnsi="宋体"/>
          <w:szCs w:val="21"/>
        </w:rPr>
        <w:t xml:space="preserve">29.2.1</w:t>
      </w:r>
      <w:r>
        <w:rPr>
          <w:rFonts w:hAnsi="宋体"/>
          <w:szCs w:val="21"/>
        </w:rPr>
        <w:t xml:space="preserve">对可以质疑的采购文件提出质疑的，为收到采购文件之日或者采购文件公告期限届满之日；</w:t>
      </w:r>
      <w:r/>
    </w:p>
    <w:p>
      <w:pPr>
        <w:ind w:firstLine="420"/>
        <w:spacing w:line="400" w:lineRule="exact"/>
        <w:rPr>
          <w:rFonts w:hAnsi="宋体"/>
          <w:szCs w:val="21"/>
        </w:rPr>
      </w:pPr>
      <w:r>
        <w:rPr>
          <w:rFonts w:hint="eastAsia" w:hAnsi="宋体"/>
          <w:szCs w:val="21"/>
        </w:rPr>
        <w:t xml:space="preserve">29.2.2</w:t>
      </w:r>
      <w:r>
        <w:rPr>
          <w:rFonts w:hAnsi="宋体"/>
          <w:szCs w:val="21"/>
        </w:rPr>
        <w:t xml:space="preserve">对采购过程提出质疑的，为各采购程序环节结束之日；</w:t>
      </w:r>
      <w:r/>
    </w:p>
    <w:p>
      <w:pPr>
        <w:ind w:firstLine="420"/>
        <w:spacing w:line="400" w:lineRule="exact"/>
        <w:rPr>
          <w:rFonts w:hAnsi="宋体"/>
          <w:szCs w:val="21"/>
        </w:rPr>
      </w:pPr>
      <w:r>
        <w:rPr>
          <w:rFonts w:hint="eastAsia" w:hAnsi="宋体"/>
          <w:szCs w:val="21"/>
        </w:rPr>
        <w:t xml:space="preserve">29.2.3</w:t>
      </w:r>
      <w:r>
        <w:rPr>
          <w:rFonts w:hAnsi="宋体"/>
          <w:szCs w:val="21"/>
        </w:rPr>
        <w:t xml:space="preserve">对中标或者成交结果提出质疑的，为中标或者成交结果公告期限届满之日。</w:t>
      </w:r>
      <w:r/>
    </w:p>
    <w:p>
      <w:pPr>
        <w:ind w:firstLine="420"/>
        <w:spacing w:line="400" w:lineRule="exact"/>
        <w:rPr>
          <w:rFonts w:hAnsi="宋体"/>
          <w:szCs w:val="21"/>
        </w:rPr>
      </w:pPr>
      <w:r>
        <w:rPr>
          <w:rFonts w:hint="eastAsia" w:hAnsi="宋体"/>
          <w:szCs w:val="21"/>
        </w:rPr>
        <w:t xml:space="preserve">供应商应当在法定质疑期内一次性提出针对同一采购程序环节的质疑。供应商如在法定期限内对同一采购程序环节提出多次质疑的，代理机构、</w:t>
      </w:r>
      <w:r>
        <w:rPr>
          <w:rFonts w:hAnsi="宋体"/>
          <w:szCs w:val="21"/>
        </w:rPr>
        <w:t xml:space="preserve">采购人</w:t>
      </w:r>
      <w:r>
        <w:rPr>
          <w:rFonts w:hint="eastAsia" w:hAnsi="宋体"/>
          <w:szCs w:val="21"/>
        </w:rPr>
        <w:t xml:space="preserve">将只对供应商第一次质疑作出答复。</w:t>
      </w:r>
      <w:r/>
    </w:p>
    <w:p>
      <w:pPr>
        <w:ind w:firstLine="420"/>
        <w:spacing w:line="400" w:lineRule="exact"/>
        <w:rPr>
          <w:rFonts w:hAnsi="宋体"/>
          <w:szCs w:val="21"/>
        </w:rPr>
      </w:pPr>
      <w:r>
        <w:rPr>
          <w:rFonts w:hint="eastAsia" w:hAnsi="宋体"/>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hAnsi="宋体"/>
          <w:szCs w:val="21"/>
        </w:rPr>
      </w:pPr>
      <w:r>
        <w:rPr>
          <w:rFonts w:hAnsi="宋体"/>
          <w:szCs w:val="21"/>
        </w:rPr>
        <w:t xml:space="preserve">29</w:t>
      </w:r>
      <w:r>
        <w:rPr>
          <w:rFonts w:hint="eastAsia" w:hAnsi="宋体"/>
          <w:szCs w:val="21"/>
        </w:rPr>
        <w:t xml:space="preserve">.4供应商（</w:t>
      </w:r>
      <w:r>
        <w:rPr>
          <w:rFonts w:hint="eastAsia" w:hAnsi="宋体"/>
          <w:color w:val="ff0000"/>
          <w:szCs w:val="21"/>
        </w:rPr>
        <w:t xml:space="preserve">含潜在</w:t>
      </w:r>
      <w:r>
        <w:rPr>
          <w:rFonts w:hAnsi="宋体"/>
          <w:color w:val="ff0000"/>
          <w:szCs w:val="21"/>
        </w:rPr>
        <w:t xml:space="preserve">供应商</w:t>
      </w:r>
      <w:r>
        <w:rPr>
          <w:rFonts w:hint="eastAsia" w:hAnsi="宋体"/>
          <w:szCs w:val="21"/>
        </w:rPr>
        <w:t xml:space="preserve">）对与</w:t>
      </w:r>
      <w:r>
        <w:rPr>
          <w:rFonts w:hAnsi="宋体"/>
          <w:szCs w:val="21"/>
        </w:rPr>
        <w:t xml:space="preserve">本项目</w:t>
      </w:r>
      <w:r>
        <w:rPr>
          <w:rFonts w:hint="eastAsia" w:hAnsi="宋体"/>
          <w:szCs w:val="21"/>
        </w:rPr>
        <w:t xml:space="preserve">有关的</w:t>
      </w:r>
      <w:r>
        <w:rPr>
          <w:rFonts w:hAnsi="宋体"/>
          <w:szCs w:val="21"/>
        </w:rPr>
        <w:t xml:space="preserve">所有询问、质疑</w:t>
      </w:r>
      <w:r>
        <w:rPr>
          <w:rFonts w:hint="eastAsia" w:hAnsi="宋体"/>
          <w:szCs w:val="21"/>
        </w:rPr>
        <w:t xml:space="preserve">均</w:t>
      </w:r>
      <w:r>
        <w:rPr>
          <w:rFonts w:hAnsi="宋体"/>
          <w:szCs w:val="21"/>
        </w:rPr>
        <w:t xml:space="preserve">请向采购人提出，由采购人负责答复。</w:t>
      </w:r>
      <w:r/>
    </w:p>
    <w:p>
      <w:pPr>
        <w:ind w:firstLine="420"/>
        <w:spacing w:line="400" w:lineRule="exact"/>
        <w:rPr>
          <w:rFonts w:hAnsi="宋体"/>
          <w:szCs w:val="21"/>
        </w:rPr>
      </w:pPr>
      <w:r>
        <w:rPr>
          <w:rFonts w:hint="eastAsia" w:hAnsi="宋体"/>
          <w:szCs w:val="21"/>
        </w:rPr>
        <w:t xml:space="preserve">采购人及代理机构只接收以纸质原件形式送达的质疑,建议供应商尽量通过邮寄方式提交质疑</w:t>
      </w:r>
      <w:r>
        <w:rPr>
          <w:rFonts w:hint="eastAsia" w:hAnsi="宋体"/>
          <w:color w:val="ff0000"/>
          <w:szCs w:val="21"/>
        </w:rPr>
        <w:t xml:space="preserve">（采购人和代理机构不接受未填写快递运单的快件）</w:t>
      </w:r>
      <w:r>
        <w:rPr>
          <w:rFonts w:hint="eastAsia" w:hAnsi="宋体"/>
          <w:szCs w:val="21"/>
        </w:rPr>
        <w:t xml:space="preserve">。</w:t>
      </w:r>
      <w:r/>
    </w:p>
    <w:p>
      <w:pPr>
        <w:ind w:firstLine="420"/>
        <w:spacing w:line="400" w:lineRule="exact"/>
        <w:rPr>
          <w:rFonts w:hAnsi="宋体"/>
          <w:szCs w:val="21"/>
        </w:rPr>
      </w:pPr>
      <w:r>
        <w:rPr>
          <w:rFonts w:hint="eastAsia" w:hAnsi="宋体"/>
          <w:szCs w:val="21"/>
        </w:rPr>
        <w:t xml:space="preserve">代理机构质疑接受人及联系方式详见招标文件第一章。</w:t>
      </w:r>
      <w:r/>
    </w:p>
    <w:p>
      <w:pPr>
        <w:ind w:firstLine="420"/>
        <w:spacing w:line="400" w:lineRule="exact"/>
        <w:rPr>
          <w:rFonts w:hAnsi="宋体"/>
          <w:szCs w:val="21"/>
        </w:rPr>
      </w:pPr>
      <w:r>
        <w:rPr>
          <w:rFonts w:hint="eastAsia" w:hAnsi="宋体"/>
          <w:szCs w:val="21"/>
        </w:rPr>
        <w:t xml:space="preserve">采购人质疑接收人及联系方式见招标文件第一章。</w:t>
      </w:r>
      <w:r/>
    </w:p>
    <w:p>
      <w:pPr>
        <w:ind w:firstLine="420"/>
        <w:spacing w:line="400" w:lineRule="exact"/>
        <w:rPr>
          <w:rFonts w:hAnsi="宋体"/>
          <w:szCs w:val="21"/>
        </w:rPr>
      </w:pPr>
      <w:r>
        <w:rPr>
          <w:rFonts w:hint="eastAsia" w:hAnsi="宋体"/>
          <w:szCs w:val="21"/>
        </w:rPr>
        <w:t xml:space="preserve">29.5 以下情形的质疑不予受理</w:t>
      </w:r>
      <w:r/>
    </w:p>
    <w:p>
      <w:pPr>
        <w:ind w:firstLine="420"/>
        <w:spacing w:line="400" w:lineRule="exact"/>
        <w:rPr>
          <w:rFonts w:hAnsi="宋体"/>
          <w:szCs w:val="21"/>
        </w:rPr>
      </w:pPr>
      <w:r>
        <w:rPr>
          <w:rFonts w:hint="eastAsia" w:hAnsi="宋体"/>
          <w:szCs w:val="21"/>
        </w:rPr>
        <w:t xml:space="preserve">29.5.1 内容不符合《政府采购质疑和投诉办法》第十二条规定的质疑。</w:t>
      </w:r>
      <w:r/>
    </w:p>
    <w:p>
      <w:pPr>
        <w:ind w:firstLine="420"/>
        <w:spacing w:line="400" w:lineRule="exact"/>
        <w:rPr>
          <w:rFonts w:hAnsi="宋体"/>
          <w:szCs w:val="21"/>
        </w:rPr>
      </w:pPr>
      <w:r>
        <w:rPr>
          <w:rFonts w:hint="eastAsia" w:hAnsi="宋体"/>
          <w:szCs w:val="21"/>
        </w:rPr>
        <w:t xml:space="preserve">29.5.2 超出政府采购法定期限的质疑。</w:t>
      </w:r>
      <w:r/>
    </w:p>
    <w:p>
      <w:pPr>
        <w:ind w:firstLine="420"/>
        <w:spacing w:line="400" w:lineRule="exact"/>
        <w:rPr>
          <w:rFonts w:hAnsi="宋体"/>
          <w:szCs w:val="21"/>
        </w:rPr>
      </w:pPr>
      <w:r>
        <w:rPr>
          <w:rFonts w:hint="eastAsia" w:hAnsi="宋体"/>
          <w:szCs w:val="21"/>
        </w:rPr>
        <w:t xml:space="preserve">29.5.3 以传真、电子邮件等方式递交的非原件形式的质疑。</w:t>
      </w:r>
      <w:r/>
    </w:p>
    <w:p>
      <w:pPr>
        <w:ind w:firstLine="420"/>
        <w:spacing w:line="400" w:lineRule="exact"/>
        <w:rPr>
          <w:rFonts w:hAnsi="宋体"/>
          <w:szCs w:val="21"/>
        </w:rPr>
      </w:pPr>
      <w:r>
        <w:rPr>
          <w:rFonts w:hint="eastAsia" w:hAnsi="宋体"/>
          <w:szCs w:val="21"/>
        </w:rPr>
        <w:t xml:space="preserve">29.5.4 未参加投标活动的供应商或在投标活动中自身权益未受到损害的供应商所提出的质疑。</w:t>
      </w:r>
      <w:r/>
    </w:p>
    <w:p>
      <w:pPr>
        <w:ind w:firstLine="420"/>
        <w:spacing w:line="400" w:lineRule="exact"/>
        <w:rPr>
          <w:rFonts w:hAnsi="宋体"/>
          <w:szCs w:val="21"/>
        </w:rPr>
      </w:pPr>
      <w:r>
        <w:rPr>
          <w:rFonts w:hint="eastAsia" w:hAnsi="宋体"/>
          <w:szCs w:val="21"/>
        </w:rPr>
        <w:t xml:space="preserve">29.5.5供应商组成联合体参加投标，联合体中任何一方或多方未按要求签字、盖章、加盖公章的质疑。</w:t>
      </w:r>
      <w:r/>
    </w:p>
    <w:p>
      <w:pPr>
        <w:ind w:firstLine="420"/>
        <w:spacing w:line="400" w:lineRule="exact"/>
        <w:rPr>
          <w:rFonts w:hAnsi="宋体"/>
          <w:szCs w:val="21"/>
        </w:rPr>
      </w:pPr>
      <w:r>
        <w:rPr>
          <w:rFonts w:hint="eastAsia" w:hAnsi="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hAnsi="宋体"/>
          <w:szCs w:val="21"/>
        </w:rPr>
      </w:pPr>
      <w:r>
        <w:rPr>
          <w:rFonts w:hint="eastAsia" w:hAnsi="宋体"/>
          <w:szCs w:val="21"/>
        </w:rPr>
        <w:t xml:space="preserve">30、中标通知书</w:t>
      </w:r>
      <w:r/>
    </w:p>
    <w:p>
      <w:pPr>
        <w:ind w:firstLine="420"/>
        <w:spacing w:line="400" w:lineRule="exact"/>
        <w:rPr>
          <w:rFonts w:hAnsi="宋体"/>
          <w:szCs w:val="21"/>
        </w:rPr>
      </w:pPr>
      <w:r>
        <w:rPr>
          <w:rFonts w:hint="eastAsia" w:hAnsi="宋体"/>
          <w:szCs w:val="21"/>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hAnsi="宋体"/>
          <w:szCs w:val="21"/>
        </w:rPr>
      </w:pPr>
      <w:r>
        <w:rPr>
          <w:rFonts w:hint="eastAsia" w:hAnsi="宋体"/>
          <w:szCs w:val="21"/>
        </w:rPr>
        <w:t xml:space="preserve">30.</w:t>
      </w:r>
      <w:r>
        <w:rPr>
          <w:rFonts w:hAnsi="宋体"/>
          <w:szCs w:val="21"/>
        </w:rPr>
        <w:t xml:space="preserve">2</w:t>
      </w:r>
      <w:r>
        <w:rPr>
          <w:rFonts w:hint="eastAsia" w:hAnsi="宋体"/>
          <w:szCs w:val="21"/>
        </w:rPr>
        <w:t xml:space="preserve">中标通知书将是合同的一个组成部分。对采购人和中标人均具有法律效力。中标通知书发出后，采购人改变中标结果的，或者中标人放弃中标项目的，应当依法承担法律责任。</w:t>
      </w:r>
      <w:r/>
    </w:p>
    <w:p>
      <w:pPr>
        <w:pStyle w:val="1189"/>
        <w:spacing w:before="145" w:after="145"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七、授予合同</w:t>
      </w:r>
      <w:r/>
    </w:p>
    <w:p>
      <w:pPr>
        <w:ind w:firstLine="420"/>
        <w:spacing w:line="400" w:lineRule="exact"/>
        <w:rPr>
          <w:rFonts w:hAnsi="宋体"/>
          <w:szCs w:val="21"/>
        </w:rPr>
      </w:pPr>
      <w:r>
        <w:rPr>
          <w:rFonts w:hint="eastAsia" w:hAnsi="宋体"/>
          <w:szCs w:val="21"/>
        </w:rPr>
        <w:t xml:space="preserve">31. 签订合同</w:t>
      </w:r>
      <w:r/>
    </w:p>
    <w:p>
      <w:pPr>
        <w:ind w:firstLine="420"/>
        <w:spacing w:line="400" w:lineRule="exact"/>
        <w:rPr>
          <w:rFonts w:hAnsi="宋体"/>
          <w:szCs w:val="21"/>
        </w:rPr>
      </w:pPr>
      <w:r>
        <w:rPr>
          <w:rFonts w:hint="eastAsia" w:hAnsi="宋体"/>
          <w:szCs w:val="21"/>
        </w:rPr>
        <w:t xml:space="preserve">31.l中标人应当在中标通知书发出之日起十五日内，按照招标文件确定的事项与采购人签订政府采购合同。</w:t>
      </w:r>
      <w:r/>
    </w:p>
    <w:p>
      <w:pPr>
        <w:ind w:firstLine="420"/>
        <w:spacing w:line="400" w:lineRule="exact"/>
        <w:rPr>
          <w:rFonts w:hAnsi="宋体"/>
          <w:szCs w:val="21"/>
        </w:rPr>
      </w:pPr>
      <w:r>
        <w:rPr>
          <w:rFonts w:hint="eastAsia" w:hAnsi="宋体"/>
          <w:szCs w:val="21"/>
        </w:rPr>
        <w:t xml:space="preserve">31.2 招标文件、中标人的投标文件及招标过程中有关澄清、承诺文件均应作为合同附件。</w:t>
      </w:r>
      <w:r/>
    </w:p>
    <w:p>
      <w:pPr>
        <w:ind w:firstLine="420"/>
        <w:spacing w:line="400" w:lineRule="exact"/>
        <w:rPr>
          <w:rFonts w:hAnsi="宋体"/>
          <w:szCs w:val="21"/>
        </w:rPr>
      </w:pPr>
      <w:r>
        <w:rPr>
          <w:rFonts w:hint="eastAsia" w:hAnsi="宋体"/>
          <w:szCs w:val="21"/>
        </w:rPr>
        <w:t xml:space="preserve">31.3 签订合同后，</w:t>
      </w:r>
      <w:r>
        <w:rPr>
          <w:rFonts w:hint="eastAsia" w:hAnsi="宋体"/>
          <w:i/>
          <w:szCs w:val="21"/>
          <w:u w:val="single"/>
        </w:rPr>
        <w:t xml:space="preserve">中标人不得将合同标的进行转包</w:t>
      </w:r>
      <w:r>
        <w:rPr>
          <w:rFonts w:hint="eastAsia" w:hAnsi="宋体"/>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hAnsi="宋体"/>
          <w:szCs w:val="21"/>
        </w:rPr>
      </w:pPr>
      <w:r>
        <w:rPr>
          <w:rFonts w:hint="eastAsia" w:hAnsi="宋体"/>
          <w:szCs w:val="21"/>
        </w:rPr>
        <w:t xml:space="preserve">32、政府采购履约资金扶持政策</w:t>
      </w:r>
      <w:r/>
    </w:p>
    <w:p>
      <w:pPr>
        <w:ind w:firstLine="420"/>
        <w:spacing w:line="400" w:lineRule="exact"/>
        <w:rPr>
          <w:rFonts w:hAnsi="宋体"/>
          <w:szCs w:val="21"/>
        </w:rPr>
      </w:pPr>
      <w:r>
        <w:rPr>
          <w:rFonts w:hint="eastAsia" w:hAnsi="宋体"/>
          <w:szCs w:val="21"/>
        </w:rPr>
        <w:t xml:space="preserve">中标人可凭政府采购合同办理融资贷款，详情请见江苏政府采购网、扬州市政府采购网“政采贷”专栏。</w:t>
      </w:r>
      <w:r/>
    </w:p>
    <w:p>
      <w:pPr>
        <w:ind w:firstLine="420"/>
        <w:spacing w:line="400" w:lineRule="exact"/>
        <w:rPr>
          <w:rFonts w:hAnsi="宋体"/>
          <w:szCs w:val="21"/>
        </w:rPr>
      </w:pPr>
      <w:r>
        <w:rPr>
          <w:rFonts w:hAnsi="宋体"/>
          <w:szCs w:val="21"/>
        </w:rPr>
      </w:r>
      <w:r/>
    </w:p>
    <w:p>
      <w:r/>
      <w:r/>
    </w:p>
    <w:p>
      <w:r/>
      <w:r/>
    </w:p>
    <w:p>
      <w:r/>
      <w:r/>
    </w:p>
    <w:p>
      <w:pPr>
        <w:ind w:firstLine="420"/>
        <w:jc w:val="left"/>
        <w:spacing w:line="400" w:lineRule="exact"/>
        <w:rPr>
          <w:rFonts w:ascii="宋体" w:hAnsi="宋体" w:cs="宋体"/>
          <w:szCs w:val="21"/>
        </w:rPr>
      </w:pPr>
      <w:r>
        <w:rPr>
          <w:rFonts w:ascii="宋体" w:hAnsi="宋体" w:cs="宋体"/>
          <w:szCs w:val="21"/>
        </w:rPr>
      </w:r>
      <w:r/>
    </w:p>
    <w:p>
      <w:pPr>
        <w:pStyle w:val="886"/>
        <w:spacing w:line="400" w:lineRule="exact"/>
      </w:pPr>
      <w:r/>
      <w:r/>
    </w:p>
    <w:p>
      <w:pPr>
        <w:spacing w:line="400" w:lineRule="exact"/>
        <w:rPr>
          <w:rFonts w:ascii="宋体" w:hAnsi="宋体" w:cs="宋体"/>
          <w:szCs w:val="21"/>
        </w:rPr>
      </w:pPr>
      <w:r>
        <w:rPr>
          <w:rFonts w:ascii="宋体" w:hAnsi="宋体" w:cs="宋体"/>
          <w:szCs w:val="21"/>
        </w:rPr>
      </w:r>
      <w:r/>
    </w:p>
    <w:p>
      <w:pPr>
        <w:spacing w:line="400" w:lineRule="exact"/>
        <w:rPr>
          <w:rFonts w:ascii="宋体" w:hAnsi="宋体" w:cs="宋体"/>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Cs w:val="21"/>
        </w:rPr>
      </w:r>
      <w:r/>
    </w:p>
    <w:p>
      <w:pPr>
        <w:pStyle w:val="867"/>
        <w:jc w:val="center"/>
        <w:spacing w:line="400" w:lineRule="exact"/>
        <w:rPr>
          <w:rFonts w:ascii="宋体" w:hAnsi="宋体"/>
          <w:sz w:val="36"/>
        </w:rPr>
      </w:pPr>
      <w:r/>
      <w:bookmarkStart w:id="8" w:name="_Toc498520460"/>
      <w:r>
        <w:rPr>
          <w:rFonts w:hint="eastAsia" w:ascii="宋体" w:hAnsi="宋体"/>
          <w:sz w:val="36"/>
        </w:rPr>
        <w:t xml:space="preserve">第三章 合同条款及格式</w:t>
      </w:r>
      <w:bookmarkEnd w:id="8"/>
      <w:r/>
      <w:r/>
    </w:p>
    <w:p>
      <w:pPr>
        <w:pStyle w:val="888"/>
        <w:ind w:firstLine="420"/>
        <w:spacing w:line="400" w:lineRule="exact"/>
        <w:rPr>
          <w:rFonts w:hAnsi="宋体"/>
          <w:sz w:val="21"/>
        </w:rPr>
      </w:pPr>
      <w:r/>
      <w:bookmarkStart w:id="9" w:name="_Hlt16619369"/>
      <w:r/>
      <w:bookmarkEnd w:id="9"/>
      <w:r>
        <w:rPr>
          <w:rFonts w:hint="eastAsia" w:hAnsi="宋体"/>
          <w:sz w:val="21"/>
        </w:rPr>
        <w:t xml:space="preserve">以下为中标后签订本项目合同的通用条款，中标供应商不得提出实质性的修改。关于专用条款将由采购人与中标供应商结合本项目具体情况协商后签订。</w:t>
      </w:r>
      <w:r/>
    </w:p>
    <w:p>
      <w:pPr>
        <w:jc w:val="center"/>
        <w:spacing w:before="145" w:after="145"/>
        <w:rPr>
          <w:rFonts w:ascii="宋体" w:hAnsi="宋体"/>
          <w:b/>
          <w:bCs/>
          <w:sz w:val="28"/>
          <w:szCs w:val="28"/>
        </w:rPr>
        <w:outlineLvl w:val="0"/>
      </w:pPr>
      <w:r/>
      <w:bookmarkStart w:id="10" w:name="_Toc498520461"/>
      <w:r>
        <w:rPr>
          <w:rFonts w:hint="eastAsia" w:ascii="宋体" w:hAnsi="宋体"/>
          <w:b/>
          <w:sz w:val="28"/>
          <w:szCs w:val="28"/>
        </w:rPr>
        <w:t xml:space="preserve">江苏省政府采购合同（货物）（合同编号）</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项目名称：</w:t>
      </w:r>
      <w:r>
        <w:rPr>
          <w:rFonts w:eastAsia="Times New Roman"/>
          <w:color w:val="000000"/>
          <w:szCs w:val="21"/>
        </w:rPr>
        <w:t xml:space="preserve">_____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w:t>
      </w:r>
      <w:r>
        <w:rPr>
          <w:rFonts w:eastAsia="Times New Roman"/>
          <w:color w:val="000000"/>
          <w:szCs w:val="21"/>
        </w:rPr>
        <w:t xml:space="preserve">_____</w:t>
      </w:r>
      <w:r>
        <w:rPr>
          <w:rFonts w:eastAsia="Times New Roman"/>
          <w:color w:val="000000"/>
          <w:szCs w:val="21"/>
          <w:u w:val="single"/>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甲方：（买方）</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乙方：（卖方）</w:t>
      </w:r>
      <w:r>
        <w:rPr>
          <w:rFonts w:eastAsia="Times New Roman"/>
          <w:color w:val="000000"/>
          <w:szCs w:val="21"/>
        </w:rPr>
        <w:t xml:space="preserve">_________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甲、乙双方根据</w:t>
      </w:r>
      <w:r>
        <w:rPr>
          <w:rFonts w:hint="eastAsia" w:ascii="宋体" w:hAnsi="宋体" w:cs="宋体"/>
          <w:color w:val="000000"/>
          <w:szCs w:val="21"/>
        </w:rPr>
        <w:t xml:space="preserve">江苏省鼎诚建设工程顾问有限公司</w:t>
      </w:r>
      <w:r>
        <w:rPr>
          <w:rFonts w:eastAsia="Times New Roman"/>
          <w:color w:val="000000"/>
          <w:szCs w:val="21"/>
          <w:u w:val="single"/>
        </w:rPr>
        <w:t xml:space="preserve">         </w:t>
      </w:r>
      <w:r>
        <w:rPr>
          <w:rFonts w:ascii="宋体" w:hAnsi="宋体" w:cs="宋体"/>
          <w:color w:val="000000"/>
          <w:szCs w:val="21"/>
        </w:rPr>
        <w:t xml:space="preserve">项目公开招标的结果，签署本合同。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一、合同内容</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 </w:t>
      </w:r>
      <w:r>
        <w:rPr>
          <w:rFonts w:ascii="宋体" w:hAnsi="宋体" w:cs="宋体"/>
          <w:color w:val="000000"/>
          <w:szCs w:val="21"/>
        </w:rPr>
        <w:t xml:space="preserve">标的名称：</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 </w:t>
      </w:r>
      <w:r>
        <w:rPr>
          <w:rFonts w:ascii="宋体" w:hAnsi="宋体" w:cs="宋体"/>
          <w:color w:val="000000"/>
          <w:szCs w:val="21"/>
        </w:rPr>
        <w:t xml:space="preserve">标的质量：</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 </w:t>
      </w:r>
      <w:r>
        <w:rPr>
          <w:rFonts w:ascii="宋体" w:hAnsi="宋体" w:cs="宋体"/>
          <w:color w:val="000000"/>
          <w:szCs w:val="21"/>
        </w:rPr>
        <w:t xml:space="preserve">标的数量（规模）：</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 </w:t>
      </w:r>
      <w:r>
        <w:rPr>
          <w:rFonts w:ascii="宋体" w:hAnsi="宋体" w:cs="宋体"/>
          <w:color w:val="000000"/>
          <w:szCs w:val="21"/>
        </w:rPr>
        <w:t xml:space="preserve">履行时间（期限）：</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 </w:t>
      </w:r>
      <w:r>
        <w:rPr>
          <w:rFonts w:ascii="宋体" w:hAnsi="宋体" w:cs="宋体"/>
          <w:color w:val="000000"/>
          <w:szCs w:val="21"/>
        </w:rPr>
        <w:t xml:space="preserve">履行地点：</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1.6 </w:t>
      </w:r>
      <w:r>
        <w:rPr>
          <w:rFonts w:ascii="宋体" w:hAnsi="宋体" w:cs="宋体"/>
          <w:color w:val="000000"/>
          <w:szCs w:val="21"/>
        </w:rPr>
        <w:t xml:space="preserve">履行方式：</w:t>
      </w:r>
      <w:r>
        <w:rPr>
          <w:rFonts w:eastAsia="Times New Roman"/>
          <w:color w:val="000000"/>
          <w:szCs w:val="21"/>
        </w:rPr>
        <w:t xml:space="preserve">______</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 </w:t>
      </w:r>
      <w:r>
        <w:rPr>
          <w:rFonts w:ascii="宋体" w:hAnsi="宋体" w:cs="宋体"/>
          <w:color w:val="000000"/>
          <w:szCs w:val="21"/>
        </w:rPr>
        <w:t xml:space="preserve">包装方式：</w:t>
      </w:r>
      <w:r>
        <w:rPr>
          <w:rFonts w:eastAsia="Times New Roman"/>
          <w:color w:val="000000"/>
          <w:szCs w:val="21"/>
        </w:rPr>
        <w:t xml:space="preserve">______</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二、合同金额</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2.1 </w:t>
      </w:r>
      <w:r>
        <w:rPr>
          <w:rFonts w:ascii="宋体" w:hAnsi="宋体" w:cs="宋体"/>
          <w:color w:val="000000"/>
          <w:szCs w:val="21"/>
        </w:rPr>
        <w:t xml:space="preserve">本合同金额为（大写）：</w:t>
      </w:r>
      <w:r>
        <w:rPr>
          <w:rFonts w:eastAsia="Times New Roman"/>
          <w:color w:val="000000"/>
          <w:szCs w:val="21"/>
        </w:rPr>
        <w:t xml:space="preserve">_______</w:t>
      </w:r>
      <w:r>
        <w:rPr>
          <w:rFonts w:ascii="宋体" w:hAnsi="宋体" w:cs="宋体"/>
          <w:color w:val="000000"/>
          <w:szCs w:val="21"/>
        </w:rPr>
        <w:t xml:space="preserve">圆（</w:t>
      </w:r>
      <w:r>
        <w:rPr>
          <w:rFonts w:eastAsia="Times New Roman"/>
          <w:color w:val="000000"/>
          <w:szCs w:val="21"/>
        </w:rPr>
        <w:t xml:space="preserve">___</w:t>
      </w:r>
      <w:r>
        <w:rPr>
          <w:rFonts w:ascii="宋体" w:hAnsi="宋体" w:cs="宋体"/>
          <w:color w:val="000000"/>
          <w:szCs w:val="21"/>
        </w:rPr>
        <w:t xml:space="preserve">元）人民币或其他币种。</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三、技术资料</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3.1</w:t>
      </w:r>
      <w:r>
        <w:rPr>
          <w:rFonts w:ascii="宋体" w:hAnsi="宋体" w:cs="宋体"/>
          <w:color w:val="000000"/>
          <w:szCs w:val="21"/>
        </w:rPr>
        <w:t xml:space="preserve">乙方应按招标文件规定的时间向甲方提供使用货物</w:t>
      </w:r>
      <w:r>
        <w:rPr>
          <w:rFonts w:eastAsia="Times New Roman"/>
          <w:color w:val="000000"/>
          <w:szCs w:val="21"/>
        </w:rPr>
        <w:t xml:space="preserve">(</w:t>
      </w:r>
      <w:r>
        <w:rPr>
          <w:rFonts w:ascii="宋体" w:hAnsi="宋体" w:cs="宋体"/>
          <w:color w:val="000000"/>
          <w:szCs w:val="21"/>
        </w:rPr>
        <w:t xml:space="preserve">包含与货物相关的服务</w:t>
      </w:r>
      <w:r>
        <w:rPr>
          <w:rFonts w:eastAsia="Times New Roman"/>
          <w:color w:val="000000"/>
          <w:szCs w:val="21"/>
        </w:rPr>
        <w:t xml:space="preserve">)</w:t>
      </w:r>
      <w:r>
        <w:rPr>
          <w:rFonts w:ascii="宋体" w:hAnsi="宋体" w:cs="宋体"/>
          <w:color w:val="000000"/>
          <w:szCs w:val="21"/>
        </w:rPr>
        <w:t xml:space="preserve">的有关技术资料。</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3.2 </w:t>
      </w:r>
      <w:r>
        <w:rPr>
          <w:rFonts w:ascii="宋体" w:hAnsi="宋体" w:cs="宋体"/>
          <w:color w:val="000000"/>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四、知识产权</w:t>
      </w:r>
      <w:r/>
    </w:p>
    <w:p>
      <w:pPr>
        <w:ind w:firstLine="480"/>
        <w:spacing w:before="120" w:after="120" w:line="85" w:lineRule="atLeast"/>
        <w:rPr>
          <w:rFonts w:eastAsia="Times New Roman"/>
          <w:color w:val="000000"/>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4.1</w:t>
      </w:r>
      <w:r>
        <w:rPr>
          <w:rFonts w:ascii="宋体" w:hAnsi="宋体" w:cs="宋体"/>
          <w:color w:val="000000"/>
          <w:szCs w:val="21"/>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eastAsia="Times New Roman"/>
          <w:color w:val="000000"/>
          <w:szCs w:val="21"/>
        </w:rPr>
        <w:t xml:space="preserve">     </w:t>
      </w:r>
      <w:r/>
    </w:p>
    <w:p>
      <w:pPr>
        <w:ind w:firstLine="24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rPr>
          <w:rFonts w:ascii="宋体" w:hAnsi="宋体" w:cs="宋体"/>
          <w:b/>
          <w:color w:val="000000"/>
          <w:szCs w:val="21"/>
        </w:rPr>
        <w:t xml:space="preserve">五、产权担保</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5.1 </w:t>
      </w:r>
      <w:r>
        <w:rPr>
          <w:rFonts w:ascii="宋体" w:hAnsi="宋体" w:cs="宋体"/>
          <w:color w:val="000000"/>
          <w:szCs w:val="21"/>
        </w:rPr>
        <w:t xml:space="preserve">乙方保证所交付的货物（包含与货物相关的服务）的所有权完全属于乙方且无任何抵押、查封等产权瑕疵。</w:t>
      </w:r>
      <w:r/>
    </w:p>
    <w:p>
      <w:pPr>
        <w:ind w:firstLine="482"/>
        <w:spacing w:before="120" w:after="120"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六、履约保证金</w:t>
      </w:r>
      <w:r/>
    </w:p>
    <w:p>
      <w:pPr>
        <w:ind w:firstLine="420"/>
        <w:spacing w:before="120" w:after="120"/>
        <w:rPr>
          <w:rFonts w:ascii="宋体" w:hAnsi="宋体" w:cs="Courier New"/>
          <w:color w:val="000000"/>
          <w:szCs w:val="21"/>
        </w:rPr>
      </w:pPr>
      <w:r>
        <w:rPr>
          <w:rFonts w:ascii="宋体" w:hAnsi="宋体" w:cs="Courier New"/>
          <w:color w:val="000000"/>
          <w:szCs w:val="21"/>
        </w:rPr>
        <w:t xml:space="preserve">6.1 乙方交纳人民币</w:t>
      </w:r>
      <w:r>
        <w:rPr>
          <w:rFonts w:hint="eastAsia" w:ascii="宋体" w:hAnsi="宋体" w:cs="Courier New"/>
          <w:color w:val="000000"/>
          <w:szCs w:val="21"/>
        </w:rPr>
        <w:t xml:space="preserve">0</w:t>
      </w:r>
      <w:r>
        <w:rPr>
          <w:rFonts w:ascii="宋体" w:hAnsi="宋体" w:cs="Courier New"/>
          <w:color w:val="000000"/>
          <w:szCs w:val="21"/>
        </w:rPr>
        <w:t xml:space="preserve">元作为本合同的履约保证金。</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6.2合同履行结束后，甲方应及时退还交纳的履约保证金。</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6.2.1履约保证金退还方式：无</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6.2.2履约保证金退还时间：无</w:t>
      </w:r>
      <w:r/>
    </w:p>
    <w:p>
      <w:pPr>
        <w:ind w:firstLine="420"/>
        <w:spacing w:before="120" w:after="120"/>
        <w:rPr>
          <w:rFonts w:ascii="宋体" w:hAnsi="宋体" w:cs="Courier New"/>
          <w:color w:val="000000"/>
          <w:szCs w:val="21"/>
        </w:rPr>
      </w:pPr>
      <w:r>
        <w:rPr>
          <w:rFonts w:hint="eastAsia" w:ascii="宋体" w:hAnsi="宋体" w:cs="Courier New"/>
          <w:color w:val="000000"/>
          <w:szCs w:val="21"/>
        </w:rPr>
        <w:t xml:space="preserve">6.2.3履约保证金退还条件：无</w:t>
      </w:r>
      <w:r/>
    </w:p>
    <w:p>
      <w:pPr>
        <w:ind w:firstLine="420"/>
        <w:spacing w:before="120" w:after="120"/>
        <w:rPr>
          <w:szCs w:val="21"/>
        </w:rPr>
      </w:pPr>
      <w:r>
        <w:rPr>
          <w:rFonts w:hint="eastAsia" w:ascii="宋体" w:hAnsi="宋体" w:cs="Courier New"/>
          <w:color w:val="000000"/>
          <w:szCs w:val="21"/>
        </w:rPr>
        <w:t xml:space="preserve">6.2.4履约保证金不予退还的情形：无</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七、质保期</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质保期</w:t>
      </w:r>
      <w:r>
        <w:rPr>
          <w:rFonts w:eastAsia="Times New Roman"/>
          <w:color w:val="000000"/>
          <w:szCs w:val="21"/>
          <w:u w:val="single"/>
        </w:rPr>
        <w:t xml:space="preserve">   </w:t>
      </w:r>
      <w:r>
        <w:rPr>
          <w:rFonts w:hint="eastAsia" w:eastAsiaTheme="minorEastAsia"/>
          <w:color w:val="000000"/>
          <w:szCs w:val="21"/>
          <w:u w:val="single"/>
        </w:rPr>
        <w:t xml:space="preserve">3</w:t>
      </w:r>
      <w:r>
        <w:rPr>
          <w:rFonts w:eastAsia="Times New Roman"/>
          <w:color w:val="000000"/>
          <w:szCs w:val="21"/>
          <w:u w:val="single"/>
        </w:rPr>
        <w:t xml:space="preserve"> </w:t>
      </w:r>
      <w:r>
        <w:rPr>
          <w:rFonts w:ascii="宋体" w:hAnsi="宋体" w:cs="宋体"/>
          <w:color w:val="000000"/>
          <w:szCs w:val="21"/>
        </w:rPr>
        <w:t xml:space="preserve">年。（自交货验收合格之日起计）</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八、合同转包或分包</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8.1</w:t>
      </w:r>
      <w:r>
        <w:rPr>
          <w:rFonts w:ascii="宋体" w:hAnsi="宋体" w:cs="宋体"/>
          <w:color w:val="000000"/>
          <w:szCs w:val="21"/>
        </w:rPr>
        <w:t xml:space="preserve">乙方不得将合同标的转包给他人履行。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8.2</w:t>
      </w:r>
      <w:r>
        <w:rPr>
          <w:rFonts w:ascii="宋体" w:hAnsi="宋体" w:cs="宋体"/>
          <w:color w:val="000000"/>
          <w:szCs w:val="21"/>
        </w:rPr>
        <w:t xml:space="preserve">乙方不得将合同标的分包给他人履行。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8.3</w:t>
      </w:r>
      <w:r>
        <w:rPr>
          <w:rFonts w:ascii="宋体" w:hAnsi="宋体" w:cs="宋体"/>
          <w:color w:val="000000"/>
          <w:szCs w:val="21"/>
        </w:rPr>
        <w:t xml:space="preserve">乙方如有转包或未经甲方同意的分包行为，甲方有权给予终止合同。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九、合同款项支付</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t xml:space="preserve">9.1 本合同项下所有款项均以人民币支付。 </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t xml:space="preserve">9.2 甲方付款方式：</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hint="eastAsia" w:ascii="Calibri" w:hAnsi="Calibri"/>
          <w:szCs w:val="21"/>
        </w:rPr>
        <w:t xml:space="preserve">合同签订后，甲方自收到发票之日起10个工作日内，支付合同价款的40%作为预付款；通过验收合格后支付合同价款的60%，甲方自收到发票之日起10个工作日内支付。</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十、税费</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10.1</w:t>
      </w:r>
      <w:r>
        <w:rPr>
          <w:rFonts w:ascii="宋体" w:hAnsi="宋体" w:cs="宋体"/>
          <w:color w:val="000000"/>
          <w:szCs w:val="21"/>
        </w:rPr>
        <w:t xml:space="preserve">本合同执行中相关的一切税费均由乙方负担。</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十一、质量保修范围和保修期及售后服务</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11.1 </w:t>
      </w:r>
      <w:r>
        <w:rPr>
          <w:rFonts w:ascii="宋体" w:hAnsi="宋体" w:cs="宋体"/>
          <w:color w:val="000000"/>
          <w:szCs w:val="21"/>
        </w:rPr>
        <w:t xml:space="preserve">乙方应按招标文件规定的货物性能、技术要求、质量标准向甲方提供未经使用的全新产品。</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11.2 </w:t>
      </w:r>
      <w:r>
        <w:rPr>
          <w:rFonts w:ascii="宋体" w:hAnsi="宋体" w:cs="宋体"/>
          <w:color w:val="000000"/>
          <w:szCs w:val="21"/>
        </w:rPr>
        <w:t xml:space="preserve">乙方提供的货物在质量期内因货物本身的质量问题发生故障，乙方应负责免费更换。对达不到技术要求者，根据实际情况，经双方协商，可按以下办法处理：</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⑴更换：由乙方承担所发生的全部费用。</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⑵贬值处理：由甲乙双方合议定价。</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⑶退货处理：乙方应退还甲方支付的合同款，同时应承担该货物的直接费用（运输、保险、检验、货款利息及银行手续费等）。</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11.3 </w:t>
      </w:r>
      <w:r>
        <w:rPr>
          <w:rFonts w:ascii="宋体" w:hAnsi="宋体" w:cs="宋体"/>
          <w:color w:val="000000"/>
          <w:szCs w:val="21"/>
        </w:rPr>
        <w:t xml:space="preserve">如在使用过程中发生质量问题，乙方在接到甲方通知后在</w:t>
      </w:r>
      <w:r>
        <w:rPr>
          <w:rFonts w:eastAsia="Times New Roman"/>
          <w:color w:val="000000"/>
          <w:szCs w:val="21"/>
        </w:rPr>
        <w:t xml:space="preserve">_________</w:t>
      </w:r>
      <w:r>
        <w:rPr>
          <w:rFonts w:ascii="宋体" w:hAnsi="宋体" w:cs="宋体"/>
          <w:color w:val="000000"/>
          <w:szCs w:val="21"/>
        </w:rPr>
        <w:t xml:space="preserve">小时内到达甲方现场。</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11.4 </w:t>
      </w:r>
      <w:r>
        <w:rPr>
          <w:rFonts w:ascii="宋体" w:hAnsi="宋体" w:cs="宋体"/>
          <w:color w:val="000000"/>
          <w:szCs w:val="21"/>
        </w:rPr>
        <w:t xml:space="preserve">在质保期内，乙方应对货物出现的质量及安全问题负责处理解决并承担一切费用。</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11.5</w:t>
      </w:r>
      <w:r>
        <w:rPr>
          <w:rFonts w:ascii="宋体" w:hAnsi="宋体" w:cs="宋体"/>
          <w:color w:val="000000"/>
          <w:szCs w:val="21"/>
        </w:rPr>
        <w:t xml:space="preserve">上述的货物免费保修期为</w:t>
      </w:r>
      <w:r>
        <w:rPr>
          <w:rFonts w:eastAsia="Times New Roman"/>
          <w:color w:val="000000"/>
          <w:szCs w:val="21"/>
          <w:u w:val="single"/>
        </w:rPr>
        <w:t xml:space="preserve">     </w:t>
      </w:r>
      <w:r>
        <w:rPr>
          <w:rFonts w:ascii="宋体" w:hAnsi="宋体" w:cs="宋体"/>
          <w:color w:val="000000"/>
          <w:szCs w:val="21"/>
        </w:rPr>
        <w:t xml:space="preserve">年（自交货验收合格之日起计），因人为因素出现的故障不在免费保修范围内。超过保修期的机器设备，终生维修，维修时只收部件成本费。</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十二、项目验收</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12.1 </w:t>
      </w:r>
      <w:r>
        <w:rPr>
          <w:rFonts w:ascii="宋体" w:hAnsi="宋体" w:cs="宋体"/>
          <w:color w:val="000000"/>
          <w:szCs w:val="21"/>
        </w:rPr>
        <w:t xml:space="preserve">甲方依法组织履约验收工作。</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12.2 </w:t>
      </w:r>
      <w:r>
        <w:rPr>
          <w:rFonts w:ascii="宋体" w:hAnsi="宋体" w:cs="宋体"/>
          <w:color w:val="000000"/>
          <w:szCs w:val="21"/>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12.3 </w:t>
      </w:r>
      <w:r>
        <w:rPr>
          <w:rFonts w:ascii="宋体" w:hAnsi="宋体" w:cs="宋体"/>
          <w:color w:val="000000"/>
          <w:szCs w:val="21"/>
        </w:rPr>
        <w:t xml:space="preserve">对于实际使用人和甲方分离的项目，甲方邀请实际使用人参与验收。</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12.4 </w:t>
      </w:r>
      <w:r>
        <w:rPr>
          <w:rFonts w:ascii="宋体" w:hAnsi="宋体" w:cs="宋体"/>
          <w:color w:val="000000"/>
          <w:szCs w:val="21"/>
        </w:rPr>
        <w:t xml:space="preserve">如有必要，甲方邀请参加本项目的其他供应商或第三方专业机构及专家参与验收，相关意见将作为验收书的参考资料。</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12.5 </w:t>
      </w:r>
      <w:r>
        <w:rPr>
          <w:rFonts w:ascii="宋体" w:hAnsi="宋体" w:cs="宋体"/>
          <w:color w:val="000000"/>
          <w:szCs w:val="21"/>
        </w:rPr>
        <w:t xml:space="preserve">甲方成立验收小组，按照采购合同的约定对乙方的履约情况进行验收。验收时间、验收标准见招标文件验收内容。验收时</w:t>
      </w:r>
      <w:r>
        <w:rPr>
          <w:rFonts w:eastAsia="Times New Roman"/>
          <w:color w:val="000000"/>
          <w:szCs w:val="21"/>
        </w:rPr>
        <w:t xml:space="preserve">,</w:t>
      </w:r>
      <w:r>
        <w:rPr>
          <w:rFonts w:ascii="宋体" w:hAnsi="宋体" w:cs="宋体"/>
          <w:color w:val="000000"/>
          <w:szCs w:val="21"/>
        </w:rPr>
        <w:t xml:space="preserve">甲方按照采购合同的约定对每一项技术、商务要求的履约情况进行确认。验收结束后</w:t>
      </w:r>
      <w:r>
        <w:rPr>
          <w:rFonts w:eastAsia="Times New Roman"/>
          <w:color w:val="000000"/>
          <w:szCs w:val="21"/>
        </w:rPr>
        <w:t xml:space="preserve">,</w:t>
      </w:r>
      <w:r>
        <w:rPr>
          <w:rFonts w:ascii="宋体" w:hAnsi="宋体" w:cs="宋体"/>
          <w:color w:val="000000"/>
          <w:szCs w:val="21"/>
        </w:rPr>
        <w:t xml:space="preserve">验收小组出具验收书</w:t>
      </w:r>
      <w:r>
        <w:rPr>
          <w:rFonts w:eastAsia="Times New Roman"/>
          <w:color w:val="000000"/>
          <w:szCs w:val="21"/>
        </w:rPr>
        <w:t xml:space="preserve">,</w:t>
      </w:r>
      <w:r>
        <w:rPr>
          <w:rFonts w:ascii="宋体" w:hAnsi="宋体" w:cs="宋体"/>
          <w:color w:val="000000"/>
          <w:szCs w:val="21"/>
        </w:rPr>
        <w:t xml:space="preserve">列明各项标准的验收情况及项目总体评价</w:t>
      </w:r>
      <w:r>
        <w:rPr>
          <w:rFonts w:eastAsia="Times New Roman"/>
          <w:color w:val="000000"/>
          <w:szCs w:val="21"/>
        </w:rPr>
        <w:t xml:space="preserve">,</w:t>
      </w:r>
      <w:r>
        <w:rPr>
          <w:rFonts w:ascii="宋体" w:hAnsi="宋体" w:cs="宋体"/>
          <w:color w:val="000000"/>
          <w:szCs w:val="21"/>
        </w:rPr>
        <w:t xml:space="preserve">由验收双方共同签署。验收结果与采购合同约定的资金支付及履约保证金返还条件挂钩。履约验收的各项资料存档备查。</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12.6 </w:t>
      </w:r>
      <w:r>
        <w:rPr>
          <w:rFonts w:ascii="宋体" w:hAnsi="宋体" w:cs="宋体"/>
          <w:color w:val="000000"/>
          <w:szCs w:val="21"/>
        </w:rPr>
        <w:t xml:space="preserve">验收合格的项目</w:t>
      </w:r>
      <w:r>
        <w:rPr>
          <w:rFonts w:eastAsia="Times New Roman"/>
          <w:color w:val="000000"/>
          <w:szCs w:val="21"/>
        </w:rPr>
        <w:t xml:space="preserve">,</w:t>
      </w:r>
      <w:r>
        <w:rPr>
          <w:rFonts w:ascii="宋体" w:hAnsi="宋体" w:cs="宋体"/>
          <w:color w:val="000000"/>
          <w:szCs w:val="21"/>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eastAsia="Times New Roman"/>
          <w:color w:val="000000"/>
          <w:szCs w:val="21"/>
        </w:rPr>
        <w:t xml:space="preserve">,</w:t>
      </w:r>
      <w:r>
        <w:rPr>
          <w:rFonts w:ascii="宋体" w:hAnsi="宋体" w:cs="宋体"/>
          <w:color w:val="000000"/>
          <w:szCs w:val="21"/>
        </w:rPr>
        <w:t xml:space="preserve">甲方将及时报告本级财政部门。</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十三、货物的包装、发运及运输</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13.1 </w:t>
      </w:r>
      <w:r>
        <w:rPr>
          <w:rFonts w:ascii="宋体" w:hAnsi="宋体" w:cs="宋体"/>
          <w:color w:val="000000"/>
          <w:szCs w:val="21"/>
        </w:rPr>
        <w:t xml:space="preserve">乙方应在货物发运前对其进行满足运输距离、防潮、防震、防锈和防破损装卸等要求包装，以保证货物安全运达甲方指定地点。</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13.2 </w:t>
      </w:r>
      <w:r>
        <w:rPr>
          <w:rFonts w:ascii="宋体" w:hAnsi="宋体" w:cs="宋体"/>
          <w:color w:val="000000"/>
          <w:szCs w:val="21"/>
        </w:rPr>
        <w:t xml:space="preserve">使用说明书、质量检验证明书、随配附件和工具以及清单一并附于货物内。</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13.3 </w:t>
      </w:r>
      <w:r>
        <w:rPr>
          <w:rFonts w:ascii="宋体" w:hAnsi="宋体" w:cs="宋体"/>
          <w:color w:val="000000"/>
          <w:szCs w:val="21"/>
        </w:rPr>
        <w:t xml:space="preserve">乙方在货物发运手续办理完毕后</w:t>
      </w:r>
      <w:r>
        <w:rPr>
          <w:rFonts w:eastAsia="Times New Roman"/>
          <w:color w:val="000000"/>
          <w:szCs w:val="21"/>
        </w:rPr>
        <w:t xml:space="preserve">24</w:t>
      </w:r>
      <w:r>
        <w:rPr>
          <w:rFonts w:ascii="宋体" w:hAnsi="宋体" w:cs="宋体"/>
          <w:color w:val="000000"/>
          <w:szCs w:val="21"/>
        </w:rPr>
        <w:t xml:space="preserve">小时内或货到甲方</w:t>
      </w:r>
      <w:r>
        <w:rPr>
          <w:rFonts w:eastAsia="Times New Roman"/>
          <w:color w:val="000000"/>
          <w:szCs w:val="21"/>
        </w:rPr>
        <w:t xml:space="preserve">48</w:t>
      </w:r>
      <w:r>
        <w:rPr>
          <w:rFonts w:ascii="宋体" w:hAnsi="宋体" w:cs="宋体"/>
          <w:color w:val="000000"/>
          <w:szCs w:val="21"/>
        </w:rPr>
        <w:t xml:space="preserve">小时前通知甲方，以准备接货。</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13.4 </w:t>
      </w:r>
      <w:r>
        <w:rPr>
          <w:rFonts w:ascii="宋体" w:hAnsi="宋体" w:cs="宋体"/>
          <w:color w:val="000000"/>
          <w:szCs w:val="21"/>
        </w:rPr>
        <w:t xml:space="preserve">货物在交付甲方前发生的风险均由乙方负责。</w:t>
      </w:r>
      <w:r/>
    </w:p>
    <w:p>
      <w:pPr>
        <w:ind w:firstLine="480"/>
        <w:spacing w:before="156" w:after="156"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13.5 </w:t>
      </w:r>
      <w:r>
        <w:rPr>
          <w:rFonts w:ascii="宋体" w:hAnsi="宋体" w:cs="宋体"/>
          <w:color w:val="000000"/>
          <w:szCs w:val="21"/>
        </w:rPr>
        <w:t xml:space="preserve">货物在规定的交付期限内由乙方送达甲方指定的地点视为交付，乙方同时需通知甲方货物已送达。</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十四、违约责任</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14.1 </w:t>
      </w:r>
      <w:r>
        <w:rPr>
          <w:rFonts w:ascii="宋体" w:hAnsi="宋体" w:cs="宋体"/>
          <w:color w:val="000000"/>
          <w:szCs w:val="21"/>
        </w:rPr>
        <w:t xml:space="preserve">甲方无正当理由拒收货物的，甲方向乙方偿付拒收货款总值</w:t>
      </w:r>
      <w:r>
        <w:rPr>
          <w:rFonts w:eastAsia="Times New Roman"/>
          <w:color w:val="000000"/>
          <w:szCs w:val="21"/>
          <w:u w:val="single"/>
        </w:rPr>
        <w:t xml:space="preserve">     </w:t>
      </w:r>
      <w:r>
        <w:rPr>
          <w:rFonts w:ascii="宋体" w:hAnsi="宋体" w:cs="宋体"/>
          <w:color w:val="000000"/>
          <w:szCs w:val="21"/>
        </w:rPr>
        <w:t xml:space="preserve">的违约金。</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14.2 </w:t>
      </w:r>
      <w:r>
        <w:rPr>
          <w:rFonts w:ascii="宋体" w:hAnsi="宋体" w:cs="宋体"/>
          <w:color w:val="000000"/>
          <w:szCs w:val="21"/>
        </w:rPr>
        <w:t xml:space="preserve">甲方无故逾期验收和办理货款支付手续的</w:t>
      </w:r>
      <w:r>
        <w:rPr>
          <w:rFonts w:eastAsia="Times New Roman"/>
          <w:color w:val="000000"/>
          <w:szCs w:val="21"/>
        </w:rPr>
        <w:t xml:space="preserve">,</w:t>
      </w:r>
      <w:r>
        <w:rPr>
          <w:rFonts w:ascii="宋体" w:hAnsi="宋体" w:cs="宋体"/>
          <w:color w:val="000000"/>
          <w:szCs w:val="21"/>
        </w:rPr>
        <w:t xml:space="preserve">甲方应按逾期付款总额每日</w:t>
      </w:r>
      <w:r>
        <w:rPr>
          <w:rFonts w:eastAsia="Times New Roman"/>
          <w:color w:val="000000"/>
          <w:szCs w:val="21"/>
        </w:rPr>
        <w:t xml:space="preserve">       </w:t>
      </w:r>
      <w:r>
        <w:rPr>
          <w:rFonts w:ascii="宋体" w:hAnsi="宋体" w:cs="宋体"/>
          <w:color w:val="000000"/>
          <w:szCs w:val="21"/>
        </w:rPr>
        <w:t xml:space="preserve">向乙方支付违约金。</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14.3 </w:t>
      </w:r>
      <w:r>
        <w:rPr>
          <w:rFonts w:ascii="宋体" w:hAnsi="宋体" w:cs="宋体"/>
          <w:color w:val="000000"/>
          <w:szCs w:val="21"/>
        </w:rPr>
        <w:t xml:space="preserve">乙方逾期交付货物的，乙方应按逾期交货总额每日</w:t>
      </w:r>
      <w:r>
        <w:rPr>
          <w:rFonts w:eastAsia="Times New Roman"/>
          <w:color w:val="000000"/>
          <w:szCs w:val="21"/>
          <w:u w:val="single"/>
        </w:rPr>
        <w:t xml:space="preserve">     </w:t>
      </w:r>
      <w:r>
        <w:rPr>
          <w:rFonts w:hint="eastAsia"/>
          <w:color w:val="000000"/>
          <w:szCs w:val="21"/>
          <w:u w:val="single"/>
        </w:rPr>
        <w:t xml:space="preserve"> </w:t>
      </w:r>
      <w:r>
        <w:rPr>
          <w:rFonts w:ascii="宋体" w:hAnsi="宋体" w:cs="宋体"/>
          <w:color w:val="000000"/>
          <w:szCs w:val="21"/>
        </w:rPr>
        <w:t xml:space="preserve">向甲方支付违约金，由甲方从待付货款中扣除。逾期超过约定日期</w:t>
      </w:r>
      <w:r>
        <w:rPr>
          <w:rFonts w:eastAsia="Times New Roman"/>
          <w:color w:val="000000"/>
          <w:szCs w:val="21"/>
        </w:rPr>
        <w:t xml:space="preserve">10</w:t>
      </w:r>
      <w:r>
        <w:rPr>
          <w:rFonts w:ascii="宋体" w:hAnsi="宋体" w:cs="宋体"/>
          <w:color w:val="000000"/>
          <w:szCs w:val="21"/>
        </w:rPr>
        <w:t xml:space="preserve">个工作日不能交货的，甲方可解除本合同。乙方因逾期交货或因其他违约行为导致甲方解除合同的，乙方应向甲方支付合同总值</w:t>
      </w:r>
      <w:r>
        <w:rPr>
          <w:rFonts w:eastAsia="Times New Roman"/>
          <w:color w:val="000000"/>
          <w:szCs w:val="21"/>
          <w:u w:val="single"/>
        </w:rPr>
        <w:t xml:space="preserve">    </w:t>
      </w:r>
      <w:r>
        <w:rPr>
          <w:rFonts w:ascii="宋体" w:hAnsi="宋体" w:cs="宋体"/>
          <w:color w:val="000000"/>
          <w:szCs w:val="21"/>
        </w:rPr>
        <w:t xml:space="preserve">的违约金，如造成甲方损失超过违约金的，超出部分由乙方继续承担赔偿责任。</w:t>
      </w:r>
      <w:r>
        <w:rPr>
          <w:rFonts w:eastAsia="Times New Roman"/>
          <w:color w:val="000000"/>
          <w:szCs w:val="21"/>
        </w:rPr>
        <w:t xml:space="preserve"> </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14.4 </w:t>
      </w:r>
      <w:r>
        <w:rPr>
          <w:rFonts w:ascii="宋体" w:hAnsi="宋体" w:cs="宋体"/>
          <w:color w:val="000000"/>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十五、不可抗力事件处理</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15.1 </w:t>
      </w:r>
      <w:r>
        <w:rPr>
          <w:rFonts w:ascii="宋体" w:hAnsi="宋体" w:cs="宋体"/>
          <w:color w:val="000000"/>
          <w:szCs w:val="21"/>
        </w:rPr>
        <w:t xml:space="preserve">在合同有效期内，任何一方因不可抗力事件导致不能履行合同，则合同履行期可延长，其延长期与不可抗力影响期相同。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15.2 </w:t>
      </w:r>
      <w:r>
        <w:rPr>
          <w:rFonts w:ascii="宋体" w:hAnsi="宋体" w:cs="宋体"/>
          <w:color w:val="000000"/>
          <w:szCs w:val="21"/>
        </w:rPr>
        <w:t xml:space="preserve">不可抗力事件发生后，应立即通知对方，并寄送有关权威机构出具的证明。</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15.3 </w:t>
      </w:r>
      <w:r>
        <w:rPr>
          <w:rFonts w:ascii="宋体" w:hAnsi="宋体" w:cs="宋体"/>
          <w:color w:val="000000"/>
          <w:szCs w:val="21"/>
        </w:rPr>
        <w:t xml:space="preserve">不可抗力事件延续</w:t>
      </w:r>
      <w:r>
        <w:rPr>
          <w:rFonts w:eastAsia="Times New Roman"/>
          <w:color w:val="000000"/>
          <w:szCs w:val="21"/>
        </w:rPr>
        <w:t xml:space="preserve">120</w:t>
      </w:r>
      <w:r>
        <w:rPr>
          <w:rFonts w:ascii="宋体" w:hAnsi="宋体" w:cs="宋体"/>
          <w:color w:val="000000"/>
          <w:szCs w:val="21"/>
        </w:rPr>
        <w:t xml:space="preserve">天以上，双方应通过友好协商，确定是否继续履行合同。</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十六、解决争议的方法</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16.1</w:t>
      </w:r>
      <w:r>
        <w:rPr>
          <w:rFonts w:ascii="宋体" w:hAnsi="宋体" w:cs="宋体"/>
          <w:color w:val="000000"/>
          <w:szCs w:val="21"/>
        </w:rPr>
        <w:t xml:space="preserve">甲乙双方因合同签订、履行而发生的一切争议，应通过友好协商解决。如协商不成由甲方住所地人民法院管辖。</w:t>
      </w:r>
      <w:r/>
    </w:p>
    <w:p>
      <w:pPr>
        <w:ind w:firstLine="482"/>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十七、合同生效及其它</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17.1 </w:t>
      </w:r>
      <w:r>
        <w:rPr>
          <w:rFonts w:ascii="宋体" w:hAnsi="宋体" w:cs="宋体"/>
          <w:color w:val="000000"/>
          <w:szCs w:val="21"/>
        </w:rPr>
        <w:t xml:space="preserve">合同经双方法定代表人或授权委托代表人签字并加盖单位公章后生效。</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17.2</w:t>
      </w:r>
      <w:r>
        <w:rPr>
          <w:rFonts w:ascii="宋体" w:hAnsi="宋体" w:cs="宋体"/>
          <w:color w:val="000000"/>
          <w:szCs w:val="21"/>
        </w:rPr>
        <w:t xml:space="preserve">本合同未尽事宜，遵照《中华人民共和国民法典》《中华人民共和国政府采购法》有关条文执行。</w:t>
      </w:r>
      <w:r/>
    </w:p>
    <w:p>
      <w:pPr>
        <w:ind w:firstLine="480"/>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17.3 </w:t>
      </w:r>
      <w:r>
        <w:rPr>
          <w:rFonts w:ascii="宋体" w:hAnsi="宋体" w:cs="宋体"/>
          <w:color w:val="000000"/>
          <w:szCs w:val="21"/>
        </w:rPr>
        <w:t xml:space="preserve">本合同正本一式</w:t>
      </w:r>
      <w:r>
        <w:rPr>
          <w:rFonts w:eastAsia="Times New Roman"/>
          <w:color w:val="000000"/>
          <w:szCs w:val="21"/>
        </w:rPr>
        <w:t xml:space="preserve">___</w:t>
      </w:r>
      <w:r>
        <w:rPr>
          <w:rFonts w:ascii="宋体" w:hAnsi="宋体" w:cs="宋体"/>
          <w:color w:val="000000"/>
          <w:szCs w:val="21"/>
        </w:rPr>
        <w:t xml:space="preserve">份，具有同等法律效力，甲方、乙方及财政监管部门各执一份。</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甲方（盖章）：</w:t>
      </w:r>
      <w:r>
        <w:rPr>
          <w:rFonts w:hint="eastAsia" w:ascii="宋体" w:hAnsi="宋体" w:cs="宋体"/>
          <w:color w:val="000000"/>
          <w:szCs w:val="21"/>
        </w:rPr>
        <w:t xml:space="preserve">         </w:t>
      </w:r>
      <w:r>
        <w:rPr>
          <w:rFonts w:eastAsia="Times New Roman"/>
          <w:color w:val="000000"/>
          <w:szCs w:val="21"/>
        </w:rPr>
        <w:t xml:space="preserve">            </w:t>
      </w:r>
      <w:r>
        <w:rPr>
          <w:rFonts w:hint="eastAsia"/>
          <w:color w:val="000000"/>
          <w:szCs w:val="21"/>
        </w:rPr>
        <w:t xml:space="preserve"> </w:t>
      </w:r>
      <w:r>
        <w:rPr>
          <w:rFonts w:eastAsia="Times New Roman"/>
          <w:color w:val="000000"/>
          <w:szCs w:val="21"/>
        </w:rPr>
        <w:t xml:space="preserve"> </w:t>
      </w:r>
      <w:r>
        <w:rPr>
          <w:rFonts w:ascii="宋体" w:hAnsi="宋体" w:cs="宋体"/>
          <w:color w:val="000000"/>
          <w:szCs w:val="21"/>
        </w:rPr>
        <w:t xml:space="preserve">乙方（盖章）：</w:t>
      </w:r>
      <w:r>
        <w:rPr>
          <w:rFonts w:eastAsia="Times New Roman"/>
          <w:color w:val="000000"/>
          <w:szCs w:val="21"/>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地址：</w:t>
      </w:r>
      <w:r>
        <w:rPr>
          <w:rFonts w:hint="eastAsia" w:ascii="宋体" w:hAnsi="宋体" w:cs="宋体"/>
          <w:color w:val="000000"/>
          <w:szCs w:val="21"/>
        </w:rPr>
        <w:t xml:space="preserve">                       </w:t>
      </w:r>
      <w:r>
        <w:rPr>
          <w:rFonts w:eastAsia="Times New Roman"/>
          <w:color w:val="000000"/>
          <w:szCs w:val="21"/>
        </w:rPr>
        <w:t xml:space="preserve"> </w:t>
      </w:r>
      <w:r>
        <w:rPr>
          <w:rFonts w:hint="eastAsia"/>
          <w:color w:val="000000"/>
          <w:szCs w:val="21"/>
        </w:rPr>
        <w:t xml:space="preserve"> </w:t>
      </w:r>
      <w:r>
        <w:rPr>
          <w:rFonts w:ascii="宋体" w:hAnsi="宋体" w:cs="宋体"/>
          <w:color w:val="000000"/>
          <w:szCs w:val="21"/>
        </w:rPr>
        <w:t xml:space="preserve">地址：</w:t>
      </w:r>
      <w:r>
        <w:rPr>
          <w:rFonts w:eastAsia="Times New Roman"/>
          <w:color w:val="000000"/>
          <w:szCs w:val="21"/>
        </w:rPr>
        <w:t xml:space="preserve"> </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法定代表人或授权代表：</w:t>
      </w:r>
      <w:r>
        <w:rPr>
          <w:rFonts w:eastAsia="Times New Roman"/>
          <w:color w:val="000000"/>
          <w:szCs w:val="21"/>
        </w:rPr>
        <w:t xml:space="preserve">                  </w:t>
      </w:r>
      <w:r>
        <w:rPr>
          <w:rFonts w:ascii="宋体" w:hAnsi="宋体" w:cs="宋体"/>
          <w:color w:val="000000"/>
          <w:szCs w:val="21"/>
        </w:rPr>
        <w:t xml:space="preserve">法定代表人或授权代表：</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经办人：</w:t>
      </w:r>
      <w:r>
        <w:rPr>
          <w:rFonts w:eastAsia="Times New Roman"/>
          <w:color w:val="000000"/>
          <w:szCs w:val="21"/>
        </w:rPr>
        <w:t xml:space="preserve">                                </w:t>
      </w:r>
      <w:r>
        <w:rPr>
          <w:rFonts w:hint="eastAsia"/>
          <w:color w:val="000000"/>
          <w:szCs w:val="21"/>
        </w:rPr>
        <w:t xml:space="preserve">       </w:t>
      </w:r>
      <w:r>
        <w:rPr>
          <w:rFonts w:ascii="宋体" w:hAnsi="宋体" w:cs="宋体"/>
          <w:color w:val="000000"/>
          <w:szCs w:val="21"/>
        </w:rPr>
        <w:t xml:space="preserve">经办人：</w:t>
      </w:r>
      <w:r/>
    </w:p>
    <w:p>
      <w:pP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联系电话：</w:t>
      </w:r>
      <w:r>
        <w:rPr>
          <w:rFonts w:eastAsia="Times New Roman"/>
          <w:color w:val="000000"/>
          <w:szCs w:val="21"/>
        </w:rPr>
        <w:t xml:space="preserve">                          </w:t>
      </w:r>
      <w:r>
        <w:rPr>
          <w:rFonts w:hint="eastAsia"/>
          <w:color w:val="000000"/>
          <w:szCs w:val="21"/>
        </w:rPr>
        <w:t xml:space="preserve">      </w:t>
      </w:r>
      <w:r>
        <w:rPr>
          <w:rFonts w:eastAsia="Times New Roman"/>
          <w:color w:val="000000"/>
          <w:szCs w:val="21"/>
        </w:rPr>
        <w:t xml:space="preserve">    </w:t>
      </w:r>
      <w:r>
        <w:rPr>
          <w:rFonts w:ascii="宋体" w:hAnsi="宋体" w:cs="宋体"/>
          <w:color w:val="000000"/>
          <w:szCs w:val="21"/>
        </w:rPr>
        <w:t xml:space="preserve">联系电话：</w:t>
      </w:r>
      <w:r>
        <w:rPr>
          <w:rFonts w:eastAsia="Times New Roman"/>
          <w:color w:val="000000"/>
          <w:szCs w:val="21"/>
        </w:rPr>
        <w:t xml:space="preserve">          </w:t>
      </w:r>
      <w:r/>
    </w:p>
    <w:p>
      <w:pPr>
        <w:ind w:firstLine="480"/>
        <w:jc w:val="cente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p>
    <w:p>
      <w:pPr>
        <w:ind w:firstLine="480"/>
        <w:jc w:val="left"/>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eastAsiaTheme="minorEastAsia"/>
          <w:color w:val="000000"/>
          <w:szCs w:val="21"/>
        </w:rPr>
        <w:t xml:space="preserve">  </w:t>
      </w:r>
      <w:r/>
    </w:p>
    <w:p>
      <w:pPr>
        <w:ind w:firstLine="480"/>
        <w:jc w:val="left"/>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hint="eastAsia" w:eastAsiaTheme="minorEastAsia"/>
          <w:color w:val="000000"/>
          <w:szCs w:val="21"/>
        </w:rPr>
        <w:t xml:space="preserve">见证方：江苏省鼎诚建设工程顾问有限公司</w:t>
      </w:r>
      <w:r/>
    </w:p>
    <w:p>
      <w:pPr>
        <w:ind w:firstLine="480"/>
        <w:jc w:val="left"/>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hint="eastAsia" w:eastAsiaTheme="minorEastAsia"/>
          <w:color w:val="000000"/>
          <w:szCs w:val="21"/>
        </w:rPr>
        <w:t xml:space="preserve">项目经办人：陈洁</w:t>
      </w:r>
      <w:r/>
    </w:p>
    <w:p>
      <w:pPr>
        <w:ind w:firstLine="480"/>
        <w:jc w:val="center"/>
        <w:spacing w:before="120" w:after="120" w:line="85" w:lineRule="atLeast"/>
        <w:rPr>
          <w:rFonts w:eastAsiaTheme="minorEastAsia"/>
          <w:color w:val="000000"/>
          <w:szCs w:val="21"/>
        </w:rPr>
        <w:pBdr>
          <w:top w:val="none" w:color="000000" w:sz="0" w:space="0"/>
          <w:left w:val="none" w:color="000000" w:sz="0" w:space="0"/>
          <w:bottom w:val="none" w:color="000000" w:sz="0" w:space="0"/>
          <w:right w:val="none" w:color="000000" w:sz="0" w:space="0"/>
        </w:pBdr>
      </w:pPr>
      <w:r>
        <w:rPr>
          <w:rFonts w:eastAsiaTheme="minorEastAsia"/>
          <w:color w:val="000000"/>
          <w:szCs w:val="21"/>
        </w:rPr>
      </w:r>
      <w:r/>
    </w:p>
    <w:p>
      <w:pPr>
        <w:ind w:firstLine="480"/>
        <w:jc w:val="center"/>
        <w:spacing w:before="120" w:after="120" w:line="85" w:lineRule="atLeast"/>
        <w:rPr>
          <w:rFonts w:ascii="Calibri" w:hAnsi="Calibri"/>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p>
    <w:p>
      <w:pP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eastAsia="Times New Roman"/>
          <w:color w:val="000000"/>
          <w:szCs w:val="21"/>
        </w:rPr>
        <w:t xml:space="preserve">                                      </w:t>
      </w:r>
      <w:r>
        <w:rPr>
          <w:rFonts w:hint="eastAsia"/>
          <w:color w:val="000000"/>
          <w:szCs w:val="21"/>
        </w:rPr>
        <w:t xml:space="preserve">  </w:t>
      </w:r>
      <w:r>
        <w:rPr>
          <w:rFonts w:ascii="宋体" w:hAnsi="宋体" w:cs="宋体"/>
          <w:color w:val="000000"/>
          <w:szCs w:val="21"/>
        </w:rPr>
        <w:t xml:space="preserve">签订日期：</w:t>
      </w:r>
      <w:r>
        <w:rPr>
          <w:rFonts w:eastAsia="Times New Roman"/>
          <w:color w:val="000000"/>
          <w:szCs w:val="21"/>
        </w:rPr>
        <w:t xml:space="preserve">      </w:t>
      </w:r>
      <w:r>
        <w:rPr>
          <w:rFonts w:ascii="宋体" w:hAnsi="宋体" w:cs="宋体"/>
          <w:color w:val="000000"/>
          <w:szCs w:val="21"/>
        </w:rPr>
        <w:t xml:space="preserve">年</w:t>
      </w:r>
      <w:r>
        <w:rPr>
          <w:rFonts w:eastAsia="Times New Roman"/>
          <w:color w:val="000000"/>
          <w:szCs w:val="21"/>
        </w:rPr>
        <w:t xml:space="preserve">    </w:t>
      </w:r>
      <w:r>
        <w:rPr>
          <w:rFonts w:ascii="宋体" w:hAnsi="宋体" w:cs="宋体"/>
          <w:color w:val="000000"/>
          <w:szCs w:val="21"/>
        </w:rPr>
        <w:t xml:space="preserve">月</w:t>
      </w:r>
      <w:r>
        <w:rPr>
          <w:rFonts w:eastAsia="Times New Roman"/>
          <w:color w:val="000000"/>
          <w:szCs w:val="21"/>
        </w:rPr>
        <w:t xml:space="preserve">   </w:t>
      </w:r>
      <w:r>
        <w:rPr>
          <w:rFonts w:ascii="宋体" w:hAnsi="宋体" w:cs="宋体"/>
          <w:color w:val="000000"/>
          <w:szCs w:val="21"/>
        </w:rPr>
        <w:t xml:space="preserve">日</w:t>
      </w:r>
      <w:r/>
    </w:p>
    <w:p>
      <w:pPr>
        <w:pStyle w:val="878"/>
      </w:pPr>
      <w:r>
        <w:br w:type="page" w:clear="all"/>
      </w:r>
      <w:bookmarkEnd w:id="10"/>
      <w:r/>
      <w:r/>
    </w:p>
    <w:p>
      <w:pPr>
        <w:pStyle w:val="888"/>
        <w:jc w:val="center"/>
        <w:spacing w:before="120" w:after="120" w:line="360" w:lineRule="auto"/>
        <w:rPr>
          <w:rFonts w:hAnsi="宋体"/>
          <w:sz w:val="36"/>
        </w:rPr>
      </w:pPr>
      <w:r/>
      <w:bookmarkStart w:id="11" w:name="_Toc136347705"/>
      <w:r/>
      <w:bookmarkStart w:id="12" w:name="_Toc47940211"/>
      <w:r>
        <w:rPr>
          <w:rFonts w:hint="eastAsia" w:hAnsi="宋体"/>
          <w:sz w:val="36"/>
        </w:rPr>
        <w:t xml:space="preserve">第四章 采购需求</w:t>
      </w:r>
      <w:r/>
    </w:p>
    <w:p>
      <w:pPr>
        <w:spacing w:line="360" w:lineRule="auto"/>
        <w:rPr>
          <w:rFonts w:hAnsi="宋体"/>
          <w:sz w:val="36"/>
        </w:rPr>
      </w:pPr>
      <w:r>
        <w:rPr>
          <w:rFonts w:hAnsi="宋体"/>
          <w:sz w:val="36"/>
        </w:rPr>
      </w:r>
      <w:r/>
    </w:p>
    <w:p>
      <w:pPr>
        <w:spacing w:line="360" w:lineRule="auto"/>
        <w:rPr>
          <w:rFonts w:ascii="宋体" w:hAnsi="宋体"/>
          <w:bCs/>
          <w:sz w:val="24"/>
          <w:szCs w:val="24"/>
        </w:rPr>
      </w:pPr>
      <w:r>
        <w:rPr>
          <w:rFonts w:hint="eastAsia" w:ascii="宋体" w:hAnsi="宋体"/>
          <w:sz w:val="24"/>
          <w:szCs w:val="24"/>
        </w:rPr>
        <w:t xml:space="preserve">项目属性:货物类项目。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1.严格执行政府采购关于支持</w:t>
      </w:r>
      <w:r>
        <w:rPr>
          <w:rFonts w:hint="eastAsia"/>
          <w:bCs/>
          <w:i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rPr>
          <w:b/>
          <w:bCs/>
          <w:sz w:val="28"/>
          <w:szCs w:val="28"/>
        </w:rPr>
      </w:pPr>
      <w:r>
        <w:rPr>
          <w:rFonts w:hint="eastAsia"/>
          <w:b/>
          <w:bCs/>
          <w:sz w:val="28"/>
          <w:szCs w:val="28"/>
        </w:rPr>
        <w:t xml:space="preserve">核心产品：黑光球机</w:t>
      </w:r>
      <w:bookmarkEnd w:id="11"/>
      <w:r/>
      <w:bookmarkEnd w:id="12"/>
      <w:r/>
      <w:r/>
    </w:p>
    <w:p>
      <w:pPr>
        <w:spacing w:line="500" w:lineRule="exact"/>
        <w:rPr>
          <w:rFonts w:ascii="宋体" w:hAnsi="宋体"/>
          <w:b/>
          <w:bCs/>
          <w:sz w:val="24"/>
          <w:szCs w:val="24"/>
        </w:rPr>
      </w:pPr>
      <w:r>
        <w:rPr>
          <w:rFonts w:hint="eastAsia" w:ascii="宋体" w:hAnsi="宋体"/>
          <w:b/>
          <w:bCs/>
          <w:sz w:val="24"/>
          <w:szCs w:val="24"/>
        </w:rPr>
        <w:t xml:space="preserve">采购标的对应的中小企业划分标准所属行业一览表</w:t>
      </w:r>
      <w:r/>
    </w:p>
    <w:tbl>
      <w:tblPr>
        <w:tblStyle w:val="877"/>
        <w:tblW w:w="8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4825"/>
        <w:gridCol w:w="2492"/>
      </w:tblGrid>
      <w:tr>
        <w:trPr>
          <w:cantSplit/>
          <w:jc w:val="center"/>
          <w:trHeight w:val="607"/>
        </w:trPr>
        <w:tc>
          <w:tcPr>
            <w:tcW w:w="10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482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49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87"/>
        </w:trPr>
        <w:tc>
          <w:tcPr>
            <w:tcW w:w="1028" w:type="dxa"/>
            <w:vAlign w:val="center"/>
            <w:textDirection w:val="lrTb"/>
            <w:noWrap w:val="false"/>
          </w:tcPr>
          <w:p>
            <w:pPr>
              <w:jc w:val="center"/>
              <w:spacing w:line="0" w:lineRule="atLeast"/>
              <w:rPr>
                <w:rFonts w:ascii="宋体" w:hAnsi="宋体"/>
              </w:rPr>
            </w:pPr>
            <w:r>
              <w:rPr>
                <w:rFonts w:hint="eastAsia" w:ascii="宋体" w:hAnsi="宋体"/>
                <w:szCs w:val="21"/>
              </w:rPr>
              <w:t xml:space="preserve">1</w:t>
            </w:r>
            <w:r/>
          </w:p>
        </w:tc>
        <w:tc>
          <w:tcPr>
            <w:tcW w:w="4825" w:type="dxa"/>
            <w:vAlign w:val="center"/>
            <w:textDirection w:val="lrTb"/>
            <w:noWrap w:val="false"/>
          </w:tcPr>
          <w:p>
            <w:pPr>
              <w:jc w:val="center"/>
              <w:spacing w:line="0" w:lineRule="atLeast"/>
              <w:rPr>
                <w:rFonts w:ascii="宋体" w:hAnsi="宋体"/>
              </w:rPr>
            </w:pPr>
            <w:r>
              <w:rPr>
                <w:rFonts w:hint="eastAsia" w:ascii="宋体" w:hAnsi="宋体"/>
              </w:rPr>
              <w:t xml:space="preserve">2023年宝应县渔政执法装备设施建设项目</w:t>
            </w:r>
            <w:r/>
          </w:p>
        </w:tc>
        <w:tc>
          <w:tcPr>
            <w:tcW w:w="2492" w:type="dxa"/>
            <w:vAlign w:val="center"/>
            <w:textDirection w:val="lrTb"/>
            <w:noWrap w:val="false"/>
          </w:tcPr>
          <w:p>
            <w:pPr>
              <w:jc w:val="center"/>
              <w:spacing w:line="0" w:lineRule="atLeast"/>
              <w:rPr>
                <w:rFonts w:ascii="宋体" w:hAnsi="宋体"/>
              </w:rPr>
            </w:pPr>
            <w:r>
              <w:rPr>
                <w:rFonts w:ascii="宋体" w:hAnsi="宋体"/>
              </w:rPr>
              <w:t xml:space="preserve">工业</w:t>
            </w:r>
            <w:r/>
          </w:p>
        </w:tc>
      </w:tr>
    </w:tbl>
    <w:p>
      <w:pPr>
        <w:ind w:firstLine="482"/>
        <w:spacing w:before="120" w:after="120" w:line="85" w:lineRule="atLeast"/>
        <w:rPr>
          <w:rFonts w:ascii="宋体" w:hAnsi="宋体" w:cs="宋体"/>
          <w:b/>
          <w:color w:val="000000"/>
          <w:sz w:val="24"/>
        </w:rPr>
      </w:pPr>
      <w:r>
        <w:rPr>
          <w:rFonts w:hint="eastAsia" w:ascii="宋体" w:hAnsi="宋体" w:cs="宋体"/>
          <w:b/>
          <w:color w:val="000000"/>
          <w:sz w:val="24"/>
        </w:rPr>
        <w:t xml:space="preserve">一、采购需求</w:t>
      </w:r>
      <w:r/>
    </w:p>
    <w:p>
      <w:pPr>
        <w:ind w:firstLine="480"/>
        <w:spacing w:before="120" w:after="120" w:line="85" w:lineRule="atLeast"/>
        <w:rPr>
          <w:sz w:val="24"/>
        </w:rPr>
      </w:pPr>
      <w:r>
        <w:rPr>
          <w:rFonts w:hint="eastAsia" w:ascii="宋体" w:hAnsi="宋体" w:cs="宋体"/>
          <w:color w:val="000000"/>
          <w:sz w:val="24"/>
        </w:rPr>
        <w:t xml:space="preserve">长江十年禁捕在经历了</w:t>
      </w:r>
      <w:r>
        <w:rPr>
          <w:rFonts w:eastAsia="Times New Roman"/>
          <w:color w:val="000000"/>
          <w:sz w:val="24"/>
        </w:rPr>
        <w:t xml:space="preserve">”</w:t>
      </w:r>
      <w:r>
        <w:rPr>
          <w:rFonts w:hint="eastAsia" w:ascii="宋体" w:hAnsi="宋体" w:cs="宋体"/>
          <w:color w:val="000000"/>
          <w:sz w:val="24"/>
        </w:rPr>
        <w:t xml:space="preserve">一年起好步、管得住，三年强基础、顶得住</w:t>
      </w:r>
      <w:r>
        <w:rPr>
          <w:rFonts w:eastAsia="Times New Roman"/>
          <w:color w:val="000000"/>
          <w:sz w:val="24"/>
        </w:rPr>
        <w:t xml:space="preserve">“</w:t>
      </w:r>
      <w:r>
        <w:rPr>
          <w:rFonts w:hint="eastAsia" w:ascii="宋体" w:hAnsi="宋体" w:cs="宋体"/>
          <w:color w:val="000000"/>
          <w:sz w:val="24"/>
        </w:rPr>
        <w:t xml:space="preserve">阶段后，进入</w:t>
      </w:r>
      <w:r>
        <w:rPr>
          <w:rFonts w:eastAsia="Times New Roman"/>
          <w:color w:val="000000"/>
          <w:sz w:val="24"/>
        </w:rPr>
        <w:t xml:space="preserve">”</w:t>
      </w:r>
      <w:r>
        <w:rPr>
          <w:rFonts w:hint="eastAsia" w:ascii="宋体" w:hAnsi="宋体" w:cs="宋体"/>
          <w:color w:val="000000"/>
          <w:sz w:val="24"/>
        </w:rPr>
        <w:t xml:space="preserve">十年练内功、稳得住</w:t>
      </w:r>
      <w:r>
        <w:rPr>
          <w:rFonts w:eastAsia="Times New Roman"/>
          <w:color w:val="000000"/>
          <w:sz w:val="24"/>
        </w:rPr>
        <w:t xml:space="preserve">”</w:t>
      </w:r>
      <w:r>
        <w:rPr>
          <w:rFonts w:hint="eastAsia" w:ascii="宋体" w:hAnsi="宋体" w:cs="宋体"/>
          <w:color w:val="000000"/>
          <w:sz w:val="24"/>
        </w:rPr>
        <w:t xml:space="preserve">阶段，坚定推进长江</w:t>
      </w:r>
      <w:r>
        <w:rPr>
          <w:rFonts w:eastAsia="Times New Roman"/>
          <w:color w:val="000000"/>
          <w:sz w:val="24"/>
        </w:rPr>
        <w:t xml:space="preserve">'</w:t>
      </w:r>
      <w:r>
        <w:rPr>
          <w:rFonts w:hint="eastAsia" w:ascii="宋体" w:hAnsi="宋体" w:cs="宋体"/>
          <w:color w:val="000000"/>
          <w:sz w:val="24"/>
        </w:rPr>
        <w:t xml:space="preserve">十年禁渔</w:t>
      </w:r>
      <w:r>
        <w:rPr>
          <w:rFonts w:eastAsia="Times New Roman"/>
          <w:color w:val="000000"/>
          <w:sz w:val="24"/>
        </w:rPr>
        <w:t xml:space="preserve">’</w:t>
      </w:r>
      <w:r>
        <w:rPr>
          <w:rFonts w:hint="eastAsia" w:ascii="宋体" w:hAnsi="宋体" w:cs="宋体"/>
          <w:color w:val="000000"/>
          <w:sz w:val="24"/>
        </w:rPr>
        <w:t xml:space="preserve">，巩固好已经取得的成果。针对我县辖内射阳湖水产种质资源保护区的现状，需充分利用科技手段改善执法监管人手不足、执法取证难、执法效率低的问题。</w:t>
      </w:r>
      <w:r>
        <w:rPr>
          <w:rFonts w:hint="eastAsia" w:ascii="宋体" w:hAnsi="宋体" w:cs="宋体"/>
          <w:sz w:val="24"/>
        </w:rPr>
        <w:t xml:space="preserve">该项目平台用硬件服务器利旧使用现有机房服务器，不新采购服务器。本项目不涉及信创电脑终端、服务器、操作系统、数据库、网络安全设备和信息化平台建设等。</w:t>
      </w:r>
      <w:r/>
    </w:p>
    <w:p>
      <w:pPr>
        <w:ind w:firstLine="480"/>
        <w:spacing w:before="120" w:after="120" w:line="85" w:lineRule="atLeast"/>
        <w:rPr>
          <w:rFonts w:eastAsia="Times New Roman"/>
          <w:color w:val="000000"/>
          <w:sz w:val="24"/>
        </w:rPr>
      </w:pPr>
      <w:r>
        <w:rPr>
          <w:rFonts w:hint="eastAsia" w:ascii="宋体" w:hAnsi="宋体" w:cs="宋体"/>
          <w:color w:val="000000"/>
          <w:sz w:val="24"/>
        </w:rPr>
        <w:t xml:space="preserve">具体需包括但不限于以下系统：</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1、渔政驾驶舱：实时掌握人、船、事的变化，利用数据统计实现趋势分析、告警数量统计、告警排行，辅助渔政管理人员决策和精细化布控。</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2、违捕研判</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该模块需提供告警事件处理流程功能，“发现、跟踪、锁定一预警一甄别一签收一执法处置一审核一案件记录保存”的信息化执法流程。</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3、渔政一张图</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该模块需将视频数据、告警数据进行汇聚，为管理人员提供视频可视化、违捕数据可视化、设备在离线可视化、装备建设可视化等能力。</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4、渔政考核报表</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该模块需通过区域告警数量统计、区域告警处置率统计、区域告警平均时长统计、告警处置效率统计、区域违捕行为统计等五大报表，为管理人员提供各项决策依据。</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5、渔港进出口监管</w:t>
      </w:r>
      <w:r/>
    </w:p>
    <w:p>
      <w:pPr>
        <w:ind w:firstLine="480"/>
        <w:spacing w:before="120" w:after="120" w:line="85" w:lineRule="atLeast"/>
        <w:rPr>
          <w:rFonts w:ascii="宋体" w:hAnsi="宋体" w:cs="宋体"/>
          <w:color w:val="000000"/>
          <w:sz w:val="24"/>
        </w:rPr>
      </w:pPr>
      <w:r>
        <w:rPr>
          <w:rFonts w:hint="eastAsia" w:ascii="宋体" w:hAnsi="宋体" w:cs="宋体"/>
          <w:color w:val="000000"/>
          <w:sz w:val="24"/>
        </w:rPr>
        <w:t xml:space="preserve">渔港内渔船来往频繁，尤其是休渔期间，存在套牌、外籍渔船入港、未报备船只非法出海、关闭AIS等多种问题，对于船舶户籍的管理较难，在AIS关闭或信息被篡改的条件下，能主动识别出船只，可以及时发现上述异常行为。</w:t>
      </w:r>
      <w:r/>
    </w:p>
    <w:p>
      <w:pPr>
        <w:ind w:firstLine="482"/>
        <w:spacing w:before="120" w:after="120" w:line="85" w:lineRule="atLeast"/>
        <w:rPr>
          <w:szCs w:val="21"/>
        </w:rPr>
      </w:pPr>
      <w:r>
        <w:rPr>
          <w:rFonts w:hint="eastAsia" w:ascii="宋体" w:hAnsi="宋体" w:cs="宋体"/>
          <w:b/>
          <w:color w:val="000000"/>
          <w:sz w:val="24"/>
        </w:rPr>
        <w:t xml:space="preserve">二、建设清单</w:t>
      </w:r>
      <w:r/>
    </w:p>
    <w:tbl>
      <w:tblPr>
        <w:tblStyle w:val="877"/>
        <w:tblW w:w="9705" w:type="dxa"/>
        <w:tblInd w:w="0" w:type="dxa"/>
        <w:tblLayout w:type="fixed"/>
        <w:tblCellMar>
          <w:left w:w="108" w:type="dxa"/>
          <w:top w:w="0" w:type="dxa"/>
          <w:right w:w="108" w:type="dxa"/>
          <w:bottom w:w="0" w:type="dxa"/>
        </w:tblCellMar>
        <w:tblLook w:val="04A0" w:firstRow="1" w:lastRow="0" w:firstColumn="1" w:lastColumn="0" w:noHBand="0" w:noVBand="1"/>
      </w:tblPr>
      <w:tblGrid>
        <w:gridCol w:w="730"/>
        <w:gridCol w:w="1114"/>
        <w:gridCol w:w="6301"/>
        <w:gridCol w:w="851"/>
        <w:gridCol w:w="709"/>
      </w:tblGrid>
      <w:tr>
        <w:trPr>
          <w:trHeight w:val="42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widowControl/>
              <w:rPr>
                <w:rFonts w:ascii="宋体" w:hAnsi="宋体" w:cs="宋体"/>
                <w:color w:val="000000"/>
                <w:sz w:val="22"/>
                <w:szCs w:val="21"/>
              </w:rPr>
            </w:pPr>
            <w:r>
              <w:rPr>
                <w:rFonts w:hint="eastAsia" w:ascii="宋体" w:hAnsi="宋体" w:cs="宋体"/>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招标参数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单位</w:t>
            </w:r>
            <w:r/>
          </w:p>
        </w:tc>
      </w:tr>
      <w:tr>
        <w:trPr>
          <w:trHeight w:val="561"/>
        </w:trPr>
        <w:tc>
          <w:tcPr>
            <w:gridSpan w:val="5"/>
            <w:tcBorders>
              <w:top w:val="single" w:color="000000" w:sz="4" w:space="0"/>
              <w:left w:val="single" w:color="000000" w:sz="4" w:space="0"/>
              <w:bottom w:val="single" w:color="000000" w:sz="4" w:space="0"/>
              <w:right w:val="single" w:color="000000" w:sz="4" w:space="0"/>
            </w:tcBorders>
            <w:tcW w:w="9705" w:type="dxa"/>
            <w:vAlign w:val="center"/>
            <w:textDirection w:val="lrTb"/>
            <w:noWrap/>
          </w:tcPr>
          <w:p>
            <w:pPr>
              <w:jc w:val="center"/>
              <w:widowControl/>
              <w:rPr>
                <w:rFonts w:ascii="宋体" w:hAnsi="宋体" w:cs="宋体"/>
                <w:b/>
                <w:bCs/>
                <w:color w:val="000000"/>
                <w:sz w:val="22"/>
                <w:szCs w:val="21"/>
              </w:rPr>
            </w:pPr>
            <w:r>
              <w:rPr>
                <w:rFonts w:hint="eastAsia" w:ascii="宋体" w:hAnsi="宋体" w:cs="宋体"/>
                <w:b/>
                <w:bCs/>
                <w:color w:val="000000"/>
                <w:sz w:val="22"/>
                <w:lang w:bidi="ar"/>
              </w:rPr>
              <w:t xml:space="preserve">河道监控清单（杨家河和安丰河）</w:t>
            </w:r>
            <w:r/>
          </w:p>
        </w:tc>
      </w:tr>
      <w:tr>
        <w:trPr>
          <w:trHeight w:val="1408"/>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黑光球机</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本项目监控需接入射阳湖国家级水产种质资源生态保护系统项目建设的监控平台。</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1、视频分辨率与帧率≥2560×1440、25帧/秒</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2、摄像机靶面尺寸≥1/1.8英寸</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3、★内置GPU芯片（提供公安部型式检测报告复印件并加盖投标人公章）</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4、★摄像机内置两个图像传感器，可分别输出黑白视频图像和彩色视频图像，并可对这两路视频图像进行融合输出（提供公安部型式检测报告复印件并加盖投标人公章）</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5、摄像机内置镜头，支持不小于35倍光学变倍，镜头最大焦距≥206mm（提供公安部型式检测报告复印件并加盖投标人公章）</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6、设备支持水平旋转范围为360°连续旋转，垂直旋转范围为-20°~90°（提供公安部型式检测报告复印件并加盖投标人公章）</w:t>
            </w:r>
            <w:r/>
          </w:p>
          <w:p>
            <w:pPr>
              <w:jc w:val="left"/>
              <w:widowControl/>
              <w:rPr>
                <w:rFonts w:ascii="宋体" w:hAnsi="宋体" w:cs="宋体"/>
                <w:sz w:val="22"/>
                <w:lang w:bidi="ar"/>
              </w:rPr>
            </w:pPr>
            <w:r>
              <w:rPr>
                <w:rFonts w:hint="eastAsia" w:ascii="宋体" w:hAnsi="宋体" w:cs="宋体"/>
                <w:color w:val="000000"/>
                <w:sz w:val="22"/>
                <w:lang w:bidi="ar"/>
              </w:rPr>
              <w:t xml:space="preserve">7、</w:t>
            </w:r>
            <w:r>
              <w:rPr>
                <w:rFonts w:hint="eastAsia" w:ascii="宋体" w:hAnsi="宋体" w:cs="宋体"/>
                <w:sz w:val="22"/>
                <w:lang w:bidi="ar"/>
              </w:rPr>
              <w:t xml:space="preserve">★设备smart事件上报的抓图中支持叠加规则区域和目标框：可配置报警抓图叠加目标信息及规则信息，支持开启及关闭。支持设置预览画面是否叠加显示规则区域框及告警提示信息（提供公安部型式检测报告复印件并加盖投标人公章）</w:t>
            </w:r>
            <w:r/>
          </w:p>
          <w:p>
            <w:pPr>
              <w:jc w:val="left"/>
              <w:widowControl/>
              <w:rPr>
                <w:rFonts w:ascii="宋体" w:hAnsi="宋体" w:cs="宋体"/>
                <w:sz w:val="22"/>
                <w:lang w:bidi="ar"/>
              </w:rPr>
            </w:pPr>
            <w:r>
              <w:rPr>
                <w:rFonts w:hint="eastAsia" w:ascii="宋体" w:hAnsi="宋体" w:cs="宋体"/>
                <w:sz w:val="22"/>
                <w:lang w:bidi="ar"/>
              </w:rPr>
              <w:t xml:space="preserve">8、★设备支持可从诊断信息中导出云台控制历史记录，包括：手动键控PTZ、3D定位、手动调用预置点、手动调用花扫、手动调用巡航（提供公安部型式检测报告复印件并加盖投标人公章）9、★设备在近光灯、中光灯开启后，在变焦过程中红外光斑形状为矩形，长宽比为16:9（提供公安部型式检测报告复印件并加盖投标人公章）</w:t>
            </w:r>
            <w:r/>
          </w:p>
          <w:p>
            <w:pPr>
              <w:jc w:val="left"/>
              <w:widowControl/>
              <w:rPr>
                <w:rFonts w:ascii="宋体" w:hAnsi="宋体" w:cs="宋体"/>
                <w:sz w:val="22"/>
                <w:lang w:bidi="ar"/>
              </w:rPr>
            </w:pPr>
            <w:r>
              <w:rPr>
                <w:rFonts w:hint="eastAsia" w:ascii="宋体" w:hAnsi="宋体" w:cs="宋体"/>
                <w:sz w:val="22"/>
                <w:lang w:bidi="ar"/>
              </w:rPr>
              <w:t xml:space="preserve">10、★设备红外光利用率不小于80%，在IE浏览器下，可通过手机扫描预览界面上的二维码获取设备资料（提供公安部型式检测报告复印件并加盖投标人公章）</w:t>
            </w:r>
            <w:r/>
          </w:p>
          <w:p>
            <w:pPr>
              <w:jc w:val="left"/>
              <w:widowControl/>
              <w:rPr>
                <w:rFonts w:ascii="宋体" w:hAnsi="宋体" w:cs="宋体"/>
                <w:sz w:val="22"/>
                <w:lang w:bidi="ar"/>
              </w:rPr>
            </w:pPr>
            <w:r>
              <w:rPr>
                <w:rFonts w:hint="eastAsia" w:ascii="宋体" w:hAnsi="宋体" w:cs="宋体"/>
                <w:sz w:val="22"/>
                <w:lang w:bidi="ar"/>
              </w:rPr>
              <w:t xml:space="preserve">11、设备可对监控范围内出现的行人、机动车、非机动车进行检测和抓拍（提供公安部型式检测报告复印件并加盖投标人公章）</w:t>
            </w:r>
            <w:r/>
          </w:p>
          <w:p>
            <w:pPr>
              <w:jc w:val="left"/>
              <w:widowControl/>
              <w:rPr>
                <w:rFonts w:ascii="宋体" w:hAnsi="宋体" w:cs="宋体"/>
                <w:sz w:val="22"/>
                <w:lang w:bidi="ar"/>
              </w:rPr>
            </w:pPr>
            <w:r>
              <w:rPr>
                <w:rFonts w:hint="eastAsia" w:ascii="宋体" w:hAnsi="宋体" w:cs="宋体"/>
                <w:sz w:val="22"/>
                <w:lang w:bidi="ar"/>
              </w:rPr>
              <w:t xml:space="preserve">12、设备可对监控画面中不小于30个人脸进行检测、跟踪和抓拍（提供公安部型式检测报告复印件并加盖投标人公章）</w:t>
            </w:r>
            <w:r/>
          </w:p>
          <w:p>
            <w:pPr>
              <w:jc w:val="left"/>
              <w:widowControl/>
              <w:rPr>
                <w:rFonts w:ascii="宋体" w:hAnsi="宋体" w:cs="宋体"/>
                <w:color w:val="000000"/>
                <w:sz w:val="22"/>
                <w:lang w:bidi="ar"/>
              </w:rPr>
            </w:pPr>
            <w:r>
              <w:rPr>
                <w:rFonts w:hint="eastAsia" w:ascii="宋体" w:hAnsi="宋体" w:cs="宋体"/>
                <w:sz w:val="22"/>
                <w:lang w:bidi="ar"/>
              </w:rPr>
              <w:t xml:space="preserve">13、支持对镜头前玻璃进行加热，去除玻璃上的冰状和水附着物（提供公安部型式检测报告复印件</w:t>
            </w:r>
            <w:r>
              <w:rPr>
                <w:rFonts w:hint="eastAsia" w:ascii="宋体" w:hAnsi="宋体" w:cs="宋体"/>
                <w:color w:val="000000"/>
                <w:sz w:val="22"/>
                <w:lang w:bidi="ar"/>
              </w:rPr>
              <w:t xml:space="preserve">并加盖投标人公章）</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14、★设备支持人脸区域自动曝光，可根据人脸区域和光照变化自动调节人脸区域曝光参数（提供公安部型式检测报告复印件并加盖投标人公章）</w:t>
            </w:r>
            <w:r/>
          </w:p>
          <w:p>
            <w:pPr>
              <w:jc w:val="left"/>
              <w:widowControl/>
              <w:rPr>
                <w:rFonts w:ascii="宋体" w:hAnsi="宋体" w:cs="宋体"/>
                <w:color w:val="000000"/>
                <w:sz w:val="22"/>
                <w:szCs w:val="21"/>
              </w:rPr>
            </w:pPr>
            <w:r>
              <w:rPr>
                <w:rFonts w:hint="eastAsia" w:ascii="宋体" w:hAnsi="宋体" w:cs="宋体"/>
                <w:color w:val="000000"/>
                <w:sz w:val="22"/>
                <w:lang w:bidi="ar"/>
              </w:rPr>
              <w:t xml:space="preserve">15、支持7路报警输入接口，2路报警输出接口，支持1路音频输入和输出接口（提供公安部型式检测报告复印件并加盖投标人公章）</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616"/>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球机支架</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tcPr>
          <w:p>
            <w:pPr>
              <w:jc w:val="left"/>
              <w:widowControl/>
              <w:rPr>
                <w:rFonts w:ascii="宋体" w:hAnsi="宋体" w:cs="宋体"/>
                <w:color w:val="000000"/>
                <w:sz w:val="22"/>
                <w:szCs w:val="21"/>
              </w:rPr>
            </w:pPr>
            <w:r>
              <w:rPr>
                <w:rFonts w:hint="eastAsia" w:ascii="宋体" w:hAnsi="宋体" w:cs="宋体"/>
                <w:color w:val="000000"/>
                <w:sz w:val="22"/>
                <w:lang w:bidi="ar"/>
              </w:rPr>
              <w:t xml:space="preserve">1、承重≥10KG</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个</w:t>
            </w:r>
            <w:r/>
          </w:p>
        </w:tc>
      </w:tr>
      <w:tr>
        <w:trPr>
          <w:trHeight w:val="1869"/>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立杆</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1、高度≥7m  臂长≥1m  </w:t>
            </w:r>
            <w:r/>
          </w:p>
          <w:p>
            <w:pPr>
              <w:jc w:val="left"/>
              <w:widowControl/>
              <w:rPr>
                <w:rFonts w:ascii="宋体" w:hAnsi="宋体" w:cs="宋体"/>
                <w:color w:val="000000"/>
                <w:sz w:val="22"/>
                <w:szCs w:val="21"/>
              </w:rPr>
            </w:pPr>
            <w:r>
              <w:rPr>
                <w:rFonts w:ascii="宋体" w:hAnsi="宋体" w:cs="宋体"/>
                <w:color w:val="000000"/>
                <w:sz w:val="22"/>
                <w:szCs w:val="21"/>
              </w:rPr>
              <w:t xml:space="preserve">2、</w:t>
            </w:r>
            <w:r>
              <w:rPr>
                <w:rFonts w:hint="eastAsia" w:ascii="宋体" w:hAnsi="宋体" w:cs="宋体"/>
                <w:color w:val="000000"/>
                <w:sz w:val="22"/>
                <w:lang w:bidi="ar"/>
              </w:rPr>
              <w:t xml:space="preserve">防护等级:IP54  材质符合astm d3359-83标准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49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球机电源</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tcPr>
          <w:p>
            <w:pPr>
              <w:jc w:val="left"/>
              <w:widowControl/>
              <w:rPr>
                <w:rFonts w:ascii="宋体" w:hAnsi="宋体" w:cs="宋体"/>
                <w:color w:val="000000"/>
                <w:sz w:val="22"/>
                <w:szCs w:val="21"/>
              </w:rPr>
            </w:pPr>
            <w:r>
              <w:rPr>
                <w:rFonts w:hint="eastAsia" w:ascii="宋体" w:hAnsi="宋体" w:cs="宋体"/>
                <w:color w:val="000000"/>
                <w:sz w:val="22"/>
                <w:lang w:bidi="ar"/>
              </w:rPr>
              <w:t xml:space="preserve">1、需配套提供</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120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网桥</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1、无线传输距离≥3 km  组网方式可点对点，点对多点（最大需支持一点对八点）</w:t>
            </w:r>
            <w:r/>
          </w:p>
          <w:p>
            <w:pPr>
              <w:jc w:val="left"/>
              <w:widowControl/>
              <w:rPr>
                <w:rFonts w:ascii="宋体" w:hAnsi="宋体" w:cs="宋体"/>
                <w:color w:val="000000"/>
                <w:sz w:val="22"/>
                <w:szCs w:val="21"/>
              </w:rPr>
            </w:pPr>
            <w:r>
              <w:rPr>
                <w:rFonts w:hint="eastAsia" w:ascii="宋体" w:hAnsi="宋体" w:cs="宋体"/>
                <w:color w:val="000000"/>
                <w:sz w:val="22"/>
                <w:lang w:bidi="ar"/>
              </w:rPr>
              <w:t xml:space="preserve">2、支持智能频谱管理,支持故障自愈,支持智能电源管理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对</w:t>
            </w:r>
            <w:r/>
          </w:p>
        </w:tc>
      </w:tr>
      <w:tr>
        <w:trPr>
          <w:trHeight w:val="365"/>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5G盒子</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szCs w:val="21"/>
              </w:rPr>
            </w:pPr>
            <w:r>
              <w:rPr>
                <w:rFonts w:hint="eastAsia" w:ascii="宋体" w:hAnsi="宋体" w:cs="宋体"/>
                <w:color w:val="000000"/>
                <w:sz w:val="22"/>
                <w:lang w:bidi="ar"/>
              </w:rPr>
              <w:t xml:space="preserve">1、流量≥300GB/月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太阳能电池板</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tcPr>
          <w:p>
            <w:pPr>
              <w:jc w:val="left"/>
              <w:widowControl/>
              <w:rPr>
                <w:rFonts w:ascii="宋体" w:hAnsi="宋体" w:cs="宋体"/>
                <w:color w:val="000000"/>
                <w:sz w:val="22"/>
                <w:szCs w:val="21"/>
              </w:rPr>
            </w:pPr>
            <w:r>
              <w:rPr>
                <w:rFonts w:hint="eastAsia" w:ascii="宋体" w:hAnsi="宋体" w:cs="宋体"/>
                <w:color w:val="000000"/>
                <w:sz w:val="22"/>
                <w:lang w:bidi="ar"/>
              </w:rPr>
              <w:t xml:space="preserve">1、24V  200AH  800瓦板 防雨防雷  工作温度-40℃到70℃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套</w:t>
            </w:r>
            <w:r/>
          </w:p>
        </w:tc>
      </w:tr>
      <w:tr>
        <w:trPr>
          <w:trHeight w:val="1392"/>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电源线</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szCs w:val="21"/>
              </w:rPr>
            </w:pPr>
            <w:r>
              <w:rPr>
                <w:rFonts w:hint="eastAsia" w:ascii="宋体" w:hAnsi="宋体" w:cs="宋体"/>
                <w:color w:val="000000"/>
                <w:sz w:val="22"/>
                <w:lang w:bidi="ar"/>
              </w:rPr>
              <w:t xml:space="preserve">1、工作温度 -30~60℃  工作湿度 0~90%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r>
      <w:tr>
        <w:trPr>
          <w:trHeight w:val="52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网线</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szCs w:val="21"/>
              </w:rPr>
            </w:pPr>
            <w:r>
              <w:rPr>
                <w:rFonts w:hint="eastAsia" w:ascii="宋体" w:hAnsi="宋体" w:cs="宋体"/>
                <w:color w:val="000000"/>
                <w:sz w:val="22"/>
                <w:lang w:bidi="ar"/>
              </w:rPr>
              <w:t xml:space="preserve">1、超五类四对非屏蔽双绞线</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r>
      <w:tr>
        <w:trPr>
          <w:trHeight w:val="27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辅材</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tcPr>
          <w:p>
            <w:pPr>
              <w:jc w:val="left"/>
              <w:widowControl/>
              <w:rPr>
                <w:rFonts w:ascii="宋体" w:hAnsi="宋体" w:cs="宋体"/>
                <w:color w:val="000000"/>
                <w:sz w:val="22"/>
                <w:szCs w:val="21"/>
              </w:rPr>
            </w:pPr>
            <w:r>
              <w:rPr>
                <w:rFonts w:hint="eastAsia" w:ascii="宋体" w:hAnsi="宋体" w:cs="宋体"/>
                <w:color w:val="000000"/>
                <w:sz w:val="22"/>
                <w:lang w:bidi="ar"/>
              </w:rPr>
              <w:t xml:space="preserve">1、插座，水晶头，抱箍，扎带等。</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批</w:t>
            </w:r>
            <w:r/>
          </w:p>
        </w:tc>
      </w:tr>
      <w:tr>
        <w:trPr>
          <w:trHeight w:val="3099"/>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jc w:val="center"/>
              <w:widowControl/>
              <w:rPr>
                <w:rFonts w:ascii="宋体" w:hAnsi="宋体" w:cs="宋体"/>
                <w:color w:val="000000"/>
                <w:sz w:val="22"/>
                <w:szCs w:val="21"/>
              </w:rPr>
            </w:pPr>
            <w:r>
              <w:rPr>
                <w:rFonts w:hint="eastAsia" w:ascii="宋体" w:hAnsi="宋体" w:cs="宋体"/>
                <w:color w:val="000000"/>
                <w:sz w:val="22"/>
                <w:lang w:bidi="ar"/>
              </w:rPr>
              <w:t xml:space="preserve">交换机</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1、固定端口 8个10/100/1000Base-T  8个100/1000Base-X </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以太网端口属性 连接器类型：RJ-45，支持半双工、全双工、自协商工作模式，支持MDI/MDI-X    </w:t>
            </w:r>
            <w:r/>
          </w:p>
          <w:p>
            <w:pPr>
              <w:jc w:val="left"/>
              <w:widowControl/>
              <w:rPr>
                <w:rFonts w:ascii="宋体" w:hAnsi="宋体" w:cs="宋体"/>
                <w:color w:val="000000"/>
                <w:sz w:val="22"/>
                <w:szCs w:val="21"/>
              </w:rPr>
            </w:pPr>
            <w:r>
              <w:rPr>
                <w:rFonts w:hint="eastAsia" w:ascii="宋体" w:hAnsi="宋体" w:cs="宋体"/>
                <w:color w:val="000000"/>
                <w:sz w:val="22"/>
                <w:lang w:bidi="ar"/>
              </w:rPr>
              <w:t xml:space="preserve">光口端口属性 连接器类型：LC，支持100Mbps或1000Mbps传输速率   </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r>
      <w:tr>
        <w:trPr>
          <w:trHeight w:val="270"/>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平台</w:t>
            </w:r>
            <w:r/>
          </w:p>
        </w:tc>
        <w:tc>
          <w:tcPr>
            <w:tcBorders>
              <w:top w:val="single" w:color="000000" w:sz="4" w:space="0"/>
              <w:left w:val="single" w:color="000000" w:sz="4" w:space="0"/>
              <w:bottom w:val="single" w:color="000000" w:sz="4" w:space="0"/>
              <w:right w:val="single" w:color="000000" w:sz="4" w:space="0"/>
            </w:tcBorders>
            <w:tcW w:w="6301" w:type="dxa"/>
            <w:vAlign w:val="center"/>
            <w:textDirection w:val="lrTb"/>
            <w:noWrap/>
          </w:tcPr>
          <w:p>
            <w:pPr>
              <w:jc w:val="left"/>
              <w:widowControl/>
              <w:rPr>
                <w:rFonts w:ascii="宋体" w:hAnsi="宋体" w:cs="宋体"/>
                <w:color w:val="000000"/>
                <w:sz w:val="22"/>
                <w:lang w:bidi="ar"/>
              </w:rPr>
            </w:pPr>
            <w:r>
              <w:rPr>
                <w:rFonts w:hint="eastAsia" w:ascii="宋体" w:hAnsi="宋体" w:cs="宋体"/>
                <w:color w:val="000000"/>
                <w:sz w:val="22"/>
                <w:lang w:bidi="ar"/>
              </w:rPr>
              <w:t xml:space="preserve">包括但不限于以下功能</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1、渔政驾驶舱：实时掌握人、船、事的变化，利用数据统计实现趋势分析、告警数量统计、告警排行，辅助渔政管理人员决策和精细化布控。</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2、违捕研判</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该模块需提供告警事件处理流程功能，“发现、跟踪、锁定一预警一甄别一签收一执法处置一审核一案件记录保存”的信息化执法流程。</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3、渔政一张图</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该模块需将视频数据、告警数据进行汇聚，为管理人员提供视频可视化、违捕数据可视化、设备在离线可视化、装备建设可视化等能力。</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4、渔政考核报表</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该模块需通过区域告警数量统计、区域告警处置率统计、区域告警平均时长统计、告警处置效率统计、区域违捕行为统计等五大报表，为管理人员提供各项决策依据。</w:t>
            </w:r>
            <w:r/>
          </w:p>
          <w:p>
            <w:pPr>
              <w:jc w:val="left"/>
              <w:widowControl/>
              <w:rPr>
                <w:rFonts w:ascii="宋体" w:hAnsi="宋体" w:cs="宋体"/>
                <w:color w:val="000000"/>
                <w:sz w:val="22"/>
                <w:lang w:bidi="ar"/>
              </w:rPr>
            </w:pPr>
            <w:r>
              <w:rPr>
                <w:rFonts w:hint="eastAsia" w:ascii="宋体" w:hAnsi="宋体" w:cs="宋体"/>
                <w:color w:val="000000"/>
                <w:sz w:val="22"/>
                <w:lang w:bidi="ar"/>
              </w:rPr>
              <w:t xml:space="preserve">5、渔港进出口监管</w:t>
            </w:r>
            <w:r/>
          </w:p>
          <w:p>
            <w:pPr>
              <w:jc w:val="left"/>
              <w:widowControl/>
              <w:rPr>
                <w:rFonts w:ascii="宋体" w:hAnsi="宋体" w:cs="宋体"/>
                <w:color w:val="000000"/>
                <w:sz w:val="22"/>
                <w:szCs w:val="21"/>
              </w:rPr>
            </w:pPr>
            <w:r>
              <w:rPr>
                <w:rFonts w:hint="eastAsia" w:ascii="宋体" w:hAnsi="宋体" w:cs="宋体"/>
                <w:color w:val="000000"/>
                <w:sz w:val="22"/>
                <w:lang w:bidi="ar"/>
              </w:rPr>
              <w:t xml:space="preserve">渔港内渔船来往频繁，尤其是休渔期间，存在套牌、外籍渔船入港、未报备船只非法出海、关闭AIS等多种问题，对于船舶户籍的管理较难，在AIS关闭或信息被篡改的条件下，能主动识别出船只，可以及时发现上述异常行为。</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000000"/>
                <w:sz w:val="22"/>
                <w:szCs w:val="21"/>
              </w:rPr>
            </w:pPr>
            <w:r>
              <w:rPr>
                <w:rFonts w:hint="eastAsia" w:ascii="宋体" w:hAnsi="宋体" w:cs="宋体"/>
                <w:color w:val="000000"/>
                <w:sz w:val="22"/>
                <w:lang w:bidi="ar"/>
              </w:rPr>
              <w:t xml:space="preserve">项</w:t>
            </w:r>
            <w:r/>
          </w:p>
        </w:tc>
      </w:tr>
    </w:tbl>
    <w:p>
      <w:pPr>
        <w:ind w:firstLine="422"/>
        <w:rPr>
          <w:rFonts w:ascii="宋体" w:hAnsi="宋体" w:eastAsiaTheme="majorEastAsia" w:cstheme="majorBidi"/>
          <w:b/>
          <w:bCs/>
          <w:color w:val="000000" w:themeColor="text1"/>
          <w:szCs w:val="21"/>
          <w14:textFill>
            <w14:solidFill>
              <w14:schemeClr w14:val="tx1"/>
            </w14:solidFill>
          </w14:textFill>
        </w:rPr>
      </w:pPr>
      <w:r>
        <w:rPr>
          <w:rFonts w:hint="eastAsia" w:ascii="宋体" w:hAnsi="宋体" w:eastAsiaTheme="majorEastAsia" w:cstheme="majorBidi"/>
          <w:b/>
          <w:bCs/>
          <w:color w:val="000000" w:themeColor="text1"/>
          <w14:textFill>
            <w14:solidFill>
              <w14:schemeClr w14:val="tx1"/>
            </w14:solidFill>
          </w14:textFill>
        </w:rPr>
        <w:t xml:space="preserve">三、其他条款</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1、施工方案</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供应商在项目施</w:t>
      </w:r>
      <w:r>
        <w:rPr>
          <w:rFonts w:hint="eastAsia" w:ascii="宋体" w:hAnsi="宋体"/>
          <w:color w:val="000000" w:themeColor="text1"/>
          <w14:textFill>
            <w14:solidFill>
              <w14:schemeClr w14:val="tx1"/>
            </w14:solidFill>
          </w14:textFill>
        </w:rPr>
        <w:t xml:space="preserve">工前应认真、细致的做好对相关工作的检查、测量工作，现场踏勘，了解现状，确定运输路线、安装深度及后期维护等施工要点，编制科学严密切合实际的施工方案。开工前，做好施工人员及管理人员的部署工作，明确划分各工序工程的职责范围：开工前组织召开全体施工人员会议，交代有关工期、质量、安全、纪律和管理人员分工等工作，让所有人员明确自己的职责或所属工序工种。根据现场条件和工艺程序确定施工顺序，做好平面和空间的立体交叉，按工艺顺序视工作面和目前实际条件，做好现场施工部署。严格按照工期要求控制项目施工进度，保证本项目总工期计划。</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2、提供质量管理体系与保障措施，确保提供产品设备质量及施工质量；同时需要进行安全文明施工，确保周边环境不受施工废弃物污染，保障项目安全、高效和顺利进行。</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为了严格按要求施工，严格执行施工验收规范、施工工艺标准和质量检验评定操作，从各方面采取措施，预防和控制影响产品质量的各种因素，为采购人提供优良工程。本工程质量目标是合格工程，为达到合格必须有较好的质量管理体系，对施工整个过程实施全面质量管理控制，才能达到预期目标。</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在保证项目施工质量及成本的基础上，优化施工方案，协调各方面关系，减少不必要的消耗；加强内部管理，使工程施工管理真正做到科学化、标准化，提高施工管理的工作效率，营造出良好的施工环境，减少浪费。</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3、售后服务</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供应商需提供本项目售后服务方案，包括售后服务体系、人员分工、保障能力、服务承诺、响应时间、培训、巡检、维护、检测等环节。</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本项目免费质保期3年（自交货验收合格之日起计）。</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在免费质保期内，中标人应对货物出现的质量及安全问题负责处理解决并承担一切费用，因人为因素出现的故障不在免费保修范围内。</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在质保期内，不论何种原因（不可抗力除外），投标人在接到采购人系统故障的通知后，应在1小时内响应、4小时内赶到现场、24小时内修复(遇特殊情况，须以使用方能接受的方式加以解决)。</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在质保期内，同一设备、同一质量问题连续两次维修仍无法正常使用的，须更换同品牌、同型号新设备或性能优于故障设备的新产品，并对产品质量重新计算时间实行“三包”服务。在质保期外，提供设备的更换、维修只收取成本费用，不收取人工技术费用。</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4、供货、安装时间</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合同签订之日起90日历天内（除不可抗力、非中标人原因）全部供货及安装完毕。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5、交货地点</w:t>
      </w:r>
      <w:r/>
    </w:p>
    <w:p>
      <w:pPr>
        <w:ind w:firstLine="420"/>
        <w:spacing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采购人指定地点。</w:t>
      </w:r>
      <w:r/>
    </w:p>
    <w:p>
      <w:pPr>
        <w:pStyle w:val="888"/>
        <w:jc w:val="center"/>
        <w:spacing w:before="120" w:after="120" w:line="360" w:lineRule="auto"/>
        <w:rPr>
          <w:rFonts w:hAnsi="宋体"/>
          <w:sz w:val="36"/>
        </w:rPr>
      </w:pPr>
      <w:r>
        <w:rPr>
          <w:rFonts w:hint="eastAsia" w:ascii="Times New Roman" w:hAnsi="宋体"/>
          <w:sz w:val="21"/>
        </w:rPr>
        <w:br w:type="page" w:clear="all"/>
      </w:r>
      <w:r>
        <w:rPr>
          <w:rFonts w:hint="eastAsia" w:hAnsi="宋体"/>
          <w:sz w:val="36"/>
        </w:rPr>
        <w:t xml:space="preserve">第五章 评标方法及评标标准</w:t>
      </w:r>
      <w:r/>
    </w:p>
    <w:p>
      <w:pPr>
        <w:pStyle w:val="1162"/>
        <w:ind w:firstLine="422"/>
        <w:rPr>
          <w:rFonts w:ascii="宋体" w:hAnsi="宋体"/>
          <w:b/>
          <w:sz w:val="21"/>
          <w:szCs w:val="21"/>
        </w:rPr>
      </w:pPr>
      <w:r/>
      <w:bookmarkStart w:id="13" w:name="_Toc449016388"/>
      <w:r/>
      <w:bookmarkStart w:id="14" w:name="_Toc449017024"/>
      <w:r>
        <w:rPr>
          <w:rFonts w:hint="eastAsia" w:ascii="宋体" w:hAnsi="宋体"/>
          <w:b/>
          <w:sz w:val="21"/>
          <w:szCs w:val="21"/>
        </w:rPr>
        <w:t xml:space="preserve">一、评标方法</w:t>
      </w:r>
      <w:r/>
    </w:p>
    <w:p>
      <w:pPr>
        <w:pStyle w:val="1162"/>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0"/>
        </w:numPr>
        <w:ind w:firstLine="422"/>
        <w:spacing w:line="400" w:lineRule="exact"/>
        <w:rPr>
          <w:rFonts w:ascii="宋体" w:hAnsi="宋体"/>
          <w:b/>
          <w:szCs w:val="21"/>
        </w:rPr>
      </w:pPr>
      <w:r>
        <w:rPr>
          <w:rFonts w:hint="eastAsia" w:ascii="宋体" w:hAnsi="宋体"/>
          <w:b/>
          <w:szCs w:val="21"/>
        </w:rPr>
        <w:t xml:space="preserve">政府采购政策功能落实</w:t>
      </w:r>
      <w:bookmarkEnd w:id="13"/>
      <w:r/>
      <w:bookmarkEnd w:id="14"/>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1、小微型企业价格扣除</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（1）对小型和微型企业提供的服务给予20%的扣除价格，用扣除后的价格参与评审。</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（2）供应商需按照采购文件的要求提供相应的《小微企业声明函》。</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（3）企业标准请参照《关于印发中小企业划型标准规定的通知》（工信部联企业[2011]300号）文件规定自行填写。</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2、残疾人福利单位价格扣除</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（1）对残疾人福利性单位视同小型、微型企业，给予20%的价格扣除，用扣除后的价格参与评审。</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3、监狱和戒毒企业价格扣除</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（1）对监狱和戒毒企业（简称监狱企业）视同小型、微型企业，给予20%的价格扣除，用扣除后的价格参与评审。</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162"/>
        <w:ind w:firstLine="420"/>
        <w:spacing w:line="400" w:lineRule="exact"/>
        <w:rPr>
          <w:rFonts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1162"/>
        <w:rPr>
          <w:rFonts w:ascii="宋体" w:hAnsi="宋体"/>
          <w:b/>
        </w:rPr>
      </w:pPr>
      <w:r>
        <w:rPr>
          <w:rFonts w:hint="eastAsia" w:ascii="宋体" w:hAnsi="宋体"/>
          <w:bCs/>
          <w:szCs w:val="21"/>
        </w:rPr>
        <w:t xml:space="preserve">三、评标标准： </w:t>
      </w:r>
      <w:r/>
    </w:p>
    <w:tbl>
      <w:tblPr>
        <w:tblStyle w:val="877"/>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7436"/>
      </w:tblGrid>
      <w:tr>
        <w:trPr>
          <w:trHeight w:val="135"/>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before="156" w:line="360" w:lineRule="auto"/>
              <w:widowControl/>
              <w:rPr>
                <w:rFonts w:ascii="宋体" w:hAnsi="宋体" w:cs="宋体"/>
                <w:szCs w:val="21"/>
              </w:rPr>
            </w:pPr>
            <w:r>
              <w:rPr>
                <w:rFonts w:hint="eastAsia" w:ascii="宋体" w:hAnsi="宋体" w:cs="宋体"/>
                <w:szCs w:val="21"/>
              </w:rPr>
              <w:t xml:space="preserve">项  目</w:t>
            </w:r>
            <w:r/>
          </w:p>
        </w:tc>
        <w:tc>
          <w:tcPr>
            <w:tcBorders>
              <w:top w:val="single" w:color="auto" w:sz="4" w:space="0"/>
              <w:left w:val="single" w:color="auto" w:sz="4" w:space="0"/>
              <w:bottom w:val="single" w:color="auto" w:sz="4" w:space="0"/>
              <w:right w:val="single" w:color="auto" w:sz="4" w:space="0"/>
            </w:tcBorders>
            <w:tcW w:w="7436" w:type="dxa"/>
            <w:vAlign w:val="center"/>
            <w:textDirection w:val="lrTb"/>
            <w:noWrap w:val="false"/>
          </w:tcPr>
          <w:p>
            <w:pPr>
              <w:jc w:val="center"/>
              <w:spacing w:before="156" w:line="360" w:lineRule="auto"/>
              <w:widowControl/>
              <w:rPr>
                <w:rFonts w:ascii="宋体" w:hAnsi="宋体" w:cs="宋体"/>
                <w:szCs w:val="21"/>
              </w:rPr>
            </w:pPr>
            <w:r>
              <w:rPr>
                <w:rFonts w:hint="eastAsia" w:ascii="宋体" w:hAnsi="宋体" w:cs="宋体"/>
                <w:szCs w:val="21"/>
              </w:rPr>
              <w:t xml:space="preserve">评  分  标  准</w:t>
            </w:r>
            <w:r/>
          </w:p>
        </w:tc>
      </w:tr>
      <w:tr>
        <w:trPr>
          <w:trHeight w:val="135"/>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投标报价</w:t>
            </w:r>
            <w:r/>
          </w:p>
          <w:p>
            <w:pPr>
              <w:jc w:val="center"/>
              <w:widowControl/>
              <w:rPr>
                <w:rFonts w:ascii="宋体" w:hAnsi="宋体" w:cs="宋体"/>
                <w:szCs w:val="21"/>
              </w:rPr>
            </w:pPr>
            <w:r>
              <w:rPr>
                <w:rFonts w:hint="eastAsia" w:ascii="宋体" w:hAnsi="宋体" w:cs="宋体"/>
                <w:szCs w:val="21"/>
              </w:rPr>
              <w:t xml:space="preserve">（30分）</w:t>
            </w:r>
            <w:r/>
          </w:p>
        </w:tc>
        <w:tc>
          <w:tcPr>
            <w:tcBorders>
              <w:top w:val="single" w:color="auto" w:sz="4" w:space="0"/>
              <w:left w:val="single" w:color="auto" w:sz="4" w:space="0"/>
              <w:bottom w:val="single" w:color="auto" w:sz="4" w:space="0"/>
              <w:right w:val="single" w:color="auto" w:sz="4" w:space="0"/>
            </w:tcBorders>
            <w:tcW w:w="7436" w:type="dxa"/>
            <w:textDirection w:val="lrTb"/>
            <w:noWrap w:val="false"/>
          </w:tcPr>
          <w:p>
            <w:pPr>
              <w:ind w:firstLine="420"/>
              <w:spacing w:before="156"/>
              <w:widowControl/>
              <w:rPr>
                <w:rFonts w:ascii="宋体" w:hAnsi="宋体" w:cs="宋体"/>
                <w:szCs w:val="21"/>
              </w:rPr>
            </w:pPr>
            <w:r>
              <w:rPr>
                <w:rFonts w:hint="eastAsia" w:ascii="宋体" w:hAnsi="宋体" w:cs="宋体"/>
                <w:szCs w:val="21"/>
              </w:rPr>
              <w:t xml:space="preserve">采用低价优先法计算，以满足招标文件要求且投标价格最低的投标报价为评标基准价，其价格为满分30分。其他投标人的价格分统一按照下列公式计算： 投标报价得分＝（评标基准价/投标报价）×30×100%。（保留两位小数）</w:t>
            </w:r>
            <w:r/>
          </w:p>
        </w:tc>
      </w:tr>
      <w:tr>
        <w:trPr>
          <w:trHeight w:val="2830"/>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技术性能</w:t>
            </w:r>
            <w:r/>
          </w:p>
          <w:p>
            <w:pPr>
              <w:jc w:val="center"/>
              <w:widowControl/>
              <w:rPr>
                <w:rFonts w:ascii="宋体" w:hAnsi="宋体" w:cs="宋体"/>
                <w:szCs w:val="21"/>
              </w:rPr>
            </w:pPr>
            <w:r>
              <w:rPr>
                <w:rFonts w:hint="eastAsia" w:ascii="宋体" w:hAnsi="宋体" w:cs="宋体"/>
                <w:szCs w:val="21"/>
              </w:rPr>
              <w:t xml:space="preserve">（42分）</w:t>
            </w:r>
            <w:r/>
          </w:p>
        </w:tc>
        <w:tc>
          <w:tcPr>
            <w:tcBorders>
              <w:top w:val="single" w:color="auto" w:sz="4" w:space="0"/>
              <w:left w:val="single" w:color="auto" w:sz="4" w:space="0"/>
              <w:bottom w:val="single" w:color="auto" w:sz="4" w:space="0"/>
              <w:right w:val="single" w:color="auto" w:sz="4" w:space="0"/>
            </w:tcBorders>
            <w:tcW w:w="7436" w:type="dxa"/>
            <w:vAlign w:val="center"/>
            <w:textDirection w:val="lrTb"/>
            <w:noWrap w:val="false"/>
          </w:tcPr>
          <w:p>
            <w:pPr>
              <w:ind w:firstLine="420"/>
              <w:spacing w:before="156" w:line="360" w:lineRule="auto"/>
              <w:widowControl/>
              <w:rPr>
                <w:rFonts w:ascii="宋体" w:hAnsi="宋体" w:cs="宋体"/>
                <w:szCs w:val="21"/>
              </w:rPr>
            </w:pPr>
            <w:r>
              <w:rPr>
                <w:rFonts w:hint="eastAsia" w:ascii="宋体" w:hAnsi="宋体" w:cs="宋体"/>
                <w:szCs w:val="21"/>
              </w:rPr>
              <w:t xml:space="preserve">根据投标人提供的产品技术参数等对照招标文件中第四章项目需求中详细技术参数要求，所有指标完全满足采购文件要求得42分。</w:t>
            </w:r>
            <w:r/>
          </w:p>
          <w:p>
            <w:pPr>
              <w:ind w:firstLine="420"/>
              <w:spacing w:before="156" w:line="360" w:lineRule="auto"/>
              <w:widowControl/>
              <w:rPr>
                <w:rFonts w:ascii="宋体" w:hAnsi="宋体" w:cs="宋体"/>
                <w:szCs w:val="21"/>
              </w:rPr>
            </w:pPr>
            <w:r>
              <w:rPr>
                <w:rFonts w:hint="eastAsia" w:ascii="宋体" w:hAnsi="宋体" w:cs="宋体"/>
                <w:szCs w:val="21"/>
              </w:rPr>
              <w:t xml:space="preserve">“★”为重要技术参数，每有1项负偏离扣3分，非标“★”参数每有1项负偏离扣1分，扣完为止。未根据要求提供相关证明材料视为负偏离。</w:t>
            </w:r>
            <w:r/>
          </w:p>
          <w:p>
            <w:pPr>
              <w:ind w:firstLine="422"/>
              <w:spacing w:before="156" w:line="360" w:lineRule="auto"/>
              <w:widowControl/>
              <w:rPr>
                <w:rFonts w:ascii="宋体" w:hAnsi="宋体" w:cs="宋体"/>
                <w:szCs w:val="21"/>
              </w:rPr>
            </w:pPr>
            <w:r>
              <w:rPr>
                <w:rFonts w:hint="eastAsia" w:ascii="宋体" w:hAnsi="宋体" w:cs="宋体"/>
                <w:b/>
                <w:bCs/>
                <w:szCs w:val="21"/>
              </w:rPr>
              <w:t xml:space="preserve">若发现有提供虚假的证明材料或虚假应答技术偏离表的，视为无效投标，上报采购监管部门并追究相关责任。</w:t>
            </w:r>
            <w:r/>
          </w:p>
        </w:tc>
      </w:tr>
      <w:tr>
        <w:trPr>
          <w:trHeight w:val="2484"/>
        </w:trPr>
        <w:tc>
          <w:tcPr>
            <w:tcBorders>
              <w:top w:val="single" w:color="auto" w:sz="4" w:space="0"/>
              <w:left w:val="single" w:color="auto" w:sz="4" w:space="0"/>
              <w:right w:val="single" w:color="auto" w:sz="4" w:space="0"/>
            </w:tcBorders>
            <w:tcW w:w="1177" w:type="dxa"/>
            <w:vAlign w:val="center"/>
            <w:vMerge w:val="restart"/>
            <w:textDirection w:val="lrTb"/>
            <w:noWrap w:val="false"/>
          </w:tcPr>
          <w:p>
            <w:pPr>
              <w:jc w:val="center"/>
              <w:spacing w:before="156" w:line="360" w:lineRule="auto"/>
              <w:widowControl/>
              <w:rPr>
                <w:rFonts w:ascii="宋体" w:hAnsi="宋体" w:cs="宋体"/>
                <w:szCs w:val="21"/>
              </w:rPr>
            </w:pPr>
            <w:r>
              <w:rPr>
                <w:rFonts w:ascii="宋体" w:hAnsi="宋体" w:cs="宋体"/>
                <w:szCs w:val="21"/>
              </w:rPr>
            </w:r>
            <w:r/>
          </w:p>
          <w:p>
            <w:pPr>
              <w:jc w:val="center"/>
              <w:widowControl/>
              <w:rPr>
                <w:rFonts w:ascii="宋体" w:hAnsi="宋体" w:cs="宋体"/>
                <w:szCs w:val="21"/>
              </w:rPr>
            </w:pPr>
            <w:r>
              <w:rPr>
                <w:rFonts w:hint="eastAsia" w:ascii="宋体" w:hAnsi="宋体" w:cs="宋体"/>
                <w:szCs w:val="21"/>
              </w:rPr>
              <w:t xml:space="preserve">实施方案</w:t>
            </w:r>
            <w:r/>
          </w:p>
          <w:p>
            <w:pPr>
              <w:jc w:val="center"/>
              <w:widowControl/>
              <w:rPr>
                <w:rFonts w:ascii="宋体" w:hAnsi="宋体" w:cs="宋体"/>
                <w:szCs w:val="21"/>
              </w:rPr>
            </w:pPr>
            <w:r>
              <w:rPr>
                <w:rFonts w:hint="eastAsia" w:ascii="宋体" w:hAnsi="宋体" w:cs="宋体"/>
                <w:szCs w:val="21"/>
              </w:rPr>
              <w:t xml:space="preserve"> （10分）</w:t>
            </w:r>
            <w:r/>
          </w:p>
        </w:tc>
        <w:tc>
          <w:tcPr>
            <w:tcBorders>
              <w:top w:val="single" w:color="auto" w:sz="4" w:space="0"/>
              <w:left w:val="single" w:color="auto" w:sz="4" w:space="0"/>
              <w:bottom w:val="single" w:color="auto" w:sz="4" w:space="0"/>
              <w:right w:val="single" w:color="auto" w:sz="4" w:space="0"/>
            </w:tcBorders>
            <w:tcW w:w="7436" w:type="dxa"/>
            <w:vAlign w:val="center"/>
            <w:textDirection w:val="lrTb"/>
            <w:noWrap w:val="false"/>
          </w:tcPr>
          <w:p>
            <w:pPr>
              <w:spacing w:before="156"/>
              <w:widowControl/>
              <w:rPr>
                <w:rFonts w:ascii="宋体" w:hAnsi="宋体" w:cs="宋体"/>
                <w:szCs w:val="21"/>
              </w:rPr>
            </w:pPr>
            <w:r>
              <w:rPr>
                <w:rFonts w:hint="eastAsia" w:ascii="宋体" w:hAnsi="宋体" w:cs="宋体"/>
                <w:szCs w:val="21"/>
              </w:rPr>
              <w:t xml:space="preserve">1、投标人须结合本项目需求提供完整的技术方案，要求功能点完整，</w:t>
            </w:r>
            <w:r>
              <w:rPr>
                <w:rFonts w:hint="eastAsia" w:ascii="宋体" w:hAnsi="宋体" w:cs="宋体"/>
                <w:szCs w:val="21"/>
                <w:lang w:val="zh-CN"/>
              </w:rPr>
              <w:t xml:space="preserve">对关键施工技术、工艺及工程项目实施的特点、重点、难点、解决方案、</w:t>
            </w:r>
            <w:r>
              <w:rPr>
                <w:rFonts w:hint="eastAsia" w:ascii="宋体" w:hAnsi="宋体" w:cs="宋体"/>
                <w:szCs w:val="21"/>
              </w:rPr>
              <w:t xml:space="preserve">用户需求，系统结构层次、思路</w:t>
            </w:r>
            <w:r>
              <w:rPr>
                <w:rFonts w:hint="eastAsia" w:ascii="宋体" w:hAnsi="宋体" w:cs="宋体"/>
                <w:szCs w:val="21"/>
                <w:lang w:val="zh-CN"/>
              </w:rPr>
              <w:t xml:space="preserve">等内容进行评审</w:t>
            </w:r>
            <w:r>
              <w:rPr>
                <w:rFonts w:hint="eastAsia" w:ascii="宋体" w:hAnsi="宋体" w:cs="宋体"/>
                <w:szCs w:val="21"/>
              </w:rPr>
              <w:t xml:space="preserve">。</w:t>
            </w:r>
            <w:r/>
          </w:p>
          <w:p>
            <w:pPr>
              <w:widowControl/>
              <w:rPr>
                <w:rFonts w:ascii="宋体" w:hAnsi="宋体" w:cs="宋体"/>
                <w:szCs w:val="21"/>
                <w:lang w:val="zh-CN"/>
              </w:rPr>
            </w:pPr>
            <w:r>
              <w:rPr>
                <w:rFonts w:hint="eastAsia" w:ascii="宋体" w:hAnsi="宋体" w:cs="宋体"/>
                <w:szCs w:val="21"/>
                <w:lang w:val="zh-CN"/>
              </w:rPr>
              <w:t xml:space="preserve">以上方案内容全面不漏项且有针对性解释说明的，能满足采购文件要求的得</w:t>
            </w:r>
            <w:r>
              <w:rPr>
                <w:rFonts w:hint="eastAsia" w:ascii="宋体" w:hAnsi="宋体" w:cs="宋体"/>
                <w:szCs w:val="21"/>
              </w:rPr>
              <w:t xml:space="preserve">5</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以上内容有针对性解释说明，但漏缺1-2项的，能满足采购文件要求的得</w:t>
            </w:r>
            <w:r>
              <w:rPr>
                <w:rFonts w:hint="eastAsia" w:ascii="宋体" w:hAnsi="宋体" w:cs="宋体"/>
                <w:szCs w:val="21"/>
              </w:rPr>
              <w:t xml:space="preserve">3</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以上内容有针对性解释说明，但漏缺3-4项的，基本满足采购文件要求的得</w:t>
            </w:r>
            <w:r>
              <w:rPr>
                <w:rFonts w:hint="eastAsia" w:ascii="宋体" w:hAnsi="宋体" w:cs="宋体"/>
                <w:szCs w:val="21"/>
              </w:rPr>
              <w:t xml:space="preserve">1</w:t>
            </w:r>
            <w:r>
              <w:rPr>
                <w:rFonts w:hint="eastAsia" w:ascii="宋体" w:hAnsi="宋体" w:cs="宋体"/>
                <w:szCs w:val="21"/>
                <w:lang w:val="zh-CN"/>
              </w:rPr>
              <w:t xml:space="preserve">分；</w:t>
            </w:r>
            <w:r/>
          </w:p>
          <w:p>
            <w:pPr>
              <w:widowControl/>
              <w:rPr>
                <w:rFonts w:ascii="宋体" w:hAnsi="宋体" w:cs="宋体"/>
                <w:szCs w:val="21"/>
              </w:rPr>
            </w:pPr>
            <w:r>
              <w:rPr>
                <w:rFonts w:hint="eastAsia" w:ascii="宋体" w:hAnsi="宋体" w:cs="宋体"/>
                <w:szCs w:val="21"/>
                <w:lang w:val="zh-CN"/>
              </w:rPr>
              <w:t xml:space="preserve">以上内容没有针对性解释说明或漏缺5项及以上或未提供方案的不得分。</w:t>
            </w:r>
            <w:r/>
          </w:p>
        </w:tc>
      </w:tr>
      <w:tr>
        <w:trPr>
          <w:trHeight w:val="2264"/>
        </w:trPr>
        <w:tc>
          <w:tcPr>
            <w:tcBorders>
              <w:left w:val="single" w:color="auto" w:sz="4" w:space="0"/>
              <w:bottom w:val="single" w:color="auto" w:sz="4" w:space="0"/>
              <w:right w:val="single" w:color="auto" w:sz="4" w:space="0"/>
            </w:tcBorders>
            <w:tcW w:w="1177" w:type="dxa"/>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36" w:type="dxa"/>
            <w:vAlign w:val="center"/>
            <w:textDirection w:val="lrTb"/>
            <w:noWrap w:val="false"/>
          </w:tcPr>
          <w:p>
            <w:pPr>
              <w:widowControl/>
              <w:rPr>
                <w:rFonts w:ascii="宋体" w:hAnsi="宋体" w:cs="宋体"/>
                <w:szCs w:val="21"/>
                <w:lang w:val="zh-CN"/>
              </w:rPr>
            </w:pPr>
            <w:r>
              <w:rPr>
                <w:rFonts w:hint="eastAsia" w:ascii="宋体" w:hAnsi="宋体" w:cs="宋体"/>
                <w:szCs w:val="21"/>
                <w:lang w:val="zh-CN"/>
              </w:rPr>
              <w:t xml:space="preserve">2、投标人须结合本项目需求提供项目质量与进度保障方案，对方案、体系、工期安排、管理目标、措施等内容进行评审。</w:t>
            </w:r>
            <w:r/>
          </w:p>
          <w:p>
            <w:pPr>
              <w:widowControl/>
              <w:rPr>
                <w:rFonts w:ascii="宋体" w:hAnsi="宋体" w:cs="宋体"/>
                <w:szCs w:val="21"/>
                <w:lang w:val="zh-CN"/>
              </w:rPr>
            </w:pPr>
            <w:r>
              <w:rPr>
                <w:rFonts w:hint="eastAsia" w:ascii="宋体" w:hAnsi="宋体" w:cs="宋体"/>
                <w:szCs w:val="21"/>
                <w:lang w:val="zh-CN"/>
              </w:rPr>
              <w:t xml:space="preserve">以上方案内容全面不漏项且有针对性解释说明的，能满足采购文件要求的得</w:t>
            </w:r>
            <w:r>
              <w:rPr>
                <w:rFonts w:hint="eastAsia" w:ascii="宋体" w:hAnsi="宋体" w:cs="宋体"/>
                <w:szCs w:val="21"/>
              </w:rPr>
              <w:t xml:space="preserve">5</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以上内容有针对性解释说明，但漏缺1-2项的，能满足采购文件要求的得</w:t>
            </w:r>
            <w:r>
              <w:rPr>
                <w:rFonts w:hint="eastAsia" w:ascii="宋体" w:hAnsi="宋体" w:cs="宋体"/>
                <w:szCs w:val="21"/>
              </w:rPr>
              <w:t xml:space="preserve">3</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以上内容有针对性解释说明，但漏缺3-4项的，基本满足采购文件要求的得</w:t>
            </w:r>
            <w:r>
              <w:rPr>
                <w:rFonts w:hint="eastAsia" w:ascii="宋体" w:hAnsi="宋体" w:cs="宋体"/>
                <w:szCs w:val="21"/>
              </w:rPr>
              <w:t xml:space="preserve">1</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以上内容没有针对性解释说明或漏缺5项及以上或未提供方案的不得分。</w:t>
            </w:r>
            <w:r/>
          </w:p>
        </w:tc>
      </w:tr>
      <w:tr>
        <w:trPr>
          <w:trHeight w:val="1259"/>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w:t>
            </w:r>
            <w:r/>
          </w:p>
          <w:p>
            <w:pPr>
              <w:jc w:val="cente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436" w:type="dxa"/>
            <w:vAlign w:val="center"/>
            <w:textDirection w:val="lrTb"/>
            <w:noWrap w:val="false"/>
          </w:tcPr>
          <w:p>
            <w:pPr>
              <w:ind w:firstLine="420"/>
              <w:spacing w:before="156"/>
              <w:widowControl/>
              <w:rPr>
                <w:rFonts w:ascii="宋体" w:hAnsi="宋体" w:cs="宋体"/>
                <w:szCs w:val="21"/>
              </w:rPr>
            </w:pPr>
            <w:r>
              <w:rPr>
                <w:rFonts w:hint="eastAsia" w:ascii="宋体" w:hAnsi="宋体" w:cs="宋体"/>
                <w:szCs w:val="21"/>
              </w:rPr>
              <w:t xml:space="preserve">售后服务方案：根据投标人提供的售后服务体系、售后服务承诺、售后服务应答及处理时间、质保期内的售后服务范围、项目培训、制定定期上门服务回访、紧急故障处理预案方案、质保期满后的售后服务范围进行评审。</w:t>
            </w:r>
            <w:r/>
          </w:p>
          <w:p>
            <w:pPr>
              <w:widowControl/>
              <w:rPr>
                <w:rFonts w:ascii="宋体" w:hAnsi="宋体" w:cs="宋体"/>
                <w:szCs w:val="21"/>
                <w:lang w:val="zh-CN"/>
              </w:rPr>
            </w:pPr>
            <w:r>
              <w:rPr>
                <w:rFonts w:hint="eastAsia" w:ascii="宋体" w:hAnsi="宋体" w:cs="宋体"/>
                <w:szCs w:val="21"/>
                <w:lang w:val="zh-CN"/>
              </w:rPr>
              <w:t xml:space="preserve">以上方案内容全面不漏项且有针对性解释说明的，能满足并优于采购文件要求的得</w:t>
            </w:r>
            <w:r>
              <w:rPr>
                <w:rFonts w:hint="eastAsia" w:ascii="宋体" w:hAnsi="宋体" w:cs="宋体"/>
                <w:szCs w:val="21"/>
                <w:lang w:val="en-US" w:eastAsia="zh-CN"/>
              </w:rPr>
              <w:t xml:space="preserve">6</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以上内容有针对性解释说明，但漏缺1-2项的，能满足采购文件要求的得</w:t>
            </w:r>
            <w:r>
              <w:rPr>
                <w:rFonts w:hint="eastAsia" w:ascii="宋体" w:hAnsi="宋体" w:cs="宋体"/>
                <w:szCs w:val="21"/>
                <w:lang w:val="en-US" w:eastAsia="zh-CN"/>
              </w:rPr>
              <w:t xml:space="preserve">4</w:t>
            </w:r>
            <w:r>
              <w:rPr>
                <w:rFonts w:hint="eastAsia" w:ascii="宋体" w:hAnsi="宋体" w:cs="宋体"/>
                <w:szCs w:val="21"/>
                <w:lang w:val="zh-CN"/>
              </w:rPr>
              <w:t xml:space="preserve">分；</w:t>
            </w:r>
            <w:r/>
          </w:p>
          <w:p>
            <w:pPr>
              <w:widowControl/>
              <w:rPr>
                <w:rFonts w:ascii="宋体" w:hAnsi="宋体" w:cs="宋体"/>
                <w:szCs w:val="21"/>
                <w:lang w:val="zh-CN"/>
              </w:rPr>
            </w:pPr>
            <w:r>
              <w:rPr>
                <w:rFonts w:hint="eastAsia" w:ascii="宋体" w:hAnsi="宋体" w:cs="宋体"/>
                <w:szCs w:val="21"/>
                <w:lang w:val="zh-CN"/>
              </w:rPr>
              <w:t xml:space="preserve">以上内容有针对性解释说明，但漏缺3-4项的，基本满足采购文件要求的得</w:t>
            </w:r>
            <w:r>
              <w:rPr>
                <w:rFonts w:hint="eastAsia" w:ascii="宋体" w:hAnsi="宋体" w:cs="宋体"/>
                <w:szCs w:val="21"/>
                <w:lang w:val="en-US" w:eastAsia="zh-CN"/>
              </w:rPr>
              <w:t xml:space="preserve">2</w:t>
            </w:r>
            <w:r>
              <w:rPr>
                <w:rFonts w:hint="eastAsia" w:ascii="宋体" w:hAnsi="宋体" w:cs="宋体"/>
                <w:szCs w:val="21"/>
                <w:lang w:val="zh-CN"/>
              </w:rPr>
              <w:t xml:space="preserve">分；</w:t>
            </w:r>
            <w:r/>
          </w:p>
          <w:p>
            <w:pPr>
              <w:widowControl/>
              <w:rPr>
                <w:rFonts w:ascii="宋体" w:hAnsi="宋体" w:cs="宋体"/>
                <w:szCs w:val="21"/>
              </w:rPr>
            </w:pPr>
            <w:r>
              <w:rPr>
                <w:rFonts w:hint="eastAsia" w:ascii="宋体" w:hAnsi="宋体" w:cs="宋体"/>
                <w:szCs w:val="21"/>
                <w:lang w:val="zh-CN"/>
              </w:rPr>
              <w:t xml:space="preserve">以上内容没有针对性解释说明或漏缺5项及以上或未提供方案的不得分。</w:t>
            </w:r>
            <w:r/>
          </w:p>
        </w:tc>
      </w:tr>
      <w:tr>
        <w:trPr>
          <w:trHeight w:val="1259"/>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Cs w:val="21"/>
              </w:rPr>
            </w:pPr>
            <w:r>
              <w:rPr>
                <w:rFonts w:hint="eastAsia"/>
              </w:rPr>
              <w:t xml:space="preserve">企业业绩（6分）</w:t>
            </w:r>
            <w:r/>
          </w:p>
        </w:tc>
        <w:tc>
          <w:tcPr>
            <w:tcBorders>
              <w:top w:val="single" w:color="auto" w:sz="4" w:space="0"/>
              <w:left w:val="single" w:color="auto" w:sz="4" w:space="0"/>
              <w:bottom w:val="single" w:color="auto" w:sz="4" w:space="0"/>
              <w:right w:val="single" w:color="auto" w:sz="4" w:space="0"/>
            </w:tcBorders>
            <w:tcW w:w="7436" w:type="dxa"/>
            <w:vAlign w:val="center"/>
            <w:textDirection w:val="lrTb"/>
            <w:noWrap w:val="false"/>
          </w:tcPr>
          <w:p>
            <w:pPr>
              <w:pStyle w:val="878"/>
              <w:ind w:left="0"/>
              <w:spacing w:after="0"/>
              <w:rPr>
                <w:rFonts w:ascii="宋体" w:hAnsi="宋体" w:eastAsia="宋体"/>
                <w:b/>
                <w:bCs/>
              </w:rPr>
            </w:pPr>
            <w:r>
              <w:rPr>
                <w:rFonts w:hint="eastAsia" w:ascii="宋体" w:hAnsi="宋体" w:eastAsia="宋体"/>
              </w:rPr>
              <w:t xml:space="preserve">投标人提供2021年1月1日（以合同签定的时间为准）至今类似项目业绩，每提供一份得2分，本项最高得6分。</w:t>
            </w:r>
            <w:r>
              <w:rPr>
                <w:rFonts w:hint="eastAsia" w:ascii="宋体" w:hAnsi="宋体" w:eastAsia="宋体" w:cs="宋体"/>
                <w:b/>
                <w:bCs/>
                <w:sz w:val="21"/>
                <w:szCs w:val="21"/>
                <w:lang w:val="en-US" w:eastAsia="zh-CN" w:bidi="ar-SA"/>
              </w:rPr>
              <w:t xml:space="preserve">（须提供项目合同、中标通知书等证明材料，原件扫描上传，未按要求提供的不得分。业绩时间以合同签定时间为准）</w:t>
            </w:r>
            <w:r/>
          </w:p>
        </w:tc>
      </w:tr>
      <w:tr>
        <w:trPr>
          <w:trHeight w:val="135"/>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项目人员配备</w:t>
            </w:r>
            <w:r/>
          </w:p>
          <w:p>
            <w:pPr>
              <w:jc w:val="cente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436" w:type="dxa"/>
            <w:textDirection w:val="lrTb"/>
            <w:noWrap w:val="false"/>
          </w:tcPr>
          <w:p>
            <w:pPr>
              <w:ind w:firstLine="420"/>
              <w:spacing w:before="156"/>
              <w:widowControl/>
              <w:rPr>
                <w:rFonts w:hint="eastAsia" w:ascii="宋体" w:hAnsi="宋体" w:cs="宋体"/>
                <w:b/>
                <w:bCs/>
                <w:szCs w:val="21"/>
                <w:lang w:val="en-US" w:eastAsia="zh-CN"/>
              </w:rPr>
            </w:pPr>
            <w:r>
              <w:rPr>
                <w:rFonts w:hint="eastAsia" w:ascii="宋体" w:hAnsi="宋体" w:cs="宋体"/>
                <w:szCs w:val="21"/>
                <w:lang w:val="en-US" w:eastAsia="zh-CN"/>
              </w:rPr>
              <w:t xml:space="preserve">1、拟委派的技术人员中同时具有高级工程师证书和高级信息系统项目管理师证书的，有一个得1分，本项最多得2分。</w:t>
            </w:r>
            <w:r>
              <w:rPr>
                <w:rFonts w:hint="eastAsia" w:ascii="宋体" w:hAnsi="宋体" w:cs="宋体"/>
                <w:b/>
                <w:bCs/>
                <w:szCs w:val="21"/>
                <w:lang w:val="en-US" w:eastAsia="zh-CN"/>
              </w:rPr>
              <w:t xml:space="preserve">（以上提供相关证书原件扫描上传，未按要求提供的不得分）</w:t>
            </w:r>
            <w:r/>
          </w:p>
          <w:p>
            <w:pPr>
              <w:ind w:firstLine="420"/>
              <w:spacing w:before="156"/>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本项目应匹配完善的专业技术负责人和团队成员（不含项目负责人）：</w:t>
            </w:r>
            <w:r/>
          </w:p>
          <w:p>
            <w:pPr>
              <w:ind w:firstLine="420"/>
              <w:spacing w:before="156"/>
              <w:widowControl/>
              <w:rPr>
                <w:rFonts w:hint="eastAsia" w:ascii="宋体" w:hAnsi="宋体" w:cs="宋体"/>
                <w:b/>
                <w:bCs/>
                <w:szCs w:val="21"/>
                <w:lang w:val="en-US" w:eastAsia="zh-CN"/>
              </w:rPr>
            </w:pPr>
            <w:r>
              <w:rPr>
                <w:rFonts w:hint="eastAsia" w:ascii="宋体" w:hAnsi="宋体" w:cs="宋体"/>
                <w:szCs w:val="21"/>
              </w:rPr>
              <w:t xml:space="preserve">①配备的一名技术负责人，同时具有高级工程师证书和高级安防系统集成项目经理证书的得2分，有一项得1分</w:t>
            </w:r>
            <w:r>
              <w:rPr>
                <w:rFonts w:hint="eastAsia" w:ascii="宋体" w:hAnsi="宋体" w:cs="宋体"/>
                <w:szCs w:val="21"/>
                <w:lang w:eastAsia="zh-CN"/>
              </w:rPr>
              <w:t xml:space="preserve">。</w:t>
            </w:r>
            <w:r>
              <w:rPr>
                <w:rFonts w:hint="eastAsia" w:ascii="宋体" w:hAnsi="宋体" w:cs="宋体"/>
                <w:b/>
                <w:bCs/>
                <w:szCs w:val="21"/>
                <w:lang w:val="en-US" w:eastAsia="zh-CN"/>
              </w:rPr>
              <w:t xml:space="preserve">（以上提供相关证书原件扫描上传，未按要求提供的不得分）</w:t>
            </w:r>
            <w:r/>
          </w:p>
          <w:p>
            <w:pPr>
              <w:ind w:firstLine="420"/>
              <w:spacing w:before="156"/>
              <w:widowControl/>
              <w:rPr>
                <w:rFonts w:hint="eastAsia" w:ascii="宋体" w:hAnsi="宋体" w:cs="宋体"/>
                <w:b/>
                <w:bCs/>
                <w:szCs w:val="21"/>
                <w:lang w:val="en-US" w:eastAsia="zh-CN"/>
              </w:rPr>
            </w:pPr>
            <w:r>
              <w:rPr>
                <w:rFonts w:hint="eastAsia" w:ascii="宋体" w:hAnsi="宋体" w:cs="宋体"/>
                <w:szCs w:val="21"/>
              </w:rPr>
              <w:t xml:space="preserve">②项目组其他成员应同样具备一定的专业技术能力，项目组人员中具有网络工程师、高级弱电系统工程师的，每有一项得1分，最高得</w:t>
            </w:r>
            <w:r>
              <w:rPr>
                <w:rFonts w:hint="eastAsia" w:ascii="宋体" w:hAnsi="宋体" w:cs="宋体"/>
                <w:szCs w:val="21"/>
                <w:lang w:val="en-US" w:eastAsia="zh-CN"/>
              </w:rPr>
              <w:t xml:space="preserve">2</w:t>
            </w:r>
            <w:r>
              <w:rPr>
                <w:rFonts w:hint="eastAsia" w:ascii="宋体" w:hAnsi="宋体" w:cs="宋体"/>
                <w:szCs w:val="21"/>
              </w:rPr>
              <w:t xml:space="preserve">分。同一个人具有多种证书的只计算一次且同一种证书只计算一次，不重复得分。</w:t>
            </w:r>
            <w:r>
              <w:rPr>
                <w:rFonts w:hint="eastAsia" w:ascii="宋体" w:hAnsi="宋体" w:cs="宋体"/>
                <w:b/>
                <w:bCs/>
                <w:szCs w:val="21"/>
                <w:lang w:val="en-US" w:eastAsia="zh-CN"/>
              </w:rPr>
              <w:t xml:space="preserve">（以上提供相关证书原件扫描上传，未按要求提供的不得分）</w:t>
            </w:r>
            <w:r/>
          </w:p>
          <w:p>
            <w:pPr>
              <w:ind w:firstLine="422"/>
              <w:spacing w:before="156"/>
              <w:widowControl/>
              <w:rPr>
                <w:rFonts w:ascii="宋体" w:hAnsi="宋体" w:cs="宋体"/>
                <w:szCs w:val="21"/>
              </w:rPr>
            </w:pPr>
            <w:r>
              <w:rPr>
                <w:rFonts w:hint="eastAsia" w:ascii="宋体" w:hAnsi="宋体" w:cs="宋体"/>
                <w:b/>
                <w:bCs/>
                <w:szCs w:val="21"/>
              </w:rPr>
              <w:t xml:space="preserve">（同时提供投标人为其缴纳的2</w:t>
            </w:r>
            <w:bookmarkStart w:id="35" w:name="_GoBack"/>
            <w:r/>
            <w:bookmarkEnd w:id="35"/>
            <w:r>
              <w:rPr>
                <w:rFonts w:hint="eastAsia" w:ascii="宋体" w:hAnsi="宋体" w:cs="宋体"/>
                <w:b/>
                <w:bCs/>
                <w:szCs w:val="21"/>
              </w:rPr>
              <w:t xml:space="preserve">024年6月-2024年8月中任意一个月社会养老保险的有效凭证</w:t>
            </w:r>
            <w:r>
              <w:rPr>
                <w:rFonts w:hint="eastAsia" w:ascii="宋体" w:hAnsi="宋体" w:cs="宋体"/>
                <w:b/>
                <w:bCs/>
                <w:szCs w:val="21"/>
                <w:lang w:eastAsia="zh-CN"/>
              </w:rPr>
              <w:t xml:space="preserve">，</w:t>
            </w:r>
            <w:r>
              <w:rPr>
                <w:rFonts w:hint="eastAsia" w:ascii="宋体" w:hAnsi="宋体" w:cs="宋体"/>
                <w:b/>
                <w:bCs/>
                <w:szCs w:val="21"/>
              </w:rPr>
              <w:t xml:space="preserve">原件扫描件形式上传，否则不得分。）</w:t>
            </w:r>
            <w:r/>
          </w:p>
        </w:tc>
      </w:tr>
    </w:tbl>
    <w:p>
      <w:pPr>
        <w:rPr>
          <w:szCs w:val="21"/>
        </w:rPr>
      </w:pPr>
      <w:r>
        <w:rPr>
          <w:szCs w:val="21"/>
        </w:rPr>
      </w:r>
      <w:r/>
    </w:p>
    <w:p>
      <w:pPr>
        <w:ind w:firstLine="420"/>
        <w:spacing w:line="360" w:lineRule="auto"/>
        <w:rPr>
          <w:rFonts w:ascii="宋体" w:hAnsi="宋体"/>
          <w:szCs w:val="21"/>
        </w:rPr>
      </w:pPr>
      <w:r>
        <w:rPr>
          <w:rFonts w:ascii="宋体" w:hAnsi="宋体"/>
          <w:szCs w:val="21"/>
        </w:rPr>
      </w:r>
      <w:r/>
    </w:p>
    <w:p>
      <w:pPr>
        <w:jc w:val="center"/>
        <w:spacing w:line="400" w:lineRule="exact"/>
        <w:rPr>
          <w:rFonts w:ascii="宋体" w:hAnsi="宋体"/>
          <w:sz w:val="36"/>
        </w:rPr>
      </w:pPr>
      <w:r>
        <w:rPr>
          <w:rFonts w:hint="eastAsia"/>
        </w:rPr>
        <w:br w:type="page" w:clear="all"/>
      </w:r>
      <w:bookmarkStart w:id="15" w:name="_Toc498520463"/>
      <w:r>
        <w:rPr>
          <w:rFonts w:hint="eastAsia" w:ascii="宋体" w:hAnsi="宋体"/>
          <w:sz w:val="36"/>
        </w:rPr>
        <w:t xml:space="preserve">第六章 投标文件格式</w:t>
      </w:r>
      <w:bookmarkEnd w:id="15"/>
      <w:r/>
      <w:r/>
    </w:p>
    <w:p>
      <w:pPr>
        <w:jc w:val="center"/>
        <w:rPr>
          <w:rFonts w:ascii="宋体" w:hAnsi="宋体"/>
          <w:b/>
          <w:sz w:val="36"/>
        </w:rPr>
      </w:pPr>
      <w:r>
        <w:rPr>
          <w:rFonts w:ascii="宋体" w:hAnsi="宋体"/>
          <w:b/>
          <w:sz w:val="36"/>
        </w:rPr>
      </w:r>
      <w:r/>
    </w:p>
    <w:p>
      <w:pPr>
        <w:jc w:val="center"/>
        <w:rPr>
          <w:rFonts w:ascii="宋体" w:hAnsi="宋体"/>
          <w:b/>
          <w:szCs w:val="21"/>
        </w:rPr>
      </w:pPr>
      <w:r>
        <w:rPr>
          <w:rFonts w:ascii="宋体" w:hAnsi="宋体"/>
          <w:b/>
          <w:szCs w:val="21"/>
        </w:rPr>
      </w:r>
      <w:r/>
    </w:p>
    <w:p>
      <w:pPr>
        <w:jc w:val="center"/>
        <w:rPr>
          <w:rFonts w:ascii="宋体" w:hAnsi="宋体"/>
          <w:b/>
          <w:sz w:val="22"/>
          <w:szCs w:val="21"/>
        </w:rPr>
      </w:pPr>
      <w:r>
        <w:rPr>
          <w:rFonts w:ascii="宋体" w:hAnsi="宋体"/>
          <w:b/>
          <w:sz w:val="22"/>
          <w:szCs w:val="21"/>
        </w:rPr>
      </w:r>
      <w:r/>
    </w:p>
    <w:p>
      <w:pPr>
        <w:pStyle w:val="878"/>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jc w:val="center"/>
        <w:spacing w:before="312" w:after="312"/>
        <w:rPr>
          <w:rFonts w:ascii="宋体" w:hAnsi="宋体" w:cs="仿宋"/>
          <w:b/>
          <w:bCs/>
          <w:color w:val="666666"/>
          <w:szCs w:val="21"/>
        </w:rPr>
      </w:pPr>
      <w:r>
        <w:rPr>
          <w:rFonts w:hint="eastAsia" w:ascii="宋体" w:hAnsi="宋体"/>
          <w:sz w:val="24"/>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rPr>
          <w:rFonts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ascii="宋体" w:hAnsi="宋体"/>
          <w:i/>
          <w:sz w:val="24"/>
          <w:u w:val="single"/>
        </w:rPr>
      </w:pPr>
      <w:r>
        <w:rPr>
          <w:rFonts w:hint="eastAsia" w:ascii="宋体" w:hAnsi="宋体"/>
          <w:i/>
          <w:sz w:val="24"/>
          <w:u w:val="single"/>
        </w:rPr>
        <w:t xml:space="preserve">六、供应商信用承诺函</w:t>
      </w:r>
      <w:r/>
    </w:p>
    <w:p>
      <w:pPr>
        <w:ind w:left="420"/>
        <w:spacing w:line="440" w:lineRule="exact"/>
        <w:rPr>
          <w:rFonts w:ascii="宋体" w:hAnsi="宋体"/>
          <w:i/>
          <w:sz w:val="24"/>
          <w:u w:val="single"/>
        </w:rPr>
      </w:pPr>
      <w:r>
        <w:rPr>
          <w:rFonts w:hint="eastAsia" w:ascii="宋体" w:hAnsi="宋体"/>
          <w:i/>
          <w:sz w:val="24"/>
          <w:u w:val="single"/>
        </w:rPr>
        <w:t xml:space="preserve">七、特定资格要求的证明文件（如果本项目设置特定资格要求，则需要提供）八、法人授权书</w:t>
      </w:r>
      <w:r/>
    </w:p>
    <w:p>
      <w:pPr>
        <w:ind w:firstLine="480"/>
        <w:spacing w:line="440" w:lineRule="exact"/>
        <w:rPr>
          <w:rFonts w:ascii="宋体" w:hAnsi="宋体"/>
          <w:i/>
          <w:sz w:val="24"/>
          <w:u w:val="single"/>
        </w:rPr>
      </w:pPr>
      <w:r>
        <w:rPr>
          <w:rFonts w:hint="eastAsia" w:ascii="宋体" w:hAnsi="宋体"/>
          <w:i/>
          <w:sz w:val="24"/>
          <w:u w:val="single"/>
        </w:rPr>
        <w:t xml:space="preserve">九、投标函</w:t>
      </w:r>
      <w:r/>
    </w:p>
    <w:p>
      <w:pPr>
        <w:ind w:firstLine="480"/>
        <w:spacing w:line="440" w:lineRule="exact"/>
        <w:rPr>
          <w:rFonts w:ascii="宋体" w:hAnsi="宋体"/>
          <w:sz w:val="24"/>
        </w:rPr>
      </w:pPr>
      <w:r>
        <w:rPr>
          <w:rFonts w:hint="eastAsia" w:ascii="宋体" w:hAnsi="宋体"/>
          <w:sz w:val="24"/>
        </w:rPr>
        <w:t xml:space="preserve">十、企业报价折扣证明（中小企业声明函、残疾人福利性单位声明函）</w:t>
      </w:r>
      <w:r/>
    </w:p>
    <w:p>
      <w:pPr>
        <w:ind w:firstLine="480"/>
        <w:spacing w:line="440" w:lineRule="exact"/>
        <w:rPr>
          <w:rFonts w:ascii="宋体" w:hAnsi="宋体"/>
          <w:sz w:val="24"/>
          <w:highlight w:val="yellow"/>
        </w:rPr>
      </w:pPr>
      <w:r>
        <w:rPr>
          <w:rFonts w:hint="eastAsia" w:ascii="宋体" w:hAnsi="宋体"/>
          <w:sz w:val="24"/>
        </w:rPr>
        <w:t xml:space="preserve">十一、联合体协议（若联合体，加斜体下划线）</w:t>
      </w:r>
      <w:r/>
    </w:p>
    <w:p>
      <w:pPr>
        <w:ind w:firstLine="480"/>
        <w:spacing w:line="440" w:lineRule="exact"/>
        <w:rPr>
          <w:rFonts w:ascii="宋体" w:hAnsi="宋体"/>
          <w:iCs/>
          <w:sz w:val="24"/>
        </w:rPr>
      </w:pPr>
      <w:r>
        <w:rPr>
          <w:rFonts w:hint="eastAsia" w:ascii="宋体" w:hAnsi="宋体"/>
          <w:iCs/>
          <w:sz w:val="24"/>
        </w:rPr>
        <w:t xml:space="preserve">十二、投标分项报价表</w:t>
      </w:r>
      <w:r/>
    </w:p>
    <w:p>
      <w:pPr>
        <w:ind w:firstLine="480"/>
        <w:spacing w:line="440" w:lineRule="exact"/>
        <w:rPr>
          <w:rFonts w:ascii="宋体" w:hAnsi="宋体"/>
          <w:sz w:val="24"/>
        </w:rPr>
      </w:pPr>
      <w:r>
        <w:rPr>
          <w:rFonts w:hint="eastAsia" w:ascii="宋体" w:hAnsi="宋体"/>
          <w:sz w:val="24"/>
        </w:rPr>
        <w:t xml:space="preserve">十三、技术要求响应及偏离表</w:t>
      </w:r>
      <w:r/>
    </w:p>
    <w:p>
      <w:pPr>
        <w:ind w:firstLine="480"/>
        <w:spacing w:line="440" w:lineRule="exact"/>
        <w:rPr>
          <w:rFonts w:ascii="宋体" w:hAnsi="宋体"/>
          <w:sz w:val="24"/>
        </w:rPr>
      </w:pPr>
      <w:r>
        <w:rPr>
          <w:rFonts w:hint="eastAsia" w:ascii="宋体" w:hAnsi="宋体"/>
          <w:sz w:val="24"/>
        </w:rPr>
        <w:t xml:space="preserve">十四、商务要求响应及偏离表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十五、开标一览表</w:t>
      </w:r>
      <w:r/>
    </w:p>
    <w:p>
      <w:pPr>
        <w:ind w:firstLine="480"/>
        <w:spacing w:line="440" w:lineRule="exact"/>
        <w:rPr>
          <w:rFonts w:ascii="宋体" w:hAnsi="宋体"/>
          <w:iCs/>
          <w:sz w:val="24"/>
        </w:rPr>
      </w:pPr>
      <w:r>
        <w:rPr>
          <w:rFonts w:hint="eastAsia" w:ascii="宋体" w:hAnsi="宋体"/>
          <w:iCs/>
          <w:sz w:val="24"/>
        </w:rPr>
        <w:t xml:space="preserve">十六、主要标的信息</w:t>
      </w:r>
      <w:r/>
    </w:p>
    <w:p>
      <w:pPr>
        <w:ind w:firstLine="480"/>
        <w:spacing w:line="440" w:lineRule="exact"/>
        <w:rPr>
          <w:rFonts w:ascii="宋体" w:hAnsi="宋体"/>
          <w:sz w:val="24"/>
          <w:szCs w:val="24"/>
        </w:rPr>
      </w:pPr>
      <w:r>
        <w:rPr>
          <w:rFonts w:ascii="宋体" w:hAnsi="宋体"/>
          <w:sz w:val="24"/>
        </w:rPr>
      </w:r>
      <w:r>
        <w:rPr>
          <w:rFonts w:ascii="宋体" w:hAnsi="宋体"/>
          <w:sz w:val="24"/>
          <w:szCs w:val="24"/>
        </w:rPr>
      </w:r>
    </w:p>
    <w:p>
      <w:pPr>
        <w:ind w:firstLine="480"/>
        <w:spacing w:line="440" w:lineRule="exact"/>
        <w:rPr>
          <w:rFonts w:ascii="宋体" w:hAnsi="宋体"/>
          <w:sz w:val="24"/>
          <w:szCs w:val="24"/>
        </w:rPr>
      </w:pPr>
      <w:r>
        <w:rPr>
          <w:rFonts w:ascii="宋体" w:hAnsi="宋体"/>
          <w:sz w:val="24"/>
        </w:rPr>
        <w:br w:type="page" w:clear="all"/>
      </w: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rPr>
      </w:pPr>
      <w:r/>
      <w:bookmarkStart w:id="16"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pStyle w:val="1039"/>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ind w:firstLine="495"/>
        <w:spacing w:line="460" w:lineRule="exact"/>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78"/>
        <w:ind w:left="0" w:firstLine="495"/>
      </w:pPr>
      <w:r/>
      <w:r/>
    </w:p>
    <w:p>
      <w:pPr>
        <w:pStyle w:val="878"/>
        <w:ind w:left="0" w:firstLine="495"/>
      </w:pPr>
      <w:r>
        <w:br w:type="page" w:clear="all"/>
      </w:r>
      <w:r/>
      <w:r/>
    </w:p>
    <w:p>
      <w:pPr>
        <w:pStyle w:val="878"/>
        <w:ind w:left="0" w:firstLine="495"/>
      </w:pPr>
      <w:r/>
      <w:r/>
    </w:p>
    <w:p>
      <w:pPr>
        <w:rPr>
          <w:rFonts w:ascii="黑体" w:hAnsi="黑体" w:eastAsia="黑体"/>
          <w:i/>
          <w:sz w:val="32"/>
          <w:szCs w:val="32"/>
          <w:u w:val="single"/>
        </w:rPr>
      </w:pPr>
      <w:r>
        <w:rPr>
          <w:rFonts w:hint="eastAsia" w:ascii="黑体" w:hAnsi="黑体" w:eastAsia="黑体"/>
          <w:i/>
          <w:sz w:val="32"/>
          <w:szCs w:val="32"/>
          <w:u w:val="single"/>
        </w:rPr>
        <w:t xml:space="preserve">六、供应商信用承诺函</w:t>
      </w:r>
      <w:r/>
    </w:p>
    <w:p>
      <w:pPr>
        <w:jc w:val="center"/>
        <w:spacing w:line="500" w:lineRule="exact"/>
        <w:rPr>
          <w:rFonts w:ascii="宋体" w:hAnsi="宋体" w:eastAsia="等线"/>
          <w:b/>
          <w:sz w:val="24"/>
          <w:szCs w:val="24"/>
        </w:rPr>
      </w:pPr>
      <w:r>
        <w:rPr>
          <w:rFonts w:hint="eastAsia" w:ascii="宋体" w:hAnsi="宋体" w:eastAsia="等线"/>
          <w:b/>
          <w:sz w:val="24"/>
          <w:szCs w:val="24"/>
        </w:rPr>
        <w:t xml:space="preserve">供应商信用承诺函</w:t>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ind w:firstLine="420"/>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rPr>
          <w:rFonts w:ascii="宋体" w:hAnsi="宋体" w:cs="宋体"/>
          <w:sz w:val="24"/>
          <w:szCs w:val="24"/>
        </w:rPr>
      </w:pPr>
      <w:r>
        <w:rPr>
          <w:rFonts w:hint="eastAsia" w:ascii="宋体" w:hAnsi="宋体" w:cs="宋体"/>
          <w:sz w:val="24"/>
          <w:szCs w:val="24"/>
        </w:rPr>
        <w:t xml:space="preserve">十、本承诺书自签订之日起生效。</w:t>
      </w:r>
      <w:r/>
    </w:p>
    <w:p>
      <w:pPr>
        <w:ind w:firstLine="420"/>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年    月    日</w:t>
      </w:r>
      <w:r/>
    </w:p>
    <w:p>
      <w:pPr>
        <w:spacing w:line="560" w:lineRule="exact"/>
        <w:rPr>
          <w:rFonts w:ascii="宋体" w:hAnsi="宋体" w:eastAsia="等线" w:cs="宋体"/>
        </w:rPr>
      </w:pPr>
      <w:r>
        <w:rPr>
          <w:rFonts w:ascii="宋体" w:hAnsi="宋体" w:eastAsia="等线" w:cs="宋体"/>
        </w:rPr>
      </w:r>
      <w:r/>
    </w:p>
    <w:p>
      <w:pPr>
        <w:rPr>
          <w:rFonts w:ascii="黑体" w:hAnsi="黑体" w:eastAsia="黑体"/>
          <w:bCs/>
          <w:i/>
          <w:sz w:val="32"/>
          <w:szCs w:val="32"/>
          <w:u w:val="single"/>
        </w:rPr>
      </w:pPr>
      <w:r>
        <w:rPr>
          <w:rFonts w:ascii="黑体" w:hAnsi="黑体" w:eastAsia="黑体"/>
          <w:i/>
          <w:sz w:val="32"/>
          <w:szCs w:val="32"/>
          <w:u w:val="single"/>
        </w:rPr>
      </w:r>
      <w:r>
        <w:rPr>
          <w:rFonts w:ascii="黑体" w:hAnsi="黑体" w:eastAsia="黑体"/>
          <w:i/>
          <w:sz w:val="32"/>
          <w:szCs w:val="32"/>
          <w:u w:val="single"/>
        </w:rPr>
      </w:r>
    </w:p>
    <w:p>
      <w:pPr>
        <w:rPr>
          <w:rFonts w:ascii="黑体" w:hAnsi="黑体" w:eastAsia="黑体"/>
          <w:bCs/>
          <w:i/>
          <w:sz w:val="32"/>
          <w:szCs w:val="32"/>
          <w:u w:val="single"/>
        </w:rPr>
      </w:pPr>
      <w:r>
        <w:rPr>
          <w:rFonts w:ascii="黑体" w:hAnsi="黑体" w:eastAsia="黑体"/>
          <w:i/>
          <w:sz w:val="32"/>
          <w:szCs w:val="32"/>
          <w:u w:val="single"/>
        </w:rPr>
      </w:r>
      <w:r/>
    </w:p>
    <w:p>
      <w:pPr>
        <w:pStyle w:val="878"/>
      </w:pPr>
      <w:r/>
      <w:r/>
    </w:p>
    <w:p>
      <w:pPr>
        <w:pStyle w:val="878"/>
      </w:pPr>
      <w:r/>
      <w:r/>
    </w:p>
    <w:p>
      <w:pPr>
        <w:rPr>
          <w:rFonts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1194"/>
        <w:ind w:firstLine="480"/>
        <w:rPr>
          <w:sz w:val="24"/>
          <w:szCs w:val="24"/>
        </w:rPr>
      </w:pPr>
      <w:r>
        <w:rPr>
          <w:rFonts w:hint="eastAsia"/>
          <w:sz w:val="24"/>
          <w:szCs w:val="24"/>
        </w:rPr>
        <w:t xml:space="preserve">本授权书声明：____________（投标人名称）授权________________（被授权人的姓名）为我方就</w:t>
      </w:r>
      <w:r>
        <w:rPr>
          <w:rFonts w:hint="eastAsia" w:ascii="经典仿宋简" w:hAnsi="经典仿宋简" w:eastAsia="经典仿宋简" w:cs="经典仿宋简"/>
          <w:color w:val="000000"/>
          <w:sz w:val="22"/>
          <w:szCs w:val="22"/>
        </w:rPr>
        <w:t xml:space="preserve">JSZC-321023-YZDC-G2024-0014</w:t>
      </w:r>
      <w:r>
        <w:rPr>
          <w:rFonts w:hint="eastAsia"/>
          <w:sz w:val="24"/>
          <w:szCs w:val="24"/>
        </w:rPr>
        <w:t xml:space="preserve">号项目采购活动的合法代理人，以本单位名义全权处理一切与该项目采购有关的事务。</w:t>
      </w:r>
      <w:r/>
    </w:p>
    <w:p>
      <w:pPr>
        <w:pStyle w:val="1194"/>
        <w:ind w:firstLine="480"/>
        <w:rPr>
          <w:sz w:val="24"/>
          <w:szCs w:val="24"/>
        </w:rPr>
      </w:pPr>
      <w:r>
        <w:rPr>
          <w:rFonts w:hint="eastAsia"/>
          <w:sz w:val="24"/>
          <w:szCs w:val="24"/>
        </w:rPr>
        <w:t xml:space="preserve">本授权书于______年____月____日起生效，特此声明。</w:t>
      </w:r>
      <w:r/>
    </w:p>
    <w:p>
      <w:pPr>
        <w:pStyle w:val="1194"/>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194"/>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194"/>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94"/>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194"/>
        <w:ind w:firstLine="480"/>
        <w:rPr>
          <w:sz w:val="24"/>
          <w:szCs w:val="24"/>
        </w:rPr>
      </w:pPr>
      <w:r>
        <w:rPr>
          <w:rFonts w:hint="eastAsia"/>
          <w:sz w:val="24"/>
          <w:szCs w:val="24"/>
        </w:rPr>
        <w:t xml:space="preserve">      日期：</w:t>
      </w:r>
      <w:bookmarkStart w:id="17" w:name="_Hlt26955070"/>
      <w:r/>
      <w:bookmarkEnd w:id="17"/>
      <w:r/>
      <w:bookmarkStart w:id="18" w:name="_Hlt26671380"/>
      <w:r/>
      <w:bookmarkEnd w:id="18"/>
      <w:r/>
      <w:bookmarkStart w:id="19" w:name="_格式3__银行出具的资信证明"/>
      <w:r/>
      <w:bookmarkEnd w:id="19"/>
      <w:r>
        <w:rPr>
          <w:rFonts w:hint="eastAsia"/>
          <w:sz w:val="24"/>
          <w:szCs w:val="24"/>
          <w:u w:val="single"/>
        </w:rPr>
        <w:t xml:space="preserve">                                         </w:t>
      </w:r>
      <w:r/>
    </w:p>
    <w:p>
      <w:pPr>
        <w:pStyle w:val="1039"/>
        <w:rPr>
          <w:i/>
          <w:sz w:val="24"/>
          <w:szCs w:val="24"/>
          <w:u w:val="single"/>
        </w:rPr>
      </w:pPr>
      <w:r>
        <w:rPr>
          <w:i/>
          <w:sz w:val="24"/>
          <w:szCs w:val="24"/>
          <w:u w:val="single"/>
        </w:rPr>
      </w:r>
      <w:r/>
    </w:p>
    <w:p>
      <w:pPr>
        <w:pStyle w:val="1039"/>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193"/>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1162"/>
        <w:ind w:firstLine="0"/>
        <w:spacing w:before="0" w:after="0" w:line="420" w:lineRule="exact"/>
        <w:rPr>
          <w:rFonts w:ascii="宋体" w:hAnsi="宋体"/>
          <w:szCs w:val="21"/>
        </w:rPr>
      </w:pPr>
      <w:r>
        <w:rPr>
          <w:rFonts w:hint="eastAsia" w:ascii="宋体" w:hAnsi="宋体"/>
          <w:szCs w:val="21"/>
        </w:rPr>
        <w:t xml:space="preserve">致：江苏省鼎诚建设工程顾问有限公司</w:t>
      </w:r>
      <w:r/>
    </w:p>
    <w:p>
      <w:pPr>
        <w:pStyle w:val="1162"/>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1162"/>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16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6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6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6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6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6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6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62"/>
        <w:ind w:left="420"/>
        <w:spacing w:before="0" w:after="0" w:line="420" w:lineRule="exact"/>
        <w:rPr>
          <w:rFonts w:ascii="宋体" w:hAnsi="宋体"/>
          <w:szCs w:val="21"/>
        </w:rPr>
      </w:pPr>
      <w:r>
        <w:rPr>
          <w:rFonts w:hint="eastAsia" w:ascii="宋体" w:hAnsi="宋体"/>
          <w:szCs w:val="21"/>
        </w:rPr>
        <w:t xml:space="preserve">地          址：</w:t>
      </w:r>
      <w:r/>
    </w:p>
    <w:p>
      <w:pPr>
        <w:pStyle w:val="1162"/>
        <w:ind w:left="420"/>
        <w:spacing w:before="0" w:after="0" w:line="420" w:lineRule="exact"/>
        <w:rPr>
          <w:rFonts w:ascii="宋体" w:hAnsi="宋体"/>
          <w:szCs w:val="21"/>
        </w:rPr>
      </w:pPr>
      <w:r>
        <w:rPr>
          <w:rFonts w:hint="eastAsia" w:ascii="宋体" w:hAnsi="宋体"/>
          <w:szCs w:val="21"/>
        </w:rPr>
        <w:t xml:space="preserve">邮          编：</w:t>
      </w:r>
      <w:r/>
    </w:p>
    <w:p>
      <w:pPr>
        <w:pStyle w:val="1162"/>
        <w:ind w:left="420"/>
        <w:spacing w:before="0" w:after="0" w:line="420" w:lineRule="exact"/>
        <w:rPr>
          <w:rFonts w:ascii="宋体" w:hAnsi="宋体"/>
          <w:szCs w:val="21"/>
        </w:rPr>
      </w:pPr>
      <w:r>
        <w:rPr>
          <w:rFonts w:hint="eastAsia" w:ascii="宋体" w:hAnsi="宋体"/>
          <w:szCs w:val="21"/>
        </w:rPr>
        <w:t xml:space="preserve">电          话：</w:t>
      </w:r>
      <w:r/>
    </w:p>
    <w:p>
      <w:pPr>
        <w:pStyle w:val="1162"/>
        <w:ind w:left="420"/>
        <w:spacing w:before="0" w:after="0" w:line="420" w:lineRule="exact"/>
        <w:rPr>
          <w:rFonts w:ascii="宋体" w:hAnsi="宋体"/>
          <w:szCs w:val="21"/>
        </w:rPr>
      </w:pPr>
      <w:r>
        <w:rPr>
          <w:rFonts w:hint="eastAsia" w:ascii="宋体" w:hAnsi="宋体"/>
          <w:szCs w:val="21"/>
        </w:rPr>
        <w:t xml:space="preserve">传          真：</w:t>
      </w:r>
      <w:r/>
    </w:p>
    <w:p>
      <w:pPr>
        <w:pStyle w:val="1162"/>
        <w:ind w:left="420"/>
        <w:spacing w:before="0" w:after="0" w:line="420" w:lineRule="exact"/>
        <w:rPr>
          <w:rFonts w:ascii="宋体" w:hAnsi="宋体"/>
          <w:szCs w:val="21"/>
        </w:rPr>
      </w:pPr>
      <w:r>
        <w:rPr>
          <w:rFonts w:hint="eastAsia" w:ascii="宋体" w:hAnsi="宋体"/>
          <w:szCs w:val="21"/>
        </w:rPr>
        <w:t xml:space="preserve">投标人开户行：</w:t>
      </w:r>
      <w:r/>
    </w:p>
    <w:p>
      <w:pPr>
        <w:pStyle w:val="1162"/>
        <w:ind w:left="420"/>
        <w:spacing w:before="0" w:after="0" w:line="420" w:lineRule="exact"/>
        <w:rPr>
          <w:rFonts w:ascii="宋体" w:hAnsi="宋体"/>
          <w:szCs w:val="21"/>
        </w:rPr>
      </w:pPr>
      <w:r>
        <w:rPr>
          <w:rFonts w:hint="eastAsia" w:ascii="宋体" w:hAnsi="宋体"/>
          <w:szCs w:val="21"/>
        </w:rPr>
        <w:t xml:space="preserve">账          号： </w:t>
      </w:r>
      <w:r/>
    </w:p>
    <w:p>
      <w:pPr>
        <w:pStyle w:val="1162"/>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spacing w:line="560" w:lineRule="exact"/>
        <w:rPr>
          <w:rFonts w:ascii="宋体" w:hAnsi="宋体"/>
          <w:bCs/>
          <w:sz w:val="24"/>
        </w:rPr>
      </w:pPr>
      <w:r>
        <w:rPr>
          <w:rFonts w:ascii="宋体" w:hAnsi="宋体"/>
          <w:bCs/>
          <w:sz w:val="24"/>
        </w:rPr>
      </w:r>
      <w:r/>
    </w:p>
    <w:p>
      <w:pPr>
        <w:pStyle w:val="1192"/>
        <w:rPr>
          <w:rFonts w:hAnsi="宋体"/>
          <w:bCs/>
        </w:rPr>
      </w:pPr>
      <w:r>
        <w:rPr>
          <w:rFonts w:hAnsi="宋体"/>
          <w:bCs/>
        </w:rPr>
      </w:r>
      <w:r/>
    </w:p>
    <w:p>
      <w:r/>
      <w:r/>
    </w:p>
    <w:p>
      <w:pPr>
        <w:jc w:val="center"/>
        <w:spacing w:line="460" w:lineRule="exact"/>
        <w:rPr>
          <w:rFonts w:ascii="黑体" w:hAnsi="黑体" w:eastAsia="黑体"/>
          <w:b/>
          <w:i/>
          <w:iCs/>
          <w:sz w:val="32"/>
          <w:szCs w:val="32"/>
          <w:u w:val="single"/>
        </w:rPr>
      </w:pPr>
      <w:r>
        <w:rPr>
          <w:rFonts w:hint="eastAsia" w:ascii="黑体" w:hAnsi="黑体" w:eastAsia="黑体"/>
          <w:b/>
          <w:sz w:val="32"/>
          <w:szCs w:val="32"/>
        </w:rPr>
        <w:t xml:space="preserve">十、中小企业声明函（货物）</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本公司（联合体）郑重声明，根据《政府采购促进中小企业发展管理办法》(财库[2020]46号)的规定，本公司（联合体）参加的</w:t>
      </w:r>
      <w:r>
        <w:rPr>
          <w:rFonts w:hint="eastAsia" w:ascii="宋体" w:hAnsi="宋体"/>
          <w:sz w:val="24"/>
          <w:szCs w:val="24"/>
          <w:u w:val="single"/>
        </w:rPr>
        <w:t xml:space="preserve">（单位名称）</w:t>
      </w:r>
      <w:r>
        <w:rPr>
          <w:rFonts w:hint="eastAsia" w:ascii="宋体" w:hAnsi="宋体"/>
          <w:sz w:val="24"/>
          <w:szCs w:val="24"/>
        </w:rPr>
        <w:t xml:space="preserve">采购编号为        ，</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right="720" w:firstLine="480"/>
        <w:spacing w:line="560" w:lineRule="exact"/>
        <w:rPr>
          <w:rFonts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ascii="宋体" w:hAnsi="宋体"/>
          <w:sz w:val="24"/>
          <w:szCs w:val="24"/>
        </w:rPr>
      </w:pPr>
      <w:r>
        <w:rPr>
          <w:rFonts w:hint="eastAsia" w:ascii="宋体" w:hAnsi="宋体"/>
          <w:sz w:val="24"/>
          <w:szCs w:val="24"/>
        </w:rPr>
        <w:t xml:space="preserve">日  期：</w:t>
      </w:r>
      <w:r/>
    </w:p>
    <w:p>
      <w:pPr>
        <w:spacing w:line="560" w:lineRule="exact"/>
        <w:rPr>
          <w:rFonts w:ascii="宋体" w:hAnsi="宋体"/>
          <w:sz w:val="24"/>
          <w:szCs w:val="24"/>
        </w:rPr>
      </w:pPr>
      <w:r>
        <w:rPr>
          <w:rFonts w:ascii="宋体" w:hAnsi="宋体"/>
          <w:sz w:val="24"/>
          <w:szCs w:val="24"/>
        </w:rPr>
      </w:r>
      <w:r/>
    </w:p>
    <w:p>
      <w:pPr>
        <w:jc w:val="center"/>
        <w:keepLines/>
        <w:keepNext/>
        <w:spacing w:line="360" w:lineRule="auto"/>
        <w:widowControl/>
        <w:rPr>
          <w:rFonts w:ascii="Arial" w:hAnsi="Arial" w:eastAsia="幼圆" w:cs="Arial"/>
          <w:b/>
          <w:bCs/>
          <w:color w:val="666666"/>
        </w:rPr>
        <w:outlineLvl w:val="1"/>
      </w:pPr>
      <w:r/>
      <w:bookmarkStart w:id="20" w:name="_Toc150519795"/>
      <w:r>
        <w:rPr>
          <w:rFonts w:hint="eastAsia" w:ascii="Arial" w:hAnsi="Arial" w:eastAsia="幼圆" w:cs="微软雅黑"/>
          <w:b/>
          <w:bCs/>
          <w:color w:val="333333"/>
        </w:rPr>
        <w:t xml:space="preserve">中小微企业划型标准</w:t>
      </w:r>
      <w:bookmarkEnd w:id="20"/>
      <w:r>
        <w:rPr>
          <w:rFonts w:hint="eastAsia" w:ascii="Arial" w:hAnsi="Arial" w:eastAsia="幼圆" w:cs="微软雅黑"/>
          <w:b/>
          <w:bCs/>
          <w:color w:val="666666"/>
        </w:rPr>
        <w:t xml:space="preserve"> </w:t>
      </w:r>
      <w:r/>
    </w:p>
    <w:p>
      <w:pPr>
        <w:jc w:val="left"/>
        <w:widowControl/>
        <w:tabs>
          <w:tab w:val="left" w:pos="2985" w:leader="none"/>
        </w:tabs>
        <w:rPr>
          <w:rFonts w:ascii="宋体" w:hAnsi="宋体"/>
          <w:color w:val="666666"/>
        </w:rPr>
      </w:pPr>
      <w:r>
        <w:rPr>
          <w:rFonts w:hint="eastAsia" w:ascii="宋体" w:hAnsi="宋体" w:eastAsia="等线" w:cs="仿宋"/>
          <w:b/>
          <w:color w:val="666666"/>
        </w:rPr>
        <w:t xml:space="preserve">中小微企业划型标准如下：</w:t>
      </w:r>
      <w:r>
        <w:rPr>
          <w:rFonts w:ascii="宋体" w:hAnsi="宋体" w:eastAsia="等线" w:cs="仿宋"/>
          <w:b/>
          <w:color w:val="666666"/>
        </w:rPr>
        <w:tab/>
      </w:r>
      <w:r/>
    </w:p>
    <w:tbl>
      <w:tblPr>
        <w:tblStyle w:val="877"/>
        <w:tblW w:w="9434" w:type="dxa"/>
        <w:tblCellSpacing w:w="15" w:type="dxa"/>
        <w:tblInd w:w="-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760"/>
        <w:gridCol w:w="1745"/>
        <w:gridCol w:w="731"/>
        <w:gridCol w:w="1919"/>
        <w:gridCol w:w="1736"/>
        <w:gridCol w:w="1543"/>
      </w:tblGrid>
      <w:tr>
        <w:trPr>
          <w:tblCellSpacing w:w="15" w:type="dxa"/>
          <w:trHeight w:val="270"/>
        </w:trPr>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6"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微型</w:t>
            </w:r>
            <w:r/>
          </w:p>
        </w:tc>
      </w:tr>
      <w:tr>
        <w:trPr>
          <w:tblCellSpacing w:w="15" w:type="dxa"/>
          <w:trHeight w:val="214"/>
        </w:trPr>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Y＜50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Y＜300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Y＜300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Z＜300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X＜5</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Y＜200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X＜20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Y＜50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Y＜2000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Y＜500</w:t>
            </w:r>
            <w:r/>
          </w:p>
        </w:tc>
      </w:tr>
      <w:tr>
        <w:trPr>
          <w:tblCellSpacing w:w="15" w:type="dxa"/>
          <w:trHeight w:val="214"/>
        </w:trPr>
        <w:tc>
          <w:tcPr>
            <w:tcMar>
              <w:left w:w="105" w:type="dxa"/>
              <w:top w:w="0" w:type="dxa"/>
              <w:right w:w="105" w:type="dxa"/>
              <w:bottom w:w="0" w:type="dxa"/>
            </w:tcMar>
            <w:tcW w:w="1715" w:type="dxa"/>
            <w:vAlign w:val="center"/>
            <w:vMerge w:val="restart"/>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r>
        <w:trPr>
          <w:tblCellSpacing w:w="15" w:type="dxa"/>
          <w:trHeight w:val="214"/>
        </w:trPr>
        <w:tc>
          <w:tcPr>
            <w:tcW w:w="1715" w:type="dxa"/>
            <w:vAlign w:val="center"/>
            <w:vMerge w:val="continue"/>
            <w:textDirection w:val="lrTb"/>
            <w:noWrap w:val="false"/>
          </w:tcPr>
          <w:p>
            <w:pPr>
              <w:jc w:val="left"/>
              <w:widowControl/>
              <w:tabs>
                <w:tab w:val="left" w:pos="2985" w:leader="none"/>
              </w:tabs>
              <w:rPr>
                <w:rFonts w:ascii="宋体" w:hAnsi="宋体" w:eastAsia="等线" w:cs="仿宋"/>
                <w:b/>
                <w:color w:val="666666"/>
              </w:rPr>
            </w:pPr>
            <w:r>
              <w:rPr>
                <w:rFonts w:ascii="宋体" w:hAnsi="宋体" w:eastAsia="等线" w:cs="仿宋"/>
                <w:b/>
                <w:color w:val="666666"/>
              </w:rPr>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Y＜100</w:t>
            </w:r>
            <w:r/>
          </w:p>
        </w:tc>
      </w:tr>
      <w:tr>
        <w:trPr>
          <w:tblCellSpacing w:w="15" w:type="dxa"/>
          <w:trHeight w:val="214"/>
        </w:trPr>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5"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1"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89" w:type="dxa"/>
            <w:vAlign w:val="center"/>
            <w:textDirection w:val="lrTb"/>
            <w:noWrap w:val="false"/>
          </w:tcPr>
          <w:p>
            <w:pPr>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6" w:type="dxa"/>
            <w:vAlign w:val="center"/>
            <w:textDirection w:val="lrTb"/>
            <w:noWrap w:val="false"/>
          </w:tcPr>
          <w:p>
            <w:pPr>
              <w:jc w:val="center"/>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498" w:type="dxa"/>
            <w:vAlign w:val="center"/>
            <w:textDirection w:val="lrTb"/>
            <w:noWrap w:val="false"/>
          </w:tcPr>
          <w:p>
            <w:pPr>
              <w:ind w:firstLine="420"/>
              <w:jc w:val="left"/>
              <w:widowControl/>
              <w:tabs>
                <w:tab w:val="left" w:pos="2985" w:leader="none"/>
              </w:tabs>
              <w:rPr>
                <w:rFonts w:ascii="宋体" w:hAnsi="宋体" w:eastAsia="等线" w:cs="仿宋"/>
                <w:b/>
                <w:color w:val="666666"/>
              </w:rPr>
            </w:pPr>
            <w:r>
              <w:rPr>
                <w:rFonts w:hint="eastAsia" w:ascii="宋体" w:hAnsi="宋体" w:eastAsia="等线" w:cs="仿宋"/>
                <w:b/>
                <w:color w:val="666666"/>
              </w:rPr>
              <w:t xml:space="preserve">X＜10</w:t>
            </w:r>
            <w:r/>
          </w:p>
        </w:tc>
      </w:tr>
    </w:tbl>
    <w:p>
      <w:pPr>
        <w:ind w:firstLine="811"/>
        <w:jc w:val="left"/>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spacing w:line="560" w:lineRule="exact"/>
        <w:rPr>
          <w:rFonts w:ascii="宋体" w:hAnsi="宋体"/>
          <w:sz w:val="24"/>
          <w:szCs w:val="24"/>
        </w:rPr>
      </w:pPr>
      <w:r>
        <w:rPr>
          <w:rFonts w:ascii="宋体" w:hAnsi="宋体"/>
          <w:sz w:val="24"/>
          <w:szCs w:val="24"/>
        </w:rPr>
      </w:r>
      <w:r/>
    </w:p>
    <w:p>
      <w:pPr>
        <w:jc w:val="center"/>
        <w:spacing w:line="460" w:lineRule="exact"/>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58"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自愿组成联合体，参加代理机构组织的采购编号为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ascii="宋体" w:hAnsi="宋体"/>
          <w:sz w:val="24"/>
        </w:rPr>
      </w:pPr>
      <w:r>
        <w:rPr>
          <w:rFonts w:ascii="宋体" w:hAnsi="宋体"/>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十二、投标分项报价表（）</w:t>
      </w:r>
      <w:r/>
    </w:p>
    <w:tbl>
      <w:tblPr>
        <w:tblStyle w:val="877"/>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ind w:firstLine="480"/>
        <w:rPr>
          <w:rFonts w:ascii="宋体" w:hAnsi="宋体"/>
          <w:b/>
          <w:sz w:val="24"/>
          <w:szCs w:val="24"/>
        </w:rPr>
      </w:pPr>
      <w:r>
        <w:rPr>
          <w:rFonts w:hint="eastAsia" w:ascii="宋体" w:hAnsi="宋体"/>
          <w:sz w:val="24"/>
          <w:szCs w:val="24"/>
        </w:rPr>
        <w:t xml:space="preserve">                  </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bCs/>
          <w:sz w:val="32"/>
          <w:szCs w:val="32"/>
        </w:rPr>
      </w:pPr>
      <w:r>
        <w:rPr>
          <w:rFonts w:ascii="黑体" w:hAnsi="黑体" w:eastAsia="黑体"/>
          <w:b/>
          <w:sz w:val="32"/>
          <w:szCs w:val="32"/>
        </w:rPr>
      </w:r>
      <w:r>
        <w:rPr>
          <w:rFonts w:ascii="黑体" w:hAnsi="黑体" w:eastAsia="黑体"/>
          <w:b/>
          <w:sz w:val="32"/>
          <w:szCs w:val="32"/>
        </w:rPr>
      </w:r>
    </w:p>
    <w:p>
      <w:pPr>
        <w:jc w:val="cente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jc w:val="cente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jc w:val="cente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jc w:val="center"/>
        <w:rPr>
          <w:rFonts w:ascii="黑体" w:hAnsi="黑体" w:eastAsia="黑体"/>
          <w:b/>
          <w:bCs/>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十三、技术要求响应及偏离表</w:t>
      </w:r>
      <w:r/>
    </w:p>
    <w:tbl>
      <w:tblPr>
        <w:tblStyle w:val="87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szCs w:val="32"/>
        </w:rPr>
      </w:pPr>
      <w:r>
        <w:rPr>
          <w:rFonts w:ascii="黑体" w:hAnsi="Arial" w:eastAsia="黑体"/>
          <w:sz w:val="32"/>
        </w:rPr>
      </w:r>
      <w:r>
        <w:rPr>
          <w:rFonts w:ascii="黑体" w:hAnsi="Arial" w:eastAsia="黑体"/>
          <w:sz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szCs w:val="32"/>
        </w:rPr>
      </w:r>
      <w:r>
        <w:rPr>
          <w:rFonts w:ascii="黑体" w:hAnsi="Arial" w:eastAsia="黑体"/>
          <w:sz w:val="32"/>
          <w:szCs w:val="32"/>
        </w:rPr>
      </w:r>
    </w:p>
    <w:p>
      <w:pPr>
        <w:rPr>
          <w:rFonts w:ascii="黑体" w:hAnsi="Arial" w:eastAsia="黑体"/>
          <w:sz w:val="32"/>
          <w:szCs w:val="32"/>
        </w:rPr>
      </w:pPr>
      <w:r>
        <w:rPr>
          <w:rFonts w:ascii="黑体" w:hAnsi="Arial" w:eastAsia="黑体"/>
          <w:sz w:val="32"/>
        </w:rPr>
      </w:r>
      <w:r/>
    </w:p>
    <w:p>
      <w:pPr>
        <w:rPr>
          <w:rFonts w:ascii="黑体" w:hAnsi="Arial" w:eastAsia="黑体"/>
          <w:sz w:val="32"/>
        </w:rPr>
      </w:pPr>
      <w:r>
        <w:rPr>
          <w:rFonts w:ascii="黑体" w:hAnsi="Arial" w:eastAsia="黑体"/>
          <w:sz w:val="32"/>
        </w:rPr>
      </w:r>
      <w:bookmarkEnd w:id="16"/>
      <w:r/>
      <w:r/>
    </w:p>
    <w:p>
      <w:pPr>
        <w:rPr>
          <w:rFonts w:ascii="黑体" w:hAnsi="Arial" w:eastAsia="黑体"/>
          <w:sz w:val="32"/>
        </w:rPr>
      </w:pPr>
      <w:r>
        <w:rPr>
          <w:rFonts w:ascii="黑体" w:hAnsi="Arial" w:eastAsia="黑体"/>
          <w:sz w:val="32"/>
        </w:rPr>
      </w:r>
      <w:r/>
    </w:p>
    <w:p>
      <w:pPr>
        <w:jc w:val="center"/>
        <w:rPr>
          <w:rFonts w:ascii="黑体" w:hAnsi="黑体" w:eastAsia="黑体"/>
          <w:b/>
          <w:sz w:val="32"/>
          <w:szCs w:val="32"/>
        </w:rPr>
      </w:pPr>
      <w:r/>
      <w:bookmarkStart w:id="21" w:name="_Hlt26955054"/>
      <w:r/>
      <w:bookmarkEnd w:id="21"/>
      <w:r>
        <w:rPr>
          <w:rFonts w:hint="eastAsia" w:ascii="黑体" w:hAnsi="黑体" w:eastAsia="黑体"/>
          <w:b/>
          <w:sz w:val="32"/>
          <w:szCs w:val="32"/>
        </w:rPr>
        <w:t xml:space="preserve">十四、商务要求响应及偏离表（分包号：**）</w:t>
      </w:r>
      <w:r/>
    </w:p>
    <w:tbl>
      <w:tblPr>
        <w:tblStyle w:val="87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sz w:val="24"/>
                <w:szCs w:val="24"/>
              </w:rPr>
            </w:pPr>
            <w:r/>
            <w:bookmarkStart w:id="22" w:name="_Hlt26671343"/>
            <w:r/>
            <w:bookmarkEnd w:id="22"/>
            <w:r/>
            <w:bookmarkStart w:id="23" w:name="_Hlt24879081"/>
            <w:r/>
            <w:bookmarkEnd w:id="23"/>
            <w:r/>
            <w:bookmarkStart w:id="24" w:name="_Hlt26782999"/>
            <w:r/>
            <w:bookmarkEnd w:id="24"/>
            <w:r/>
            <w:bookmarkStart w:id="25" w:name="_Hlt26955064"/>
            <w:r/>
            <w:bookmarkEnd w:id="25"/>
            <w:r/>
            <w:bookmarkStart w:id="26" w:name="_Hlt26609391"/>
            <w:r/>
            <w:bookmarkEnd w:id="26"/>
            <w:r/>
            <w:bookmarkStart w:id="27" w:name="_Hlt26955056"/>
            <w:r/>
            <w:bookmarkEnd w:id="27"/>
            <w:r/>
            <w:bookmarkStart w:id="28" w:name="_Hlt26580838"/>
            <w:r/>
            <w:bookmarkEnd w:id="28"/>
            <w:r/>
            <w:bookmarkStart w:id="29" w:name="_Hlt26671372"/>
            <w:r/>
            <w:bookmarkEnd w:id="29"/>
            <w:r>
              <w:rPr>
                <w:rFonts w:hint="eastAsia" w:ascii="宋体" w:hAnsi="宋体"/>
                <w:sz w:val="24"/>
                <w:szCs w:val="24"/>
              </w:rPr>
              <w:t xml:space="preserve">序号</w:t>
            </w:r>
            <w:r/>
          </w:p>
        </w:tc>
        <w:tc>
          <w:tcPr>
            <w:tcW w:w="268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682" w:type="dxa"/>
            <w:textDirection w:val="lrTb"/>
            <w:noWrap w:val="false"/>
          </w:tcPr>
          <w:p>
            <w:pPr>
              <w:jc w:val="center"/>
              <w:rPr>
                <w:rFonts w:ascii="宋体" w:hAnsi="宋体"/>
                <w:sz w:val="24"/>
                <w:szCs w:val="24"/>
              </w:rPr>
            </w:pPr>
            <w:r>
              <w:rPr>
                <w:rFonts w:ascii="宋体" w:hAnsi="宋体"/>
                <w:sz w:val="24"/>
                <w:szCs w:val="24"/>
              </w:rPr>
            </w:r>
            <w:r/>
          </w:p>
        </w:tc>
        <w:tc>
          <w:tcPr>
            <w:tcW w:w="2688" w:type="dxa"/>
            <w:textDirection w:val="lrTb"/>
            <w:noWrap w:val="false"/>
          </w:tcPr>
          <w:p>
            <w:pPr>
              <w:jc w:val="center"/>
              <w:rPr>
                <w:rFonts w:ascii="宋体" w:hAnsi="宋体"/>
                <w:sz w:val="24"/>
                <w:szCs w:val="24"/>
              </w:rPr>
            </w:pPr>
            <w:r>
              <w:rPr>
                <w:rFonts w:ascii="宋体" w:hAnsi="宋体"/>
                <w:sz w:val="24"/>
                <w:szCs w:val="24"/>
              </w:rPr>
            </w:r>
            <w:r/>
          </w:p>
        </w:tc>
        <w:tc>
          <w:tcPr>
            <w:tcW w:w="2883" w:type="dxa"/>
            <w:textDirection w:val="lrTb"/>
            <w:noWrap w:val="false"/>
          </w:tcPr>
          <w:p>
            <w:pPr>
              <w:jc w:val="center"/>
              <w:rPr>
                <w:rFonts w:ascii="宋体" w:hAnsi="宋体"/>
                <w:sz w:val="24"/>
                <w:szCs w:val="24"/>
              </w:rPr>
            </w:pPr>
            <w:r>
              <w:rPr>
                <w:rFonts w:ascii="宋体" w:hAnsi="宋体"/>
                <w:sz w:val="24"/>
                <w:szCs w:val="24"/>
              </w:rPr>
            </w:r>
            <w:r/>
          </w:p>
        </w:tc>
        <w:tc>
          <w:tcPr>
            <w:tcW w:w="1302" w:type="dxa"/>
            <w:textDirection w:val="lrTb"/>
            <w:noWrap w:val="false"/>
          </w:tcPr>
          <w:p>
            <w:pPr>
              <w:jc w:val="center"/>
              <w:rPr>
                <w:rFonts w:ascii="宋体" w:hAnsi="宋体"/>
                <w:sz w:val="24"/>
                <w:szCs w:val="24"/>
              </w:rPr>
            </w:pPr>
            <w:r>
              <w:rPr>
                <w:rFonts w:ascii="宋体" w:hAnsi="宋体"/>
                <w:sz w:val="24"/>
                <w:szCs w:val="24"/>
              </w:rPr>
            </w:r>
            <w:r/>
          </w:p>
        </w:tc>
        <w:tc>
          <w:tcPr>
            <w:tcW w:w="1614"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spacing w:line="480" w:lineRule="auto"/>
        <w:rPr>
          <w:rFonts w:ascii="宋体" w:hAnsi="宋体"/>
          <w:sz w:val="24"/>
        </w:rPr>
      </w:pPr>
      <w:r>
        <w:rPr>
          <w:rFonts w:ascii="宋体" w:hAnsi="宋体"/>
          <w:sz w:val="24"/>
        </w:rPr>
      </w:r>
      <w:r/>
    </w:p>
    <w:p>
      <w:pPr>
        <w:spacing w:line="480" w:lineRule="auto"/>
        <w:rPr>
          <w:rFonts w:ascii="仿宋_GB2312" w:hAnsi="Arial"/>
          <w:sz w:val="30"/>
        </w:rPr>
      </w:pPr>
      <w:r>
        <w:rPr>
          <w:rFonts w:ascii="仿宋_GB2312" w:hAnsi="Arial"/>
          <w:sz w:val="30"/>
        </w:rPr>
      </w:r>
      <w:r/>
    </w:p>
    <w:p>
      <w:pPr>
        <w:pStyle w:val="1039"/>
        <w:ind w:firstLine="0"/>
        <w:rPr>
          <w:rFonts w:ascii="宋体" w:hAnsi="宋体"/>
          <w:sz w:val="24"/>
        </w:rPr>
      </w:pPr>
      <w:r/>
      <w:bookmarkStart w:id="30" w:name="_Hlt26609389"/>
      <w:r/>
      <w:bookmarkEnd w:id="30"/>
      <w:r/>
      <w:bookmarkStart w:id="31" w:name="_Hlt26671374"/>
      <w:r/>
      <w:bookmarkEnd w:id="31"/>
      <w:r/>
      <w:bookmarkStart w:id="32" w:name="_Toc462564146"/>
      <w:r/>
      <w:bookmarkEnd w:id="32"/>
      <w:r/>
      <w:bookmarkStart w:id="33" w:name="_Hlt26955066"/>
      <w:r/>
      <w:bookmarkEnd w:id="33"/>
      <w:r/>
      <w:r/>
    </w:p>
    <w:p>
      <w:pPr>
        <w:jc w:val="center"/>
        <w:rPr>
          <w:rFonts w:ascii="黑体" w:hAnsi="黑体" w:eastAsia="黑体"/>
          <w:b/>
          <w:sz w:val="32"/>
          <w:szCs w:val="32"/>
        </w:rPr>
      </w:pPr>
      <w:r/>
      <w:bookmarkStart w:id="34" w:name="_格式2__法定代表人授权书"/>
      <w:r/>
      <w:bookmarkEnd w:id="34"/>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bCs/>
          <w:sz w:val="32"/>
          <w:szCs w:val="32"/>
        </w:rPr>
      </w:pPr>
      <w:r>
        <w:rPr>
          <w:rFonts w:ascii="黑体" w:hAnsi="黑体" w:eastAsia="黑体"/>
          <w:b/>
          <w:sz w:val="32"/>
          <w:szCs w:val="32"/>
        </w:rPr>
      </w:r>
      <w:r>
        <w:rPr>
          <w:rFonts w:ascii="黑体" w:hAnsi="黑体" w:eastAsia="黑体"/>
          <w:b/>
          <w:sz w:val="32"/>
          <w:szCs w:val="32"/>
        </w:rPr>
      </w:r>
    </w:p>
    <w:p>
      <w:pP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rPr>
          <w:rFonts w:ascii="黑体" w:hAnsi="黑体" w:eastAsia="黑体"/>
          <w:b/>
          <w:bCs/>
          <w:sz w:val="32"/>
          <w:szCs w:val="32"/>
        </w:rPr>
      </w:pPr>
      <w:r>
        <w:rPr>
          <w:rFonts w:ascii="黑体" w:hAnsi="黑体" w:eastAsia="黑体"/>
          <w:b/>
          <w:bCs/>
          <w:sz w:val="32"/>
          <w:szCs w:val="32"/>
        </w:rPr>
      </w:r>
      <w:r>
        <w:rPr>
          <w:rFonts w:ascii="黑体" w:hAnsi="黑体" w:eastAsia="黑体"/>
          <w:b/>
          <w:bCs/>
          <w:sz w:val="32"/>
          <w:szCs w:val="32"/>
        </w:rPr>
      </w:r>
    </w:p>
    <w:p>
      <w:pPr>
        <w:rPr>
          <w:rFonts w:ascii="黑体" w:hAnsi="黑体" w:eastAsia="黑体"/>
          <w:b/>
          <w:bCs/>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i/>
          <w:sz w:val="32"/>
          <w:szCs w:val="32"/>
          <w:u w:val="single"/>
        </w:rPr>
      </w:pPr>
      <w:r>
        <w:rPr>
          <w:rFonts w:hint="eastAsia" w:ascii="黑体" w:hAnsi="黑体" w:eastAsia="黑体"/>
          <w:b/>
          <w:i/>
          <w:sz w:val="32"/>
          <w:szCs w:val="32"/>
          <w:u w:val="single"/>
        </w:rPr>
        <w:t xml:space="preserve">十五、开标一览表</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项目编号：                                   分包号：</w:t>
      </w:r>
      <w:r/>
    </w:p>
    <w:tbl>
      <w:tblPr>
        <w:tblStyle w:val="87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trHeight w:val="612"/>
        </w:trPr>
        <w:tc>
          <w:tcPr>
            <w:tcW w:w="8206" w:type="dxa"/>
            <w:vAlign w:val="center"/>
            <w:vMerge w:val="restart"/>
            <w:textDirection w:val="lrTb"/>
            <w:noWrap w:val="false"/>
          </w:tcPr>
          <w:p>
            <w:pPr>
              <w:pStyle w:val="1162"/>
              <w:ind w:firstLine="0"/>
              <w:spacing w:before="0" w:after="0" w:line="500" w:lineRule="exact"/>
              <w:rPr>
                <w:rFonts w:ascii="宋体" w:hAnsi="宋体" w:cs="宋体"/>
              </w:rPr>
            </w:pPr>
            <w:r>
              <w:rPr>
                <w:rFonts w:hint="eastAsia" w:ascii="宋体" w:hAnsi="宋体" w:cs="宋体"/>
              </w:rPr>
              <w:t xml:space="preserve">大写：                              （人民币：元）</w:t>
            </w:r>
            <w:r/>
          </w:p>
        </w:tc>
      </w:tr>
      <w:tr>
        <w:trPr>
          <w:cantSplit/>
          <w:trHeight w:val="612"/>
        </w:trPr>
        <w:tc>
          <w:tcPr>
            <w:tcW w:w="8206" w:type="dxa"/>
            <w:vAlign w:val="center"/>
            <w:textDirection w:val="lrTb"/>
            <w:noWrap w:val="false"/>
          </w:tcPr>
          <w:p>
            <w:pPr>
              <w:pStyle w:val="1162"/>
              <w:ind w:firstLine="0"/>
              <w:spacing w:before="0" w:after="0" w:line="500" w:lineRule="exact"/>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p>
    <w:p>
      <w:pPr>
        <w:rPr>
          <w:rFonts w:ascii="黑体" w:hAnsi="黑体" w:eastAsia="黑体"/>
          <w:b/>
          <w:iCs/>
          <w:sz w:val="32"/>
          <w:szCs w:val="32"/>
        </w:rPr>
      </w:pPr>
      <w:r>
        <w:rPr>
          <w:rFonts w:hint="eastAsia" w:ascii="黑体" w:hAnsi="黑体" w:eastAsia="黑体"/>
          <w:b/>
          <w:iCs/>
          <w:sz w:val="32"/>
          <w:szCs w:val="32"/>
        </w:rPr>
        <w:t xml:space="preserve">十六、主要标的信息</w:t>
      </w:r>
      <w:r/>
    </w:p>
    <w:p>
      <w:pPr>
        <w:jc w:val="center"/>
        <w:spacing w:before="312" w:line="360" w:lineRule="auto"/>
        <w:rPr>
          <w:rFonts w:ascii="宋体" w:hAnsi="宋体"/>
          <w:b/>
        </w:rPr>
      </w:pPr>
      <w:r>
        <w:rPr>
          <w:rFonts w:hint="eastAsia" w:ascii="宋体" w:hAnsi="宋体"/>
          <w:b/>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77"/>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0"/>
      </w:tblGrid>
      <w:tr>
        <w:trPr>
          <w:trHeight w:val="290"/>
        </w:trPr>
        <w:tc>
          <w:tcPr>
            <w:tcW w:w="7530" w:type="dxa"/>
            <w:textDirection w:val="lrTb"/>
            <w:noWrap w:val="false"/>
          </w:tcPr>
          <w:p>
            <w:pPr>
              <w:jc w:val="center"/>
              <w:rPr>
                <w:rFonts w:ascii="宋体" w:hAnsi="宋体" w:cs="宋体"/>
              </w:rPr>
            </w:pPr>
            <w:r>
              <w:rPr>
                <w:rFonts w:hint="eastAsia" w:ascii="宋体" w:hAnsi="宋体" w:cs="宋体"/>
              </w:rPr>
              <w:t xml:space="preserve">货物类</w:t>
            </w:r>
            <w:r/>
          </w:p>
        </w:tc>
      </w:tr>
      <w:tr>
        <w:trPr>
          <w:trHeight w:val="3685"/>
        </w:trPr>
        <w:tc>
          <w:tcPr>
            <w:tcW w:w="753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rPr>
          <w:rFonts w:ascii="宋体" w:hAnsi="宋体" w:cs="仿宋"/>
          <w:b/>
          <w:bCs/>
          <w:sz w:val="32"/>
          <w:szCs w:val="32"/>
        </w:rP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rPr>
          <w:rFonts w:ascii="宋体" w:hAnsi="宋体" w:cs="仿宋"/>
          <w:bCs/>
          <w:sz w:val="24"/>
          <w:szCs w:val="24"/>
        </w:rPr>
      </w:pPr>
      <w:r>
        <w:rPr>
          <w:rFonts w:hint="eastAsia" w:ascii="宋体" w:hAnsi="宋体" w:cs="仿宋"/>
          <w:bCs/>
          <w:sz w:val="24"/>
          <w:szCs w:val="24"/>
        </w:rPr>
        <w:t xml:space="preserve">一、质疑供应商基本信息</w:t>
      </w:r>
      <w:r/>
    </w:p>
    <w:p>
      <w:pPr>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二、质疑项目基本情况</w:t>
      </w:r>
      <w:r/>
    </w:p>
    <w:p>
      <w:pPr>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三、质疑事项具体内容</w:t>
      </w:r>
      <w:r/>
    </w:p>
    <w:p>
      <w:pPr>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质疑事项2</w:t>
      </w:r>
      <w:r/>
    </w:p>
    <w:p>
      <w:pPr>
        <w:rPr>
          <w:rFonts w:ascii="宋体" w:hAnsi="宋体" w:cs="仿宋"/>
          <w:sz w:val="24"/>
          <w:szCs w:val="24"/>
        </w:rPr>
      </w:pPr>
      <w:r>
        <w:rPr>
          <w:rFonts w:hint="eastAsia" w:ascii="宋体" w:hAnsi="宋体" w:cs="仿宋"/>
          <w:sz w:val="24"/>
          <w:szCs w:val="24"/>
        </w:rPr>
        <w:t xml:space="preserve">……</w:t>
      </w:r>
      <w:r/>
    </w:p>
    <w:p>
      <w:pPr>
        <w:rPr>
          <w:rFonts w:ascii="宋体" w:hAnsi="宋体" w:cs="仿宋"/>
          <w:bCs/>
          <w:sz w:val="24"/>
          <w:szCs w:val="24"/>
        </w:rPr>
      </w:pPr>
      <w:r>
        <w:rPr>
          <w:rFonts w:hint="eastAsia" w:ascii="宋体" w:hAnsi="宋体" w:cs="仿宋"/>
          <w:bCs/>
          <w:sz w:val="24"/>
          <w:szCs w:val="24"/>
        </w:rPr>
        <w:t xml:space="preserve">四、与质疑事项相关的质疑请求</w:t>
      </w:r>
      <w:r/>
    </w:p>
    <w:p>
      <w:pPr>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b/>
          <w:sz w:val="24"/>
          <w:szCs w:val="24"/>
        </w:rPr>
      </w:pPr>
      <w:r>
        <w:rPr>
          <w:rFonts w:hint="eastAsia" w:ascii="宋体" w:hAnsi="宋体"/>
          <w:b/>
          <w:sz w:val="24"/>
          <w:szCs w:val="24"/>
        </w:rPr>
        <w:t xml:space="preserve">质疑函制作说明：</w:t>
      </w:r>
      <w:r/>
    </w:p>
    <w:p>
      <w:pPr>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39"/>
        <w:rPr>
          <w:sz w:val="24"/>
          <w:szCs w:val="24"/>
        </w:rPr>
      </w:pPr>
      <w:r>
        <w:rPr>
          <w:sz w:val="24"/>
          <w:szCs w:val="24"/>
        </w:rPr>
      </w:r>
      <w:r/>
    </w:p>
    <w:p>
      <w:pPr>
        <w:pStyle w:val="1039"/>
        <w:rPr>
          <w:sz w:val="24"/>
          <w:szCs w:val="24"/>
        </w:rPr>
      </w:pPr>
      <w:r>
        <w:rPr>
          <w:sz w:val="24"/>
          <w:szCs w:val="24"/>
        </w:rPr>
      </w:r>
      <w:r/>
    </w:p>
    <w:p>
      <w:pPr>
        <w:pStyle w:val="878"/>
      </w:pPr>
      <w:r/>
      <w:r/>
    </w:p>
    <w:p>
      <w:pPr>
        <w:pStyle w:val="878"/>
      </w:p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华文细黑">
    <w:panose1 w:val="02010600040101010101"/>
  </w:font>
  <w:font w:name="Tahoma">
    <w:panose1 w:val="020B0604030504040204"/>
  </w:font>
  <w:font w:name="方正大标宋简体">
    <w:panose1 w:val="020B0503020202020204"/>
  </w:font>
  <w:font w:name="微软雅黑">
    <w:panose1 w:val="020B0503020204020204"/>
  </w:font>
  <w:font w:name="Calibri">
    <w:panose1 w:val="020F050202020403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宋体_GB2312">
    <w:panose1 w:val="02010600030101010101"/>
  </w:font>
  <w:font w:name="华文中宋">
    <w:panose1 w:val="02010600040101010101"/>
  </w:font>
  <w:font w:name="仿宋_GB2312">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14</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fldChar w:fldCharType="begin"/>
    </w:r>
    <w:r>
      <w:instrText xml:space="preserve">PAGE   \* MERGEFORMAT</w:instrText>
    </w:r>
    <w:r>
      <w:fldChar w:fldCharType="separate"/>
    </w:r>
    <w:r>
      <w:rPr>
        <w:lang w:val="zh-CN"/>
      </w:rPr>
      <w:t xml:space="preserve">29</w:t>
    </w:r>
    <w:r>
      <w:fldChar w:fldCharType="end"/>
    </w:r>
    <w:r/>
  </w:p>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24"/>
        <w:szCs w:val="24"/>
      </w:rPr>
    </w:pPr>
    <w:r>
      <w:rPr>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6"/>
      <w:isLgl w:val="false"/>
      <w:suff w:val="tab"/>
      <w:lvlText w:val="%1."/>
      <w:lvlJc w:val="left"/>
      <w:pPr>
        <w:ind w:left="425" w:hanging="425"/>
        <w:tabs>
          <w:tab w:val="left" w:pos="425" w:leader="none"/>
        </w:tabs>
      </w:pPr>
      <w:rPr>
        <w:rFonts w:hint="default" w:ascii="Arial" w:hAnsi="Arial" w:eastAsia="华文中宋"/>
      </w:rPr>
    </w:lvl>
    <w:lvl w:ilvl="1">
      <w:start w:val="1"/>
      <w:numFmt w:val="decimal"/>
      <w:pStyle w:val="964"/>
      <w:isLgl w:val="false"/>
      <w:suff w:val="tab"/>
      <w:lvlText w:val="%1.%2."/>
      <w:lvlJc w:val="left"/>
      <w:pPr>
        <w:ind w:left="0" w:firstLine="0"/>
        <w:tabs>
          <w:tab w:val="left" w:pos="360"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88"/>
      <w:isLgl w:val="false"/>
      <w:suff w:val="nothing"/>
      <w:lvlText w:val="%1　"/>
      <w:lvlJc w:val="left"/>
      <w:pPr>
        <w:ind w:left="0" w:firstLine="0"/>
      </w:pPr>
      <w:rPr>
        <w:rFonts w:hint="eastAsia" w:ascii="黑体" w:hAnsi="Times New Roman" w:eastAsia="黑体"/>
        <w:b w:val="0"/>
        <w:i w:val="0"/>
        <w:sz w:val="21"/>
        <w:szCs w:val="21"/>
      </w:rPr>
    </w:lvl>
    <w:lvl w:ilvl="1">
      <w:start w:val="1"/>
      <w:numFmt w:val="decimal"/>
      <w:isLgl w:val="false"/>
      <w:suff w:val="nothing"/>
      <w:lvlText w:val="%1.%2　"/>
      <w:lvlJc w:val="left"/>
      <w:pPr>
        <w:ind w:left="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142"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3">
    <w:multiLevelType w:val="hybridMultilevel"/>
    <w:lvl w:ilvl="0">
      <w:start w:val="1"/>
      <w:numFmt w:val="decimal"/>
      <w:isLgl w:val="false"/>
      <w:suff w:val="tab"/>
      <w:lvlText w:val="%1."/>
      <w:lvlJc w:val="left"/>
      <w:pPr>
        <w:ind w:left="420" w:hanging="420"/>
      </w:pPr>
      <w:rPr>
        <w:b w:val="0"/>
      </w:rPr>
    </w:lvl>
    <w:lvl w:ilvl="1">
      <w:start w:val="2"/>
      <w:numFmt w:val="decimal"/>
      <w:pStyle w:val="1185"/>
      <w:isLgl/>
      <w:suff w:val="tab"/>
      <w:lvlText w:val="%1.%2"/>
      <w:lvlJc w:val="left"/>
      <w:pPr>
        <w:ind w:left="840" w:hanging="840"/>
      </w:pPr>
      <w:rPr>
        <w:rFonts w:hint="default"/>
      </w:rPr>
    </w:lvl>
    <w:lvl w:ilvl="2">
      <w:start w:val="6"/>
      <w:numFmt w:val="decimal"/>
      <w:pStyle w:val="1065"/>
      <w:isLgl/>
      <w:suff w:val="tab"/>
      <w:lvlText w:val="%1.%2.%3"/>
      <w:lvlJc w:val="left"/>
      <w:pPr>
        <w:ind w:left="840" w:hanging="840"/>
      </w:pPr>
      <w:rPr>
        <w:rFonts w:hint="default"/>
      </w:rPr>
    </w:lvl>
    <w:lvl w:ilvl="3">
      <w:start w:val="1"/>
      <w:numFmt w:val="decimal"/>
      <w:isLgl/>
      <w:suff w:val="tab"/>
      <w:lvlText w:val="%1.%2.%3.%4"/>
      <w:lvlJc w:val="left"/>
      <w:pPr>
        <w:ind w:left="840" w:hanging="840"/>
      </w:pPr>
      <w:rPr>
        <w:rFonts w:hint="default"/>
      </w:rPr>
    </w:lvl>
    <w:lvl w:ilvl="4">
      <w:start w:val="1"/>
      <w:numFmt w:val="decimal"/>
      <w:pStyle w:val="1145"/>
      <w:isLgl/>
      <w:suff w:val="tab"/>
      <w:lvlText w:val="%1.%2.%3.%4.%5"/>
      <w:lvlJc w:val="left"/>
      <w:pPr>
        <w:ind w:left="1080" w:hanging="1080"/>
      </w:pPr>
      <w:rPr>
        <w:rFonts w:hint="default"/>
      </w:rPr>
    </w:lvl>
    <w:lvl w:ilvl="5">
      <w:start w:val="1"/>
      <w:numFmt w:val="decimal"/>
      <w:pStyle w:val="1105"/>
      <w:isLgl/>
      <w:suff w:val="tab"/>
      <w:lvlText w:val="%1.%2.%3.%4.%5.%6"/>
      <w:lvlJc w:val="left"/>
      <w:pPr>
        <w:ind w:left="1080" w:hanging="1080"/>
      </w:pPr>
      <w:rPr>
        <w:rFonts w:hint="default"/>
      </w:rPr>
    </w:lvl>
    <w:lvl w:ilvl="6">
      <w:start w:val="1"/>
      <w:numFmt w:val="decimal"/>
      <w:isLgl/>
      <w:suff w:val="tab"/>
      <w:lvlText w:val="%1.%2.%3.%4.%5.%6.%7"/>
      <w:lvlJc w:val="left"/>
      <w:pPr>
        <w:ind w:left="1080" w:hanging="1080"/>
      </w:pPr>
      <w:rPr>
        <w:rFonts w:hint="default"/>
      </w:rPr>
    </w:lvl>
    <w:lvl w:ilvl="7">
      <w:start w:val="1"/>
      <w:numFmt w:val="decimal"/>
      <w:pStyle w:val="1081"/>
      <w:isLgl/>
      <w:suff w:val="tab"/>
      <w:lvlText w:val="%1.%2.%3.%4.%5.%6.%7.%8"/>
      <w:lvlJc w:val="left"/>
      <w:pPr>
        <w:ind w:left="1440" w:hanging="1440"/>
      </w:pPr>
      <w:rPr>
        <w:rFonts w:hint="default"/>
      </w:rPr>
    </w:lvl>
    <w:lvl w:ilvl="8">
      <w:start w:val="1"/>
      <w:numFmt w:val="decimal"/>
      <w:pStyle w:val="1121"/>
      <w:isLgl/>
      <w:suff w:val="tab"/>
      <w:lvlText w:val="%1.%2.%3.%4.%5.%6.%7.%8.%9"/>
      <w:lvlJc w:val="left"/>
      <w:pPr>
        <w:ind w:left="1440" w:hanging="1440"/>
      </w:pPr>
      <w:rPr>
        <w:rFonts w:hint="default"/>
      </w:rPr>
    </w:lvl>
  </w:abstractNum>
  <w:abstractNum w:abstractNumId="4">
    <w:multiLevelType w:val="hybridMultilevel"/>
    <w:lvl w:ilvl="0">
      <w:start w:val="1"/>
      <w:numFmt w:val="decimal"/>
      <w:pStyle w:val="1094"/>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899"/>
      <w:isLgl w:val="false"/>
      <w:suff w:val="tab"/>
      <w:lvlText w:val="%1."/>
      <w:lvlJc w:val="left"/>
      <w:pPr>
        <w:ind w:left="525" w:hanging="525"/>
      </w:pPr>
      <w:rPr>
        <w:rFonts w:hint="default"/>
      </w:rPr>
    </w:lvl>
    <w:lvl w:ilvl="1">
      <w:start w:val="1"/>
      <w:numFmt w:val="decimal"/>
      <w:isLgl w:val="false"/>
      <w:suff w:val="tab"/>
      <w:lvlText w:val="%1.%2、"/>
      <w:lvlJc w:val="left"/>
      <w:pPr>
        <w:ind w:left="1430" w:hanging="720"/>
      </w:pPr>
      <w:rPr>
        <w:rFonts w:hint="default"/>
      </w:rPr>
    </w:lvl>
    <w:lvl w:ilvl="2">
      <w:start w:val="1"/>
      <w:numFmt w:val="decimal"/>
      <w:isLgl w:val="false"/>
      <w:suff w:val="tab"/>
      <w:lvlText w:val="%1.%2、%3."/>
      <w:lvlJc w:val="left"/>
      <w:pPr>
        <w:ind w:left="2160" w:hanging="720"/>
      </w:pPr>
      <w:rPr>
        <w:rFonts w:hint="default"/>
      </w:rPr>
    </w:lvl>
    <w:lvl w:ilvl="3">
      <w:start w:val="1"/>
      <w:numFmt w:val="decimal"/>
      <w:isLgl w:val="false"/>
      <w:suff w:val="tab"/>
      <w:lvlText w:val="%1.%2、%3.%4."/>
      <w:lvlJc w:val="left"/>
      <w:pPr>
        <w:ind w:left="3240" w:hanging="1080"/>
      </w:pPr>
      <w:rPr>
        <w:rFonts w:hint="default"/>
      </w:rPr>
    </w:lvl>
    <w:lvl w:ilvl="4">
      <w:start w:val="1"/>
      <w:numFmt w:val="decimal"/>
      <w:isLgl w:val="false"/>
      <w:suff w:val="tab"/>
      <w:lvlText w:val="%1.%2、%3.%4.%5."/>
      <w:lvlJc w:val="left"/>
      <w:pPr>
        <w:ind w:left="3960" w:hanging="1080"/>
      </w:pPr>
      <w:rPr>
        <w:rFonts w:hint="default"/>
      </w:rPr>
    </w:lvl>
    <w:lvl w:ilvl="5">
      <w:start w:val="1"/>
      <w:numFmt w:val="decimal"/>
      <w:isLgl w:val="false"/>
      <w:suff w:val="tab"/>
      <w:lvlText w:val="%1.%2、%3.%4.%5.%6."/>
      <w:lvlJc w:val="left"/>
      <w:pPr>
        <w:ind w:left="5040" w:hanging="1440"/>
      </w:pPr>
      <w:rPr>
        <w:rFonts w:hint="default"/>
      </w:rPr>
    </w:lvl>
    <w:lvl w:ilvl="6">
      <w:start w:val="1"/>
      <w:numFmt w:val="decimal"/>
      <w:isLgl w:val="false"/>
      <w:suff w:val="tab"/>
      <w:lvlText w:val="%1.%2、%3.%4.%5.%6.%7."/>
      <w:lvlJc w:val="left"/>
      <w:pPr>
        <w:ind w:left="5760" w:hanging="1440"/>
      </w:pPr>
      <w:rPr>
        <w:rFonts w:hint="default"/>
      </w:rPr>
    </w:lvl>
    <w:lvl w:ilvl="7">
      <w:start w:val="1"/>
      <w:numFmt w:val="decimal"/>
      <w:isLgl w:val="false"/>
      <w:suff w:val="tab"/>
      <w:lvlText w:val="%1.%2、%3.%4.%5.%6.%7.%8."/>
      <w:lvlJc w:val="left"/>
      <w:pPr>
        <w:ind w:left="6840" w:hanging="1800"/>
      </w:pPr>
      <w:rPr>
        <w:rFonts w:hint="default"/>
      </w:rPr>
    </w:lvl>
    <w:lvl w:ilvl="8">
      <w:start w:val="1"/>
      <w:numFmt w:val="decimal"/>
      <w:isLgl w:val="false"/>
      <w:suff w:val="tab"/>
      <w:lvlText w:val="%1.%2、%3.%4.%5.%6.%7.%8.%9."/>
      <w:lvlJc w:val="left"/>
      <w:pPr>
        <w:ind w:left="7560" w:hanging="1800"/>
      </w:pPr>
      <w:rPr>
        <w:rFonts w:hint="default"/>
      </w:rPr>
    </w:lvl>
  </w:abstractNum>
  <w:abstractNum w:abstractNumId="6">
    <w:multiLevelType w:val="hybridMultilevel"/>
    <w:lvl w:ilvl="0">
      <w:start w:val="1"/>
      <w:numFmt w:val="decimal"/>
      <w:isLgl w:val="false"/>
      <w:suff w:val="tab"/>
      <w:lvlText w:val="第%1章"/>
      <w:lvlJc w:val="center"/>
      <w:pPr>
        <w:ind w:left="0" w:firstLine="288"/>
        <w:tabs>
          <w:tab w:val="left" w:pos="0" w:leader="none"/>
        </w:tabs>
      </w:pPr>
      <w:rPr>
        <w:rFonts w:hint="default" w:ascii="Arial" w:hAnsi="Arial" w:eastAsia="仿宋_GB2312"/>
        <w:b w:val="0"/>
        <w:i w:val="0"/>
        <w:sz w:val="30"/>
        <w:szCs w:val="30"/>
      </w:rPr>
    </w:lvl>
    <w:lvl w:ilvl="1">
      <w:start w:val="1"/>
      <w:numFmt w:val="decimal"/>
      <w:pStyle w:val="1050"/>
      <w:isLgl/>
      <w:suff w:val="tab"/>
      <w:lvlText w:val="%1.%2."/>
      <w:lvlJc w:val="left"/>
      <w:pPr>
        <w:ind w:left="0" w:firstLine="0"/>
        <w:tabs>
          <w:tab w:val="left" w:pos="0" w:leader="none"/>
        </w:tabs>
      </w:pPr>
      <w:rPr>
        <w:rFonts w:hint="default"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hint="default"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hint="default"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hint="default"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hint="default"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hint="default"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hint="default" w:ascii="Arial" w:hAnsi="Arial" w:eastAsia="黑体"/>
        <w:b w:val="0"/>
        <w:i w:val="0"/>
        <w:sz w:val="24"/>
        <w:szCs w:val="24"/>
      </w:rPr>
    </w:lvl>
    <w:lvl w:ilvl="8">
      <w:start w:val="1"/>
      <w:numFmt w:val="decimal"/>
      <w:isLgl w:val="false"/>
      <w:suff w:val="tab"/>
      <w:lvlText w:val="%1.%2.%3.%4.%5.%6.%7.%8.%9."/>
      <w:lvlJc w:val="left"/>
      <w:pPr>
        <w:ind w:left="0" w:firstLine="0"/>
        <w:tabs>
          <w:tab w:val="left" w:pos="0" w:leader="none"/>
        </w:tabs>
      </w:pPr>
      <w:rPr>
        <w:rFonts w:hint="default" w:ascii="Arial" w:hAnsi="Arial" w:eastAsia="黑体"/>
        <w:b w:val="0"/>
        <w:i w:val="0"/>
        <w:sz w:val="24"/>
        <w:szCs w:val="24"/>
      </w:rPr>
    </w:lvl>
  </w:abstractNum>
  <w:abstractNum w:abstractNumId="7">
    <w:multiLevelType w:val="hybridMultilevel"/>
    <w:lvl w:ilvl="0">
      <w:start w:val="1"/>
      <w:numFmt w:val="bullet"/>
      <w:pStyle w:val="943"/>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chineseCountingThousand"/>
      <w:pStyle w:val="1020"/>
      <w:isLgl w:val="false"/>
      <w:suff w:val="tab"/>
      <w:lvlText w:val="%1、"/>
      <w:lvlJc w:val="left"/>
      <w:pPr>
        <w:ind w:left="4205" w:hanging="425"/>
        <w:tabs>
          <w:tab w:val="left" w:pos="4205" w:leader="none"/>
        </w:tabs>
      </w:pPr>
      <w:rPr>
        <w:rFonts w:hint="eastAsia"/>
      </w:rPr>
    </w:lvl>
    <w:lvl w:ilvl="1">
      <w:start w:val="1"/>
      <w:numFmt w:val="decimal"/>
      <w:isLgl w:val="false"/>
      <w:suff w:val="tab"/>
      <w:lvlText w:val="%1.%2."/>
      <w:lvlJc w:val="left"/>
      <w:pPr>
        <w:ind w:left="3807" w:hanging="567"/>
        <w:tabs>
          <w:tab w:val="left" w:pos="3807" w:leader="none"/>
        </w:tabs>
      </w:pPr>
      <w:rPr>
        <w:rFonts w:hint="eastAsia"/>
      </w:rPr>
    </w:lvl>
    <w:lvl w:ilvl="2">
      <w:start w:val="1"/>
      <w:numFmt w:val="decimal"/>
      <w:isLgl w:val="false"/>
      <w:suff w:val="tab"/>
      <w:lvlText w:val="%1.%2.%3."/>
      <w:lvlJc w:val="left"/>
      <w:pPr>
        <w:ind w:left="3949" w:hanging="709"/>
        <w:tabs>
          <w:tab w:val="left" w:pos="3949" w:leader="none"/>
        </w:tabs>
      </w:pPr>
      <w:rPr>
        <w:rFonts w:hint="eastAsia"/>
      </w:rPr>
    </w:lvl>
    <w:lvl w:ilvl="3">
      <w:start w:val="1"/>
      <w:numFmt w:val="decimal"/>
      <w:isLgl w:val="false"/>
      <w:suff w:val="tab"/>
      <w:lvlText w:val="%1.%2.%3.%4."/>
      <w:lvlJc w:val="left"/>
      <w:pPr>
        <w:ind w:left="4091" w:hanging="851"/>
        <w:tabs>
          <w:tab w:val="left" w:pos="4091" w:leader="none"/>
        </w:tabs>
      </w:pPr>
      <w:rPr>
        <w:rFonts w:hint="eastAsia"/>
      </w:rPr>
    </w:lvl>
    <w:lvl w:ilvl="4">
      <w:start w:val="1"/>
      <w:numFmt w:val="decimal"/>
      <w:isLgl w:val="false"/>
      <w:suff w:val="tab"/>
      <w:lvlText w:val="%1.%2.%3.%4.%5."/>
      <w:lvlJc w:val="left"/>
      <w:pPr>
        <w:ind w:left="4232" w:hanging="992"/>
        <w:tabs>
          <w:tab w:val="left" w:pos="4232" w:leader="none"/>
        </w:tabs>
      </w:pPr>
      <w:rPr>
        <w:rFonts w:hint="eastAsia"/>
      </w:rPr>
    </w:lvl>
    <w:lvl w:ilvl="5">
      <w:start w:val="1"/>
      <w:numFmt w:val="decimal"/>
      <w:isLgl w:val="false"/>
      <w:suff w:val="tab"/>
      <w:lvlText w:val="%1.%2.%3.%4.%5.%6."/>
      <w:lvlJc w:val="left"/>
      <w:pPr>
        <w:ind w:left="4374" w:hanging="1134"/>
        <w:tabs>
          <w:tab w:val="left" w:pos="4374" w:leader="none"/>
        </w:tabs>
      </w:pPr>
      <w:rPr>
        <w:rFonts w:hint="eastAsia"/>
      </w:rPr>
    </w:lvl>
    <w:lvl w:ilvl="6">
      <w:start w:val="1"/>
      <w:numFmt w:val="decimal"/>
      <w:isLgl w:val="false"/>
      <w:suff w:val="tab"/>
      <w:lvlText w:val="%1.%2.%3.%4.%5.%6.%7."/>
      <w:lvlJc w:val="left"/>
      <w:pPr>
        <w:ind w:left="4516" w:hanging="1276"/>
        <w:tabs>
          <w:tab w:val="left" w:pos="4516" w:leader="none"/>
        </w:tabs>
      </w:pPr>
      <w:rPr>
        <w:rFonts w:hint="eastAsia"/>
      </w:rPr>
    </w:lvl>
    <w:lvl w:ilvl="7">
      <w:start w:val="1"/>
      <w:numFmt w:val="decimal"/>
      <w:isLgl w:val="false"/>
      <w:suff w:val="tab"/>
      <w:lvlText w:val="%1.%2.%3.%4.%5.%6.%7.%8."/>
      <w:lvlJc w:val="left"/>
      <w:pPr>
        <w:ind w:left="4658" w:hanging="1418"/>
        <w:tabs>
          <w:tab w:val="left" w:pos="4658" w:leader="none"/>
        </w:tabs>
      </w:pPr>
      <w:rPr>
        <w:rFonts w:hint="eastAsia"/>
      </w:rPr>
    </w:lvl>
    <w:lvl w:ilvl="8">
      <w:start w:val="1"/>
      <w:numFmt w:val="decimal"/>
      <w:isLgl w:val="false"/>
      <w:suff w:val="tab"/>
      <w:lvlText w:val="%1.%2.%3.%4.%5.%6.%7.%8.%9."/>
      <w:lvlJc w:val="left"/>
      <w:pPr>
        <w:ind w:left="4799" w:hanging="1559"/>
        <w:tabs>
          <w:tab w:val="left" w:pos="4799" w:leader="none"/>
        </w:tabs>
      </w:pPr>
      <w:rPr>
        <w:rFonts w:hint="eastAsia"/>
      </w:rPr>
    </w:lvl>
  </w:abstractNum>
  <w:abstractNum w:abstractNumId="9">
    <w:multiLevelType w:val="hybridMultilevel"/>
    <w:lvl w:ilvl="0">
      <w:start w:val="1"/>
      <w:numFmt w:val="none"/>
      <w:pStyle w:val="967"/>
      <w:isLgl w:val="false"/>
      <w:suff w:val="tab"/>
      <w:lvlText w:val="%1——"/>
      <w:lvlJc w:val="left"/>
      <w:pPr>
        <w:ind w:left="840" w:hanging="420"/>
        <w:tabs>
          <w:tab w:val="left" w:pos="114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5"/>
  </w:num>
  <w:num w:numId="2">
    <w:abstractNumId w:val="7"/>
  </w:num>
  <w:num w:numId="3">
    <w:abstractNumId w:val="1"/>
  </w:num>
  <w:num w:numId="4">
    <w:abstractNumId w:val="9"/>
  </w:num>
  <w:num w:numId="5">
    <w:abstractNumId w:val="8"/>
  </w:num>
  <w:num w:numId="6">
    <w:abstractNumId w:val="6"/>
  </w:num>
  <w:num w:numId="7">
    <w:abstractNumId w:val="3"/>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6"/>
    <w:link w:val="867"/>
    <w:uiPriority w:val="9"/>
    <w:rPr>
      <w:rFonts w:ascii="Arial" w:hAnsi="Arial" w:eastAsia="Arial" w:cs="Arial"/>
      <w:sz w:val="40"/>
      <w:szCs w:val="40"/>
    </w:rPr>
  </w:style>
  <w:style w:type="character" w:styleId="707">
    <w:name w:val="Heading 2 Char"/>
    <w:basedOn w:val="876"/>
    <w:link w:val="868"/>
    <w:uiPriority w:val="9"/>
    <w:rPr>
      <w:rFonts w:ascii="Arial" w:hAnsi="Arial" w:eastAsia="Arial" w:cs="Arial"/>
      <w:sz w:val="34"/>
    </w:rPr>
  </w:style>
  <w:style w:type="character" w:styleId="708">
    <w:name w:val="Heading 3 Char"/>
    <w:basedOn w:val="876"/>
    <w:link w:val="869"/>
    <w:uiPriority w:val="9"/>
    <w:rPr>
      <w:rFonts w:ascii="Arial" w:hAnsi="Arial" w:eastAsia="Arial" w:cs="Arial"/>
      <w:sz w:val="30"/>
      <w:szCs w:val="30"/>
    </w:rPr>
  </w:style>
  <w:style w:type="character" w:styleId="709">
    <w:name w:val="Heading 4 Char"/>
    <w:basedOn w:val="876"/>
    <w:link w:val="870"/>
    <w:uiPriority w:val="9"/>
    <w:rPr>
      <w:rFonts w:ascii="Arial" w:hAnsi="Arial" w:eastAsia="Arial" w:cs="Arial"/>
      <w:b/>
      <w:bCs/>
      <w:sz w:val="26"/>
      <w:szCs w:val="26"/>
    </w:rPr>
  </w:style>
  <w:style w:type="character" w:styleId="710">
    <w:name w:val="Heading 5 Char"/>
    <w:basedOn w:val="876"/>
    <w:link w:val="871"/>
    <w:uiPriority w:val="9"/>
    <w:rPr>
      <w:rFonts w:ascii="Arial" w:hAnsi="Arial" w:eastAsia="Arial" w:cs="Arial"/>
      <w:b/>
      <w:bCs/>
      <w:sz w:val="24"/>
      <w:szCs w:val="24"/>
    </w:rPr>
  </w:style>
  <w:style w:type="character" w:styleId="711">
    <w:name w:val="Heading 6 Char"/>
    <w:basedOn w:val="876"/>
    <w:link w:val="872"/>
    <w:uiPriority w:val="9"/>
    <w:rPr>
      <w:rFonts w:ascii="Arial" w:hAnsi="Arial" w:eastAsia="Arial" w:cs="Arial"/>
      <w:b/>
      <w:bCs/>
      <w:sz w:val="22"/>
      <w:szCs w:val="22"/>
    </w:rPr>
  </w:style>
  <w:style w:type="character" w:styleId="712">
    <w:name w:val="Heading 7 Char"/>
    <w:basedOn w:val="876"/>
    <w:link w:val="873"/>
    <w:uiPriority w:val="9"/>
    <w:rPr>
      <w:rFonts w:ascii="Arial" w:hAnsi="Arial" w:eastAsia="Arial" w:cs="Arial"/>
      <w:b/>
      <w:bCs/>
      <w:i/>
      <w:iCs/>
      <w:sz w:val="22"/>
      <w:szCs w:val="22"/>
    </w:rPr>
  </w:style>
  <w:style w:type="character" w:styleId="713">
    <w:name w:val="Heading 8 Char"/>
    <w:basedOn w:val="876"/>
    <w:link w:val="874"/>
    <w:uiPriority w:val="9"/>
    <w:rPr>
      <w:rFonts w:ascii="Arial" w:hAnsi="Arial" w:eastAsia="Arial" w:cs="Arial"/>
      <w:i/>
      <w:iCs/>
      <w:sz w:val="22"/>
      <w:szCs w:val="22"/>
    </w:rPr>
  </w:style>
  <w:style w:type="character" w:styleId="714">
    <w:name w:val="Heading 9 Char"/>
    <w:basedOn w:val="876"/>
    <w:link w:val="875"/>
    <w:uiPriority w:val="9"/>
    <w:rPr>
      <w:rFonts w:ascii="Arial" w:hAnsi="Arial" w:eastAsia="Arial" w:cs="Arial"/>
      <w:i/>
      <w:iCs/>
      <w:sz w:val="21"/>
      <w:szCs w:val="21"/>
    </w:rPr>
  </w:style>
  <w:style w:type="paragraph" w:styleId="715">
    <w:name w:val="No Spacing"/>
    <w:uiPriority w:val="1"/>
    <w:qFormat/>
    <w:pPr>
      <w:spacing w:before="0" w:after="0" w:line="240" w:lineRule="auto"/>
    </w:pPr>
  </w:style>
  <w:style w:type="character" w:styleId="716">
    <w:name w:val="Title Char"/>
    <w:basedOn w:val="876"/>
    <w:link w:val="899"/>
    <w:uiPriority w:val="10"/>
    <w:rPr>
      <w:sz w:val="48"/>
      <w:szCs w:val="48"/>
    </w:rPr>
  </w:style>
  <w:style w:type="character" w:styleId="717">
    <w:name w:val="Subtitle Char"/>
    <w:basedOn w:val="876"/>
    <w:link w:val="895"/>
    <w:uiPriority w:val="11"/>
    <w:rPr>
      <w:sz w:val="24"/>
      <w:szCs w:val="24"/>
    </w:rPr>
  </w:style>
  <w:style w:type="paragraph" w:styleId="718">
    <w:name w:val="Quote"/>
    <w:basedOn w:val="866"/>
    <w:next w:val="866"/>
    <w:link w:val="719"/>
    <w:uiPriority w:val="29"/>
    <w:qFormat/>
    <w:pPr>
      <w:ind w:left="720" w:right="720"/>
    </w:pPr>
    <w:rPr>
      <w:i/>
    </w:rPr>
  </w:style>
  <w:style w:type="character" w:styleId="719">
    <w:name w:val="Quote Char"/>
    <w:link w:val="718"/>
    <w:uiPriority w:val="29"/>
    <w:rPr>
      <w:i/>
    </w:rPr>
  </w:style>
  <w:style w:type="paragraph" w:styleId="720">
    <w:name w:val="Intense Quote"/>
    <w:basedOn w:val="866"/>
    <w:next w:val="866"/>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character" w:styleId="722">
    <w:name w:val="Header Char"/>
    <w:basedOn w:val="876"/>
    <w:link w:val="893"/>
    <w:uiPriority w:val="99"/>
  </w:style>
  <w:style w:type="character" w:styleId="723">
    <w:name w:val="Footer Char"/>
    <w:basedOn w:val="876"/>
    <w:link w:val="892"/>
    <w:uiPriority w:val="99"/>
  </w:style>
  <w:style w:type="character" w:styleId="724">
    <w:name w:val="Caption Char"/>
    <w:basedOn w:val="881"/>
    <w:link w:val="892"/>
    <w:uiPriority w:val="99"/>
  </w:style>
  <w:style w:type="table" w:styleId="725">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6"/>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6"/>
    <w:uiPriority w:val="99"/>
    <w:unhideWhenUsed/>
    <w:rPr>
      <w:vertAlign w:val="superscript"/>
    </w:rPr>
  </w:style>
  <w:style w:type="paragraph" w:styleId="853">
    <w:name w:val="endnote text"/>
    <w:basedOn w:val="866"/>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6"/>
    <w:uiPriority w:val="99"/>
    <w:semiHidden/>
    <w:unhideWhenUsed/>
    <w:rPr>
      <w:vertAlign w:val="superscript"/>
    </w:r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8"/>
    <w:uiPriority w:val="0"/>
    <w:qFormat/>
    <w:pPr>
      <w:jc w:val="both"/>
      <w:widowControl w:val="off"/>
    </w:pPr>
    <w:rPr>
      <w:rFonts w:ascii="Times New Roman" w:hAnsi="Times New Roman" w:eastAsia="宋体" w:cs="Times New Roman"/>
      <w:sz w:val="21"/>
      <w:szCs w:val="22"/>
      <w:lang w:val="en-US" w:eastAsia="zh-CN" w:bidi="ar-SA"/>
    </w:rPr>
  </w:style>
  <w:style w:type="paragraph" w:styleId="867">
    <w:name w:val="Heading 1"/>
    <w:basedOn w:val="866"/>
    <w:next w:val="866"/>
    <w:link w:val="909"/>
    <w:uiPriority w:val="0"/>
    <w:qFormat/>
    <w:pPr>
      <w:keepLines/>
      <w:keepNext/>
      <w:spacing w:before="340" w:after="330" w:line="578" w:lineRule="auto"/>
      <w:outlineLvl w:val="0"/>
    </w:pPr>
    <w:rPr>
      <w:b/>
      <w:bCs/>
      <w:sz w:val="44"/>
      <w:szCs w:val="44"/>
    </w:rPr>
  </w:style>
  <w:style w:type="paragraph" w:styleId="868">
    <w:name w:val="Heading 2"/>
    <w:basedOn w:val="866"/>
    <w:next w:val="866"/>
    <w:link w:val="910"/>
    <w:uiPriority w:val="9"/>
    <w:qFormat/>
    <w:pPr>
      <w:keepLines/>
      <w:keepNext/>
      <w:spacing w:before="260" w:after="260" w:line="416" w:lineRule="auto"/>
      <w:outlineLvl w:val="1"/>
    </w:pPr>
    <w:rPr>
      <w:rFonts w:ascii="Cambria" w:hAnsi="Cambria"/>
      <w:b/>
      <w:bCs/>
      <w:sz w:val="32"/>
      <w:szCs w:val="32"/>
    </w:rPr>
  </w:style>
  <w:style w:type="paragraph" w:styleId="869">
    <w:name w:val="Heading 3"/>
    <w:basedOn w:val="866"/>
    <w:next w:val="866"/>
    <w:link w:val="911"/>
    <w:uiPriority w:val="9"/>
    <w:qFormat/>
    <w:pPr>
      <w:keepLines/>
      <w:keepNext/>
      <w:spacing w:before="260" w:after="260" w:line="416" w:lineRule="auto"/>
      <w:outlineLvl w:val="2"/>
    </w:pPr>
    <w:rPr>
      <w:b/>
      <w:sz w:val="32"/>
      <w:szCs w:val="20"/>
    </w:rPr>
  </w:style>
  <w:style w:type="paragraph" w:styleId="870">
    <w:name w:val="Heading 4"/>
    <w:basedOn w:val="866"/>
    <w:next w:val="880"/>
    <w:link w:val="912"/>
    <w:uiPriority w:val="9"/>
    <w:qFormat/>
    <w:pPr>
      <w:spacing w:before="280" w:after="290" w:line="377" w:lineRule="auto"/>
      <w:outlineLvl w:val="3"/>
    </w:pPr>
    <w:rPr>
      <w:rFonts w:ascii="Arial" w:hAnsi="Arial" w:eastAsia="黑体"/>
      <w:b/>
      <w:bCs/>
      <w:sz w:val="28"/>
      <w:szCs w:val="28"/>
    </w:rPr>
  </w:style>
  <w:style w:type="paragraph" w:styleId="871">
    <w:name w:val="Heading 5"/>
    <w:basedOn w:val="866"/>
    <w:next w:val="880"/>
    <w:link w:val="914"/>
    <w:uiPriority w:val="0"/>
    <w:qFormat/>
    <w:pPr>
      <w:keepNext/>
      <w:outlineLvl w:val="4"/>
    </w:pPr>
    <w:rPr>
      <w:rFonts w:ascii="宋体"/>
      <w:color w:val="000000"/>
      <w:sz w:val="28"/>
      <w:szCs w:val="20"/>
    </w:rPr>
  </w:style>
  <w:style w:type="paragraph" w:styleId="872">
    <w:name w:val="Heading 6"/>
    <w:basedOn w:val="866"/>
    <w:next w:val="866"/>
    <w:link w:val="915"/>
    <w:uiPriority w:val="0"/>
    <w:qFormat/>
    <w:pPr>
      <w:jc w:val="left"/>
      <w:keepLines/>
      <w:keepNext/>
      <w:spacing w:before="240" w:after="64" w:line="320" w:lineRule="atLeast"/>
      <w:outlineLvl w:val="5"/>
    </w:pPr>
    <w:rPr>
      <w:rFonts w:ascii="Arial" w:hAnsi="Arial" w:eastAsia="黑体"/>
      <w:b/>
      <w:bCs/>
      <w:sz w:val="24"/>
      <w:szCs w:val="24"/>
    </w:rPr>
  </w:style>
  <w:style w:type="paragraph" w:styleId="873">
    <w:name w:val="Heading 7"/>
    <w:basedOn w:val="866"/>
    <w:next w:val="866"/>
    <w:link w:val="916"/>
    <w:uiPriority w:val="0"/>
    <w:qFormat/>
    <w:pPr>
      <w:jc w:val="left"/>
      <w:keepNext/>
      <w:spacing w:line="240" w:lineRule="atLeast"/>
      <w:outlineLvl w:val="6"/>
    </w:pPr>
    <w:rPr>
      <w:rFonts w:ascii="楷体_GB2312" w:eastAsia="楷体_GB2312"/>
      <w:b/>
      <w:bCs/>
      <w:szCs w:val="24"/>
    </w:rPr>
  </w:style>
  <w:style w:type="paragraph" w:styleId="874">
    <w:name w:val="Heading 8"/>
    <w:basedOn w:val="866"/>
    <w:next w:val="866"/>
    <w:link w:val="917"/>
    <w:uiPriority w:val="0"/>
    <w:qFormat/>
    <w:pPr>
      <w:jc w:val="left"/>
      <w:keepLines/>
      <w:keepNext/>
      <w:spacing w:before="240" w:after="64" w:line="320" w:lineRule="atLeast"/>
      <w:outlineLvl w:val="7"/>
    </w:pPr>
    <w:rPr>
      <w:rFonts w:ascii="Arial" w:hAnsi="Arial" w:eastAsia="黑体"/>
      <w:sz w:val="24"/>
      <w:szCs w:val="24"/>
    </w:rPr>
  </w:style>
  <w:style w:type="paragraph" w:styleId="875">
    <w:name w:val="Heading 9"/>
    <w:basedOn w:val="866"/>
    <w:next w:val="866"/>
    <w:link w:val="918"/>
    <w:uiPriority w:val="0"/>
    <w:qFormat/>
    <w:pPr>
      <w:jc w:val="left"/>
      <w:keepLines/>
      <w:keepNext/>
      <w:spacing w:before="240" w:after="64" w:line="320" w:lineRule="atLeast"/>
      <w:outlineLvl w:val="8"/>
    </w:pPr>
    <w:rPr>
      <w:rFonts w:ascii="Arial" w:hAnsi="Arial" w:eastAsia="黑体"/>
      <w:szCs w:val="21"/>
    </w:rPr>
  </w:style>
  <w:style w:type="character" w:styleId="876" w:default="1">
    <w:name w:val="Default Paragraph Font"/>
    <w:uiPriority w:val="1"/>
    <w:semiHidden/>
    <w:unhideWhenUsed/>
  </w:style>
  <w:style w:type="table" w:styleId="877" w:default="1">
    <w:name w:val="Normal Table"/>
    <w:uiPriority w:val="99"/>
    <w:semiHidden/>
    <w:unhideWhenUsed/>
    <w:tblPr>
      <w:tblCellMar>
        <w:left w:w="108" w:type="dxa"/>
        <w:top w:w="0" w:type="dxa"/>
        <w:right w:w="108" w:type="dxa"/>
        <w:bottom w:w="0" w:type="dxa"/>
      </w:tblCellMar>
    </w:tblPr>
  </w:style>
  <w:style w:type="paragraph" w:styleId="878">
    <w:name w:val="Body Text First Indent 2"/>
    <w:basedOn w:val="879"/>
    <w:uiPriority w:val="0"/>
    <w:qFormat/>
    <w:pPr>
      <w:ind w:firstLine="420"/>
    </w:pPr>
    <w:rPr>
      <w:rFonts w:ascii="楷体_GB2312" w:eastAsia="楷体_GB2312" w:cs="宋体"/>
      <w:szCs w:val="21"/>
    </w:rPr>
  </w:style>
  <w:style w:type="paragraph" w:styleId="879">
    <w:name w:val="Body Text Indent"/>
    <w:basedOn w:val="866"/>
    <w:next w:val="866"/>
    <w:link w:val="908"/>
    <w:uiPriority w:val="0"/>
    <w:qFormat/>
    <w:pPr>
      <w:ind w:left="420"/>
      <w:spacing w:after="120"/>
    </w:pPr>
    <w:rPr>
      <w:szCs w:val="24"/>
    </w:rPr>
  </w:style>
  <w:style w:type="paragraph" w:styleId="880">
    <w:name w:val="Normal Indent"/>
    <w:basedOn w:val="866"/>
    <w:link w:val="913"/>
    <w:uiPriority w:val="0"/>
    <w:unhideWhenUsed/>
    <w:qFormat/>
    <w:pPr>
      <w:ind w:firstLine="420"/>
    </w:pPr>
  </w:style>
  <w:style w:type="paragraph" w:styleId="881">
    <w:name w:val="Caption"/>
    <w:basedOn w:val="866"/>
    <w:next w:val="866"/>
    <w:link w:val="919"/>
    <w:uiPriority w:val="0"/>
    <w:qFormat/>
    <w:pPr>
      <w:ind w:firstLine="200"/>
      <w:spacing w:line="360" w:lineRule="auto"/>
    </w:pPr>
    <w:rPr>
      <w:rFonts w:ascii="Cambria" w:hAnsi="Cambria" w:eastAsia="黑体"/>
      <w:sz w:val="20"/>
      <w:szCs w:val="20"/>
    </w:rPr>
  </w:style>
  <w:style w:type="paragraph" w:styleId="882">
    <w:name w:val="List Bullet"/>
    <w:basedOn w:val="866"/>
    <w:uiPriority w:val="0"/>
    <w:qFormat/>
    <w:pPr>
      <w:ind w:firstLine="454"/>
      <w:spacing w:before="156" w:line="360" w:lineRule="auto"/>
    </w:pPr>
    <w:rPr>
      <w:rFonts w:ascii="宋体" w:hAnsi="宋体"/>
      <w:color w:val="000000"/>
      <w:sz w:val="24"/>
      <w:szCs w:val="24"/>
    </w:rPr>
  </w:style>
  <w:style w:type="paragraph" w:styleId="883">
    <w:name w:val="Document Map"/>
    <w:basedOn w:val="866"/>
    <w:link w:val="920"/>
    <w:uiPriority w:val="0"/>
    <w:semiHidden/>
    <w:qFormat/>
    <w:pPr>
      <w:shd w:val="clear" w:color="auto" w:fill="000080"/>
    </w:pPr>
    <w:rPr>
      <w:szCs w:val="24"/>
    </w:rPr>
  </w:style>
  <w:style w:type="paragraph" w:styleId="884">
    <w:name w:val="annotation text"/>
    <w:basedOn w:val="866"/>
    <w:uiPriority w:val="0"/>
    <w:semiHidden/>
    <w:qFormat/>
    <w:pPr>
      <w:jc w:val="left"/>
    </w:pPr>
  </w:style>
  <w:style w:type="paragraph" w:styleId="885">
    <w:name w:val="Body Text 3"/>
    <w:basedOn w:val="866"/>
    <w:link w:val="921"/>
    <w:uiPriority w:val="0"/>
    <w:qFormat/>
    <w:pPr>
      <w:jc w:val="left"/>
      <w:spacing w:line="360" w:lineRule="auto"/>
    </w:pPr>
    <w:rPr>
      <w:rFonts w:eastAsia="楷体_GB2312"/>
      <w:szCs w:val="21"/>
    </w:rPr>
  </w:style>
  <w:style w:type="paragraph" w:styleId="886">
    <w:name w:val="Body Text"/>
    <w:basedOn w:val="866"/>
    <w:next w:val="866"/>
    <w:link w:val="922"/>
    <w:uiPriority w:val="0"/>
    <w:qFormat/>
    <w:rPr>
      <w:rFonts w:ascii="楷体_GB2312" w:hAnsi="Arial" w:eastAsia="楷体_GB2312"/>
      <w:sz w:val="28"/>
      <w:szCs w:val="28"/>
    </w:rPr>
  </w:style>
  <w:style w:type="paragraph" w:styleId="887">
    <w:name w:val="List Bullet 2"/>
    <w:basedOn w:val="866"/>
    <w:uiPriority w:val="0"/>
    <w:qFormat/>
    <w:pPr>
      <w:ind w:left="725" w:hanging="360"/>
      <w:tabs>
        <w:tab w:val="left" w:pos="725" w:leader="none"/>
      </w:tabs>
    </w:pPr>
    <w:rPr>
      <w:szCs w:val="20"/>
    </w:rPr>
  </w:style>
  <w:style w:type="paragraph" w:styleId="888">
    <w:name w:val="Plain Text"/>
    <w:basedOn w:val="866"/>
    <w:link w:val="923"/>
    <w:uiPriority w:val="0"/>
    <w:qFormat/>
    <w:rPr>
      <w:rFonts w:ascii="宋体" w:hAnsi="Courier New"/>
      <w:sz w:val="20"/>
      <w:szCs w:val="21"/>
    </w:rPr>
  </w:style>
  <w:style w:type="paragraph" w:styleId="889">
    <w:name w:val="Date"/>
    <w:basedOn w:val="866"/>
    <w:next w:val="866"/>
    <w:link w:val="924"/>
    <w:uiPriority w:val="0"/>
    <w:qFormat/>
    <w:pPr>
      <w:ind w:left="100"/>
    </w:pPr>
    <w:rPr>
      <w:rFonts w:ascii="楷体_GB2312" w:hAnsi="宋体" w:eastAsia="楷体_GB2312"/>
      <w:b/>
      <w:bCs/>
      <w:spacing w:val="20"/>
      <w:sz w:val="36"/>
      <w:szCs w:val="24"/>
    </w:rPr>
  </w:style>
  <w:style w:type="paragraph" w:styleId="890">
    <w:name w:val="Body Text Indent 2"/>
    <w:basedOn w:val="866"/>
    <w:link w:val="925"/>
    <w:uiPriority w:val="0"/>
    <w:qFormat/>
    <w:pPr>
      <w:ind w:firstLine="562"/>
      <w:spacing w:line="480" w:lineRule="exact"/>
    </w:pPr>
    <w:rPr>
      <w:rFonts w:ascii="楷体_GB2312" w:eastAsia="楷体_GB2312"/>
      <w:b/>
      <w:bCs/>
      <w:sz w:val="28"/>
      <w:szCs w:val="24"/>
    </w:rPr>
  </w:style>
  <w:style w:type="paragraph" w:styleId="891">
    <w:name w:val="Balloon Text"/>
    <w:basedOn w:val="866"/>
    <w:link w:val="926"/>
    <w:uiPriority w:val="99"/>
    <w:unhideWhenUsed/>
    <w:qFormat/>
    <w:rPr>
      <w:sz w:val="18"/>
      <w:szCs w:val="18"/>
    </w:rPr>
  </w:style>
  <w:style w:type="paragraph" w:styleId="892">
    <w:name w:val="Footer"/>
    <w:basedOn w:val="866"/>
    <w:link w:val="927"/>
    <w:uiPriority w:val="99"/>
    <w:unhideWhenUsed/>
    <w:qFormat/>
    <w:pPr>
      <w:jc w:val="left"/>
      <w:tabs>
        <w:tab w:val="center" w:pos="4153" w:leader="none"/>
        <w:tab w:val="right" w:pos="8306" w:leader="none"/>
      </w:tabs>
    </w:pPr>
    <w:rPr>
      <w:sz w:val="18"/>
      <w:szCs w:val="18"/>
    </w:rPr>
  </w:style>
  <w:style w:type="paragraph" w:styleId="893">
    <w:name w:val="Header"/>
    <w:basedOn w:val="866"/>
    <w:link w:val="92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4">
    <w:name w:val="toc 1"/>
    <w:basedOn w:val="866"/>
    <w:next w:val="866"/>
    <w:uiPriority w:val="39"/>
    <w:unhideWhenUsed/>
  </w:style>
  <w:style w:type="paragraph" w:styleId="895">
    <w:name w:val="Subtitle"/>
    <w:basedOn w:val="866"/>
    <w:link w:val="929"/>
    <w:uiPriority w:val="0"/>
    <w:qFormat/>
    <w:pPr>
      <w:ind w:firstLine="200"/>
      <w:jc w:val="center"/>
      <w:spacing w:before="240" w:after="60" w:line="312" w:lineRule="auto"/>
      <w:outlineLvl w:val="1"/>
    </w:pPr>
    <w:rPr>
      <w:rFonts w:ascii="Arial" w:hAnsi="Arial"/>
      <w:b/>
      <w:bCs/>
      <w:sz w:val="32"/>
      <w:szCs w:val="32"/>
    </w:rPr>
  </w:style>
  <w:style w:type="paragraph" w:styleId="896">
    <w:name w:val="Body Text Indent 3"/>
    <w:basedOn w:val="866"/>
    <w:link w:val="930"/>
    <w:uiPriority w:val="0"/>
    <w:qFormat/>
    <w:pPr>
      <w:ind w:left="944" w:hanging="379"/>
      <w:spacing w:line="480" w:lineRule="exact"/>
    </w:pPr>
    <w:rPr>
      <w:rFonts w:ascii="楷体_GB2312" w:eastAsia="楷体_GB2312"/>
      <w:b/>
      <w:bCs/>
      <w:sz w:val="28"/>
      <w:szCs w:val="24"/>
    </w:rPr>
  </w:style>
  <w:style w:type="paragraph" w:styleId="897">
    <w:name w:val="Body Text 2"/>
    <w:basedOn w:val="866"/>
    <w:link w:val="931"/>
    <w:uiPriority w:val="0"/>
    <w:qFormat/>
    <w:pPr>
      <w:spacing w:after="120" w:line="480" w:lineRule="auto"/>
    </w:pPr>
    <w:rPr>
      <w:szCs w:val="24"/>
    </w:rPr>
  </w:style>
  <w:style w:type="paragraph" w:styleId="898">
    <w:name w:val="Normal (Web)"/>
    <w:basedOn w:val="866"/>
    <w:uiPriority w:val="0"/>
    <w:unhideWhenUsed/>
    <w:qFormat/>
    <w:pPr>
      <w:jc w:val="left"/>
      <w:spacing w:before="100" w:beforeAutospacing="1" w:after="100" w:afterAutospacing="1"/>
      <w:widowControl/>
    </w:pPr>
    <w:rPr>
      <w:rFonts w:ascii="宋体" w:hAnsi="宋体" w:cs="宋体"/>
      <w:sz w:val="24"/>
      <w:szCs w:val="24"/>
    </w:rPr>
  </w:style>
  <w:style w:type="paragraph" w:styleId="899">
    <w:name w:val="Title"/>
    <w:basedOn w:val="866"/>
    <w:link w:val="932"/>
    <w:uiPriority w:val="0"/>
    <w:qFormat/>
    <w:pPr>
      <w:numPr>
        <w:ilvl w:val="0"/>
        <w:numId w:val="1"/>
      </w:numPr>
      <w:spacing w:after="156" w:line="360" w:lineRule="auto"/>
      <w:tabs>
        <w:tab w:val="left" w:pos="720" w:leader="none"/>
      </w:tabs>
      <w:outlineLvl w:val="0"/>
    </w:pPr>
    <w:rPr>
      <w:rFonts w:ascii="Arial" w:hAnsi="Arial"/>
      <w:b/>
      <w:bCs/>
      <w:sz w:val="28"/>
      <w:szCs w:val="28"/>
    </w:rPr>
  </w:style>
  <w:style w:type="paragraph" w:styleId="900">
    <w:name w:val="annotation subject"/>
    <w:basedOn w:val="884"/>
    <w:next w:val="884"/>
    <w:uiPriority w:val="0"/>
    <w:semiHidden/>
    <w:qFormat/>
    <w:rPr>
      <w:b/>
      <w:bCs/>
    </w:rPr>
  </w:style>
  <w:style w:type="table" w:styleId="901">
    <w:name w:val="Table Grid"/>
    <w:basedOn w:val="87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uiPriority w:val="0"/>
    <w:qFormat/>
    <w:rPr>
      <w:b/>
      <w:bCs/>
    </w:rPr>
  </w:style>
  <w:style w:type="character" w:styleId="903">
    <w:name w:val="page number"/>
    <w:uiPriority w:val="0"/>
    <w:qFormat/>
  </w:style>
  <w:style w:type="character" w:styleId="904">
    <w:name w:val="FollowedHyperlink"/>
    <w:uiPriority w:val="99"/>
    <w:qFormat/>
    <w:rPr>
      <w:color w:val="800080"/>
      <w:u w:val="single"/>
    </w:rPr>
  </w:style>
  <w:style w:type="character" w:styleId="905">
    <w:name w:val="Emphasis"/>
    <w:uiPriority w:val="0"/>
    <w:qFormat/>
    <w:rPr>
      <w:color w:val="cc0033"/>
    </w:rPr>
  </w:style>
  <w:style w:type="character" w:styleId="906">
    <w:name w:val="Hyperlink"/>
    <w:uiPriority w:val="99"/>
    <w:unhideWhenUsed/>
    <w:qFormat/>
    <w:rPr>
      <w:color w:val="0000ff"/>
      <w:u w:val="single"/>
    </w:rPr>
  </w:style>
  <w:style w:type="character" w:styleId="907">
    <w:name w:val="annotation reference"/>
    <w:uiPriority w:val="0"/>
    <w:semiHidden/>
    <w:qFormat/>
    <w:rPr>
      <w:sz w:val="21"/>
      <w:szCs w:val="21"/>
    </w:rPr>
  </w:style>
  <w:style w:type="character" w:styleId="908" w:customStyle="1">
    <w:name w:val="正文文本缩进 Char"/>
    <w:link w:val="879"/>
    <w:uiPriority w:val="0"/>
    <w:qFormat/>
    <w:rPr>
      <w:sz w:val="21"/>
      <w:szCs w:val="24"/>
    </w:rPr>
  </w:style>
  <w:style w:type="character" w:styleId="909" w:customStyle="1">
    <w:name w:val="标题 1 Char"/>
    <w:link w:val="867"/>
    <w:uiPriority w:val="0"/>
    <w:qFormat/>
    <w:rPr>
      <w:b/>
      <w:bCs/>
      <w:sz w:val="44"/>
      <w:szCs w:val="44"/>
    </w:rPr>
  </w:style>
  <w:style w:type="character" w:styleId="910" w:customStyle="1">
    <w:name w:val="标题 2 Char"/>
    <w:link w:val="868"/>
    <w:uiPriority w:val="0"/>
    <w:qFormat/>
    <w:rPr>
      <w:rFonts w:ascii="Cambria" w:hAnsi="Cambria" w:eastAsia="宋体" w:cs="Times New Roman"/>
      <w:b/>
      <w:bCs/>
      <w:sz w:val="32"/>
      <w:szCs w:val="32"/>
    </w:rPr>
  </w:style>
  <w:style w:type="character" w:styleId="911" w:customStyle="1">
    <w:name w:val="标题 3 Char"/>
    <w:link w:val="869"/>
    <w:uiPriority w:val="0"/>
    <w:qFormat/>
    <w:rPr>
      <w:b/>
      <w:sz w:val="32"/>
    </w:rPr>
  </w:style>
  <w:style w:type="character" w:styleId="912" w:customStyle="1">
    <w:name w:val="标题 4 Char"/>
    <w:link w:val="870"/>
    <w:uiPriority w:val="0"/>
    <w:qFormat/>
    <w:rPr>
      <w:rFonts w:ascii="Arial" w:hAnsi="Arial" w:eastAsia="黑体" w:cs="Times New Roman"/>
      <w:b/>
      <w:bCs/>
      <w:sz w:val="28"/>
      <w:szCs w:val="28"/>
    </w:rPr>
  </w:style>
  <w:style w:type="character" w:styleId="913" w:customStyle="1">
    <w:name w:val="正文缩进 Char"/>
    <w:link w:val="880"/>
    <w:uiPriority w:val="0"/>
    <w:qFormat/>
  </w:style>
  <w:style w:type="character" w:styleId="914" w:customStyle="1">
    <w:name w:val="标题 5 Char"/>
    <w:link w:val="871"/>
    <w:uiPriority w:val="0"/>
    <w:qFormat/>
    <w:rPr>
      <w:rFonts w:ascii="宋体"/>
      <w:color w:val="000000"/>
      <w:sz w:val="28"/>
    </w:rPr>
  </w:style>
  <w:style w:type="character" w:styleId="915" w:customStyle="1">
    <w:name w:val="标题 6 Char"/>
    <w:link w:val="872"/>
    <w:uiPriority w:val="0"/>
    <w:qFormat/>
    <w:rPr>
      <w:rFonts w:ascii="Arial" w:hAnsi="Arial" w:eastAsia="黑体"/>
      <w:b/>
      <w:bCs/>
      <w:sz w:val="24"/>
      <w:szCs w:val="24"/>
    </w:rPr>
  </w:style>
  <w:style w:type="character" w:styleId="916" w:customStyle="1">
    <w:name w:val="标题 7 Char"/>
    <w:link w:val="873"/>
    <w:uiPriority w:val="0"/>
    <w:qFormat/>
    <w:rPr>
      <w:rFonts w:ascii="楷体_GB2312" w:eastAsia="楷体_GB2312"/>
      <w:b/>
      <w:bCs/>
      <w:sz w:val="21"/>
      <w:szCs w:val="24"/>
    </w:rPr>
  </w:style>
  <w:style w:type="character" w:styleId="917" w:customStyle="1">
    <w:name w:val="标题 8 Char"/>
    <w:link w:val="874"/>
    <w:uiPriority w:val="0"/>
    <w:qFormat/>
    <w:rPr>
      <w:rFonts w:ascii="Arial" w:hAnsi="Arial" w:eastAsia="黑体"/>
      <w:sz w:val="24"/>
      <w:szCs w:val="24"/>
    </w:rPr>
  </w:style>
  <w:style w:type="character" w:styleId="918" w:customStyle="1">
    <w:name w:val="标题 9 Char"/>
    <w:link w:val="875"/>
    <w:uiPriority w:val="0"/>
    <w:qFormat/>
    <w:rPr>
      <w:rFonts w:ascii="Arial" w:hAnsi="Arial" w:eastAsia="黑体"/>
      <w:sz w:val="21"/>
      <w:szCs w:val="21"/>
    </w:rPr>
  </w:style>
  <w:style w:type="character" w:styleId="919" w:customStyle="1">
    <w:name w:val="题注 Char"/>
    <w:link w:val="881"/>
    <w:uiPriority w:val="0"/>
    <w:qFormat/>
    <w:rPr>
      <w:rFonts w:ascii="Cambria" w:hAnsi="Cambria" w:eastAsia="黑体"/>
    </w:rPr>
  </w:style>
  <w:style w:type="character" w:styleId="920" w:customStyle="1">
    <w:name w:val="文档结构图 Char"/>
    <w:link w:val="883"/>
    <w:uiPriority w:val="0"/>
    <w:semiHidden/>
    <w:qFormat/>
    <w:rPr>
      <w:sz w:val="21"/>
      <w:szCs w:val="24"/>
      <w:shd w:val="clear" w:color="auto" w:fill="000080"/>
    </w:rPr>
  </w:style>
  <w:style w:type="character" w:styleId="921" w:customStyle="1">
    <w:name w:val="正文文本 3 Char"/>
    <w:link w:val="885"/>
    <w:uiPriority w:val="0"/>
    <w:qFormat/>
    <w:rPr>
      <w:rFonts w:eastAsia="楷体_GB2312"/>
      <w:sz w:val="21"/>
      <w:szCs w:val="21"/>
    </w:rPr>
  </w:style>
  <w:style w:type="character" w:styleId="922" w:customStyle="1">
    <w:name w:val="正文文本 Char"/>
    <w:link w:val="886"/>
    <w:uiPriority w:val="0"/>
    <w:qFormat/>
    <w:rPr>
      <w:rFonts w:ascii="楷体_GB2312" w:hAnsi="Arial" w:eastAsia="楷体_GB2312" w:cs="Times New Roman"/>
      <w:sz w:val="28"/>
      <w:szCs w:val="28"/>
    </w:rPr>
  </w:style>
  <w:style w:type="character" w:styleId="923" w:customStyle="1">
    <w:name w:val="纯文本 Char"/>
    <w:link w:val="888"/>
    <w:uiPriority w:val="0"/>
    <w:qFormat/>
    <w:rPr>
      <w:rFonts w:ascii="宋体" w:hAnsi="Courier New" w:eastAsia="宋体" w:cs="Times New Roman"/>
      <w:szCs w:val="21"/>
    </w:rPr>
  </w:style>
  <w:style w:type="character" w:styleId="924" w:customStyle="1">
    <w:name w:val="日期 Char"/>
    <w:link w:val="889"/>
    <w:uiPriority w:val="0"/>
    <w:qFormat/>
    <w:rPr>
      <w:rFonts w:ascii="楷体_GB2312" w:hAnsi="宋体" w:eastAsia="楷体_GB2312"/>
      <w:b/>
      <w:bCs/>
      <w:spacing w:val="20"/>
      <w:sz w:val="36"/>
      <w:szCs w:val="24"/>
    </w:rPr>
  </w:style>
  <w:style w:type="character" w:styleId="925" w:customStyle="1">
    <w:name w:val="正文文本缩进 2 Char"/>
    <w:link w:val="890"/>
    <w:uiPriority w:val="0"/>
    <w:qFormat/>
    <w:rPr>
      <w:rFonts w:ascii="楷体_GB2312" w:eastAsia="楷体_GB2312"/>
      <w:b/>
      <w:bCs/>
      <w:sz w:val="28"/>
      <w:szCs w:val="24"/>
    </w:rPr>
  </w:style>
  <w:style w:type="character" w:styleId="926" w:customStyle="1">
    <w:name w:val="批注框文本 Char"/>
    <w:link w:val="891"/>
    <w:uiPriority w:val="99"/>
    <w:semiHidden/>
    <w:qFormat/>
    <w:rPr>
      <w:sz w:val="18"/>
      <w:szCs w:val="18"/>
    </w:rPr>
  </w:style>
  <w:style w:type="character" w:styleId="927" w:customStyle="1">
    <w:name w:val="页脚 Char"/>
    <w:link w:val="892"/>
    <w:uiPriority w:val="99"/>
    <w:qFormat/>
    <w:rPr>
      <w:sz w:val="18"/>
      <w:szCs w:val="18"/>
    </w:rPr>
  </w:style>
  <w:style w:type="character" w:styleId="928" w:customStyle="1">
    <w:name w:val="页眉 Char"/>
    <w:link w:val="893"/>
    <w:uiPriority w:val="99"/>
    <w:qFormat/>
    <w:rPr>
      <w:sz w:val="18"/>
      <w:szCs w:val="18"/>
    </w:rPr>
  </w:style>
  <w:style w:type="character" w:styleId="929" w:customStyle="1">
    <w:name w:val="副标题 Char"/>
    <w:link w:val="895"/>
    <w:uiPriority w:val="0"/>
    <w:qFormat/>
    <w:rPr>
      <w:rFonts w:ascii="Arial" w:hAnsi="Arial"/>
      <w:b/>
      <w:bCs/>
      <w:sz w:val="32"/>
      <w:szCs w:val="32"/>
    </w:rPr>
  </w:style>
  <w:style w:type="character" w:styleId="930" w:customStyle="1">
    <w:name w:val="正文文本缩进 3 Char"/>
    <w:link w:val="896"/>
    <w:uiPriority w:val="0"/>
    <w:qFormat/>
    <w:rPr>
      <w:rFonts w:ascii="楷体_GB2312" w:eastAsia="楷体_GB2312"/>
      <w:b/>
      <w:bCs/>
      <w:sz w:val="28"/>
      <w:szCs w:val="24"/>
    </w:rPr>
  </w:style>
  <w:style w:type="character" w:styleId="931" w:customStyle="1">
    <w:name w:val="正文文本 2 Char"/>
    <w:link w:val="897"/>
    <w:uiPriority w:val="0"/>
    <w:qFormat/>
    <w:rPr>
      <w:sz w:val="21"/>
      <w:szCs w:val="24"/>
    </w:rPr>
  </w:style>
  <w:style w:type="character" w:styleId="932" w:customStyle="1">
    <w:name w:val="标题 Char"/>
    <w:link w:val="899"/>
    <w:uiPriority w:val="0"/>
    <w:qFormat/>
    <w:rPr>
      <w:rFonts w:ascii="Arial" w:hAnsi="Arial"/>
      <w:b/>
      <w:bCs/>
      <w:sz w:val="28"/>
      <w:szCs w:val="28"/>
    </w:rPr>
  </w:style>
  <w:style w:type="character" w:styleId="933" w:customStyle="1">
    <w:name w:val="Char Char12"/>
    <w:uiPriority w:val="0"/>
    <w:qFormat/>
    <w:rPr>
      <w:rFonts w:ascii="楷体_GB2312" w:hAnsi="宋体" w:eastAsia="楷体_GB2312"/>
      <w:b/>
      <w:bCs/>
      <w:spacing w:val="20"/>
      <w:sz w:val="36"/>
      <w:szCs w:val="24"/>
    </w:rPr>
  </w:style>
  <w:style w:type="character" w:styleId="934" w:customStyle="1">
    <w:name w:val="Char Char10"/>
    <w:uiPriority w:val="0"/>
    <w:qFormat/>
    <w:rPr>
      <w:rFonts w:ascii="楷体_GB2312" w:eastAsia="楷体_GB2312"/>
      <w:b/>
      <w:bCs/>
      <w:sz w:val="28"/>
      <w:szCs w:val="24"/>
    </w:rPr>
  </w:style>
  <w:style w:type="character" w:styleId="935" w:customStyle="1">
    <w:name w:val="正文文本 3 Char1"/>
    <w:uiPriority w:val="99"/>
    <w:semiHidden/>
    <w:qFormat/>
    <w:rPr>
      <w:sz w:val="16"/>
      <w:szCs w:val="16"/>
    </w:rPr>
  </w:style>
  <w:style w:type="character" w:styleId="936" w:customStyle="1">
    <w:name w:val="图片格式 Char"/>
    <w:link w:val="937"/>
    <w:uiPriority w:val="0"/>
    <w:qFormat/>
    <w:rPr>
      <w:rFonts w:ascii="宋体" w:hAnsi="宋体"/>
      <w:sz w:val="24"/>
      <w:szCs w:val="24"/>
      <w:lang w:eastAsia="en-US" w:bidi="en-US"/>
    </w:rPr>
  </w:style>
  <w:style w:type="paragraph" w:styleId="937" w:customStyle="1">
    <w:name w:val="图片格式"/>
    <w:basedOn w:val="938"/>
    <w:link w:val="936"/>
    <w:uiPriority w:val="0"/>
    <w:qFormat/>
    <w:pPr>
      <w:ind w:firstLine="0"/>
      <w:jc w:val="center"/>
    </w:pPr>
  </w:style>
  <w:style w:type="paragraph" w:styleId="938" w:customStyle="1">
    <w:name w:val="内容文本"/>
    <w:basedOn w:val="939"/>
    <w:link w:val="940"/>
    <w:uiPriority w:val="0"/>
    <w:qFormat/>
    <w:pPr>
      <w:contextualSpacing/>
      <w:ind w:firstLine="200"/>
      <w:jc w:val="left"/>
      <w:spacing w:line="360" w:lineRule="auto"/>
    </w:pPr>
    <w:rPr>
      <w:rFonts w:ascii="宋体" w:hAnsi="宋体"/>
      <w:sz w:val="24"/>
      <w:lang w:eastAsia="en-US" w:bidi="en-US"/>
    </w:rPr>
  </w:style>
  <w:style w:type="paragraph" w:styleId="939">
    <w:name w:val="List Paragraph"/>
    <w:basedOn w:val="866"/>
    <w:uiPriority w:val="0"/>
    <w:qFormat/>
    <w:pPr>
      <w:ind w:firstLine="420"/>
    </w:pPr>
    <w:rPr>
      <w:szCs w:val="24"/>
    </w:rPr>
  </w:style>
  <w:style w:type="character" w:styleId="940" w:customStyle="1">
    <w:name w:val="内容文本 Char"/>
    <w:link w:val="938"/>
    <w:uiPriority w:val="0"/>
    <w:qFormat/>
    <w:rPr>
      <w:rFonts w:ascii="宋体" w:hAnsi="宋体"/>
      <w:sz w:val="24"/>
      <w:szCs w:val="24"/>
      <w:lang w:eastAsia="en-US" w:bidi="en-US"/>
    </w:rPr>
  </w:style>
  <w:style w:type="character" w:styleId="941" w:customStyle="1">
    <w:name w:val="Char Char1"/>
    <w:uiPriority w:val="0"/>
    <w:semiHidden/>
    <w:qFormat/>
    <w:rPr>
      <w:sz w:val="18"/>
      <w:szCs w:val="18"/>
    </w:rPr>
  </w:style>
  <w:style w:type="character" w:styleId="942" w:customStyle="1">
    <w:name w:val="正文（编号） Char"/>
    <w:link w:val="943"/>
    <w:uiPriority w:val="0"/>
    <w:qFormat/>
    <w:rPr>
      <w:sz w:val="24"/>
      <w:szCs w:val="24"/>
    </w:rPr>
  </w:style>
  <w:style w:type="paragraph" w:styleId="943" w:customStyle="1">
    <w:name w:val="正文（编号）"/>
    <w:basedOn w:val="944"/>
    <w:link w:val="942"/>
    <w:uiPriority w:val="0"/>
    <w:qFormat/>
    <w:pPr>
      <w:numPr>
        <w:ilvl w:val="0"/>
        <w:numId w:val="2"/>
      </w:numPr>
      <w:ind w:firstLine="0"/>
      <w:spacing w:before="50" w:after="50"/>
    </w:pPr>
  </w:style>
  <w:style w:type="paragraph" w:styleId="944" w:customStyle="1">
    <w:name w:val="正文（缩进）"/>
    <w:basedOn w:val="866"/>
    <w:link w:val="945"/>
    <w:uiPriority w:val="0"/>
    <w:qFormat/>
    <w:pPr>
      <w:ind w:firstLine="480"/>
      <w:spacing w:before="156" w:after="156" w:line="360" w:lineRule="auto"/>
    </w:pPr>
    <w:rPr>
      <w:sz w:val="24"/>
      <w:szCs w:val="24"/>
    </w:rPr>
  </w:style>
  <w:style w:type="character" w:styleId="945" w:customStyle="1">
    <w:name w:val="正文（缩进） Char"/>
    <w:link w:val="944"/>
    <w:uiPriority w:val="0"/>
    <w:qFormat/>
    <w:rPr>
      <w:sz w:val="24"/>
      <w:szCs w:val="24"/>
    </w:rPr>
  </w:style>
  <w:style w:type="character" w:styleId="946" w:customStyle="1">
    <w:name w:val="正文文本缩进 Char1"/>
    <w:uiPriority w:val="99"/>
    <w:semiHidden/>
    <w:qFormat/>
    <w:rPr>
      <w:sz w:val="21"/>
      <w:szCs w:val="22"/>
    </w:rPr>
  </w:style>
  <w:style w:type="character" w:styleId="947" w:customStyle="1">
    <w:name w:val="Char Char2"/>
    <w:uiPriority w:val="0"/>
    <w:qFormat/>
    <w:rPr>
      <w:b/>
      <w:bCs/>
      <w:sz w:val="44"/>
      <w:szCs w:val="44"/>
    </w:rPr>
  </w:style>
  <w:style w:type="character" w:styleId="948" w:customStyle="1">
    <w:name w:val="标题1"/>
    <w:uiPriority w:val="0"/>
    <w:qFormat/>
  </w:style>
  <w:style w:type="character" w:styleId="949" w:customStyle="1">
    <w:name w:val="纯文本 Char Char Char Char"/>
    <w:uiPriority w:val="0"/>
    <w:qFormat/>
    <w:rPr>
      <w:rFonts w:ascii="宋体" w:hAnsi="Courier New" w:eastAsia="宋体"/>
      <w:sz w:val="21"/>
      <w:lang w:val="en-US" w:eastAsia="zh-CN"/>
    </w:rPr>
  </w:style>
  <w:style w:type="character" w:styleId="950" w:customStyle="1">
    <w:name w:val="标题 5 Char1"/>
    <w:uiPriority w:val="0"/>
    <w:qFormat/>
    <w:rPr>
      <w:rFonts w:eastAsia="宋体"/>
      <w:b/>
      <w:bCs/>
      <w:sz w:val="28"/>
      <w:szCs w:val="28"/>
      <w:lang w:val="en-US" w:eastAsia="zh-CN" w:bidi="ar-SA"/>
    </w:rPr>
  </w:style>
  <w:style w:type="character" w:styleId="951" w:customStyle="1">
    <w:name w:val="Char Char14"/>
    <w:uiPriority w:val="0"/>
    <w:qFormat/>
    <w:rPr>
      <w:rFonts w:ascii="Arial" w:hAnsi="Arial"/>
      <w:b/>
      <w:bCs/>
      <w:sz w:val="28"/>
      <w:szCs w:val="28"/>
    </w:rPr>
  </w:style>
  <w:style w:type="character" w:styleId="952" w:customStyle="1">
    <w:name w:val="A MAJOR/BOLD Char1"/>
    <w:uiPriority w:val="0"/>
    <w:qFormat/>
    <w:rPr>
      <w:b/>
      <w:bCs/>
      <w:sz w:val="44"/>
      <w:szCs w:val="44"/>
    </w:rPr>
  </w:style>
  <w:style w:type="character" w:styleId="953" w:customStyle="1">
    <w:name w:val="case31"/>
    <w:uiPriority w:val="0"/>
    <w:qFormat/>
    <w:rPr>
      <w:rFonts w:hint="default"/>
      <w:sz w:val="21"/>
    </w:rPr>
  </w:style>
  <w:style w:type="character" w:styleId="954" w:customStyle="1">
    <w:name w:val="正文文本缩进 2 Char1"/>
    <w:uiPriority w:val="99"/>
    <w:semiHidden/>
    <w:qFormat/>
    <w:rPr>
      <w:sz w:val="21"/>
      <w:szCs w:val="22"/>
    </w:rPr>
  </w:style>
  <w:style w:type="character" w:styleId="955" w:customStyle="1">
    <w:name w:val="Plain Text Char Char"/>
    <w:link w:val="956"/>
    <w:uiPriority w:val="0"/>
    <w:qFormat/>
    <w:rPr>
      <w:rFonts w:ascii="宋体" w:hAnsi="Courier New" w:eastAsia="楷体_GB2312"/>
      <w:sz w:val="26"/>
    </w:rPr>
  </w:style>
  <w:style w:type="paragraph" w:styleId="956" w:customStyle="1">
    <w:name w:val="纯文本1"/>
    <w:basedOn w:val="866"/>
    <w:link w:val="955"/>
    <w:uiPriority w:val="0"/>
    <w:qFormat/>
    <w:rPr>
      <w:rFonts w:ascii="宋体" w:hAnsi="Courier New" w:eastAsia="楷体_GB2312"/>
      <w:sz w:val="26"/>
      <w:szCs w:val="20"/>
    </w:rPr>
  </w:style>
  <w:style w:type="character" w:styleId="957" w:customStyle="1">
    <w:name w:val="Char Char112"/>
    <w:uiPriority w:val="0"/>
    <w:semiHidden/>
    <w:qFormat/>
    <w:rPr>
      <w:sz w:val="18"/>
      <w:szCs w:val="18"/>
    </w:rPr>
  </w:style>
  <w:style w:type="character" w:styleId="958" w:customStyle="1">
    <w:name w:val="Char Char4"/>
    <w:uiPriority w:val="0"/>
    <w:qFormat/>
    <w:rPr>
      <w:rFonts w:ascii="楷体_GB2312" w:eastAsia="楷体_GB2312"/>
      <w:b/>
      <w:bCs/>
      <w:sz w:val="28"/>
      <w:szCs w:val="24"/>
      <w:lang w:val="en-US" w:eastAsia="zh-CN" w:bidi="ar-SA"/>
    </w:rPr>
  </w:style>
  <w:style w:type="character" w:styleId="959" w:customStyle="1">
    <w:name w:val="Char Char13"/>
    <w:uiPriority w:val="0"/>
    <w:qFormat/>
    <w:rPr>
      <w:rFonts w:ascii="Arial" w:hAnsi="Arial" w:cs="Arial"/>
      <w:b/>
      <w:bCs/>
      <w:sz w:val="32"/>
      <w:szCs w:val="32"/>
    </w:rPr>
  </w:style>
  <w:style w:type="character" w:styleId="960" w:customStyle="1">
    <w:name w:val="point_normal1"/>
    <w:uiPriority w:val="0"/>
    <w:qFormat/>
    <w:rPr>
      <w:rFonts w:hint="default" w:ascii="Arial" w:hAnsi="Arial"/>
      <w:sz w:val="18"/>
    </w:rPr>
  </w:style>
  <w:style w:type="character" w:styleId="961" w:customStyle="1">
    <w:name w:val="段 Char"/>
    <w:link w:val="962"/>
    <w:uiPriority w:val="0"/>
    <w:qFormat/>
    <w:rPr>
      <w:rFonts w:ascii="宋体" w:hAnsi="宋体"/>
      <w:sz w:val="21"/>
      <w:szCs w:val="22"/>
      <w:lang w:val="en-US" w:eastAsia="zh-CN" w:bidi="ar-SA"/>
    </w:rPr>
  </w:style>
  <w:style w:type="paragraph" w:styleId="962" w:customStyle="1">
    <w:name w:val="段"/>
    <w:link w:val="961"/>
    <w:uiPriority w:val="0"/>
    <w:qFormat/>
    <w:pPr>
      <w:ind w:firstLine="420"/>
      <w:jc w:val="both"/>
      <w:tabs>
        <w:tab w:val="center" w:pos="4201" w:leader="none"/>
        <w:tab w:val="right" w:pos="9298" w:leader="dot"/>
      </w:tabs>
    </w:pPr>
    <w:rPr>
      <w:rFonts w:ascii="宋体" w:hAnsi="宋体" w:eastAsia="宋体" w:cs="Times New Roman"/>
      <w:sz w:val="21"/>
      <w:szCs w:val="22"/>
      <w:lang w:val="en-US" w:eastAsia="zh-CN" w:bidi="ar-SA"/>
    </w:rPr>
  </w:style>
  <w:style w:type="character" w:styleId="963" w:customStyle="1">
    <w:name w:val="一级条标题 Char1"/>
    <w:link w:val="964"/>
    <w:uiPriority w:val="0"/>
    <w:qFormat/>
    <w:rPr>
      <w:rFonts w:ascii="黑体" w:hAnsi="黑体" w:eastAsia="黑体"/>
      <w:sz w:val="21"/>
      <w:szCs w:val="21"/>
      <w:lang w:val="en-US" w:eastAsia="zh-CN" w:bidi="ar-SA"/>
    </w:rPr>
  </w:style>
  <w:style w:type="paragraph" w:styleId="964" w:customStyle="1">
    <w:name w:val="一级条标题"/>
    <w:next w:val="962"/>
    <w:link w:val="963"/>
    <w:uiPriority w:val="0"/>
    <w:qFormat/>
    <w:pPr>
      <w:numPr>
        <w:ilvl w:val="1"/>
        <w:numId w:val="3"/>
      </w:numPr>
      <w:spacing w:before="156" w:after="156"/>
      <w:outlineLvl w:val="2"/>
    </w:pPr>
    <w:rPr>
      <w:rFonts w:ascii="黑体" w:hAnsi="黑体" w:eastAsia="黑体" w:cs="Times New Roman"/>
      <w:sz w:val="21"/>
      <w:szCs w:val="21"/>
      <w:lang w:val="en-US" w:eastAsia="zh-CN" w:bidi="ar-SA"/>
    </w:rPr>
  </w:style>
  <w:style w:type="character" w:styleId="965" w:customStyle="1">
    <w:name w:val="正文文本缩进 3 Char1"/>
    <w:uiPriority w:val="99"/>
    <w:semiHidden/>
    <w:qFormat/>
    <w:rPr>
      <w:sz w:val="16"/>
      <w:szCs w:val="16"/>
    </w:rPr>
  </w:style>
  <w:style w:type="character" w:styleId="966" w:customStyle="1">
    <w:name w:val="正文（标记） Char2"/>
    <w:link w:val="967"/>
    <w:uiPriority w:val="0"/>
    <w:qFormat/>
    <w:rPr>
      <w:sz w:val="24"/>
      <w:szCs w:val="24"/>
    </w:rPr>
  </w:style>
  <w:style w:type="paragraph" w:styleId="967" w:customStyle="1">
    <w:name w:val="正文（标记）"/>
    <w:basedOn w:val="866"/>
    <w:link w:val="966"/>
    <w:uiPriority w:val="0"/>
    <w:qFormat/>
    <w:pPr>
      <w:numPr>
        <w:ilvl w:val="0"/>
        <w:numId w:val="4"/>
      </w:numPr>
      <w:spacing w:before="156" w:after="156"/>
    </w:pPr>
    <w:rPr>
      <w:sz w:val="24"/>
      <w:szCs w:val="24"/>
    </w:rPr>
  </w:style>
  <w:style w:type="character" w:styleId="968" w:customStyle="1">
    <w:name w:val="Char Char11"/>
    <w:uiPriority w:val="0"/>
    <w:semiHidden/>
    <w:qFormat/>
    <w:rPr>
      <w:sz w:val="18"/>
      <w:szCs w:val="18"/>
    </w:rPr>
  </w:style>
  <w:style w:type="character" w:styleId="969" w:customStyle="1">
    <w:name w:val="Char Char81"/>
    <w:uiPriority w:val="0"/>
    <w:qFormat/>
    <w:rPr>
      <w:rFonts w:hint="eastAsia" w:ascii="楷体_GB2312" w:hAnsi="Times New Roman" w:eastAsia="楷体_GB2312" w:cs="Times New Roman"/>
      <w:b/>
      <w:bCs/>
      <w:sz w:val="28"/>
      <w:szCs w:val="24"/>
    </w:rPr>
  </w:style>
  <w:style w:type="character" w:styleId="970" w:customStyle="1">
    <w:name w:val="文档结构图 Char1"/>
    <w:uiPriority w:val="99"/>
    <w:semiHidden/>
    <w:qFormat/>
    <w:rPr>
      <w:rFonts w:ascii="宋体"/>
      <w:sz w:val="18"/>
      <w:szCs w:val="18"/>
    </w:rPr>
  </w:style>
  <w:style w:type="character" w:styleId="971" w:customStyle="1">
    <w:name w:val="Char Char51"/>
    <w:uiPriority w:val="0"/>
    <w:qFormat/>
    <w:rPr>
      <w:rFonts w:ascii="楷体_GB2312" w:eastAsia="楷体_GB2312"/>
      <w:b/>
      <w:bCs/>
      <w:sz w:val="28"/>
      <w:szCs w:val="24"/>
      <w:lang w:val="en-US" w:eastAsia="zh-CN" w:bidi="ar-SA"/>
    </w:rPr>
  </w:style>
  <w:style w:type="character" w:styleId="972" w:customStyle="1">
    <w:name w:val="Char Char111"/>
    <w:uiPriority w:val="0"/>
    <w:semiHidden/>
    <w:qFormat/>
    <w:rPr>
      <w:sz w:val="18"/>
      <w:szCs w:val="18"/>
    </w:rPr>
  </w:style>
  <w:style w:type="character" w:styleId="973" w:customStyle="1">
    <w:name w:val="副标题 Char1"/>
    <w:uiPriority w:val="11"/>
    <w:qFormat/>
    <w:rPr>
      <w:rFonts w:ascii="Cambria" w:hAnsi="Cambria" w:cs="Times New Roman"/>
      <w:b/>
      <w:bCs/>
      <w:sz w:val="32"/>
      <w:szCs w:val="32"/>
    </w:rPr>
  </w:style>
  <w:style w:type="character" w:styleId="974" w:customStyle="1">
    <w:name w:val="spelle"/>
    <w:uiPriority w:val="0"/>
    <w:qFormat/>
  </w:style>
  <w:style w:type="character" w:styleId="975" w:customStyle="1">
    <w:name w:val="Char Char5"/>
    <w:uiPriority w:val="0"/>
    <w:qFormat/>
    <w:rPr>
      <w:rFonts w:ascii="楷体_GB2312" w:eastAsia="楷体_GB2312"/>
      <w:b/>
      <w:bCs/>
      <w:sz w:val="28"/>
      <w:szCs w:val="24"/>
      <w:lang w:val="en-US" w:eastAsia="zh-CN" w:bidi="ar-SA"/>
    </w:rPr>
  </w:style>
  <w:style w:type="character" w:styleId="976" w:customStyle="1">
    <w:name w:val="Char Char8"/>
    <w:uiPriority w:val="0"/>
    <w:qFormat/>
    <w:rPr>
      <w:rFonts w:ascii="楷体_GB2312" w:hAnsi="Times New Roman" w:eastAsia="楷体_GB2312" w:cs="Times New Roman"/>
      <w:b/>
      <w:bCs/>
      <w:sz w:val="28"/>
      <w:szCs w:val="24"/>
    </w:rPr>
  </w:style>
  <w:style w:type="character" w:styleId="977" w:customStyle="1">
    <w:name w:val="Char Char3"/>
    <w:uiPriority w:val="0"/>
    <w:qFormat/>
    <w:rPr>
      <w:rFonts w:ascii="宋体" w:hAnsi="宋体" w:eastAsia="宋体"/>
      <w:sz w:val="21"/>
      <w:szCs w:val="24"/>
      <w:lang w:val="en-US" w:eastAsia="zh-CN" w:bidi="ar-SA"/>
    </w:rPr>
  </w:style>
  <w:style w:type="character" w:styleId="978" w:customStyle="1">
    <w:name w:val="加点正文缩进 Char"/>
    <w:link w:val="979"/>
    <w:uiPriority w:val="0"/>
    <w:qFormat/>
    <w:rPr>
      <w:sz w:val="24"/>
      <w:szCs w:val="24"/>
    </w:rPr>
  </w:style>
  <w:style w:type="paragraph" w:styleId="979" w:customStyle="1">
    <w:name w:val="加点正文缩进"/>
    <w:basedOn w:val="866"/>
    <w:link w:val="978"/>
    <w:uiPriority w:val="0"/>
    <w:qFormat/>
    <w:pPr>
      <w:spacing w:before="156" w:after="156" w:line="300" w:lineRule="auto"/>
      <w:tabs>
        <w:tab w:val="left" w:pos="360" w:leader="none"/>
        <w:tab w:val="left" w:pos="840" w:leader="none"/>
      </w:tabs>
    </w:pPr>
    <w:rPr>
      <w:sz w:val="24"/>
      <w:szCs w:val="24"/>
    </w:rPr>
  </w:style>
  <w:style w:type="character" w:styleId="980" w:customStyle="1">
    <w:name w:val="Char Char21"/>
    <w:uiPriority w:val="0"/>
    <w:qFormat/>
    <w:rPr>
      <w:b/>
      <w:bCs/>
      <w:sz w:val="44"/>
      <w:szCs w:val="44"/>
    </w:rPr>
  </w:style>
  <w:style w:type="character" w:styleId="981" w:customStyle="1">
    <w:name w:val="标题 Char1"/>
    <w:uiPriority w:val="10"/>
    <w:qFormat/>
    <w:rPr>
      <w:rFonts w:ascii="Cambria" w:hAnsi="Cambria" w:cs="Times New Roman"/>
      <w:b/>
      <w:bCs/>
      <w:sz w:val="32"/>
      <w:szCs w:val="32"/>
    </w:rPr>
  </w:style>
  <w:style w:type="character" w:styleId="982" w:customStyle="1">
    <w:name w:val="GW-标题4 Char"/>
    <w:link w:val="983"/>
    <w:uiPriority w:val="0"/>
    <w:qFormat/>
    <w:rPr>
      <w:rFonts w:ascii="仿宋_GB2312" w:eastAsia="仿宋_GB2312"/>
      <w:b/>
      <w:bCs/>
      <w:sz w:val="30"/>
      <w:szCs w:val="24"/>
    </w:rPr>
  </w:style>
  <w:style w:type="paragraph" w:styleId="983" w:customStyle="1">
    <w:name w:val="GW-标题4"/>
    <w:basedOn w:val="984"/>
    <w:link w:val="982"/>
    <w:uiPriority w:val="0"/>
    <w:qFormat/>
    <w:pPr>
      <w:spacing w:before="120" w:after="120"/>
      <w:outlineLvl w:val="3"/>
    </w:pPr>
    <w:rPr>
      <w:rFonts w:hAnsi="Times New Roman"/>
      <w:sz w:val="30"/>
    </w:rPr>
  </w:style>
  <w:style w:type="paragraph" w:styleId="984" w:customStyle="1">
    <w:name w:val="GW-标题3"/>
    <w:basedOn w:val="985"/>
    <w:uiPriority w:val="0"/>
    <w:qFormat/>
    <w:pPr>
      <w:spacing w:before="156" w:after="156"/>
      <w:outlineLvl w:val="2"/>
    </w:pPr>
    <w:rPr>
      <w:rFonts w:ascii="仿宋_GB2312"/>
      <w:sz w:val="32"/>
      <w:szCs w:val="24"/>
    </w:rPr>
  </w:style>
  <w:style w:type="paragraph" w:styleId="985" w:customStyle="1">
    <w:name w:val="GW-标题2"/>
    <w:basedOn w:val="986"/>
    <w:uiPriority w:val="0"/>
    <w:qFormat/>
    <w:pPr>
      <w:outlineLvl w:val="1"/>
    </w:pPr>
    <w:rPr>
      <w:sz w:val="36"/>
    </w:rPr>
  </w:style>
  <w:style w:type="paragraph" w:styleId="986" w:customStyle="1">
    <w:name w:val="GW-标题1"/>
    <w:basedOn w:val="867"/>
    <w:next w:val="866"/>
    <w:uiPriority w:val="0"/>
    <w:qFormat/>
    <w:pPr>
      <w:ind w:left="811" w:hanging="448"/>
      <w:spacing w:before="312" w:after="312" w:line="360" w:lineRule="auto"/>
    </w:pPr>
    <w:rPr>
      <w:rFonts w:ascii="Calibri" w:hAnsi="Calibri" w:eastAsia="仿宋_GB2312"/>
    </w:rPr>
  </w:style>
  <w:style w:type="character" w:styleId="987" w:customStyle="1">
    <w:name w:val="wj1"/>
    <w:uiPriority w:val="0"/>
    <w:qFormat/>
    <w:rPr>
      <w:dstrike/>
      <w:color w:val="000000"/>
      <w:sz w:val="18"/>
      <w:u w:val="none"/>
    </w:rPr>
  </w:style>
  <w:style w:type="character" w:styleId="988" w:customStyle="1">
    <w:name w:val="grame"/>
    <w:uiPriority w:val="0"/>
    <w:qFormat/>
  </w:style>
  <w:style w:type="character" w:styleId="989" w:customStyle="1">
    <w:name w:val="纯文本 Char1"/>
    <w:uiPriority w:val="0"/>
    <w:qFormat/>
    <w:rPr>
      <w:rFonts w:ascii="宋体" w:hAnsi="Courier New" w:eastAsia="宋体" w:cs="Times New Roman"/>
      <w:sz w:val="21"/>
      <w:szCs w:val="20"/>
    </w:rPr>
  </w:style>
  <w:style w:type="character" w:styleId="990" w:customStyle="1">
    <w:name w:val="qowt-font2"/>
    <w:uiPriority w:val="0"/>
    <w:qFormat/>
  </w:style>
  <w:style w:type="character" w:styleId="991" w:customStyle="1">
    <w:name w:val="正文文本 2 Char1"/>
    <w:uiPriority w:val="99"/>
    <w:semiHidden/>
    <w:qFormat/>
    <w:rPr>
      <w:sz w:val="21"/>
      <w:szCs w:val="22"/>
    </w:rPr>
  </w:style>
  <w:style w:type="character" w:styleId="992" w:customStyle="1">
    <w:name w:val="图表批注 Char"/>
    <w:link w:val="993"/>
    <w:uiPriority w:val="0"/>
    <w:qFormat/>
    <w:rPr>
      <w:rFonts w:ascii="宋体" w:hAnsi="宋体"/>
      <w:sz w:val="21"/>
      <w:szCs w:val="24"/>
      <w:lang w:eastAsia="en-US" w:bidi="en-US"/>
    </w:rPr>
  </w:style>
  <w:style w:type="paragraph" w:styleId="993" w:customStyle="1">
    <w:name w:val="图表批注"/>
    <w:basedOn w:val="938"/>
    <w:link w:val="992"/>
    <w:uiPriority w:val="0"/>
    <w:qFormat/>
    <w:pPr>
      <w:ind w:firstLine="0"/>
      <w:jc w:val="center"/>
    </w:pPr>
    <w:rPr>
      <w:sz w:val="21"/>
    </w:rPr>
  </w:style>
  <w:style w:type="character" w:styleId="994" w:customStyle="1">
    <w:name w:val="Char Char"/>
    <w:uiPriority w:val="0"/>
    <w:semiHidden/>
    <w:qFormat/>
    <w:rPr>
      <w:sz w:val="18"/>
      <w:szCs w:val="18"/>
    </w:rPr>
  </w:style>
  <w:style w:type="character" w:styleId="995" w:customStyle="1">
    <w:name w:val="标题 1 Char1"/>
    <w:uiPriority w:val="9"/>
    <w:qFormat/>
    <w:rPr>
      <w:b/>
      <w:bCs/>
      <w:sz w:val="44"/>
      <w:szCs w:val="44"/>
    </w:rPr>
  </w:style>
  <w:style w:type="character" w:styleId="996" w:customStyle="1">
    <w:name w:val="列出段落 Char"/>
    <w:link w:val="997"/>
    <w:uiPriority w:val="0"/>
    <w:qFormat/>
    <w:rPr>
      <w:sz w:val="24"/>
      <w:szCs w:val="24"/>
      <w:lang w:eastAsia="en-US" w:bidi="en-US"/>
    </w:rPr>
  </w:style>
  <w:style w:type="paragraph" w:styleId="997" w:customStyle="1">
    <w:name w:val="列出段落1"/>
    <w:basedOn w:val="866"/>
    <w:link w:val="996"/>
    <w:uiPriority w:val="0"/>
    <w:qFormat/>
    <w:pPr>
      <w:contextualSpacing/>
      <w:ind w:left="720"/>
      <w:jc w:val="left"/>
      <w:widowControl/>
    </w:pPr>
    <w:rPr>
      <w:sz w:val="24"/>
      <w:szCs w:val="24"/>
      <w:lang w:eastAsia="en-US" w:bidi="en-US"/>
    </w:rPr>
  </w:style>
  <w:style w:type="character" w:styleId="998" w:customStyle="1">
    <w:name w:val="日期 Char1"/>
    <w:uiPriority w:val="99"/>
    <w:semiHidden/>
    <w:qFormat/>
    <w:rPr>
      <w:sz w:val="21"/>
      <w:szCs w:val="22"/>
    </w:rPr>
  </w:style>
  <w:style w:type="character" w:styleId="999" w:customStyle="1">
    <w:name w:val="16"/>
    <w:uiPriority w:val="0"/>
    <w:qFormat/>
    <w:rPr>
      <w:rFonts w:hint="default" w:ascii="Calibri" w:hAnsi="Calibri" w:cs="Calibri"/>
    </w:rPr>
  </w:style>
  <w:style w:type="character" w:styleId="1000" w:customStyle="1">
    <w:name w:val="info4"/>
    <w:uiPriority w:val="0"/>
    <w:qFormat/>
  </w:style>
  <w:style w:type="character" w:styleId="1001" w:customStyle="1">
    <w:name w:val="Char Char6"/>
    <w:uiPriority w:val="0"/>
    <w:qFormat/>
    <w:rPr>
      <w:rFonts w:ascii="楷体_GB2312" w:hAnsi="宋体" w:eastAsia="楷体_GB2312"/>
      <w:b/>
      <w:bCs/>
      <w:spacing w:val="20"/>
      <w:sz w:val="36"/>
      <w:szCs w:val="24"/>
      <w:lang w:val="en-US" w:eastAsia="zh-CN" w:bidi="ar-SA"/>
    </w:rPr>
  </w:style>
  <w:style w:type="paragraph" w:styleId="1002" w:customStyle="1">
    <w:name w:val="xl53"/>
    <w:basedOn w:val="86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1003" w:customStyle="1">
    <w:name w:val="GW-标题7"/>
    <w:basedOn w:val="1004"/>
    <w:uiPriority w:val="0"/>
    <w:qFormat/>
    <w:pPr>
      <w:tabs>
        <w:tab w:val="left" w:pos="3000" w:leader="none"/>
        <w:tab w:val="left" w:pos="3420" w:leader="none"/>
      </w:tabs>
      <w:outlineLvl w:val="6"/>
    </w:pPr>
    <w:rPr>
      <w:sz w:val="21"/>
    </w:rPr>
  </w:style>
  <w:style w:type="paragraph" w:styleId="1004" w:customStyle="1">
    <w:name w:val="GW-标题6"/>
    <w:basedOn w:val="1005"/>
    <w:uiPriority w:val="0"/>
    <w:qFormat/>
    <w:pPr>
      <w:outlineLvl w:val="5"/>
    </w:pPr>
    <w:rPr>
      <w:sz w:val="24"/>
    </w:rPr>
  </w:style>
  <w:style w:type="paragraph" w:styleId="1005" w:customStyle="1">
    <w:name w:val="GW-标题5"/>
    <w:basedOn w:val="983"/>
    <w:uiPriority w:val="0"/>
    <w:qFormat/>
    <w:pPr>
      <w:ind w:left="0" w:firstLine="0"/>
      <w:outlineLvl w:val="4"/>
    </w:pPr>
    <w:rPr>
      <w:sz w:val="28"/>
    </w:rPr>
  </w:style>
  <w:style w:type="paragraph" w:styleId="1006" w:customStyle="1">
    <w:name w:val="xl69"/>
    <w:basedOn w:val="866"/>
    <w:uiPriority w:val="0"/>
    <w:qFormat/>
    <w:pPr>
      <w:jc w:val="center"/>
      <w:spacing w:before="100" w:beforeAutospacing="1" w:after="100" w:afterAutospacing="1"/>
      <w:widowControl/>
      <w:pBdr>
        <w:bottom w:val="single" w:color="auto" w:sz="4" w:space="0"/>
      </w:pBdr>
    </w:pPr>
    <w:rPr>
      <w:rFonts w:ascii="黑体" w:hAnsi="宋体" w:eastAsia="黑体" w:cs="宋体"/>
      <w:b/>
      <w:bCs/>
      <w:color w:val="000000"/>
      <w:sz w:val="28"/>
      <w:szCs w:val="28"/>
    </w:rPr>
  </w:style>
  <w:style w:type="paragraph" w:styleId="1007" w:customStyle="1">
    <w:name w:val="xl52"/>
    <w:basedOn w:val="86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仿宋_GB2312" w:hAnsi="ˎ̥" w:eastAsia="仿宋_GB2312"/>
      <w:b/>
      <w:i/>
      <w:spacing w:val="15"/>
      <w:sz w:val="20"/>
      <w:szCs w:val="20"/>
    </w:rPr>
  </w:style>
  <w:style w:type="paragraph" w:styleId="1008" w:customStyle="1">
    <w:name w:val="qowt-li-329519585_0"/>
    <w:basedOn w:val="866"/>
    <w:uiPriority w:val="0"/>
    <w:qFormat/>
    <w:pPr>
      <w:jc w:val="left"/>
      <w:spacing w:before="100" w:beforeAutospacing="1" w:after="100" w:afterAutospacing="1"/>
      <w:widowControl/>
    </w:pPr>
    <w:rPr>
      <w:rFonts w:ascii="宋体" w:hAnsi="宋体" w:cs="宋体"/>
      <w:sz w:val="24"/>
      <w:szCs w:val="24"/>
    </w:rPr>
  </w:style>
  <w:style w:type="paragraph" w:styleId="1009" w:customStyle="1">
    <w:name w:val="xl43"/>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仿宋_GB2312"/>
      <w:b/>
      <w:spacing w:val="15"/>
      <w:sz w:val="20"/>
      <w:szCs w:val="20"/>
    </w:rPr>
  </w:style>
  <w:style w:type="paragraph" w:styleId="1010" w:customStyle="1">
    <w:name w:val="xl115"/>
    <w:basedOn w:val="866"/>
    <w:uiPriority w:val="0"/>
    <w:qFormat/>
    <w:pPr>
      <w:jc w:val="right"/>
      <w:spacing w:before="100" w:beforeAutospacing="1" w:after="100" w:afterAutospacing="1"/>
      <w:widowControl/>
      <w:pBdr>
        <w:top w:val="single" w:color="auto" w:sz="8" w:space="0"/>
        <w:left w:val="single" w:color="auto" w:sz="8" w:space="0"/>
        <w:bottom w:val="single" w:color="auto" w:sz="8" w:space="0"/>
      </w:pBdr>
    </w:pPr>
    <w:rPr>
      <w:rFonts w:ascii="黑体" w:hAnsi="宋体" w:eastAsia="黑体" w:cs="宋体"/>
      <w:b/>
      <w:bCs/>
      <w:sz w:val="32"/>
      <w:szCs w:val="32"/>
    </w:rPr>
  </w:style>
  <w:style w:type="paragraph" w:styleId="1011" w:customStyle="1">
    <w:name w:val="纯文本2"/>
    <w:basedOn w:val="866"/>
    <w:uiPriority w:val="0"/>
    <w:qFormat/>
    <w:rPr>
      <w:rFonts w:ascii="宋体" w:hAnsi="Courier New" w:eastAsia="楷体_GB2312"/>
      <w:sz w:val="28"/>
      <w:szCs w:val="20"/>
    </w:rPr>
  </w:style>
  <w:style w:type="paragraph" w:styleId="1012" w:customStyle="1">
    <w:name w:val="样式 标题 2标题 2 Char Char + 段前: 0.5 行 段后: 0.5 行1"/>
    <w:basedOn w:val="868"/>
    <w:uiPriority w:val="0"/>
    <w:qFormat/>
    <w:pPr>
      <w:ind w:left="780" w:hanging="360"/>
      <w:jc w:val="left"/>
      <w:spacing w:before="0" w:after="0" w:line="540" w:lineRule="exact"/>
      <w:tabs>
        <w:tab w:val="left" w:pos="780" w:leader="none"/>
      </w:tabs>
    </w:pPr>
    <w:rPr>
      <w:rFonts w:ascii="Times New Roman" w:hAnsi="Times New Roman"/>
      <w:bCs w:val="0"/>
      <w:spacing w:val="15"/>
      <w:szCs w:val="20"/>
    </w:rPr>
  </w:style>
  <w:style w:type="paragraph" w:styleId="1013" w:customStyle="1">
    <w:name w:val="xl45"/>
    <w:basedOn w:val="86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仿宋_GB2312"/>
      <w:b/>
      <w:spacing w:val="15"/>
      <w:sz w:val="20"/>
      <w:szCs w:val="20"/>
    </w:rPr>
  </w:style>
  <w:style w:type="paragraph" w:styleId="1014" w:customStyle="1">
    <w:name w:val="xl35"/>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015" w:customStyle="1">
    <w:name w:val="Char1 Char Char Char Char Char Char Char Char Char"/>
    <w:basedOn w:val="866"/>
    <w:uiPriority w:val="0"/>
    <w:qFormat/>
    <w:rPr>
      <w:szCs w:val="20"/>
    </w:rPr>
  </w:style>
  <w:style w:type="paragraph" w:styleId="1016" w:customStyle="1">
    <w:name w:val="xl48"/>
    <w:basedOn w:val="8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ˎ̥" w:eastAsia="仿宋_GB2312"/>
      <w:b/>
      <w:spacing w:val="15"/>
      <w:sz w:val="20"/>
      <w:szCs w:val="20"/>
    </w:rPr>
  </w:style>
  <w:style w:type="paragraph" w:styleId="1017" w:customStyle="1">
    <w:name w:val="项目符号1 Char"/>
    <w:basedOn w:val="866"/>
    <w:uiPriority w:val="0"/>
    <w:qFormat/>
    <w:pPr>
      <w:ind w:left="420" w:hanging="420"/>
      <w:jc w:val="left"/>
      <w:spacing w:line="360" w:lineRule="auto"/>
      <w:tabs>
        <w:tab w:val="left" w:pos="420" w:leader="none"/>
      </w:tabs>
    </w:pPr>
    <w:rPr>
      <w:sz w:val="24"/>
      <w:szCs w:val="24"/>
    </w:rPr>
  </w:style>
  <w:style w:type="paragraph" w:styleId="1018" w:customStyle="1">
    <w:name w:val="xl116"/>
    <w:basedOn w:val="866"/>
    <w:uiPriority w:val="0"/>
    <w:qFormat/>
    <w:pPr>
      <w:jc w:val="right"/>
      <w:spacing w:before="100" w:beforeAutospacing="1" w:after="100" w:afterAutospacing="1"/>
      <w:widowControl/>
      <w:pBdr>
        <w:top w:val="single" w:color="auto" w:sz="8" w:space="0"/>
        <w:bottom w:val="single" w:color="auto" w:sz="8" w:space="0"/>
      </w:pBdr>
    </w:pPr>
    <w:rPr>
      <w:rFonts w:ascii="黑体" w:hAnsi="宋体" w:eastAsia="黑体" w:cs="宋体"/>
      <w:b/>
      <w:bCs/>
      <w:sz w:val="32"/>
      <w:szCs w:val="32"/>
    </w:rPr>
  </w:style>
  <w:style w:type="paragraph" w:styleId="1019" w:customStyle="1">
    <w:name w:val="xl82"/>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020" w:customStyle="1">
    <w:name w:val="项目排列"/>
    <w:basedOn w:val="866"/>
    <w:uiPriority w:val="0"/>
    <w:qFormat/>
    <w:pPr>
      <w:numPr>
        <w:ilvl w:val="0"/>
        <w:numId w:val="5"/>
      </w:numPr>
      <w:spacing w:before="156" w:after="156" w:line="300" w:lineRule="auto"/>
    </w:pPr>
    <w:rPr>
      <w:sz w:val="24"/>
      <w:szCs w:val="24"/>
    </w:rPr>
  </w:style>
  <w:style w:type="paragraph" w:styleId="1021" w:customStyle="1">
    <w:name w:val="样式7"/>
    <w:basedOn w:val="866"/>
    <w:uiPriority w:val="0"/>
    <w:qFormat/>
    <w:pPr>
      <w:jc w:val="center"/>
      <w:spacing w:line="480" w:lineRule="exact"/>
    </w:pPr>
    <w:rPr>
      <w:rFonts w:eastAsia="方正大标宋简体"/>
      <w:spacing w:val="6"/>
      <w:sz w:val="44"/>
      <w:szCs w:val="20"/>
    </w:rPr>
  </w:style>
  <w:style w:type="paragraph" w:styleId="1022" w:customStyle="1">
    <w:name w:val="xl29"/>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023" w:customStyle="1">
    <w:name w:val="xl31"/>
    <w:basedOn w:val="86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仿宋_GB2312"/>
      <w:color w:val="000000"/>
      <w:spacing w:val="15"/>
      <w:sz w:val="18"/>
      <w:szCs w:val="20"/>
    </w:rPr>
  </w:style>
  <w:style w:type="paragraph" w:styleId="1024" w:customStyle="1">
    <w:name w:val="xl96"/>
    <w:basedOn w:val="86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黑体" w:hAnsi="宋体" w:eastAsia="黑体" w:cs="宋体"/>
      <w:b/>
      <w:bCs/>
      <w:sz w:val="32"/>
      <w:szCs w:val="32"/>
    </w:rPr>
  </w:style>
  <w:style w:type="paragraph" w:styleId="1025" w:customStyle="1">
    <w:name w:val="xl119"/>
    <w:basedOn w:val="866"/>
    <w:uiPriority w:val="0"/>
    <w:qFormat/>
    <w:pPr>
      <w:jc w:val="center"/>
      <w:spacing w:before="100" w:beforeAutospacing="1" w:after="100" w:afterAutospacing="1"/>
      <w:widowControl/>
    </w:pPr>
    <w:rPr>
      <w:rFonts w:ascii="宋体" w:hAnsi="宋体" w:cs="宋体"/>
      <w:sz w:val="18"/>
      <w:szCs w:val="18"/>
    </w:rPr>
  </w:style>
  <w:style w:type="paragraph" w:styleId="1026" w:customStyle="1">
    <w:name w:val="font0"/>
    <w:basedOn w:val="866"/>
    <w:uiPriority w:val="0"/>
    <w:qFormat/>
    <w:pPr>
      <w:jc w:val="left"/>
      <w:spacing w:before="100" w:beforeAutospacing="1" w:after="100" w:afterAutospacing="1"/>
      <w:widowControl/>
    </w:pPr>
    <w:rPr>
      <w:rFonts w:hint="eastAsia" w:ascii="宋体" w:hAnsi="宋体" w:eastAsia="仿宋_GB2312"/>
      <w:spacing w:val="15"/>
      <w:sz w:val="24"/>
      <w:szCs w:val="20"/>
    </w:rPr>
  </w:style>
  <w:style w:type="paragraph" w:styleId="1027" w:customStyle="1">
    <w:name w:val="xl72"/>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黑体" w:hAnsi="宋体" w:eastAsia="黑体" w:cs="宋体"/>
      <w:b/>
      <w:bCs/>
      <w:color w:val="000000"/>
      <w:sz w:val="28"/>
      <w:szCs w:val="28"/>
    </w:rPr>
  </w:style>
  <w:style w:type="paragraph" w:styleId="1028" w:customStyle="1">
    <w:name w:val="xl78"/>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color w:val="000000"/>
      <w:sz w:val="28"/>
      <w:szCs w:val="28"/>
    </w:rPr>
  </w:style>
  <w:style w:type="paragraph" w:styleId="1029" w:customStyle="1">
    <w:name w:val="xl50"/>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ˎ̥" w:eastAsia="仿宋_GB2312"/>
      <w:b/>
      <w:spacing w:val="15"/>
      <w:sz w:val="20"/>
      <w:szCs w:val="20"/>
    </w:rPr>
  </w:style>
  <w:style w:type="paragraph" w:styleId="1030" w:customStyle="1">
    <w:name w:val="xl40"/>
    <w:basedOn w:val="866"/>
    <w:uiPriority w:val="0"/>
    <w:qFormat/>
    <w:pPr>
      <w:jc w:val="left"/>
      <w:spacing w:before="100" w:beforeAutospacing="1" w:after="100" w:afterAutospacing="1"/>
      <w:widowControl/>
      <w:pBdr>
        <w:right w:val="single" w:color="auto" w:sz="4" w:space="0"/>
      </w:pBdr>
    </w:pPr>
    <w:rPr>
      <w:rFonts w:ascii="Arial Unicode MS" w:hAnsi="Arial Unicode MS" w:eastAsia="仿宋_GB2312"/>
      <w:spacing w:val="15"/>
      <w:sz w:val="24"/>
      <w:szCs w:val="20"/>
    </w:rPr>
  </w:style>
  <w:style w:type="paragraph" w:styleId="1031" w:customStyle="1">
    <w:name w:val="font13"/>
    <w:basedOn w:val="866"/>
    <w:uiPriority w:val="0"/>
    <w:qFormat/>
    <w:pPr>
      <w:jc w:val="left"/>
      <w:spacing w:before="100" w:beforeAutospacing="1" w:after="100" w:afterAutospacing="1"/>
      <w:widowControl/>
    </w:pPr>
    <w:rPr>
      <w:rFonts w:ascii="仿宋_GB2312" w:hAnsi="ˎ̥" w:eastAsia="仿宋_GB2312"/>
      <w:i/>
      <w:spacing w:val="15"/>
      <w:sz w:val="36"/>
      <w:szCs w:val="20"/>
    </w:rPr>
  </w:style>
  <w:style w:type="paragraph" w:styleId="1032" w:customStyle="1">
    <w:name w:val="xl39"/>
    <w:basedOn w:val="866"/>
    <w:uiPriority w:val="0"/>
    <w:qFormat/>
    <w:pPr>
      <w:jc w:val="left"/>
      <w:spacing w:before="100" w:beforeAutospacing="1" w:after="100" w:afterAutospacing="1"/>
      <w:widowControl/>
      <w:pBdr>
        <w:top w:val="single" w:color="auto" w:sz="4" w:space="0"/>
        <w:right w:val="single" w:color="auto" w:sz="4" w:space="0"/>
      </w:pBdr>
    </w:pPr>
    <w:rPr>
      <w:rFonts w:ascii="Arial Unicode MS" w:hAnsi="Arial Unicode MS" w:eastAsia="仿宋_GB2312"/>
      <w:spacing w:val="15"/>
      <w:sz w:val="20"/>
      <w:szCs w:val="20"/>
    </w:rPr>
  </w:style>
  <w:style w:type="paragraph" w:styleId="1033" w:customStyle="1">
    <w:name w:val="xl86"/>
    <w:basedOn w:val="866"/>
    <w:uiPriority w:val="0"/>
    <w:qFormat/>
    <w:pPr>
      <w:jc w:val="center"/>
      <w:spacing w:before="100" w:beforeAutospacing="1" w:after="100" w:afterAutospacing="1"/>
      <w:widowControl/>
      <w:pBdr>
        <w:top w:val="single" w:color="000000" w:sz="4" w:space="0"/>
        <w:left w:val="single" w:color="auto" w:sz="8" w:space="0"/>
        <w:right w:val="single" w:color="000000" w:sz="4" w:space="0"/>
      </w:pBdr>
    </w:pPr>
    <w:rPr>
      <w:rFonts w:ascii="宋体" w:hAnsi="宋体" w:cs="宋体"/>
      <w:sz w:val="18"/>
      <w:szCs w:val="18"/>
    </w:rPr>
  </w:style>
  <w:style w:type="paragraph" w:styleId="1034" w:customStyle="1">
    <w:name w:val="Char1 Char Char Char2"/>
    <w:basedOn w:val="866"/>
    <w:uiPriority w:val="0"/>
    <w:qFormat/>
    <w:rPr>
      <w:rFonts w:ascii="Tahoma" w:hAnsi="Tahoma"/>
      <w:sz w:val="24"/>
      <w:szCs w:val="20"/>
    </w:rPr>
  </w:style>
  <w:style w:type="paragraph" w:styleId="1035" w:customStyle="1">
    <w:name w:val="xl65"/>
    <w:basedOn w:val="866"/>
    <w:uiPriority w:val="0"/>
    <w:qFormat/>
    <w:pPr>
      <w:jc w:val="center"/>
      <w:spacing w:before="100" w:beforeAutospacing="1" w:after="100" w:afterAutospacing="1"/>
      <w:widowControl/>
      <w:pBdr>
        <w:top w:val="single" w:color="000000" w:sz="4" w:space="0"/>
        <w:left w:val="single" w:color="auto" w:sz="4" w:space="0"/>
        <w:bottom w:val="single" w:color="auto" w:sz="4" w:space="0"/>
      </w:pBdr>
    </w:pPr>
    <w:rPr>
      <w:rFonts w:ascii="黑体" w:hAnsi="宋体" w:eastAsia="黑体" w:cs="宋体"/>
      <w:b/>
      <w:bCs/>
      <w:color w:val="000000"/>
      <w:sz w:val="28"/>
      <w:szCs w:val="28"/>
    </w:rPr>
  </w:style>
  <w:style w:type="paragraph" w:styleId="1036" w:customStyle="1">
    <w:name w:val="font11"/>
    <w:basedOn w:val="866"/>
    <w:uiPriority w:val="0"/>
    <w:qFormat/>
    <w:pPr>
      <w:jc w:val="left"/>
      <w:spacing w:before="100" w:beforeAutospacing="1" w:after="100" w:afterAutospacing="1"/>
      <w:widowControl/>
    </w:pPr>
    <w:rPr>
      <w:rFonts w:ascii="仿宋_GB2312" w:hAnsi="ˎ̥" w:eastAsia="仿宋_GB2312"/>
      <w:b/>
      <w:spacing w:val="15"/>
      <w:sz w:val="18"/>
      <w:szCs w:val="20"/>
    </w:rPr>
  </w:style>
  <w:style w:type="paragraph" w:styleId="1037" w:customStyle="1">
    <w:name w:val="xl84"/>
    <w:basedOn w:val="86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038" w:customStyle="1">
    <w:name w:val="Char Char Char Char Char Char Char Char Char Char Char Char Char"/>
    <w:basedOn w:val="866"/>
    <w:uiPriority w:val="0"/>
    <w:qFormat/>
    <w:pPr>
      <w:jc w:val="left"/>
      <w:spacing w:after="160" w:line="240" w:lineRule="exact"/>
      <w:widowControl/>
    </w:pPr>
    <w:rPr>
      <w:rFonts w:ascii="Verdana" w:hAnsi="Verdana"/>
      <w:sz w:val="20"/>
      <w:szCs w:val="20"/>
      <w:lang w:eastAsia="en-US"/>
    </w:rPr>
  </w:style>
  <w:style w:type="paragraph" w:styleId="1039" w:customStyle="1">
    <w:name w:val="正文缩进1"/>
    <w:basedOn w:val="866"/>
    <w:uiPriority w:val="0"/>
    <w:qFormat/>
    <w:pPr>
      <w:ind w:firstLine="420"/>
      <w:jc w:val="left"/>
      <w:widowControl/>
    </w:pPr>
  </w:style>
  <w:style w:type="paragraph" w:styleId="1040" w:customStyle="1">
    <w:name w:val="xl66"/>
    <w:basedOn w:val="866"/>
    <w:uiPriority w:val="0"/>
    <w:qFormat/>
    <w:pPr>
      <w:jc w:val="center"/>
      <w:spacing w:before="100" w:beforeAutospacing="1" w:after="100" w:afterAutospacing="1"/>
      <w:widowControl/>
      <w:pBdr>
        <w:top w:val="single" w:color="000000" w:sz="4" w:space="0"/>
        <w:bottom w:val="single" w:color="auto" w:sz="4" w:space="0"/>
      </w:pBdr>
    </w:pPr>
    <w:rPr>
      <w:rFonts w:ascii="黑体" w:hAnsi="宋体" w:eastAsia="黑体" w:cs="宋体"/>
      <w:b/>
      <w:bCs/>
      <w:color w:val="000000"/>
      <w:sz w:val="28"/>
      <w:szCs w:val="28"/>
    </w:rPr>
  </w:style>
  <w:style w:type="paragraph" w:styleId="1041" w:customStyle="1">
    <w:name w:val="xl30"/>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042" w:customStyle="1">
    <w:name w:val="font12"/>
    <w:basedOn w:val="866"/>
    <w:uiPriority w:val="0"/>
    <w:qFormat/>
    <w:pPr>
      <w:jc w:val="left"/>
      <w:spacing w:before="100" w:beforeAutospacing="1" w:after="100" w:afterAutospacing="1"/>
      <w:widowControl/>
    </w:pPr>
    <w:rPr>
      <w:rFonts w:hint="eastAsia" w:ascii="宋体" w:hAnsi="宋体" w:eastAsia="仿宋_GB2312"/>
      <w:spacing w:val="15"/>
      <w:sz w:val="36"/>
      <w:szCs w:val="20"/>
    </w:rPr>
  </w:style>
  <w:style w:type="paragraph" w:styleId="1043" w:customStyle="1">
    <w:name w:val="三级条标题"/>
    <w:basedOn w:val="1044"/>
    <w:next w:val="962"/>
    <w:uiPriority w:val="0"/>
    <w:qFormat/>
    <w:pPr>
      <w:ind w:left="1680"/>
      <w:tabs>
        <w:tab w:val="left" w:pos="360" w:leader="none"/>
        <w:tab w:val="left" w:pos="1260" w:leader="none"/>
        <w:tab w:val="left" w:pos="1680" w:leader="none"/>
      </w:tabs>
      <w:outlineLvl w:val="4"/>
    </w:pPr>
  </w:style>
  <w:style w:type="paragraph" w:styleId="1044" w:customStyle="1">
    <w:name w:val="二级条标题"/>
    <w:basedOn w:val="964"/>
    <w:next w:val="962"/>
    <w:uiPriority w:val="0"/>
    <w:qFormat/>
    <w:pPr>
      <w:ind w:left="284" w:hanging="420"/>
      <w:tabs>
        <w:tab w:val="left" w:pos="1260" w:leader="none"/>
      </w:tabs>
      <w:outlineLvl w:val="3"/>
    </w:pPr>
  </w:style>
  <w:style w:type="paragraph" w:styleId="1045" w:customStyle="1">
    <w:name w:val="GP标题3"/>
    <w:basedOn w:val="866"/>
    <w:next w:val="866"/>
    <w:uiPriority w:val="0"/>
    <w:qFormat/>
    <w:pPr>
      <w:jc w:val="left"/>
      <w:spacing w:before="156" w:after="156" w:line="360" w:lineRule="auto"/>
      <w:outlineLvl w:val="2"/>
    </w:pPr>
    <w:rPr>
      <w:rFonts w:ascii="华文细黑" w:hAnsi="华文细黑"/>
      <w:b/>
      <w:sz w:val="30"/>
      <w:szCs w:val="21"/>
    </w:rPr>
  </w:style>
  <w:style w:type="paragraph" w:styleId="1046" w:customStyle="1">
    <w:name w:val="xl70"/>
    <w:basedOn w:val="866"/>
    <w:uiPriority w:val="0"/>
    <w:qFormat/>
    <w:pPr>
      <w:jc w:val="center"/>
      <w:spacing w:before="100" w:beforeAutospacing="1" w:after="100" w:afterAutospacing="1"/>
      <w:widowControl/>
      <w:pBdr>
        <w:bottom w:val="single" w:color="auto" w:sz="4" w:space="0"/>
        <w:right w:val="single" w:color="auto" w:sz="4" w:space="0"/>
      </w:pBdr>
    </w:pPr>
    <w:rPr>
      <w:rFonts w:ascii="黑体" w:hAnsi="宋体" w:eastAsia="黑体" w:cs="宋体"/>
      <w:b/>
      <w:bCs/>
      <w:color w:val="000000"/>
      <w:sz w:val="28"/>
      <w:szCs w:val="28"/>
    </w:rPr>
  </w:style>
  <w:style w:type="paragraph" w:styleId="1047" w:customStyle="1">
    <w:name w:val="xl113"/>
    <w:basedOn w:val="866"/>
    <w:uiPriority w:val="0"/>
    <w:qFormat/>
    <w:pPr>
      <w:jc w:val="center"/>
      <w:spacing w:before="100" w:beforeAutospacing="1" w:after="100" w:afterAutospacing="1"/>
      <w:widowControl/>
      <w:pBdr>
        <w:top w:val="single" w:color="auto" w:sz="8" w:space="0"/>
        <w:bottom w:val="single" w:color="auto" w:sz="8" w:space="0"/>
      </w:pBdr>
    </w:pPr>
    <w:rPr>
      <w:rFonts w:ascii="黑体" w:hAnsi="宋体" w:eastAsia="黑体" w:cs="宋体"/>
      <w:b/>
      <w:bCs/>
      <w:sz w:val="32"/>
      <w:szCs w:val="32"/>
    </w:rPr>
  </w:style>
  <w:style w:type="paragraph" w:styleId="1048" w:customStyle="1">
    <w:name w:val="样式1"/>
    <w:basedOn w:val="866"/>
    <w:uiPriority w:val="0"/>
    <w:qFormat/>
    <w:pPr>
      <w:ind w:firstLine="584"/>
      <w:spacing w:line="480" w:lineRule="exact"/>
    </w:pPr>
    <w:rPr>
      <w:spacing w:val="6"/>
      <w:sz w:val="28"/>
      <w:szCs w:val="20"/>
    </w:rPr>
  </w:style>
  <w:style w:type="paragraph" w:styleId="1049" w:customStyle="1">
    <w:name w:val="Char Char Char Char Char Char Char Char Char Char2"/>
    <w:basedOn w:val="866"/>
    <w:uiPriority w:val="0"/>
    <w:qFormat/>
    <w:rPr>
      <w:rFonts w:ascii="仿宋_GB2312" w:hAnsi="ˎ̥" w:eastAsia="仿宋_GB2312"/>
      <w:spacing w:val="15"/>
      <w:sz w:val="28"/>
      <w:szCs w:val="20"/>
    </w:rPr>
  </w:style>
  <w:style w:type="paragraph" w:styleId="1050" w:customStyle="1">
    <w:name w:val="样式 标题 2标题 2 Char Char子子系统子系统1子系统2子系统3子系统4子系统11子系统21子系统..."/>
    <w:basedOn w:val="868"/>
    <w:uiPriority w:val="0"/>
    <w:qFormat/>
    <w:pPr>
      <w:numPr>
        <w:ilvl w:val="1"/>
        <w:numId w:val="6"/>
      </w:numPr>
      <w:spacing w:before="0" w:after="0" w:line="240" w:lineRule="auto"/>
      <w:tabs>
        <w:tab w:val="left" w:pos="360" w:leader="none"/>
      </w:tabs>
    </w:pPr>
    <w:rPr>
      <w:rFonts w:ascii="Arial" w:hAnsi="Arial" w:eastAsia="黑体"/>
      <w:bCs w:val="0"/>
      <w:spacing w:val="15"/>
      <w:sz w:val="30"/>
      <w:szCs w:val="20"/>
    </w:rPr>
  </w:style>
  <w:style w:type="paragraph" w:styleId="1051" w:customStyle="1">
    <w:name w:val="样式8"/>
    <w:basedOn w:val="866"/>
    <w:uiPriority w:val="0"/>
    <w:qFormat/>
    <w:pPr>
      <w:jc w:val="left"/>
      <w:widowControl/>
    </w:pPr>
    <w:rPr>
      <w:rFonts w:ascii="宋体"/>
      <w:sz w:val="24"/>
      <w:szCs w:val="20"/>
    </w:rPr>
  </w:style>
  <w:style w:type="paragraph" w:styleId="1052" w:customStyle="1">
    <w:name w:val="xl81"/>
    <w:basedOn w:val="866"/>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1053" w:customStyle="1">
    <w:name w:val="xl58"/>
    <w:basedOn w:val="866"/>
    <w:uiPriority w:val="0"/>
    <w:qFormat/>
    <w:pPr>
      <w:jc w:val="center"/>
      <w:spacing w:before="100" w:beforeAutospacing="1" w:after="100" w:afterAutospacing="1"/>
      <w:widowControl/>
      <w:pBdr>
        <w:left w:val="single" w:color="auto" w:sz="4" w:space="0"/>
        <w:right w:val="single" w:color="auto" w:sz="4" w:space="0"/>
      </w:pBdr>
    </w:pPr>
    <w:rPr>
      <w:rFonts w:ascii="仿宋_GB2312" w:hAnsi="ˎ̥" w:eastAsia="仿宋_GB2312"/>
      <w:b/>
      <w:i/>
      <w:spacing w:val="15"/>
      <w:sz w:val="20"/>
      <w:szCs w:val="20"/>
    </w:rPr>
  </w:style>
  <w:style w:type="paragraph" w:styleId="1054" w:customStyle="1">
    <w:name w:val="xl103"/>
    <w:basedOn w:val="866"/>
    <w:uiPriority w:val="0"/>
    <w:qFormat/>
    <w:pPr>
      <w:jc w:val="center"/>
      <w:spacing w:before="100" w:beforeAutospacing="1" w:after="100" w:afterAutospacing="1"/>
      <w:widowControl/>
      <w:pBdr>
        <w:top w:val="single" w:color="auto" w:sz="8" w:space="0"/>
        <w:bottom w:val="single" w:color="auto" w:sz="4" w:space="0"/>
        <w:right w:val="single" w:color="auto" w:sz="8" w:space="0"/>
      </w:pBdr>
    </w:pPr>
    <w:rPr>
      <w:rFonts w:ascii="黑体" w:hAnsi="宋体" w:eastAsia="黑体" w:cs="宋体"/>
      <w:b/>
      <w:bCs/>
      <w:sz w:val="32"/>
      <w:szCs w:val="32"/>
    </w:rPr>
  </w:style>
  <w:style w:type="paragraph" w:styleId="1055" w:customStyle="1">
    <w:name w:val="xl101"/>
    <w:basedOn w:val="866"/>
    <w:uiPriority w:val="0"/>
    <w:qFormat/>
    <w:pPr>
      <w:jc w:val="center"/>
      <w:spacing w:before="100" w:beforeAutospacing="1" w:after="100" w:afterAutospacing="1"/>
      <w:widowControl/>
      <w:pBdr>
        <w:top w:val="single" w:color="auto" w:sz="8" w:space="0"/>
        <w:left w:val="single" w:color="auto" w:sz="8" w:space="0"/>
        <w:bottom w:val="single" w:color="auto" w:sz="4" w:space="0"/>
      </w:pBdr>
    </w:pPr>
    <w:rPr>
      <w:rFonts w:ascii="黑体" w:hAnsi="宋体" w:eastAsia="黑体" w:cs="宋体"/>
      <w:b/>
      <w:bCs/>
      <w:sz w:val="32"/>
      <w:szCs w:val="32"/>
    </w:rPr>
  </w:style>
  <w:style w:type="paragraph" w:styleId="1056" w:customStyle="1">
    <w:name w:val="qowt-stl-普通正文"/>
    <w:basedOn w:val="866"/>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83"/>
    <w:basedOn w:val="86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1058" w:customStyle="1">
    <w:name w:val="xl63"/>
    <w:basedOn w:val="8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仿宋_GB2312" w:hAnsi="ˎ̥" w:eastAsia="仿宋_GB2312"/>
      <w:b/>
      <w:spacing w:val="15"/>
      <w:sz w:val="20"/>
      <w:szCs w:val="20"/>
    </w:rPr>
  </w:style>
  <w:style w:type="paragraph" w:styleId="1059" w:customStyle="1">
    <w:name w:val="Char Char Char Char Char Char Char"/>
    <w:basedOn w:val="866"/>
    <w:uiPriority w:val="0"/>
    <w:qFormat/>
    <w:pPr>
      <w:jc w:val="left"/>
      <w:spacing w:after="160" w:line="240" w:lineRule="exact"/>
      <w:widowControl/>
    </w:pPr>
    <w:rPr>
      <w:rFonts w:ascii="Arial" w:hAnsi="Arial" w:eastAsia="Times New Roman" w:cs="Verdana"/>
      <w:b/>
      <w:sz w:val="24"/>
      <w:szCs w:val="24"/>
      <w:lang w:eastAsia="en-US"/>
    </w:rPr>
  </w:style>
  <w:style w:type="paragraph" w:styleId="1060" w:customStyle="1">
    <w:name w:val="xl88"/>
    <w:basedOn w:val="866"/>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1061" w:customStyle="1">
    <w:name w:val="HPC正文"/>
    <w:basedOn w:val="866"/>
    <w:uiPriority w:val="0"/>
    <w:qFormat/>
    <w:pPr>
      <w:ind w:firstLine="424"/>
      <w:spacing w:line="360" w:lineRule="auto"/>
    </w:pPr>
    <w:rPr>
      <w:sz w:val="24"/>
      <w:szCs w:val="24"/>
    </w:rPr>
  </w:style>
  <w:style w:type="paragraph" w:styleId="1062" w:customStyle="1">
    <w:name w:val="xl106"/>
    <w:basedOn w:val="866"/>
    <w:uiPriority w:val="0"/>
    <w:qFormat/>
    <w:pPr>
      <w:jc w:val="right"/>
      <w:spacing w:before="100" w:beforeAutospacing="1" w:after="100" w:afterAutospacing="1"/>
      <w:widowControl/>
      <w:pBdr>
        <w:top w:val="single" w:color="auto" w:sz="4" w:space="0"/>
        <w:bottom w:val="single" w:color="auto" w:sz="8" w:space="0"/>
        <w:right w:val="single" w:color="auto" w:sz="4" w:space="0"/>
      </w:pBdr>
    </w:pPr>
    <w:rPr>
      <w:rFonts w:ascii="黑体" w:hAnsi="宋体" w:eastAsia="黑体" w:cs="宋体"/>
      <w:b/>
      <w:bCs/>
      <w:sz w:val="32"/>
      <w:szCs w:val="32"/>
    </w:rPr>
  </w:style>
  <w:style w:type="paragraph" w:styleId="1063" w:customStyle="1">
    <w:name w:val="xl73"/>
    <w:basedOn w:val="866"/>
    <w:uiPriority w:val="0"/>
    <w:qFormat/>
    <w:pPr>
      <w:jc w:val="center"/>
      <w:spacing w:before="100" w:beforeAutospacing="1" w:after="100" w:afterAutospacing="1"/>
      <w:widowControl/>
      <w:pBdr>
        <w:bottom w:val="single" w:color="auto" w:sz="4" w:space="0"/>
      </w:pBdr>
    </w:pPr>
    <w:rPr>
      <w:rFonts w:ascii="黑体" w:hAnsi="宋体" w:eastAsia="黑体" w:cs="宋体"/>
      <w:b/>
      <w:bCs/>
      <w:color w:val="000000"/>
      <w:sz w:val="28"/>
      <w:szCs w:val="28"/>
    </w:rPr>
  </w:style>
  <w:style w:type="paragraph" w:styleId="1064" w:customStyle="1">
    <w:name w:val="Char1 Char Char Char1"/>
    <w:basedOn w:val="866"/>
    <w:uiPriority w:val="0"/>
    <w:qFormat/>
    <w:rPr>
      <w:rFonts w:ascii="Tahoma" w:hAnsi="Tahoma"/>
      <w:sz w:val="24"/>
      <w:szCs w:val="20"/>
    </w:rPr>
  </w:style>
  <w:style w:type="paragraph" w:styleId="1065" w:customStyle="1">
    <w:name w:val="标题3"/>
    <w:basedOn w:val="869"/>
    <w:uiPriority w:val="0"/>
    <w:qFormat/>
    <w:pPr>
      <w:numPr>
        <w:ilvl w:val="2"/>
        <w:numId w:val="7"/>
      </w:numPr>
      <w:keepLines w:val="0"/>
      <w:keepNext w:val="0"/>
      <w:spacing w:before="0" w:after="0" w:line="360" w:lineRule="auto"/>
      <w:tabs>
        <w:tab w:val="left" w:pos="0" w:leader="none"/>
      </w:tabs>
    </w:pPr>
    <w:rPr>
      <w:rFonts w:eastAsia="仿宋_GB2312"/>
      <w:b w:val="0"/>
      <w:bCs/>
      <w:sz w:val="30"/>
      <w:szCs w:val="32"/>
    </w:rPr>
  </w:style>
  <w:style w:type="paragraph" w:styleId="1066" w:customStyle="1">
    <w:name w:val="Char"/>
    <w:basedOn w:val="866"/>
    <w:uiPriority w:val="0"/>
    <w:qFormat/>
    <w:pPr>
      <w:ind w:firstLine="200"/>
      <w:tabs>
        <w:tab w:val="left" w:pos="360" w:leader="none"/>
      </w:tabs>
    </w:pPr>
    <w:rPr>
      <w:sz w:val="28"/>
      <w:szCs w:val="30"/>
    </w:rPr>
  </w:style>
  <w:style w:type="paragraph" w:styleId="1067" w:customStyle="1">
    <w:name w:val="xl90"/>
    <w:basedOn w:val="866"/>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sz w:val="18"/>
      <w:szCs w:val="18"/>
    </w:rPr>
  </w:style>
  <w:style w:type="paragraph" w:styleId="1068" w:customStyle="1">
    <w:name w:val="正文缩进2"/>
    <w:basedOn w:val="866"/>
    <w:uiPriority w:val="0"/>
    <w:qFormat/>
    <w:pPr>
      <w:ind w:firstLine="420"/>
      <w:spacing w:line="312" w:lineRule="atLeast"/>
    </w:pPr>
    <w:rPr>
      <w:rFonts w:ascii="宋体"/>
      <w:szCs w:val="20"/>
    </w:rPr>
  </w:style>
  <w:style w:type="paragraph" w:styleId="1069" w:customStyle="1">
    <w:name w:val="样式二"/>
    <w:basedOn w:val="866"/>
    <w:uiPriority w:val="0"/>
    <w:qFormat/>
    <w:pPr>
      <w:ind w:left="1320" w:hanging="900"/>
      <w:jc w:val="left"/>
      <w:spacing w:line="360" w:lineRule="auto"/>
    </w:pPr>
    <w:rPr>
      <w:rFonts w:ascii="楷体_GB2312" w:cs="宋体"/>
      <w:sz w:val="24"/>
      <w:szCs w:val="20"/>
    </w:rPr>
  </w:style>
  <w:style w:type="paragraph" w:styleId="1070" w:customStyle="1">
    <w:name w:val="xl24"/>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仿宋_GB2312"/>
      <w:b/>
      <w:spacing w:val="15"/>
      <w:sz w:val="20"/>
      <w:szCs w:val="20"/>
    </w:rPr>
  </w:style>
  <w:style w:type="paragraph" w:styleId="1071" w:customStyle="1">
    <w:name w:val="font10"/>
    <w:basedOn w:val="866"/>
    <w:uiPriority w:val="0"/>
    <w:qFormat/>
    <w:pPr>
      <w:jc w:val="left"/>
      <w:spacing w:before="100" w:beforeAutospacing="1" w:after="100" w:afterAutospacing="1"/>
      <w:widowControl/>
    </w:pPr>
    <w:rPr>
      <w:rFonts w:hint="eastAsia" w:ascii="楷体_GB2312" w:hAnsi="宋体" w:eastAsia="楷体_GB2312"/>
      <w:b/>
      <w:spacing w:val="15"/>
      <w:sz w:val="18"/>
      <w:szCs w:val="20"/>
    </w:rPr>
  </w:style>
  <w:style w:type="paragraph" w:styleId="1072" w:customStyle="1">
    <w:name w:val="正文_2"/>
    <w:basedOn w:val="866"/>
    <w:uiPriority w:val="0"/>
    <w:qFormat/>
    <w:pPr>
      <w:ind w:firstLine="600"/>
      <w:spacing w:line="360" w:lineRule="auto"/>
    </w:pPr>
    <w:rPr>
      <w:rFonts w:ascii="Arial" w:hAnsi="Arial" w:eastAsia="仿宋_GB2312"/>
      <w:color w:val="333333"/>
      <w:spacing w:val="15"/>
      <w:sz w:val="24"/>
      <w:szCs w:val="20"/>
    </w:rPr>
  </w:style>
  <w:style w:type="paragraph" w:styleId="1073" w:customStyle="1">
    <w:name w:val="xl118"/>
    <w:basedOn w:val="866"/>
    <w:uiPriority w:val="0"/>
    <w:qFormat/>
    <w:pPr>
      <w:jc w:val="right"/>
      <w:spacing w:before="100" w:beforeAutospacing="1" w:after="100" w:afterAutospacing="1"/>
      <w:widowControl/>
      <w:pBdr>
        <w:top w:val="single" w:color="auto" w:sz="4" w:space="0"/>
        <w:bottom w:val="single" w:color="auto" w:sz="8" w:space="0"/>
        <w:right w:val="single" w:color="auto" w:sz="8" w:space="0"/>
      </w:pBdr>
    </w:pPr>
    <w:rPr>
      <w:rFonts w:ascii="黑体" w:hAnsi="宋体" w:eastAsia="黑体" w:cs="宋体"/>
      <w:b/>
      <w:bCs/>
      <w:sz w:val="32"/>
      <w:szCs w:val="32"/>
    </w:rPr>
  </w:style>
  <w:style w:type="paragraph" w:styleId="1074" w:customStyle="1">
    <w:name w:val="目次、标准名称标题"/>
    <w:basedOn w:val="1075"/>
    <w:next w:val="962"/>
    <w:uiPriority w:val="0"/>
    <w:qFormat/>
    <w:pPr>
      <w:spacing w:line="460" w:lineRule="exact"/>
    </w:pPr>
  </w:style>
  <w:style w:type="paragraph" w:styleId="1075" w:customStyle="1">
    <w:name w:val="前言、引言标题"/>
    <w:next w:val="866"/>
    <w:uiPriority w:val="0"/>
    <w:qFormat/>
    <w:pPr>
      <w:ind w:left="3360" w:hanging="420"/>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6" w:customStyle="1">
    <w:name w:val="五级条标题"/>
    <w:basedOn w:val="1077"/>
    <w:next w:val="962"/>
    <w:uiPriority w:val="0"/>
    <w:qFormat/>
    <w:pPr>
      <w:ind w:left="2520"/>
      <w:tabs>
        <w:tab w:val="left" w:pos="360" w:leader="none"/>
        <w:tab w:val="left" w:pos="1260" w:leader="none"/>
        <w:tab w:val="left" w:pos="2100" w:leader="none"/>
        <w:tab w:val="left" w:pos="2520" w:leader="none"/>
      </w:tabs>
      <w:outlineLvl w:val="6"/>
    </w:pPr>
  </w:style>
  <w:style w:type="paragraph" w:styleId="1077" w:customStyle="1">
    <w:name w:val="四级条标题"/>
    <w:basedOn w:val="1043"/>
    <w:next w:val="962"/>
    <w:uiPriority w:val="0"/>
    <w:qFormat/>
    <w:pPr>
      <w:ind w:left="2100"/>
      <w:tabs>
        <w:tab w:val="clear" w:pos="1680" w:leader="none"/>
        <w:tab w:val="left" w:pos="2100" w:leader="none"/>
      </w:tabs>
      <w:outlineLvl w:val="5"/>
    </w:pPr>
  </w:style>
  <w:style w:type="paragraph" w:styleId="1078" w:customStyle="1">
    <w:name w:val="xl122"/>
    <w:basedOn w:val="866"/>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宋体" w:hAnsi="宋体" w:cs="宋体"/>
      <w:b/>
      <w:bCs/>
      <w:sz w:val="20"/>
      <w:szCs w:val="20"/>
    </w:rPr>
  </w:style>
  <w:style w:type="paragraph" w:styleId="1079" w:customStyle="1">
    <w:name w:val="标题2"/>
    <w:basedOn w:val="868"/>
    <w:uiPriority w:val="0"/>
    <w:qFormat/>
    <w:pPr>
      <w:keepLines w:val="0"/>
      <w:keepNext w:val="0"/>
      <w:spacing w:before="0" w:after="0" w:line="360" w:lineRule="auto"/>
      <w:tabs>
        <w:tab w:val="left" w:pos="0" w:leader="none"/>
      </w:tabs>
    </w:pPr>
    <w:rPr>
      <w:rFonts w:ascii="Arial" w:hAnsi="Arial" w:eastAsia="仿宋_GB2312"/>
      <w:b w:val="0"/>
      <w:sz w:val="30"/>
    </w:rPr>
  </w:style>
  <w:style w:type="paragraph" w:styleId="1080" w:customStyle="1">
    <w:name w:val="xl32"/>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081" w:customStyle="1">
    <w:name w:val="标题8"/>
    <w:basedOn w:val="874"/>
    <w:uiPriority w:val="0"/>
    <w:qFormat/>
    <w:pPr>
      <w:numPr>
        <w:ilvl w:val="7"/>
        <w:numId w:val="7"/>
      </w:numPr>
      <w:ind w:firstLine="200"/>
      <w:jc w:val="both"/>
      <w:keepLines w:val="0"/>
      <w:keepNext w:val="0"/>
      <w:spacing w:before="0" w:after="0" w:line="360" w:lineRule="auto"/>
      <w:tabs>
        <w:tab w:val="left" w:pos="0" w:leader="none"/>
      </w:tabs>
    </w:pPr>
    <w:rPr>
      <w:rFonts w:eastAsia="仿宋_GB2312"/>
      <w:sz w:val="30"/>
    </w:rPr>
  </w:style>
  <w:style w:type="paragraph" w:styleId="1082" w:customStyle="1">
    <w:name w:val="xl112"/>
    <w:basedOn w:val="866"/>
    <w:uiPriority w:val="0"/>
    <w:qFormat/>
    <w:pPr>
      <w:jc w:val="center"/>
      <w:spacing w:before="100" w:beforeAutospacing="1" w:after="100" w:afterAutospacing="1"/>
      <w:widowControl/>
      <w:pBdr>
        <w:right w:val="single" w:color="auto" w:sz="4" w:space="0"/>
      </w:pBdr>
    </w:pPr>
    <w:rPr>
      <w:rFonts w:ascii="宋体" w:hAnsi="宋体" w:cs="宋体"/>
      <w:b/>
      <w:bCs/>
      <w:sz w:val="18"/>
      <w:szCs w:val="18"/>
    </w:rPr>
  </w:style>
  <w:style w:type="paragraph" w:styleId="1083" w:customStyle="1">
    <w:name w:val="xl104"/>
    <w:basedOn w:val="866"/>
    <w:uiPriority w:val="0"/>
    <w:qFormat/>
    <w:pPr>
      <w:jc w:val="right"/>
      <w:spacing w:before="100" w:beforeAutospacing="1" w:after="100" w:afterAutospacing="1"/>
      <w:widowControl/>
      <w:pBdr>
        <w:top w:val="single" w:color="auto" w:sz="4" w:space="0"/>
        <w:left w:val="single" w:color="auto" w:sz="8" w:space="0"/>
        <w:bottom w:val="single" w:color="auto" w:sz="8" w:space="0"/>
      </w:pBdr>
    </w:pPr>
    <w:rPr>
      <w:rFonts w:ascii="黑体" w:hAnsi="宋体" w:eastAsia="黑体" w:cs="宋体"/>
      <w:b/>
      <w:bCs/>
      <w:sz w:val="32"/>
      <w:szCs w:val="32"/>
    </w:rPr>
  </w:style>
  <w:style w:type="paragraph" w:styleId="1084" w:customStyle="1">
    <w:name w:val="xl98"/>
    <w:basedOn w:val="86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黑体" w:hAnsi="宋体" w:eastAsia="黑体" w:cs="宋体"/>
      <w:b/>
      <w:bCs/>
      <w:sz w:val="32"/>
      <w:szCs w:val="32"/>
    </w:rPr>
  </w:style>
  <w:style w:type="paragraph" w:styleId="1085" w:customStyle="1">
    <w:name w:val="正文格式（小四）"/>
    <w:basedOn w:val="866"/>
    <w:uiPriority w:val="0"/>
    <w:qFormat/>
    <w:pPr>
      <w:ind w:firstLine="482"/>
      <w:jc w:val="left"/>
      <w:spacing w:line="360" w:lineRule="auto"/>
      <w:widowControl/>
    </w:pPr>
    <w:rPr>
      <w:sz w:val="24"/>
      <w:szCs w:val="24"/>
    </w:rPr>
  </w:style>
  <w:style w:type="paragraph" w:styleId="1086" w:customStyle="1">
    <w:name w:val="xl28"/>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ˎ̥" w:eastAsia="仿宋_GB2312"/>
      <w:spacing w:val="15"/>
      <w:sz w:val="20"/>
      <w:szCs w:val="20"/>
    </w:rPr>
  </w:style>
  <w:style w:type="paragraph" w:styleId="1087" w:customStyle="1">
    <w:name w:val="font9"/>
    <w:basedOn w:val="866"/>
    <w:uiPriority w:val="0"/>
    <w:qFormat/>
    <w:pPr>
      <w:jc w:val="left"/>
      <w:spacing w:before="100" w:beforeAutospacing="1" w:after="100" w:afterAutospacing="1"/>
      <w:widowControl/>
    </w:pPr>
    <w:rPr>
      <w:rFonts w:hint="eastAsia" w:ascii="宋体" w:hAnsi="宋体" w:eastAsia="仿宋_GB2312"/>
      <w:color w:val="000000"/>
      <w:spacing w:val="15"/>
      <w:sz w:val="18"/>
      <w:szCs w:val="20"/>
    </w:rPr>
  </w:style>
  <w:style w:type="paragraph" w:styleId="1088" w:customStyle="1">
    <w:name w:val="列项——（一级）"/>
    <w:uiPriority w:val="0"/>
    <w:qFormat/>
    <w:pPr>
      <w:numPr>
        <w:ilvl w:val="0"/>
        <w:numId w:val="8"/>
      </w:numPr>
      <w:ind w:left="200" w:hanging="200"/>
      <w:jc w:val="both"/>
      <w:widowControl w:val="off"/>
      <w:tabs>
        <w:tab w:val="left" w:pos="854" w:leader="none"/>
        <w:tab w:val="left" w:pos="1140" w:leader="none"/>
      </w:tabs>
    </w:pPr>
    <w:rPr>
      <w:rFonts w:ascii="宋体" w:hAnsi="Times New Roman" w:eastAsia="宋体" w:cs="Times New Roman"/>
      <w:sz w:val="21"/>
      <w:lang w:val="en-US" w:eastAsia="zh-CN" w:bidi="ar-SA"/>
    </w:rPr>
  </w:style>
  <w:style w:type="paragraph" w:styleId="1089" w:customStyle="1">
    <w:name w:val="xl62"/>
    <w:basedOn w:val="86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1090" w:customStyle="1">
    <w:name w:val="xl59"/>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1091" w:customStyle="1">
    <w:name w:val="xl67"/>
    <w:basedOn w:val="866"/>
    <w:uiPriority w:val="0"/>
    <w:qFormat/>
    <w:pPr>
      <w:jc w:val="center"/>
      <w:spacing w:before="100" w:beforeAutospacing="1" w:after="100" w:afterAutospacing="1"/>
      <w:widowControl/>
      <w:pBdr>
        <w:top w:val="single" w:color="000000" w:sz="4" w:space="0"/>
        <w:bottom w:val="single" w:color="auto" w:sz="4" w:space="0"/>
        <w:right w:val="single" w:color="auto" w:sz="4" w:space="0"/>
      </w:pBdr>
    </w:pPr>
    <w:rPr>
      <w:rFonts w:ascii="黑体" w:hAnsi="宋体" w:eastAsia="黑体" w:cs="宋体"/>
      <w:b/>
      <w:bCs/>
      <w:color w:val="000000"/>
      <w:sz w:val="28"/>
      <w:szCs w:val="28"/>
    </w:rPr>
  </w:style>
  <w:style w:type="paragraph" w:styleId="1092" w:customStyle="1">
    <w:name w:val="Char Char Char Char Char Char Char Char Char Char Char Char Char1"/>
    <w:basedOn w:val="866"/>
    <w:uiPriority w:val="0"/>
    <w:qFormat/>
    <w:pPr>
      <w:jc w:val="left"/>
      <w:spacing w:after="160" w:line="240" w:lineRule="exact"/>
      <w:widowControl/>
    </w:pPr>
    <w:rPr>
      <w:rFonts w:ascii="Verdana" w:hAnsi="Verdana"/>
      <w:sz w:val="20"/>
      <w:szCs w:val="20"/>
      <w:lang w:eastAsia="en-US"/>
    </w:rPr>
  </w:style>
  <w:style w:type="paragraph" w:styleId="1093" w:customStyle="1">
    <w:name w:val="xl60"/>
    <w:basedOn w:val="86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仿宋_GB2312" w:hAnsi="ˎ̥" w:eastAsia="仿宋_GB2312"/>
      <w:b/>
      <w:i/>
      <w:spacing w:val="15"/>
      <w:sz w:val="20"/>
      <w:szCs w:val="20"/>
    </w:rPr>
  </w:style>
  <w:style w:type="paragraph" w:styleId="1094" w:customStyle="1">
    <w:name w:val="注："/>
    <w:next w:val="962"/>
    <w:uiPriority w:val="0"/>
    <w:qFormat/>
    <w:pPr>
      <w:numPr>
        <w:ilvl w:val="0"/>
        <w:numId w:val="9"/>
      </w:numPr>
      <w:ind w:left="726" w:hanging="363"/>
      <w:jc w:val="both"/>
      <w:widowControl w:val="off"/>
    </w:pPr>
    <w:rPr>
      <w:rFonts w:ascii="宋体" w:hAnsi="Times New Roman" w:eastAsia="宋体" w:cs="Times New Roman"/>
      <w:sz w:val="18"/>
      <w:szCs w:val="18"/>
      <w:lang w:val="en-US" w:eastAsia="zh-CN" w:bidi="ar-SA"/>
    </w:rPr>
  </w:style>
  <w:style w:type="paragraph" w:styleId="1095" w:customStyle="1">
    <w:name w:val="xl51"/>
    <w:basedOn w:val="86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仿宋_GB2312" w:hAnsi="ˎ̥" w:eastAsia="仿宋_GB2312"/>
      <w:b/>
      <w:i/>
      <w:spacing w:val="15"/>
      <w:sz w:val="20"/>
      <w:szCs w:val="20"/>
    </w:rPr>
  </w:style>
  <w:style w:type="paragraph" w:styleId="1096" w:customStyle="1">
    <w:name w:val="xl121"/>
    <w:basedOn w:val="86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样式 标题 4"/>
    <w:basedOn w:val="870"/>
    <w:uiPriority w:val="0"/>
    <w:qFormat/>
    <w:pPr>
      <w:ind w:left="1224" w:hanging="420"/>
      <w:jc w:val="left"/>
      <w:keepLines/>
      <w:keepNext/>
      <w:spacing w:line="376" w:lineRule="auto"/>
      <w:tabs>
        <w:tab w:val="left" w:pos="1080" w:leader="none"/>
        <w:tab w:val="left" w:pos="1116" w:leader="none"/>
        <w:tab w:val="left" w:pos="1224" w:leader="none"/>
        <w:tab w:val="left" w:pos="1260" w:leader="none"/>
        <w:tab w:val="left" w:pos="1680" w:leader="none"/>
      </w:tabs>
    </w:pPr>
    <w:rPr>
      <w:rFonts w:ascii="黑体" w:hAnsi="黑体" w:cs="Arial"/>
      <w:color w:val="000000"/>
      <w:sz w:val="24"/>
      <w:szCs w:val="24"/>
    </w:rPr>
  </w:style>
  <w:style w:type="paragraph" w:styleId="1098" w:customStyle="1">
    <w:name w:val="简单回函地址"/>
    <w:basedOn w:val="866"/>
    <w:uiPriority w:val="0"/>
    <w:qFormat/>
    <w:rPr>
      <w:rFonts w:ascii="仿宋_GB2312" w:hAnsi="ˎ̥" w:eastAsia="仿宋_GB2312"/>
      <w:spacing w:val="15"/>
      <w:sz w:val="28"/>
      <w:szCs w:val="20"/>
    </w:rPr>
  </w:style>
  <w:style w:type="paragraph" w:styleId="1099" w:customStyle="1">
    <w:name w:val="font7"/>
    <w:basedOn w:val="866"/>
    <w:uiPriority w:val="0"/>
    <w:qFormat/>
    <w:pPr>
      <w:jc w:val="left"/>
      <w:spacing w:before="100" w:beforeAutospacing="1" w:after="100" w:afterAutospacing="1"/>
      <w:widowControl/>
    </w:pPr>
    <w:rPr>
      <w:rFonts w:hint="eastAsia" w:ascii="宋体" w:hAnsi="宋体" w:eastAsia="仿宋_GB2312"/>
      <w:spacing w:val="15"/>
      <w:sz w:val="20"/>
      <w:szCs w:val="20"/>
    </w:rPr>
  </w:style>
  <w:style w:type="paragraph" w:styleId="1100" w:customStyle="1">
    <w:name w:val="xl95"/>
    <w:basedOn w:val="866"/>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黑体" w:hAnsi="宋体" w:eastAsia="黑体" w:cs="宋体"/>
      <w:b/>
      <w:bCs/>
      <w:sz w:val="32"/>
      <w:szCs w:val="32"/>
    </w:rPr>
  </w:style>
  <w:style w:type="paragraph" w:styleId="1101" w:customStyle="1">
    <w:name w:val="xl107"/>
    <w:basedOn w:val="866"/>
    <w:uiPriority w:val="0"/>
    <w:qFormat/>
    <w:pPr>
      <w:jc w:val="right"/>
      <w:spacing w:before="100" w:beforeAutospacing="1" w:after="100" w:afterAutospacing="1"/>
      <w:widowControl/>
      <w:pBdr>
        <w:top w:val="single" w:color="auto" w:sz="4" w:space="0"/>
        <w:left w:val="single" w:color="auto" w:sz="8" w:space="0"/>
        <w:bottom w:val="single" w:color="auto" w:sz="8" w:space="0"/>
      </w:pBdr>
    </w:pPr>
    <w:rPr>
      <w:rFonts w:ascii="黑体" w:hAnsi="宋体" w:eastAsia="黑体" w:cs="宋体"/>
      <w:b/>
      <w:bCs/>
      <w:sz w:val="32"/>
      <w:szCs w:val="32"/>
    </w:rPr>
  </w:style>
  <w:style w:type="paragraph" w:styleId="1102" w:customStyle="1">
    <w:name w:val="xl54"/>
    <w:basedOn w:val="86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仿宋_GB2312"/>
      <w:b/>
      <w:spacing w:val="15"/>
      <w:sz w:val="20"/>
      <w:szCs w:val="20"/>
    </w:rPr>
  </w:style>
  <w:style w:type="paragraph" w:styleId="1103" w:customStyle="1">
    <w:name w:val="TOC 标题1"/>
    <w:basedOn w:val="867"/>
    <w:next w:val="866"/>
    <w:uiPriority w:val="0"/>
    <w:qFormat/>
    <w:pPr>
      <w:jc w:val="left"/>
      <w:spacing w:before="480" w:after="0" w:line="276" w:lineRule="auto"/>
      <w:widowControl/>
      <w:outlineLvl w:val="9"/>
    </w:pPr>
    <w:rPr>
      <w:rFonts w:ascii="Cambria" w:hAnsi="Cambria"/>
      <w:b w:val="0"/>
      <w:color w:val="365f91"/>
      <w:sz w:val="28"/>
      <w:szCs w:val="28"/>
    </w:rPr>
  </w:style>
  <w:style w:type="paragraph" w:styleId="1104" w:customStyle="1">
    <w:name w:val="xl68"/>
    <w:basedOn w:val="866"/>
    <w:uiPriority w:val="0"/>
    <w:qFormat/>
    <w:pPr>
      <w:jc w:val="center"/>
      <w:spacing w:before="100" w:beforeAutospacing="1" w:after="100" w:afterAutospacing="1"/>
      <w:widowControl/>
      <w:pBdr>
        <w:left w:val="single" w:color="auto" w:sz="4" w:space="0"/>
        <w:bottom w:val="single" w:color="auto" w:sz="4" w:space="0"/>
      </w:pBdr>
    </w:pPr>
    <w:rPr>
      <w:rFonts w:ascii="黑体" w:hAnsi="宋体" w:eastAsia="黑体" w:cs="宋体"/>
      <w:b/>
      <w:bCs/>
      <w:color w:val="000000"/>
      <w:sz w:val="28"/>
      <w:szCs w:val="28"/>
    </w:rPr>
  </w:style>
  <w:style w:type="paragraph" w:styleId="1105" w:customStyle="1">
    <w:name w:val="标题6"/>
    <w:basedOn w:val="872"/>
    <w:uiPriority w:val="0"/>
    <w:qFormat/>
    <w:pPr>
      <w:numPr>
        <w:ilvl w:val="5"/>
        <w:numId w:val="7"/>
      </w:numPr>
      <w:ind w:firstLine="200"/>
      <w:jc w:val="both"/>
      <w:keepLines w:val="0"/>
      <w:keepNext w:val="0"/>
      <w:spacing w:before="0" w:after="0" w:line="360" w:lineRule="auto"/>
      <w:tabs>
        <w:tab w:val="left" w:pos="0" w:leader="none"/>
      </w:tabs>
    </w:pPr>
    <w:rPr>
      <w:rFonts w:eastAsia="仿宋_GB2312"/>
      <w:b w:val="0"/>
      <w:sz w:val="30"/>
    </w:rPr>
  </w:style>
  <w:style w:type="paragraph" w:styleId="1106" w:customStyle="1">
    <w:name w:val="编号1"/>
    <w:basedOn w:val="866"/>
    <w:next w:val="866"/>
    <w:uiPriority w:val="0"/>
    <w:qFormat/>
    <w:pPr>
      <w:ind w:left="840" w:right="100" w:hanging="420"/>
      <w:jc w:val="left"/>
      <w:spacing w:line="360" w:lineRule="auto"/>
      <w:tabs>
        <w:tab w:val="left" w:pos="840" w:leader="none"/>
      </w:tabs>
    </w:pPr>
    <w:rPr>
      <w:sz w:val="24"/>
      <w:szCs w:val="24"/>
    </w:rPr>
  </w:style>
  <w:style w:type="paragraph" w:styleId="1107" w:customStyle="1">
    <w:name w:val="xl27"/>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108" w:customStyle="1">
    <w:name w:val="xl57"/>
    <w:basedOn w:val="8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ˎ̥" w:eastAsia="仿宋_GB2312"/>
      <w:b/>
      <w:i/>
      <w:spacing w:val="15"/>
      <w:sz w:val="20"/>
      <w:szCs w:val="20"/>
    </w:rPr>
  </w:style>
  <w:style w:type="paragraph" w:styleId="1109" w:customStyle="1">
    <w:name w:val="xl93"/>
    <w:basedOn w:val="866"/>
    <w:uiPriority w:val="0"/>
    <w:qFormat/>
    <w:pPr>
      <w:jc w:val="right"/>
      <w:spacing w:before="100" w:beforeAutospacing="1" w:after="100" w:afterAutospacing="1"/>
      <w:widowControl/>
      <w:pBdr>
        <w:top w:val="single" w:color="auto" w:sz="4" w:space="0"/>
        <w:bottom w:val="single" w:color="auto" w:sz="8" w:space="0"/>
        <w:right w:val="single" w:color="auto" w:sz="4" w:space="0"/>
      </w:pBdr>
    </w:pPr>
    <w:rPr>
      <w:rFonts w:ascii="黑体" w:hAnsi="宋体" w:eastAsia="黑体" w:cs="宋体"/>
      <w:sz w:val="32"/>
      <w:szCs w:val="32"/>
    </w:rPr>
  </w:style>
  <w:style w:type="paragraph" w:styleId="1110" w:customStyle="1">
    <w:name w:val="qowt-stl-正文"/>
    <w:basedOn w:val="866"/>
    <w:uiPriority w:val="0"/>
    <w:qFormat/>
    <w:pPr>
      <w:jc w:val="left"/>
      <w:spacing w:before="100" w:beforeAutospacing="1" w:after="100" w:afterAutospacing="1"/>
      <w:widowControl/>
    </w:pPr>
    <w:rPr>
      <w:rFonts w:ascii="宋体" w:hAnsi="宋体" w:cs="宋体"/>
      <w:sz w:val="24"/>
      <w:szCs w:val="24"/>
    </w:rPr>
  </w:style>
  <w:style w:type="paragraph" w:styleId="1111" w:customStyle="1">
    <w:name w:val="a滨州表名"/>
    <w:uiPriority w:val="0"/>
    <w:qFormat/>
    <w:pPr>
      <w:jc w:val="center"/>
      <w:spacing w:before="312" w:after="312"/>
    </w:pPr>
    <w:rPr>
      <w:rFonts w:ascii="Cambria" w:hAnsi="Cambria" w:eastAsia="黑体" w:cs="Times New Roman"/>
      <w:bCs/>
      <w:sz w:val="21"/>
      <w:szCs w:val="32"/>
      <w:lang w:val="en-US" w:eastAsia="zh-CN" w:bidi="ar-SA"/>
    </w:rPr>
  </w:style>
  <w:style w:type="paragraph" w:styleId="1112" w:customStyle="1">
    <w:name w:val="xl49"/>
    <w:basedOn w:val="866"/>
    <w:uiPriority w:val="0"/>
    <w:qFormat/>
    <w:pPr>
      <w:jc w:val="center"/>
      <w:spacing w:before="100" w:beforeAutospacing="1" w:after="100" w:afterAutospacing="1"/>
      <w:widowControl/>
      <w:pBdr>
        <w:left w:val="single" w:color="auto" w:sz="4" w:space="0"/>
        <w:right w:val="single" w:color="auto" w:sz="4" w:space="0"/>
      </w:pBdr>
    </w:pPr>
    <w:rPr>
      <w:rFonts w:ascii="仿宋_GB2312" w:hAnsi="ˎ̥" w:eastAsia="仿宋_GB2312"/>
      <w:b/>
      <w:spacing w:val="15"/>
      <w:sz w:val="20"/>
      <w:szCs w:val="20"/>
    </w:rPr>
  </w:style>
  <w:style w:type="paragraph" w:styleId="1113" w:customStyle="1">
    <w:name w:val="xl36"/>
    <w:basedOn w:val="86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114" w:customStyle="1">
    <w:name w:val="xl74"/>
    <w:basedOn w:val="866"/>
    <w:uiPriority w:val="0"/>
    <w:qFormat/>
    <w:pPr>
      <w:jc w:val="center"/>
      <w:spacing w:before="100" w:beforeAutospacing="1" w:after="100" w:afterAutospacing="1"/>
      <w:widowControl/>
    </w:pPr>
    <w:rPr>
      <w:rFonts w:ascii="黑体" w:hAnsi="宋体" w:eastAsia="黑体" w:cs="宋体"/>
      <w:b/>
      <w:bCs/>
      <w:color w:val="000000"/>
      <w:sz w:val="28"/>
      <w:szCs w:val="28"/>
    </w:rPr>
  </w:style>
  <w:style w:type="paragraph" w:styleId="1115" w:customStyle="1">
    <w:name w:val="样式 仿宋_GB2312 小四 段前: 5 磅 段后: 5 磅 行距: 1.5 倍行距"/>
    <w:basedOn w:val="866"/>
    <w:uiPriority w:val="0"/>
    <w:qFormat/>
    <w:pPr>
      <w:ind w:firstLine="480"/>
      <w:spacing w:before="100" w:after="100" w:line="360" w:lineRule="auto"/>
    </w:pPr>
    <w:rPr>
      <w:rFonts w:ascii="仿宋_GB2312" w:hAnsi="宋体" w:eastAsia="仿宋_GB2312"/>
      <w:spacing w:val="15"/>
      <w:sz w:val="24"/>
      <w:szCs w:val="20"/>
    </w:rPr>
  </w:style>
  <w:style w:type="paragraph" w:styleId="1116" w:customStyle="1">
    <w:name w:val="章标题"/>
    <w:next w:val="962"/>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1117" w:customStyle="1">
    <w:name w:val="Char1 Char Char Char"/>
    <w:basedOn w:val="866"/>
    <w:uiPriority w:val="0"/>
    <w:qFormat/>
    <w:rPr>
      <w:rFonts w:ascii="Tahoma" w:hAnsi="Tahoma"/>
      <w:sz w:val="24"/>
      <w:szCs w:val="20"/>
    </w:rPr>
  </w:style>
  <w:style w:type="paragraph" w:styleId="1118" w:customStyle="1">
    <w:name w:val="xl117"/>
    <w:basedOn w:val="866"/>
    <w:uiPriority w:val="0"/>
    <w:qFormat/>
    <w:pPr>
      <w:jc w:val="right"/>
      <w:spacing w:before="100" w:beforeAutospacing="1" w:after="100" w:afterAutospacing="1"/>
      <w:widowControl/>
      <w:pBdr>
        <w:top w:val="single" w:color="auto" w:sz="8" w:space="0"/>
        <w:bottom w:val="single" w:color="auto" w:sz="8" w:space="0"/>
        <w:right w:val="single" w:color="auto" w:sz="8" w:space="0"/>
      </w:pBdr>
    </w:pPr>
    <w:rPr>
      <w:rFonts w:ascii="黑体" w:hAnsi="宋体" w:eastAsia="黑体" w:cs="宋体"/>
      <w:b/>
      <w:bCs/>
      <w:sz w:val="32"/>
      <w:szCs w:val="32"/>
    </w:rPr>
  </w:style>
  <w:style w:type="paragraph" w:styleId="1119" w:customStyle="1">
    <w:name w:val="xl46"/>
    <w:basedOn w:val="86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仿宋_GB2312"/>
      <w:spacing w:val="15"/>
      <w:sz w:val="24"/>
      <w:szCs w:val="20"/>
    </w:rPr>
  </w:style>
  <w:style w:type="paragraph" w:styleId="1120" w:customStyle="1">
    <w:name w:val="xl37"/>
    <w:basedOn w:val="86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仿宋_GB2312" w:hAnsi="ˎ̥" w:eastAsia="仿宋_GB2312"/>
      <w:spacing w:val="15"/>
      <w:sz w:val="20"/>
      <w:szCs w:val="20"/>
    </w:rPr>
  </w:style>
  <w:style w:type="paragraph" w:styleId="1121" w:customStyle="1">
    <w:name w:val="标题9"/>
    <w:basedOn w:val="875"/>
    <w:uiPriority w:val="0"/>
    <w:qFormat/>
    <w:pPr>
      <w:numPr>
        <w:ilvl w:val="8"/>
        <w:numId w:val="7"/>
      </w:numPr>
      <w:ind w:firstLine="200"/>
      <w:jc w:val="both"/>
      <w:keepLines w:val="0"/>
      <w:keepNext w:val="0"/>
      <w:spacing w:before="0" w:after="0" w:line="360" w:lineRule="auto"/>
      <w:tabs>
        <w:tab w:val="left" w:pos="0" w:leader="none"/>
      </w:tabs>
    </w:pPr>
    <w:rPr>
      <w:rFonts w:eastAsia="仿宋_GB2312"/>
      <w:sz w:val="30"/>
    </w:rPr>
  </w:style>
  <w:style w:type="paragraph" w:styleId="1122" w:customStyle="1">
    <w:name w:val="xl80"/>
    <w:basedOn w:val="866"/>
    <w:uiPriority w:val="0"/>
    <w:qFormat/>
    <w:pPr>
      <w:jc w:val="center"/>
      <w:spacing w:before="100" w:beforeAutospacing="1" w:after="100" w:afterAutospacing="1"/>
      <w:widowControl/>
      <w:pBdr>
        <w:bottom w:val="single" w:color="000000" w:sz="4" w:space="0"/>
        <w:right w:val="single" w:color="auto" w:sz="8" w:space="0"/>
      </w:pBdr>
    </w:pPr>
    <w:rPr>
      <w:rFonts w:ascii="宋体" w:hAnsi="宋体" w:cs="宋体"/>
      <w:sz w:val="18"/>
      <w:szCs w:val="18"/>
    </w:rPr>
  </w:style>
  <w:style w:type="paragraph" w:styleId="1123" w:customStyle="1">
    <w:name w:val="xl26"/>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124" w:customStyle="1">
    <w:name w:val="xl120"/>
    <w:basedOn w:val="8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25" w:customStyle="1">
    <w:name w:val="xl94"/>
    <w:basedOn w:val="866"/>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黑体" w:hAnsi="宋体" w:eastAsia="黑体" w:cs="宋体"/>
      <w:b/>
      <w:bCs/>
      <w:sz w:val="32"/>
      <w:szCs w:val="32"/>
    </w:rPr>
  </w:style>
  <w:style w:type="paragraph" w:styleId="1126" w:customStyle="1">
    <w:name w:val="Char Char Char Char Char Char Char Char Char Char"/>
    <w:basedOn w:val="866"/>
    <w:uiPriority w:val="0"/>
    <w:qFormat/>
    <w:rPr>
      <w:rFonts w:ascii="仿宋_GB2312" w:hAnsi="ˎ̥" w:eastAsia="仿宋_GB2312"/>
      <w:spacing w:val="15"/>
      <w:sz w:val="28"/>
      <w:szCs w:val="20"/>
    </w:rPr>
  </w:style>
  <w:style w:type="paragraph" w:styleId="1127" w:customStyle="1">
    <w:name w:val="封面标准号2"/>
    <w:basedOn w:val="866"/>
    <w:uiPriority w:val="0"/>
    <w:qFormat/>
    <w:pPr>
      <w:jc w:val="right"/>
      <w:spacing w:before="357" w:line="280" w:lineRule="exact"/>
    </w:pPr>
    <w:rPr>
      <w:sz w:val="28"/>
      <w:szCs w:val="20"/>
    </w:rPr>
  </w:style>
  <w:style w:type="paragraph" w:styleId="1128" w:customStyle="1">
    <w:name w:val="xl25"/>
    <w:basedOn w:val="86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ˎ̥" w:eastAsia="仿宋_GB2312"/>
      <w:b/>
      <w:i/>
      <w:spacing w:val="15"/>
      <w:sz w:val="20"/>
      <w:szCs w:val="20"/>
    </w:rPr>
  </w:style>
  <w:style w:type="paragraph" w:styleId="1129" w:customStyle="1">
    <w:name w:val="xl55"/>
    <w:basedOn w:val="86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仿宋_GB2312" w:hAnsi="ˎ̥" w:eastAsia="仿宋_GB2312"/>
      <w:b/>
      <w:spacing w:val="15"/>
      <w:sz w:val="20"/>
      <w:szCs w:val="20"/>
    </w:rPr>
  </w:style>
  <w:style w:type="paragraph" w:styleId="1130" w:customStyle="1">
    <w:name w:val="Char Char2 Char"/>
    <w:basedOn w:val="866"/>
    <w:uiPriority w:val="0"/>
    <w:qFormat/>
    <w:pPr>
      <w:ind w:left="390" w:hanging="390"/>
      <w:keepLines/>
      <w:keepNext/>
      <w:pageBreakBefore/>
      <w:tabs>
        <w:tab w:val="left" w:pos="390" w:leader="none"/>
      </w:tabs>
    </w:pPr>
    <w:rPr>
      <w:szCs w:val="20"/>
    </w:rPr>
  </w:style>
  <w:style w:type="paragraph" w:styleId="1131" w:customStyle="1">
    <w:name w:val="样式 标题 5 + 右侧:  -0.18 字符"/>
    <w:basedOn w:val="866"/>
    <w:uiPriority w:val="0"/>
    <w:qFormat/>
    <w:pPr>
      <w:ind w:left="2100" w:hanging="420"/>
      <w:tabs>
        <w:tab w:val="left" w:pos="1008" w:leader="none"/>
        <w:tab w:val="left" w:pos="2100" w:leader="none"/>
      </w:tabs>
    </w:pPr>
    <w:rPr>
      <w:szCs w:val="20"/>
    </w:rPr>
  </w:style>
  <w:style w:type="paragraph" w:styleId="1132" w:customStyle="1">
    <w:name w:val="xl79"/>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133" w:customStyle="1">
    <w:name w:val="qowt-stl-纯文本"/>
    <w:basedOn w:val="866"/>
    <w:uiPriority w:val="0"/>
    <w:qFormat/>
    <w:pPr>
      <w:jc w:val="left"/>
      <w:spacing w:before="100" w:beforeAutospacing="1" w:after="100" w:afterAutospacing="1"/>
      <w:widowControl/>
    </w:pPr>
    <w:rPr>
      <w:rFonts w:ascii="宋体" w:hAnsi="宋体" w:cs="宋体"/>
      <w:sz w:val="24"/>
      <w:szCs w:val="24"/>
    </w:rPr>
  </w:style>
  <w:style w:type="paragraph" w:styleId="1134" w:customStyle="1">
    <w:name w:val="xl75"/>
    <w:basedOn w:val="866"/>
    <w:uiPriority w:val="0"/>
    <w:qFormat/>
    <w:pPr>
      <w:jc w:val="center"/>
      <w:spacing w:before="100" w:beforeAutospacing="1" w:after="100" w:afterAutospacing="1"/>
      <w:widowControl/>
      <w:pBdr>
        <w:top w:val="single" w:color="auto" w:sz="4" w:space="0"/>
        <w:bottom w:val="single" w:color="auto" w:sz="4" w:space="0"/>
      </w:pBdr>
    </w:pPr>
    <w:rPr>
      <w:rFonts w:ascii="黑体" w:hAnsi="宋体" w:eastAsia="黑体" w:cs="宋体"/>
      <w:b/>
      <w:bCs/>
      <w:color w:val="000000"/>
      <w:sz w:val="28"/>
      <w:szCs w:val="28"/>
    </w:rPr>
  </w:style>
  <w:style w:type="paragraph" w:styleId="1135" w:customStyle="1">
    <w:name w:val="表"/>
    <w:uiPriority w:val="0"/>
    <w:qFormat/>
    <w:pPr>
      <w:jc w:val="center"/>
      <w:spacing w:line="240" w:lineRule="atLeast"/>
    </w:pPr>
    <w:rPr>
      <w:rFonts w:ascii="Times New Roman" w:hAnsi="Times New Roman" w:eastAsia="宋体" w:cs="Times New Roman"/>
      <w:sz w:val="21"/>
      <w:lang w:val="en-US" w:eastAsia="zh-CN" w:bidi="ar-SA"/>
    </w:rPr>
  </w:style>
  <w:style w:type="paragraph" w:styleId="1136" w:customStyle="1">
    <w:name w:val="xl114"/>
    <w:basedOn w:val="866"/>
    <w:uiPriority w:val="0"/>
    <w:qFormat/>
    <w:pPr>
      <w:jc w:val="center"/>
      <w:spacing w:before="100" w:beforeAutospacing="1" w:after="100" w:afterAutospacing="1"/>
      <w:widowControl/>
    </w:pPr>
    <w:rPr>
      <w:rFonts w:ascii="宋体" w:hAnsi="宋体" w:cs="宋体"/>
      <w:sz w:val="18"/>
      <w:szCs w:val="18"/>
    </w:rPr>
  </w:style>
  <w:style w:type="paragraph" w:styleId="1137" w:customStyle="1">
    <w:name w:val="xl99"/>
    <w:basedOn w:val="866"/>
    <w:uiPriority w:val="0"/>
    <w:qFormat/>
    <w:pPr>
      <w:jc w:val="center"/>
      <w:spacing w:before="100" w:beforeAutospacing="1" w:after="100" w:afterAutospacing="1"/>
      <w:widowControl/>
      <w:pBdr>
        <w:top w:val="single" w:color="auto" w:sz="4" w:space="0"/>
        <w:left w:val="single" w:color="auto" w:sz="4" w:space="0"/>
        <w:bottom w:val="single" w:color="auto" w:sz="8" w:space="0"/>
      </w:pBdr>
    </w:pPr>
    <w:rPr>
      <w:rFonts w:ascii="宋体" w:hAnsi="宋体" w:cs="宋体"/>
      <w:sz w:val="18"/>
      <w:szCs w:val="18"/>
    </w:rPr>
  </w:style>
  <w:style w:type="paragraph" w:styleId="1138" w:customStyle="1">
    <w:name w:val="font5"/>
    <w:basedOn w:val="866"/>
    <w:uiPriority w:val="0"/>
    <w:qFormat/>
    <w:pPr>
      <w:jc w:val="left"/>
      <w:spacing w:before="100" w:beforeAutospacing="1" w:after="100" w:afterAutospacing="1"/>
      <w:widowControl/>
    </w:pPr>
    <w:rPr>
      <w:rFonts w:hint="eastAsia" w:ascii="宋体" w:hAnsi="宋体" w:eastAsia="仿宋_GB2312"/>
      <w:spacing w:val="15"/>
      <w:sz w:val="18"/>
      <w:szCs w:val="20"/>
    </w:rPr>
  </w:style>
  <w:style w:type="paragraph" w:styleId="1139" w:customStyle="1">
    <w:name w:val="Char Char Char Char Char Char Char Char Char Char1"/>
    <w:basedOn w:val="866"/>
    <w:uiPriority w:val="0"/>
    <w:qFormat/>
    <w:rPr>
      <w:rFonts w:ascii="Tahoma" w:hAnsi="Tahoma" w:eastAsia="仿宋_GB2312"/>
      <w:spacing w:val="15"/>
      <w:sz w:val="24"/>
      <w:szCs w:val="20"/>
    </w:rPr>
  </w:style>
  <w:style w:type="paragraph" w:styleId="1140" w:customStyle="1">
    <w:name w:val="默认段落字体 Para Char Char Char Char Char Char Char"/>
    <w:basedOn w:val="866"/>
    <w:uiPriority w:val="0"/>
    <w:qFormat/>
    <w:rPr>
      <w:rFonts w:ascii="Tahoma" w:hAnsi="Tahoma" w:eastAsia="仿宋_GB2312"/>
      <w:spacing w:val="15"/>
      <w:sz w:val="24"/>
      <w:szCs w:val="20"/>
    </w:rPr>
  </w:style>
  <w:style w:type="paragraph" w:styleId="1141" w:customStyle="1">
    <w:name w:val="xl76"/>
    <w:basedOn w:val="86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黑体" w:hAnsi="宋体" w:eastAsia="黑体" w:cs="宋体"/>
      <w:b/>
      <w:bCs/>
      <w:color w:val="000000"/>
      <w:sz w:val="28"/>
      <w:szCs w:val="28"/>
    </w:rPr>
  </w:style>
  <w:style w:type="paragraph" w:styleId="1142" w:customStyle="1">
    <w:name w:val="xl108"/>
    <w:basedOn w:val="866"/>
    <w:uiPriority w:val="0"/>
    <w:qFormat/>
    <w:pPr>
      <w:jc w:val="right"/>
      <w:spacing w:before="100" w:beforeAutospacing="1" w:after="100" w:afterAutospacing="1"/>
      <w:widowControl/>
      <w:pBdr>
        <w:top w:val="single" w:color="auto" w:sz="4" w:space="0"/>
        <w:bottom w:val="single" w:color="auto" w:sz="8" w:space="0"/>
      </w:pBdr>
    </w:pPr>
    <w:rPr>
      <w:rFonts w:ascii="黑体" w:hAnsi="宋体" w:eastAsia="黑体" w:cs="宋体"/>
      <w:b/>
      <w:bCs/>
      <w:sz w:val="32"/>
      <w:szCs w:val="32"/>
    </w:rPr>
  </w:style>
  <w:style w:type="paragraph" w:styleId="1143" w:customStyle="1">
    <w:name w:val="样式 样式 标题 3 + 首行缩进:  2 字符 + 首行缩进:  2 字符"/>
    <w:basedOn w:val="866"/>
    <w:uiPriority w:val="0"/>
    <w:qFormat/>
    <w:pPr>
      <w:ind w:firstLine="200"/>
      <w:jc w:val="left"/>
      <w:keepLines/>
      <w:keepNext/>
      <w:spacing w:line="540" w:lineRule="exact"/>
      <w:outlineLvl w:val="2"/>
    </w:pPr>
    <w:rPr>
      <w:rFonts w:ascii="仿宋_GB2312" w:hAnsi="ˎ̥" w:eastAsia="仿宋_GB2312"/>
      <w:b/>
      <w:spacing w:val="15"/>
      <w:sz w:val="30"/>
      <w:szCs w:val="20"/>
    </w:rPr>
  </w:style>
  <w:style w:type="paragraph" w:styleId="1144" w:customStyle="1">
    <w:name w:val="xl47"/>
    <w:basedOn w:val="86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仿宋_GB2312"/>
      <w:spacing w:val="15"/>
      <w:sz w:val="24"/>
      <w:szCs w:val="20"/>
    </w:rPr>
  </w:style>
  <w:style w:type="paragraph" w:styleId="1145" w:customStyle="1">
    <w:name w:val="标题5"/>
    <w:basedOn w:val="871"/>
    <w:uiPriority w:val="0"/>
    <w:qFormat/>
    <w:pPr>
      <w:numPr>
        <w:ilvl w:val="4"/>
        <w:numId w:val="7"/>
      </w:numPr>
      <w:keepNext w:val="0"/>
      <w:spacing w:line="360" w:lineRule="auto"/>
      <w:tabs>
        <w:tab w:val="left" w:pos="0" w:leader="none"/>
      </w:tabs>
    </w:pPr>
    <w:rPr>
      <w:rFonts w:ascii="Times New Roman" w:eastAsia="仿宋_GB2312"/>
      <w:bCs/>
      <w:color w:val="auto"/>
      <w:sz w:val="30"/>
      <w:szCs w:val="30"/>
    </w:rPr>
  </w:style>
  <w:style w:type="paragraph" w:styleId="1146" w:customStyle="1">
    <w:name w:val="xl71"/>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黑体" w:hAnsi="宋体" w:eastAsia="黑体" w:cs="宋体"/>
      <w:b/>
      <w:bCs/>
      <w:color w:val="000000"/>
      <w:sz w:val="28"/>
      <w:szCs w:val="28"/>
    </w:rPr>
  </w:style>
  <w:style w:type="paragraph" w:styleId="1147" w:customStyle="1">
    <w:name w:val="Char1 Char Char Char Char Char Char Char Char Char2"/>
    <w:basedOn w:val="866"/>
    <w:uiPriority w:val="0"/>
    <w:qFormat/>
    <w:rPr>
      <w:szCs w:val="20"/>
    </w:rPr>
  </w:style>
  <w:style w:type="paragraph" w:styleId="1148" w:customStyle="1">
    <w:name w:val="xl100"/>
    <w:basedOn w:val="86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cs="宋体"/>
      <w:sz w:val="18"/>
      <w:szCs w:val="18"/>
    </w:rPr>
  </w:style>
  <w:style w:type="paragraph" w:styleId="1149" w:customStyle="1">
    <w:name w:val="样式 标题 2 + 仿宋_GB23121"/>
    <w:basedOn w:val="868"/>
    <w:uiPriority w:val="0"/>
    <w:qFormat/>
    <w:pPr>
      <w:spacing w:line="413" w:lineRule="auto"/>
    </w:pPr>
    <w:rPr>
      <w:rFonts w:ascii="仿宋_GB2312" w:hAnsi="仿宋_GB2312" w:eastAsia="仿宋_GB2312"/>
      <w:bCs w:val="0"/>
      <w:spacing w:val="15"/>
      <w:szCs w:val="20"/>
    </w:rPr>
  </w:style>
  <w:style w:type="paragraph" w:styleId="1150" w:customStyle="1">
    <w:name w:val="xl42"/>
    <w:basedOn w:val="866"/>
    <w:uiPriority w:val="0"/>
    <w:qFormat/>
    <w:pPr>
      <w:jc w:val="left"/>
      <w:spacing w:before="100" w:beforeAutospacing="1" w:after="100" w:afterAutospacing="1"/>
      <w:widowControl/>
      <w:pBdr>
        <w:top w:val="single" w:color="auto" w:sz="4" w:space="0"/>
        <w:right w:val="single" w:color="auto" w:sz="4" w:space="0"/>
      </w:pBdr>
    </w:pPr>
    <w:rPr>
      <w:rFonts w:ascii="Arial Unicode MS" w:hAnsi="Arial Unicode MS" w:eastAsia="仿宋_GB2312"/>
      <w:spacing w:val="15"/>
      <w:sz w:val="24"/>
      <w:szCs w:val="20"/>
    </w:rPr>
  </w:style>
  <w:style w:type="paragraph" w:styleId="1151" w:customStyle="1">
    <w:name w:val="xl109"/>
    <w:basedOn w:val="866"/>
    <w:uiPriority w:val="0"/>
    <w:qFormat/>
    <w:pPr>
      <w:jc w:val="right"/>
      <w:spacing w:before="100" w:beforeAutospacing="1" w:after="100" w:afterAutospacing="1"/>
      <w:widowControl/>
      <w:pBdr>
        <w:top w:val="single" w:color="auto" w:sz="4" w:space="0"/>
        <w:bottom w:val="single" w:color="auto" w:sz="8" w:space="0"/>
        <w:right w:val="single" w:color="auto" w:sz="4" w:space="0"/>
      </w:pBdr>
    </w:pPr>
    <w:rPr>
      <w:rFonts w:ascii="黑体" w:hAnsi="宋体" w:eastAsia="黑体" w:cs="宋体"/>
      <w:b/>
      <w:bCs/>
      <w:sz w:val="32"/>
      <w:szCs w:val="32"/>
    </w:rPr>
  </w:style>
  <w:style w:type="paragraph" w:styleId="1152" w:customStyle="1">
    <w:name w:val="样式 仿宋_GB2312 小四 首行缩进:  0.74 厘米 行距: 1.5 倍行距"/>
    <w:basedOn w:val="866"/>
    <w:uiPriority w:val="0"/>
    <w:qFormat/>
    <w:pPr>
      <w:ind w:firstLine="480"/>
      <w:spacing w:line="360" w:lineRule="auto"/>
    </w:pPr>
    <w:rPr>
      <w:rFonts w:ascii="宋体" w:hAnsi="宋体" w:eastAsia="仿宋_GB2312"/>
      <w:spacing w:val="15"/>
      <w:sz w:val="24"/>
      <w:szCs w:val="20"/>
    </w:rPr>
  </w:style>
  <w:style w:type="paragraph" w:styleId="1153" w:customStyle="1">
    <w:name w:val="xl38"/>
    <w:basedOn w:val="86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154" w:customStyle="1">
    <w:name w:val="xl41"/>
    <w:basedOn w:val="866"/>
    <w:uiPriority w:val="0"/>
    <w:qFormat/>
    <w:pPr>
      <w:jc w:val="left"/>
      <w:spacing w:before="100" w:beforeAutospacing="1" w:after="100" w:afterAutospacing="1"/>
      <w:widowControl/>
      <w:pBdr>
        <w:bottom w:val="single" w:color="auto" w:sz="4" w:space="0"/>
        <w:right w:val="single" w:color="auto" w:sz="4" w:space="0"/>
      </w:pBdr>
    </w:pPr>
    <w:rPr>
      <w:rFonts w:ascii="Arial Unicode MS" w:hAnsi="Arial Unicode MS" w:eastAsia="仿宋_GB2312"/>
      <w:spacing w:val="15"/>
      <w:sz w:val="24"/>
      <w:szCs w:val="20"/>
    </w:rPr>
  </w:style>
  <w:style w:type="paragraph" w:styleId="1155" w:customStyle="1">
    <w:name w:val="font8"/>
    <w:basedOn w:val="866"/>
    <w:uiPriority w:val="0"/>
    <w:qFormat/>
    <w:pPr>
      <w:jc w:val="left"/>
      <w:spacing w:before="100" w:beforeAutospacing="1" w:after="100" w:afterAutospacing="1"/>
      <w:widowControl/>
    </w:pPr>
    <w:rPr>
      <w:rFonts w:ascii="Arial" w:hAnsi="Arial" w:eastAsia="仿宋_GB2312"/>
      <w:color w:val="000000"/>
      <w:spacing w:val="15"/>
      <w:sz w:val="18"/>
      <w:szCs w:val="20"/>
    </w:rPr>
  </w:style>
  <w:style w:type="paragraph" w:styleId="1156" w:customStyle="1">
    <w:name w:val="xl91"/>
    <w:basedOn w:val="866"/>
    <w:uiPriority w:val="0"/>
    <w:qFormat/>
    <w:pPr>
      <w:jc w:val="center"/>
      <w:spacing w:before="100" w:beforeAutospacing="1" w:after="100" w:afterAutospacing="1"/>
      <w:widowControl/>
      <w:pBdr>
        <w:top w:val="single" w:color="auto" w:sz="8" w:space="0"/>
        <w:bottom w:val="single" w:color="auto" w:sz="8" w:space="0"/>
      </w:pBdr>
    </w:pPr>
    <w:rPr>
      <w:rFonts w:ascii="黑体" w:hAnsi="宋体" w:eastAsia="黑体" w:cs="宋体"/>
      <w:b/>
      <w:bCs/>
      <w:sz w:val="32"/>
      <w:szCs w:val="32"/>
    </w:rPr>
  </w:style>
  <w:style w:type="paragraph" w:styleId="1157" w:customStyle="1">
    <w:name w:val="样式9"/>
    <w:basedOn w:val="866"/>
    <w:uiPriority w:val="0"/>
    <w:qFormat/>
    <w:pPr>
      <w:ind w:firstLine="200"/>
      <w:spacing w:line="440" w:lineRule="exact"/>
    </w:pPr>
    <w:rPr>
      <w:spacing w:val="6"/>
      <w:sz w:val="24"/>
      <w:szCs w:val="20"/>
    </w:rPr>
  </w:style>
  <w:style w:type="paragraph" w:styleId="1158" w:customStyle="1">
    <w:name w:val="纯文本11"/>
    <w:basedOn w:val="866"/>
    <w:uiPriority w:val="0"/>
    <w:qFormat/>
    <w:rPr>
      <w:rFonts w:ascii="宋体" w:hAnsi="Courier New" w:eastAsia="楷体_GB2312"/>
      <w:sz w:val="28"/>
      <w:szCs w:val="20"/>
    </w:rPr>
  </w:style>
  <w:style w:type="paragraph" w:styleId="1159" w:customStyle="1">
    <w:name w:val="xl64"/>
    <w:basedOn w:val="866"/>
    <w:uiPriority w:val="0"/>
    <w:qFormat/>
    <w:pPr>
      <w:jc w:val="center"/>
      <w:spacing w:before="100" w:beforeAutospacing="1" w:after="100" w:afterAutospacing="1"/>
      <w:widowControl/>
      <w:pBdr>
        <w:top w:val="single" w:color="000000" w:sz="4" w:space="0"/>
        <w:bottom w:val="single" w:color="auto" w:sz="4" w:space="0"/>
        <w:right w:val="single" w:color="auto" w:sz="4" w:space="0"/>
      </w:pBdr>
    </w:pPr>
    <w:rPr>
      <w:rFonts w:ascii="黑体" w:hAnsi="宋体" w:eastAsia="黑体" w:cs="宋体"/>
      <w:b/>
      <w:bCs/>
      <w:color w:val="000000"/>
      <w:sz w:val="28"/>
      <w:szCs w:val="28"/>
    </w:rPr>
  </w:style>
  <w:style w:type="paragraph" w:styleId="116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61" w:customStyle="1">
    <w:name w:val="xl85"/>
    <w:basedOn w:val="86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162" w:customStyle="1">
    <w:name w:val="普通正文"/>
    <w:basedOn w:val="866"/>
    <w:uiPriority w:val="0"/>
    <w:qFormat/>
    <w:pPr>
      <w:ind w:firstLine="480"/>
      <w:jc w:val="left"/>
      <w:spacing w:before="120" w:after="120" w:line="360" w:lineRule="auto"/>
    </w:pPr>
    <w:rPr>
      <w:rFonts w:ascii="Arial" w:hAnsi="Arial"/>
      <w:sz w:val="24"/>
      <w:szCs w:val="24"/>
    </w:rPr>
  </w:style>
  <w:style w:type="paragraph" w:styleId="1163" w:customStyle="1">
    <w:name w:val="xl77"/>
    <w:basedOn w:val="866"/>
    <w:uiPriority w:val="0"/>
    <w:qFormat/>
    <w:pPr>
      <w:jc w:val="left"/>
      <w:spacing w:before="100" w:beforeAutospacing="1" w:after="100" w:afterAutospacing="1"/>
      <w:widowControl/>
    </w:pPr>
    <w:rPr>
      <w:rFonts w:ascii="黑体" w:hAnsi="宋体" w:eastAsia="黑体" w:cs="宋体"/>
      <w:b/>
      <w:bCs/>
      <w:color w:val="000000"/>
      <w:sz w:val="28"/>
      <w:szCs w:val="28"/>
    </w:rPr>
  </w:style>
  <w:style w:type="paragraph" w:styleId="1164" w:customStyle="1">
    <w:name w:val="p0"/>
    <w:basedOn w:val="866"/>
    <w:uiPriority w:val="0"/>
    <w:qFormat/>
    <w:pPr>
      <w:jc w:val="left"/>
      <w:spacing w:before="100" w:beforeAutospacing="1" w:after="100" w:afterAutospacing="1"/>
      <w:widowControl/>
    </w:pPr>
    <w:rPr>
      <w:rFonts w:ascii="宋体" w:hAnsi="宋体" w:cs="宋体"/>
      <w:sz w:val="24"/>
      <w:szCs w:val="24"/>
    </w:rPr>
  </w:style>
  <w:style w:type="paragraph" w:styleId="1165" w:customStyle="1">
    <w:name w:val="列出段落2"/>
    <w:basedOn w:val="866"/>
    <w:uiPriority w:val="0"/>
    <w:qFormat/>
    <w:pPr>
      <w:ind w:firstLine="420"/>
    </w:pPr>
    <w:rPr>
      <w:rFonts w:ascii="Calibri" w:hAnsi="Calibri"/>
    </w:rPr>
  </w:style>
  <w:style w:type="paragraph" w:styleId="1166" w:customStyle="1">
    <w:name w:val="font6"/>
    <w:basedOn w:val="866"/>
    <w:uiPriority w:val="0"/>
    <w:qFormat/>
    <w:pPr>
      <w:jc w:val="left"/>
      <w:spacing w:before="100" w:beforeAutospacing="1" w:after="100" w:afterAutospacing="1"/>
      <w:widowControl/>
    </w:pPr>
    <w:rPr>
      <w:rFonts w:ascii="仿宋_GB2312" w:hAnsi="ˎ̥" w:eastAsia="仿宋_GB2312"/>
      <w:spacing w:val="15"/>
      <w:sz w:val="20"/>
      <w:szCs w:val="20"/>
    </w:rPr>
  </w:style>
  <w:style w:type="paragraph" w:styleId="1167" w:customStyle="1">
    <w:name w:val="样式2"/>
    <w:basedOn w:val="866"/>
    <w:uiPriority w:val="0"/>
    <w:qFormat/>
    <w:pPr>
      <w:jc w:val="center"/>
      <w:spacing w:line="480" w:lineRule="exact"/>
    </w:pPr>
    <w:rPr>
      <w:rFonts w:ascii="Arial" w:hAnsi="Arial" w:eastAsia="黑体"/>
      <w:spacing w:val="6"/>
      <w:sz w:val="44"/>
      <w:szCs w:val="20"/>
    </w:rPr>
  </w:style>
  <w:style w:type="paragraph" w:styleId="1168" w:customStyle="1">
    <w:name w:val="xl61"/>
    <w:basedOn w:val="86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仿宋_GB2312" w:hAnsi="ˎ̥" w:eastAsia="仿宋_GB2312"/>
      <w:b/>
      <w:i/>
      <w:spacing w:val="15"/>
      <w:sz w:val="20"/>
      <w:szCs w:val="20"/>
    </w:rPr>
  </w:style>
  <w:style w:type="paragraph" w:styleId="1169" w:customStyle="1">
    <w:name w:val="xl110"/>
    <w:basedOn w:val="866"/>
    <w:uiPriority w:val="0"/>
    <w:qFormat/>
    <w:pPr>
      <w:jc w:val="center"/>
      <w:spacing w:before="100" w:beforeAutospacing="1" w:after="100" w:afterAutospacing="1"/>
      <w:widowControl/>
      <w:pBdr>
        <w:left w:val="single" w:color="auto" w:sz="4" w:space="0"/>
      </w:pBdr>
    </w:pPr>
    <w:rPr>
      <w:rFonts w:ascii="宋体" w:hAnsi="宋体" w:cs="宋体"/>
      <w:b/>
      <w:bCs/>
      <w:sz w:val="18"/>
      <w:szCs w:val="18"/>
    </w:rPr>
  </w:style>
  <w:style w:type="paragraph" w:styleId="1170" w:customStyle="1">
    <w:name w:val="xl56"/>
    <w:basedOn w:val="86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仿宋_GB2312" w:hAnsi="ˎ̥" w:eastAsia="仿宋_GB2312"/>
      <w:b/>
      <w:spacing w:val="15"/>
      <w:sz w:val="20"/>
      <w:szCs w:val="20"/>
    </w:rPr>
  </w:style>
  <w:style w:type="paragraph" w:styleId="1171" w:customStyle="1">
    <w:name w:val="xl44"/>
    <w:basedOn w:val="86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仿宋_GB2312"/>
      <w:b/>
      <w:spacing w:val="15"/>
      <w:sz w:val="20"/>
      <w:szCs w:val="20"/>
    </w:rPr>
  </w:style>
  <w:style w:type="paragraph" w:styleId="1172" w:customStyle="1">
    <w:name w:val="xl33"/>
    <w:basedOn w:val="86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仿宋_GB2312"/>
      <w:spacing w:val="15"/>
      <w:sz w:val="20"/>
      <w:szCs w:val="20"/>
    </w:rPr>
  </w:style>
  <w:style w:type="paragraph" w:styleId="1173" w:customStyle="1">
    <w:name w:val="Char Char Char Char Char Char Char Char Char Char Char Char Char2"/>
    <w:basedOn w:val="866"/>
    <w:uiPriority w:val="0"/>
    <w:qFormat/>
    <w:pPr>
      <w:jc w:val="left"/>
      <w:spacing w:after="160" w:line="240" w:lineRule="exact"/>
      <w:widowControl/>
    </w:pPr>
    <w:rPr>
      <w:rFonts w:ascii="Verdana" w:hAnsi="Verdana"/>
      <w:sz w:val="20"/>
      <w:szCs w:val="20"/>
      <w:lang w:eastAsia="en-US"/>
    </w:rPr>
  </w:style>
  <w:style w:type="paragraph" w:styleId="1174" w:customStyle="1">
    <w:name w:val="xl87"/>
    <w:basedOn w:val="866"/>
    <w:uiPriority w:val="0"/>
    <w:qFormat/>
    <w:pPr>
      <w:jc w:val="left"/>
      <w:spacing w:before="100" w:beforeAutospacing="1" w:after="100" w:afterAutospacing="1"/>
      <w:widowControl/>
      <w:pBdr>
        <w:top w:val="single" w:color="000000" w:sz="4" w:space="0"/>
        <w:left w:val="single" w:color="000000" w:sz="4" w:space="0"/>
        <w:right w:val="single" w:color="auto" w:sz="8" w:space="0"/>
      </w:pBdr>
    </w:pPr>
    <w:rPr>
      <w:rFonts w:ascii="宋体" w:hAnsi="宋体" w:cs="宋体"/>
      <w:sz w:val="18"/>
      <w:szCs w:val="18"/>
    </w:rPr>
  </w:style>
  <w:style w:type="paragraph" w:styleId="1175" w:customStyle="1">
    <w:name w:val="xl89"/>
    <w:basedOn w:val="86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sz w:val="18"/>
      <w:szCs w:val="18"/>
    </w:rPr>
  </w:style>
  <w:style w:type="paragraph" w:styleId="1176" w:customStyle="1">
    <w:name w:val="xl105"/>
    <w:basedOn w:val="866"/>
    <w:uiPriority w:val="0"/>
    <w:qFormat/>
    <w:pPr>
      <w:jc w:val="right"/>
      <w:spacing w:before="100" w:beforeAutospacing="1" w:after="100" w:afterAutospacing="1"/>
      <w:widowControl/>
      <w:pBdr>
        <w:top w:val="single" w:color="auto" w:sz="4" w:space="0"/>
        <w:bottom w:val="single" w:color="auto" w:sz="8" w:space="0"/>
      </w:pBdr>
    </w:pPr>
    <w:rPr>
      <w:rFonts w:ascii="黑体" w:hAnsi="宋体" w:eastAsia="黑体" w:cs="宋体"/>
      <w:b/>
      <w:bCs/>
      <w:sz w:val="32"/>
      <w:szCs w:val="32"/>
    </w:rPr>
  </w:style>
  <w:style w:type="paragraph" w:styleId="1177" w:customStyle="1">
    <w:name w:val="xl102"/>
    <w:basedOn w:val="866"/>
    <w:uiPriority w:val="0"/>
    <w:qFormat/>
    <w:pPr>
      <w:jc w:val="center"/>
      <w:spacing w:before="100" w:beforeAutospacing="1" w:after="100" w:afterAutospacing="1"/>
      <w:widowControl/>
      <w:pBdr>
        <w:top w:val="single" w:color="auto" w:sz="8" w:space="0"/>
        <w:bottom w:val="single" w:color="auto" w:sz="4" w:space="0"/>
      </w:pBdr>
    </w:pPr>
    <w:rPr>
      <w:rFonts w:ascii="黑体" w:hAnsi="宋体" w:eastAsia="黑体" w:cs="宋体"/>
      <w:b/>
      <w:bCs/>
      <w:sz w:val="32"/>
      <w:szCs w:val="32"/>
    </w:rPr>
  </w:style>
  <w:style w:type="paragraph" w:styleId="1178" w:customStyle="1">
    <w:name w:val="序号正文"/>
    <w:basedOn w:val="866"/>
    <w:uiPriority w:val="0"/>
    <w:qFormat/>
    <w:pPr>
      <w:ind w:firstLine="200"/>
      <w:spacing w:before="156" w:after="156" w:line="300" w:lineRule="auto"/>
    </w:pPr>
    <w:rPr>
      <w:sz w:val="24"/>
      <w:szCs w:val="21"/>
    </w:rPr>
  </w:style>
  <w:style w:type="paragraph" w:styleId="1179" w:customStyle="1">
    <w:name w:val="xl111"/>
    <w:basedOn w:val="866"/>
    <w:uiPriority w:val="0"/>
    <w:qFormat/>
    <w:pPr>
      <w:jc w:val="center"/>
      <w:spacing w:before="100" w:beforeAutospacing="1" w:after="100" w:afterAutospacing="1"/>
      <w:widowControl/>
    </w:pPr>
    <w:rPr>
      <w:rFonts w:ascii="宋体" w:hAnsi="宋体" w:cs="宋体"/>
      <w:b/>
      <w:bCs/>
      <w:sz w:val="18"/>
      <w:szCs w:val="18"/>
    </w:rPr>
  </w:style>
  <w:style w:type="paragraph" w:styleId="1180" w:customStyle="1">
    <w:name w:val="xl97"/>
    <w:basedOn w:val="86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黑体" w:hAnsi="宋体" w:eastAsia="黑体" w:cs="宋体"/>
      <w:b/>
      <w:bCs/>
      <w:sz w:val="32"/>
      <w:szCs w:val="32"/>
    </w:rPr>
  </w:style>
  <w:style w:type="paragraph" w:styleId="1181" w:customStyle="1">
    <w:name w:val="样式 标题 2 + 仿宋_GB2312 段前: 15.6 磅 段后: 15.6 磅 行距: 固定值 12 磅"/>
    <w:basedOn w:val="868"/>
    <w:uiPriority w:val="0"/>
    <w:qFormat/>
    <w:pPr>
      <w:spacing w:before="312" w:after="312" w:line="240" w:lineRule="exact"/>
    </w:pPr>
    <w:rPr>
      <w:rFonts w:ascii="仿宋_GB2312" w:hAnsi="宋体" w:eastAsia="仿宋_GB2312"/>
      <w:bCs w:val="0"/>
      <w:spacing w:val="15"/>
      <w:szCs w:val="20"/>
    </w:rPr>
  </w:style>
  <w:style w:type="paragraph" w:styleId="1182" w:customStyle="1">
    <w:name w:val="xl92"/>
    <w:basedOn w:val="866"/>
    <w:uiPriority w:val="0"/>
    <w:qFormat/>
    <w:pPr>
      <w:jc w:val="right"/>
      <w:spacing w:before="100" w:beforeAutospacing="1" w:after="100" w:afterAutospacing="1"/>
      <w:widowControl/>
      <w:pBdr>
        <w:top w:val="single" w:color="auto" w:sz="4" w:space="0"/>
        <w:bottom w:val="single" w:color="auto" w:sz="8" w:space="0"/>
      </w:pBdr>
    </w:pPr>
    <w:rPr>
      <w:rFonts w:ascii="黑体" w:hAnsi="宋体" w:eastAsia="黑体" w:cs="宋体"/>
      <w:sz w:val="32"/>
      <w:szCs w:val="32"/>
    </w:rPr>
  </w:style>
  <w:style w:type="paragraph" w:styleId="1183" w:customStyle="1">
    <w:name w:val="font14"/>
    <w:basedOn w:val="866"/>
    <w:uiPriority w:val="0"/>
    <w:qFormat/>
    <w:pPr>
      <w:jc w:val="left"/>
      <w:spacing w:before="100" w:beforeAutospacing="1" w:after="100" w:afterAutospacing="1"/>
      <w:widowControl/>
    </w:pPr>
    <w:rPr>
      <w:rFonts w:ascii="仿宋_GB2312" w:hAnsi="ˎ̥" w:eastAsia="仿宋_GB2312"/>
      <w:spacing w:val="15"/>
      <w:sz w:val="36"/>
      <w:szCs w:val="20"/>
    </w:rPr>
  </w:style>
  <w:style w:type="paragraph" w:styleId="118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185" w:customStyle="1">
    <w:name w:val="样式 样式 标题1 + 行距: 单倍行距 + 段前: 7.8 磅 段后: 7.8 磅"/>
    <w:basedOn w:val="866"/>
    <w:uiPriority w:val="0"/>
    <w:qFormat/>
    <w:pPr>
      <w:numPr>
        <w:ilvl w:val="1"/>
        <w:numId w:val="7"/>
      </w:num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186" w:customStyle="1">
    <w:name w:val="xl34"/>
    <w:basedOn w:val="866"/>
    <w:uiPriority w:val="0"/>
    <w:qFormat/>
    <w:pPr>
      <w:jc w:val="center"/>
      <w:spacing w:before="100" w:beforeAutospacing="1" w:after="100" w:afterAutospacing="1"/>
      <w:widowControl/>
    </w:pPr>
    <w:rPr>
      <w:rFonts w:ascii="Arial Unicode MS" w:hAnsi="Arial Unicode MS" w:eastAsia="Arial Unicode MS"/>
      <w:spacing w:val="15"/>
      <w:sz w:val="24"/>
      <w:szCs w:val="20"/>
    </w:rPr>
  </w:style>
  <w:style w:type="paragraph" w:styleId="1187" w:customStyle="1">
    <w:name w:val="Char1 Char Char Char Char Char Char Char Char Char1"/>
    <w:basedOn w:val="866"/>
    <w:uiPriority w:val="0"/>
    <w:qFormat/>
    <w:rPr>
      <w:szCs w:val="20"/>
    </w:rPr>
  </w:style>
  <w:style w:type="paragraph" w:styleId="1188" w:customStyle="1">
    <w:name w:val="正文1"/>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1189" w:customStyle="1">
    <w:name w:val="标题 31"/>
    <w:basedOn w:val="866"/>
    <w:next w:val="866"/>
    <w:uiPriority w:val="0"/>
    <w:qFormat/>
    <w:pPr>
      <w:keepLines/>
      <w:keepNext/>
      <w:spacing w:before="260" w:after="260" w:line="416" w:lineRule="auto"/>
      <w:outlineLvl w:val="2"/>
    </w:pPr>
    <w:rPr>
      <w:b/>
      <w:bCs/>
      <w:sz w:val="32"/>
      <w:szCs w:val="32"/>
    </w:rPr>
  </w:style>
  <w:style w:type="paragraph" w:styleId="1190" w:customStyle="1">
    <w:name w:val="标题 41"/>
    <w:basedOn w:val="866"/>
    <w:next w:val="1039"/>
    <w:uiPriority w:val="0"/>
    <w:qFormat/>
    <w:pPr>
      <w:keepLines/>
      <w:keepNext/>
      <w:spacing w:before="280" w:after="290" w:line="376" w:lineRule="auto"/>
      <w:outlineLvl w:val="3"/>
    </w:pPr>
    <w:rPr>
      <w:rFonts w:ascii="Arial" w:hAnsi="Arial" w:eastAsia="黑体" w:cs="Arial"/>
      <w:b/>
      <w:bCs/>
      <w:sz w:val="28"/>
      <w:szCs w:val="28"/>
    </w:rPr>
  </w:style>
  <w:style w:type="paragraph" w:styleId="119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92" w:customStyle="1">
    <w:name w:val="Default"/>
    <w:next w:val="866"/>
    <w:uiPriority w:val="0"/>
    <w:qFormat/>
    <w:pPr>
      <w:widowControl w:val="off"/>
    </w:pPr>
    <w:rPr>
      <w:rFonts w:ascii="宋体" w:hAnsi="Times New Roman" w:eastAsia="宋体" w:cs="宋体"/>
      <w:color w:val="000000"/>
      <w:sz w:val="24"/>
      <w:szCs w:val="24"/>
      <w:lang w:val="en-US" w:eastAsia="zh-CN" w:bidi="ar-SA"/>
    </w:rPr>
  </w:style>
  <w:style w:type="paragraph" w:styleId="1193" w:customStyle="1">
    <w:name w:val="标题 21"/>
    <w:basedOn w:val="866"/>
    <w:next w:val="86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94" w:customStyle="1">
    <w:name w:val="Char1"/>
    <w:basedOn w:val="866"/>
    <w:uiPriority w:val="0"/>
    <w:qFormat/>
    <w:pPr>
      <w:ind w:firstLine="200"/>
      <w:tabs>
        <w:tab w:val="left" w:pos="360" w:leader="none"/>
      </w:tabs>
    </w:pPr>
    <w:rPr>
      <w:sz w:val="28"/>
      <w:szCs w:val="30"/>
    </w:rPr>
  </w:style>
  <w:style w:type="paragraph" w:styleId="1195" w:customStyle="1">
    <w:name w:val="正文文本缩进11"/>
    <w:basedOn w:val="866"/>
    <w:next w:val="866"/>
    <w:uiPriority w:val="99"/>
    <w:unhideWhenUsed/>
    <w:qFormat/>
    <w:pPr>
      <w:ind w:firstLine="540"/>
      <w:spacing w:line="400" w:lineRule="exact"/>
    </w:pPr>
    <w:rPr>
      <w:sz w:val="24"/>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C18D3-F808-4899-9DFC-191C002BB816}"/>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陈洁(宝应)</cp:lastModifiedBy>
  <cp:revision>10</cp:revision>
  <dcterms:created xsi:type="dcterms:W3CDTF">2024-09-25T00:29:00Z</dcterms:created>
  <dcterms:modified xsi:type="dcterms:W3CDTF">2024-09-27T03:36:45Z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F09A15E6AA7E401285777E7CD9505454_13</vt:lpwstr>
  </property>
</Properties>
</file>