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86"/>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886"/>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86"/>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0"/>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lang w:eastAsia="zh-CN"/>
        </w:rPr>
        <w:t xml:space="preserve">       项目编号：JSZC-320312-JSJM-G2024-0007</w:t>
      </w:r>
      <w:r/>
    </w:p>
    <w:p>
      <w:pPr>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ind w:firstLine="0"/>
        <w:jc w:val="center"/>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t xml:space="preserve"> 项目名称：</w:t>
      </w:r>
      <w:r>
        <w:rPr>
          <w:rFonts w:hint="eastAsia" w:ascii="仿宋" w:hAnsi="仿宋" w:eastAsia="仿宋" w:cs="仿宋"/>
          <w:color w:val="000000"/>
          <w:sz w:val="32"/>
          <w:highlight w:val="none"/>
          <w:lang w:eastAsia="zh-CN"/>
        </w:rPr>
        <w:t xml:space="preserve">2024年铜山区粮食绿色高产高效丰产片建设</w:t>
      </w:r>
      <w:r/>
    </w:p>
    <w:p>
      <w:pPr>
        <w:ind w:firstLine="202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ind w:firstLine="0"/>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       采 购 人：</w:t>
      </w:r>
      <w:r>
        <w:rPr>
          <w:rFonts w:hint="eastAsia" w:ascii="仿宋" w:hAnsi="仿宋" w:eastAsia="仿宋" w:cs="仿宋"/>
          <w:color w:val="000000"/>
          <w:sz w:val="32"/>
          <w:highlight w:val="none"/>
          <w:lang w:eastAsia="zh-CN"/>
        </w:rPr>
        <w:t xml:space="preserve">徐州市铜山区农业农村局（机关）</w:t>
      </w:r>
      <w:r/>
    </w:p>
    <w:p>
      <w:pPr>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3"/>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91"/>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rPr>
          <w:rFonts w:ascii="宋体" w:hAnsi="宋体"/>
          <w:sz w:val="30"/>
          <w:szCs w:val="30"/>
        </w:rPr>
      </w:pPr>
      <w:r>
        <w:rPr>
          <w:rFonts w:ascii="宋体" w:hAnsi="宋体"/>
          <w:sz w:val="30"/>
          <w:szCs w:val="30"/>
        </w:rPr>
      </w:r>
      <w:r/>
    </w:p>
    <w:p>
      <w:pPr>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jc w:val="both"/>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江苏家淼招标代理有限公司</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四</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eastAsia="zh-CN"/>
        </w:rPr>
        <w:t xml:space="preserve">十</w:t>
      </w:r>
      <w:r>
        <w:rPr>
          <w:rFonts w:hint="eastAsia" w:ascii="仿宋" w:hAnsi="仿宋" w:eastAsia="仿宋" w:cs="仿宋"/>
          <w:bCs/>
          <w:color w:val="000000"/>
          <w:sz w:val="30"/>
          <w:highlight w:val="none"/>
        </w:rPr>
        <w:t xml:space="preserve">月</w:t>
      </w:r>
      <w:r/>
    </w:p>
    <w:p>
      <w:pPr>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02"/>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02"/>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02"/>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02"/>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02"/>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02"/>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02"/>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02"/>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519" w:lineRule="atLeast"/>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p>
    <w:p>
      <w:pPr>
        <w:jc w:val="center"/>
        <w:spacing w:line="48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p>
    <w:p>
      <w:pPr>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江苏家淼招标代理有限公司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徐州市铜山区农业农村局（机关）2024年铜山区粮食绿色高产高效丰产片建设项目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rPr>
        <w:t xml:space="preserve">现欢迎符合相关条件的供应商投标</w:t>
      </w:r>
      <w:r>
        <w:rPr>
          <w:rFonts w:hint="eastAsia" w:ascii="仿宋" w:hAnsi="仿宋" w:eastAsia="仿宋" w:cs="仿宋"/>
          <w:color w:val="000000"/>
          <w:sz w:val="28"/>
          <w:szCs w:val="28"/>
          <w:highlight w:val="none"/>
        </w:rPr>
        <w:t xml:space="preserve">。</w:t>
      </w:r>
      <w:r/>
    </w:p>
    <w:p>
      <w:pPr>
        <w:ind w:firstLine="300"/>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2024年铜山区粮食绿色高产高效丰产片建设</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项目编号：JSZC-320312-JSJM-G2024-0007</w:t>
      </w:r>
      <w:r/>
    </w:p>
    <w:p>
      <w:pPr>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p>
    <w:p>
      <w:pPr>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p>
    <w:p>
      <w:pPr>
        <w:ind w:firstLine="301"/>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三、获取招标文件</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1、潜在供应商访问电子招标投标交易平台的网络地址和方法：</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潜在投标人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（5）招标代理机构（采购代理机构）将数据电文形式的采购文件加载至“苏采云”系统，供潜在投标人下载或者查阅。      </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（6）苏采云系统使用谷歌浏览器参与开标。</w:t>
      </w:r>
      <w:r/>
    </w:p>
    <w:p>
      <w:pPr>
        <w:spacing w:line="360" w:lineRule="auto"/>
        <w:rPr>
          <w:rFonts w:hint="eastAsia"/>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、招标文件售价：免费</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四、投标有关信息</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（一）投标截止时间：202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14</w:t>
      </w:r>
      <w:r>
        <w:rPr>
          <w:rFonts w:hint="eastAsia" w:ascii="仿宋" w:hAnsi="仿宋" w:eastAsia="仿宋" w:cs="仿宋"/>
          <w:color w:val="000000"/>
          <w:sz w:val="28"/>
          <w:szCs w:val="28"/>
        </w:rPr>
        <w:t xml:space="preserve">日北京时间</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  </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（二）开标时间：202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14</w:t>
      </w:r>
      <w:r>
        <w:rPr>
          <w:rFonts w:hint="eastAsia" w:ascii="仿宋" w:hAnsi="仿宋" w:eastAsia="仿宋" w:cs="仿宋"/>
          <w:color w:val="000000"/>
          <w:sz w:val="28"/>
          <w:szCs w:val="28"/>
        </w:rPr>
        <w:t xml:space="preserve">日北京时间</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p>
    <w:p>
      <w:pPr>
        <w:ind w:firstLine="300"/>
        <w:spacing w:line="519" w:lineRule="atLeast"/>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五、采购人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徐州市铜山区农业农村局（机关）</w:t>
      </w:r>
      <w:r>
        <w:rPr>
          <w:rFonts w:hint="eastAsia" w:ascii="仿宋" w:hAnsi="仿宋" w:eastAsia="仿宋" w:cs="仿宋"/>
          <w:color w:val="000000"/>
          <w:sz w:val="28"/>
          <w:szCs w:val="28"/>
        </w:rPr>
        <w:t xml:space="preserve"> </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（二）地址：徐州市铜山区府西路6号</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（三）联系方式：0516—</w:t>
      </w:r>
      <w:r>
        <w:rPr>
          <w:rFonts w:hint="eastAsia" w:ascii="仿宋" w:hAnsi="仿宋" w:eastAsia="仿宋" w:cs="仿宋"/>
          <w:color w:val="000000"/>
          <w:sz w:val="28"/>
          <w:szCs w:val="28"/>
          <w:lang w:eastAsia="zh-CN"/>
        </w:rPr>
        <w:t xml:space="preserve">69683627</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val="en-US" w:eastAsia="zh-CN"/>
        </w:rPr>
        <w:t xml:space="preserve">毛振荣</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联系电话：0516—</w:t>
      </w:r>
      <w:r>
        <w:rPr>
          <w:rFonts w:hint="eastAsia" w:ascii="仿宋" w:hAnsi="仿宋" w:eastAsia="仿宋" w:cs="仿宋"/>
          <w:color w:val="000000"/>
          <w:sz w:val="28"/>
          <w:szCs w:val="28"/>
          <w:lang w:eastAsia="zh-CN"/>
        </w:rPr>
        <w:t xml:space="preserve">69683627</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六、采购代理机构</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江苏家淼招标代理有限公司</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（二）地址：</w:t>
      </w:r>
      <w:r>
        <w:rPr>
          <w:rFonts w:hint="eastAsia" w:ascii="仿宋" w:hAnsi="仿宋" w:eastAsia="仿宋" w:cs="仿宋"/>
          <w:sz w:val="28"/>
          <w:szCs w:val="28"/>
          <w:lang w:eastAsia="zh-CN"/>
        </w:rPr>
        <w:t xml:space="preserve">徐州市铜山区学府路万达华府北</w:t>
      </w:r>
      <w:bookmarkStart w:id="4" w:name="_GoBack"/>
      <w:r/>
      <w:bookmarkEnd w:id="4"/>
      <w:r>
        <w:rPr>
          <w:rFonts w:hint="eastAsia" w:ascii="仿宋" w:hAnsi="仿宋" w:eastAsia="仿宋" w:cs="仿宋"/>
          <w:sz w:val="28"/>
          <w:szCs w:val="28"/>
          <w:lang w:eastAsia="zh-CN"/>
        </w:rPr>
        <w:t xml:space="preserve">门2-106</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（三）联系方式：15505193689</w:t>
      </w:r>
      <w:r>
        <w:rPr>
          <w:rFonts w:hint="eastAsia" w:ascii="仿宋" w:hAnsi="仿宋" w:eastAsia="仿宋" w:cs="仿宋"/>
          <w:sz w:val="28"/>
          <w:szCs w:val="28"/>
          <w:lang w:eastAsia="zh-CN"/>
        </w:rPr>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w:t>
      </w:r>
      <w:r>
        <w:rPr>
          <w:rFonts w:hint="eastAsia" w:ascii="仿宋" w:hAnsi="仿宋" w:eastAsia="仿宋" w:cs="仿宋"/>
          <w:sz w:val="28"/>
          <w:szCs w:val="28"/>
        </w:rPr>
        <w:t xml:space="preserve">周建</w:t>
      </w:r>
      <w:r>
        <w:rPr>
          <w:rFonts w:hint="eastAsia" w:ascii="仿宋" w:hAnsi="仿宋" w:eastAsia="仿宋" w:cs="仿宋"/>
          <w:sz w:val="28"/>
          <w:szCs w:val="28"/>
        </w:rPr>
        <w:t xml:space="preserve">国</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lang w:eastAsia="zh-CN"/>
        </w:rPr>
        <w:t xml:space="preserve">15505193689</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600"/>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仿宋" w:hAnsi="仿宋" w:eastAsia="仿宋" w:cs="仿宋"/>
          <w:b/>
          <w:color w:val="000000"/>
          <w:sz w:val="30"/>
          <w:highlight w:val="none"/>
        </w:rPr>
      </w:r>
      <w:r/>
    </w:p>
    <w:p>
      <w:pPr>
        <w:pStyle w:val="881"/>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  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一、总则</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（一）采购人。采购人即指依法进行政府采购的国家机关、事业单位和团体组织。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（六）投标人的资格条件：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2.投标人授权代表系指法定代表人或受法人委托的受托人。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（八）招标文件应包括以下内容：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第一章，投标邀请；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第四章，评标标准；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第五章，拟签订的合同文本；</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w:t>
      </w:r>
      <w:r>
        <w:rPr>
          <w:rFonts w:hint="eastAsia" w:ascii="仿宋" w:hAnsi="仿宋" w:eastAsia="仿宋" w:cs="仿宋"/>
          <w:color w:val="000000"/>
          <w:sz w:val="28"/>
          <w:szCs w:val="28"/>
        </w:rPr>
        <w:t xml:space="preserve">项目概况及总体要求</w:t>
      </w:r>
      <w:r>
        <w:rPr>
          <w:rFonts w:hint="eastAsia" w:ascii="仿宋" w:hAnsi="仿宋" w:eastAsia="仿宋" w:cs="仿宋"/>
          <w:sz w:val="28"/>
          <w:szCs w:val="28"/>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第七章，投标文件相关格式。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（九）招标文件澄清或者修改：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rPr>
        <w:t xml:space="preserve">现场考察</w:t>
      </w:r>
      <w:r>
        <w:rPr>
          <w:rFonts w:hint="eastAsia" w:ascii="仿宋" w:hAnsi="仿宋" w:eastAsia="仿宋" w:cs="仿宋"/>
          <w:sz w:val="28"/>
          <w:szCs w:val="28"/>
        </w:rPr>
        <w:t xml:space="preserve">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3.开标前答疑会以本文件第三章《投标资料表》中的要求为准。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三、投标</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（十二）投标文件的构成：</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1.投标文件的构成以本文件第三章《投标资料表》中的要求为准。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（十三）投标函和价格表、商务条件、交货和提供服务的时间：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2.商务条件以本文件第三章《投标资料表》中的要求为准。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3.交货和提供服务的时间，以本文件第三章《投标资料表》中所提要求为准。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（十四）投标报价要求：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1.投标人应按照招标文件的要求报出分项价格和总价。</w:t>
      </w:r>
      <w:r/>
    </w:p>
    <w:p>
      <w:pPr>
        <w:pStyle w:val="88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2.投标人应按照招标文件的要求进行报价，如投标人作出偏离，应在《偏离表》中列出。</w:t>
      </w:r>
      <w:r/>
    </w:p>
    <w:p>
      <w:pPr>
        <w:pStyle w:val="88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3.采购人不支付报价以外的任何费用。</w:t>
      </w:r>
      <w:r/>
    </w:p>
    <w:p>
      <w:pPr>
        <w:pStyle w:val="88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 投标人所报的价格在合同执行过程中是固定的，不得以任何理由予以变更。投标人提交滑动价格的投标文件在资格性、符合性检查时按照无效投标处理。</w:t>
      </w:r>
      <w:r/>
    </w:p>
    <w:p>
      <w:pPr>
        <w:pStyle w:val="88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（十五）投标货币。以本文件第三章《投标资料表》中所提要求为准。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（十六）投标有效期：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（十七）投标文件的编制要求和签署要求：</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电子投标文件要求</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投标人应对 CA 证书妥善保管，如被他人盗用投标，因此带来的结果均由投标人自行承担。</w:t>
      </w:r>
      <w:r/>
    </w:p>
    <w:p>
      <w:pPr>
        <w:pStyle w:val="888"/>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p>
    <w:p>
      <w:pPr>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p>
    <w:p>
      <w:pPr>
        <w:pStyle w:val="903"/>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p>
    <w:p>
      <w:pPr>
        <w:pStyle w:val="903"/>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pStyle w:val="903"/>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pStyle w:val="903"/>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4.总价金额与按单价合计金额不一致的，以单价金额计算结果为准。</w:t>
      </w:r>
      <w:r/>
    </w:p>
    <w:p>
      <w:pPr>
        <w:pStyle w:val="903"/>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903"/>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p>
    <w:p>
      <w:pPr>
        <w:ind w:firstLine="480"/>
        <w:spacing w:line="360" w:lineRule="auto"/>
        <w:rPr>
          <w:rFonts w:hint="eastAsia" w:ascii="仿宋" w:hAnsi="仿宋" w:eastAsia="仿宋" w:cs="仿宋"/>
          <w:color w:val="ff0000"/>
          <w:sz w:val="28"/>
          <w:szCs w:val="28"/>
          <w:lang w:eastAsia="zh-CN"/>
        </w:rPr>
      </w:pPr>
      <w:r>
        <w:rPr>
          <w:rFonts w:hint="eastAsia" w:ascii="仿宋" w:hAnsi="仿宋" w:eastAsia="仿宋" w:cs="仿宋"/>
          <w:sz w:val="28"/>
          <w:szCs w:val="28"/>
        </w:rPr>
        <w:t xml:space="preserve">（二十九）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sz w:val="28"/>
          <w:szCs w:val="28"/>
          <w:lang w:eastAsia="zh-CN"/>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p>
    <w:p>
      <w:pPr>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2"/>
        <w:jc w:val="cente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jc w:val="both"/>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highlight w:val="none"/>
        </w:rPr>
      </w:r>
      <w:r/>
    </w:p>
    <w:p>
      <w:pPr>
        <w:pStyle w:val="903"/>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03"/>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03"/>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03"/>
        <w:rPr>
          <w:rFonts w:hint="eastAsia"/>
        </w:rPr>
      </w:pPr>
      <w:r>
        <w:rPr>
          <w:rFonts w:hint="eastAsia"/>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both"/>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ind w:firstLine="3313"/>
        <w:jc w:val="both"/>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 投标资料表</w:t>
      </w:r>
      <w:r/>
    </w:p>
    <w:p>
      <w:pPr>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Height w:val="47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p>
        </w:tc>
      </w:tr>
      <w:tr>
        <w:trPr>
          <w:jc w:val="center"/>
          <w:trHeight w:val="51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徐州市铜山区农业农村局（机关）</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江苏家淼招标代理有限公司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投标人的资格条件：</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符合《中华人民共和国政府采购法》第二十二条的规定；</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同时明确相关事项如下：</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bidi="ar-SA"/>
              </w:rPr>
              <w:t xml:space="preserve">一、</w:t>
            </w:r>
            <w:r>
              <w:rPr>
                <w:rFonts w:hint="eastAsia" w:ascii="仿宋" w:hAnsi="仿宋" w:eastAsia="仿宋" w:cs="仿宋"/>
                <w:i w:val="0"/>
                <w:caps w:val="0"/>
                <w:color w:val="000000"/>
                <w:spacing w:val="0"/>
                <w:sz w:val="28"/>
                <w:szCs w:val="28"/>
              </w:rPr>
              <w:t xml:space="preserve">此项目属于专门面向中小微企业采购的项目，</w:t>
            </w:r>
            <w:r>
              <w:rPr>
                <w:rFonts w:hint="eastAsia" w:ascii="仿宋" w:hAnsi="仿宋" w:eastAsia="仿宋" w:cs="仿宋"/>
                <w:i w:val="0"/>
                <w:caps w:val="0"/>
                <w:color w:val="000000"/>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000000"/>
                <w:sz w:val="28"/>
                <w:szCs w:val="28"/>
              </w:rPr>
              <w:t xml:space="preserve">供应商提供的货物的制造商应全部为中小微企业、监狱企业、残疾人福利性单位。</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二、本项目不接受联合体参与采购活动。</w:t>
            </w:r>
            <w:r/>
          </w:p>
          <w:p>
            <w:pPr>
              <w:ind w:left="560" w:hanging="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三、单位负责人为同一人或者存在直接控股、管理关系的不同供应商，不得参加同一合同项下的政府采购活动。</w:t>
            </w:r>
            <w:r/>
          </w:p>
          <w:p>
            <w:pPr>
              <w:ind w:left="560" w:hanging="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五、查询及使用供应商信用记录：</w:t>
            </w:r>
            <w:r/>
          </w:p>
          <w:p>
            <w:pPr>
              <w:ind w:firstLine="3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(一)由采购人查询信用信息。</w:t>
            </w:r>
            <w:r/>
          </w:p>
          <w:p>
            <w:pPr>
              <w:ind w:firstLine="3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(二)查询渠道包括：</w:t>
            </w:r>
            <w:r/>
          </w:p>
          <w:p>
            <w:pPr>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1.“信用中国”网（</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"http://www.creditchina.gov.cn/"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www.creditchina.gov.cn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2.中国政府采购网（</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"http://www.ccgp.gov.cn/"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www.ccgp.gov.cn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3.“信用江苏”网（http://credit.jiangsu.gov.cn/）；</w:t>
            </w:r>
            <w:r/>
          </w:p>
          <w:p>
            <w:pPr>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4.“信用中国（江苏徐州）”网</w:t>
            </w:r>
            <w:r/>
          </w:p>
          <w:p>
            <w:pPr>
              <w:ind w:firstLine="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"http://www.xuzhoucredit.gov.cn/"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http://www.xuzhoucredit.gov.cn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ind w:firstLine="3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(三)截止时点（查询环节）：</w:t>
            </w:r>
            <w:r>
              <w:rPr>
                <w:rFonts w:hint="eastAsia" w:ascii="仿宋" w:hAnsi="仿宋" w:eastAsia="仿宋" w:cs="仿宋"/>
                <w:b w:val="0"/>
                <w:bCs w:val="0"/>
                <w:color w:val="000000"/>
                <w:sz w:val="28"/>
                <w:szCs w:val="28"/>
              </w:rPr>
              <w:t xml:space="preserve">资格审查</w:t>
            </w:r>
            <w:r>
              <w:rPr>
                <w:rFonts w:hint="eastAsia" w:ascii="仿宋" w:hAnsi="仿宋" w:eastAsia="仿宋" w:cs="仿宋"/>
                <w:color w:val="000000"/>
                <w:sz w:val="28"/>
                <w:szCs w:val="28"/>
              </w:rPr>
              <w:t xml:space="preserve">结束前。</w:t>
            </w:r>
            <w:r/>
          </w:p>
          <w:p>
            <w:pPr>
              <w:ind w:left="900" w:hanging="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(四)信用信息查询记录和证据留存的具体方式：网页截屏打印，与其他采购文件一并保存。</w:t>
            </w:r>
            <w:r/>
          </w:p>
          <w:p>
            <w:pPr>
              <w:ind w:firstLine="3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(五)信用信息的使用规则：</w:t>
            </w:r>
            <w:r/>
          </w:p>
          <w:p>
            <w:pPr>
              <w:ind w:left="899"/>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不安排现场考察</w:t>
            </w:r>
            <w:r>
              <w:rPr>
                <w:rFonts w:ascii="宋体" w:hAnsi="宋体"/>
                <w:sz w:val="24"/>
                <w:szCs w:val="24"/>
              </w:rPr>
              <w:t xml:space="preserve">。</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（十）</w:t>
            </w:r>
            <w:r/>
          </w:p>
        </w:tc>
        <w:tc>
          <w:tcPr>
            <w:tcMar>
              <w:left w:w="108" w:type="dxa"/>
              <w:top w:w="0" w:type="dxa"/>
              <w:right w:w="108" w:type="dxa"/>
              <w:bottom w:w="0" w:type="dxa"/>
            </w:tcMar>
            <w:tcW w:w="8313" w:type="dxa"/>
            <w:vAlign w:val="top"/>
            <w:textDirection w:val="lrTb"/>
            <w:noWrap w:val="false"/>
          </w:tcPr>
          <w:p>
            <w:pPr>
              <w:pStyle w:val="918"/>
              <w:jc w:val="left"/>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仿宋" w:hAnsi="仿宋" w:eastAsia="仿宋" w:cs="仿宋"/>
                <w:sz w:val="28"/>
                <w:szCs w:val="28"/>
                <w:lang w:val="en-US" w:eastAsia="zh-CN" w:bidi="ar-SA"/>
              </w:rPr>
            </w:pPr>
            <w:r>
              <w:rPr>
                <w:rFonts w:hint="eastAsia" w:ascii="仿宋" w:hAnsi="仿宋" w:eastAsia="仿宋" w:cs="仿宋"/>
                <w:bCs/>
                <w:color w:val="000000"/>
                <w:sz w:val="28"/>
                <w:szCs w:val="28"/>
              </w:rPr>
              <w:t xml:space="preserve">特别说明：政府采购客户端工具需要导出加密的投标文件（后缀名为zip）。投标文件不得超过</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50M！</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w:t>
            </w:r>
            <w:r/>
          </w:p>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03"/>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投标文件应由下列部分构成：（以电子采购文件提供的</w:t>
            </w:r>
            <w:r>
              <w:rPr>
                <w:rFonts w:hint="eastAsia" w:ascii="仿宋" w:hAnsi="仿宋" w:eastAsia="仿宋" w:cs="仿宋"/>
                <w:sz w:val="28"/>
                <w:szCs w:val="28"/>
                <w:lang w:eastAsia="zh-CN"/>
              </w:rPr>
              <w:t xml:space="preserve">顺序</w:t>
            </w:r>
            <w:r>
              <w:rPr>
                <w:rFonts w:hint="eastAsia" w:ascii="仿宋" w:hAnsi="仿宋" w:eastAsia="仿宋" w:cs="仿宋"/>
                <w:sz w:val="28"/>
                <w:szCs w:val="28"/>
              </w:rPr>
              <w:t xml:space="preserve">和要求为准）</w:t>
            </w:r>
            <w:r/>
          </w:p>
          <w:p>
            <w:pPr>
              <w:pStyle w:val="903"/>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w:t>
            </w:r>
            <w:r>
              <w:rPr>
                <w:rFonts w:hint="eastAsia" w:ascii="仿宋" w:hAnsi="仿宋" w:eastAsia="仿宋" w:cs="仿宋"/>
                <w:color w:val="000000"/>
                <w:sz w:val="28"/>
                <w:szCs w:val="28"/>
                <w:lang w:val="en-US" w:eastAsia="zh-CN"/>
              </w:rPr>
              <w:t xml:space="preserve">,</w:t>
            </w:r>
            <w:r>
              <w:rPr>
                <w:rFonts w:hint="eastAsia" w:ascii="仿宋" w:hAnsi="仿宋" w:eastAsia="仿宋" w:cs="仿宋"/>
                <w:b w:val="0"/>
                <w:bCs w:val="0"/>
                <w:sz w:val="28"/>
                <w:szCs w:val="28"/>
              </w:rPr>
              <w:t xml:space="preserve">政府采购客户端工具输入报价自动生成</w:t>
            </w: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sz w:val="28"/>
                <w:szCs w:val="28"/>
              </w:rPr>
              <w:t xml:space="preserve">法定代表人</w:t>
            </w:r>
            <w:r>
              <w:rPr>
                <w:rFonts w:hint="eastAsia" w:ascii="仿宋" w:hAnsi="仿宋" w:eastAsia="仿宋" w:cs="仿宋"/>
                <w:color w:val="000000"/>
                <w:sz w:val="28"/>
                <w:szCs w:val="28"/>
              </w:rPr>
              <w:t xml:space="preserve">授权委托书》</w:t>
            </w:r>
            <w:r>
              <w:rPr>
                <w:rFonts w:hint="eastAsia" w:ascii="仿宋" w:hAnsi="仿宋" w:eastAsia="仿宋" w:cs="仿宋"/>
                <w:sz w:val="28"/>
                <w:szCs w:val="28"/>
              </w:rPr>
              <w:t xml:space="preserve">要求加盖电子签章，格式见本文件第七章《投标文件相关格式》（必须提供，否则在符合性审查时按照投标无效处理）</w:t>
            </w:r>
            <w:r>
              <w:rPr>
                <w:rFonts w:hint="eastAsia" w:ascii="仿宋" w:hAnsi="仿宋" w:eastAsia="仿宋" w:cs="仿宋"/>
                <w:color w:val="000000"/>
                <w:sz w:val="28"/>
                <w:szCs w:val="28"/>
              </w:rPr>
              <w:t xml:space="preserve">；</w:t>
            </w:r>
            <w:r/>
          </w:p>
          <w:p>
            <w:pPr>
              <w:pStyle w:val="903"/>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二、资格条件（必须提供证明材料原件扫描件，否则投标</w:t>
            </w:r>
            <w:r>
              <w:rPr>
                <w:rFonts w:hint="eastAsia" w:ascii="仿宋" w:hAnsi="仿宋" w:eastAsia="仿宋" w:cs="仿宋"/>
                <w:b/>
                <w:bCs/>
                <w:color w:val="000000"/>
                <w:sz w:val="28"/>
                <w:szCs w:val="28"/>
                <w:lang w:val="en-US" w:eastAsia="zh-CN"/>
              </w:rPr>
              <w:t xml:space="preserve">无效</w:t>
            </w:r>
            <w:r>
              <w:rPr>
                <w:rFonts w:hint="eastAsia" w:ascii="仿宋" w:hAnsi="仿宋" w:eastAsia="仿宋" w:cs="仿宋"/>
                <w:b/>
                <w:bCs/>
                <w:color w:val="000000"/>
                <w:sz w:val="28"/>
                <w:szCs w:val="28"/>
              </w:rPr>
              <w:t xml:space="preserve">）</w:t>
            </w:r>
            <w:r/>
          </w:p>
          <w:p>
            <w:pPr>
              <w:pStyle w:val="918"/>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财务状况报告（即提供投标人的本项目开标时间前6个月内任何时间的资产负债表、利润表扫描件各一份；或提供投标人</w:t>
            </w:r>
            <w:r>
              <w:rPr>
                <w:rFonts w:hint="eastAsia" w:ascii="仿宋" w:hAnsi="仿宋" w:eastAsia="仿宋" w:cs="仿宋"/>
                <w:sz w:val="28"/>
                <w:szCs w:val="28"/>
                <w:lang w:val="en-US" w:eastAsia="zh-CN"/>
              </w:rPr>
              <w:t xml:space="preserve">2022年度（或2023</w:t>
            </w:r>
            <w:r>
              <w:rPr>
                <w:rFonts w:hint="eastAsia" w:ascii="仿宋" w:hAnsi="仿宋" w:eastAsia="仿宋" w:cs="仿宋"/>
                <w:sz w:val="28"/>
                <w:szCs w:val="28"/>
              </w:rPr>
              <w:t xml:space="preserve">年度</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经审计的财务报告扫描件一份；或投标人的本项目开标时间前6个月内银行出具的资信证明扫描件一份）</w:t>
            </w:r>
            <w:r>
              <w:rPr>
                <w:rFonts w:hint="eastAsia" w:ascii="仿宋" w:hAnsi="仿宋" w:eastAsia="仿宋" w:cs="仿宋"/>
                <w:sz w:val="28"/>
                <w:szCs w:val="28"/>
                <w:lang w:eastAsia="zh-CN"/>
              </w:rPr>
              <w:t xml:space="preserve">。</w:t>
            </w:r>
            <w:r/>
          </w:p>
          <w:p>
            <w:pPr>
              <w:pStyle w:val="918"/>
              <w:ind w:left="551" w:hanging="551"/>
              <w:spacing w:line="360" w:lineRule="auto"/>
              <w:rPr>
                <w:rFonts w:hint="eastAsia" w:ascii="仿宋" w:hAnsi="仿宋" w:eastAsia="仿宋" w:cs="仿宋"/>
                <w:color w:val="000000"/>
                <w:sz w:val="28"/>
                <w:szCs w:val="28"/>
                <w:lang w:val="en-US"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28"/>
                <w:szCs w:val="28"/>
                <w:lang w:eastAsia="zh-CN"/>
              </w:rPr>
              <w:t xml:space="preserve">。</w:t>
            </w:r>
            <w:r/>
          </w:p>
          <w:p>
            <w:pPr>
              <w:pStyle w:val="918"/>
              <w:ind w:left="551" w:hanging="551"/>
              <w:spacing w:line="360" w:lineRule="auto"/>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、具备履行合同所必需的设备和专业技术能力的证明材料扫描件；格式见本文件第七章《投标文件相关格式》。</w:t>
            </w:r>
            <w:r/>
          </w:p>
          <w:p>
            <w:pPr>
              <w:pStyle w:val="918"/>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5、投标人参加政府采购活动前3年内在经营活动中没有重大违法记录的书面声明，加盖电子签章，格式见本文件第七章《投标文件相关格式》。</w:t>
            </w:r>
            <w:r/>
          </w:p>
          <w:p>
            <w:pPr>
              <w:pStyle w:val="918"/>
              <w:ind w:left="551" w:hanging="551"/>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6、中小企业声明函</w:t>
            </w:r>
            <w:r>
              <w:rPr>
                <w:rFonts w:hint="eastAsia" w:ascii="仿宋" w:hAnsi="仿宋" w:eastAsia="仿宋" w:cs="仿宋"/>
                <w:bCs/>
                <w:color w:val="000000"/>
                <w:sz w:val="28"/>
                <w:szCs w:val="28"/>
                <w:lang w:eastAsia="zh-CN"/>
              </w:rPr>
              <w:t xml:space="preserve">。</w:t>
            </w:r>
            <w:r>
              <w:rPr>
                <w:rFonts w:hint="eastAsia" w:ascii="仿宋" w:hAnsi="仿宋" w:eastAsia="仿宋" w:cs="仿宋"/>
                <w:color w:val="000000"/>
                <w:sz w:val="28"/>
                <w:szCs w:val="28"/>
              </w:rPr>
              <w:t xml:space="preserve">加盖电子签章，格式见本文件第七章《投标文件相关格式》。</w:t>
            </w:r>
            <w:r/>
          </w:p>
          <w:p>
            <w:pPr>
              <w:pStyle w:val="903"/>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p>
          <w:p>
            <w:pPr>
              <w:pStyle w:val="903"/>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p>
          <w:p>
            <w:pPr>
              <w:pStyle w:val="903"/>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1.《分项价格表》（加盖电子签章，格式见招标文件第七章《投标文件相关格式》）；</w:t>
            </w:r>
            <w:r/>
          </w:p>
          <w:p>
            <w:pPr>
              <w:pStyle w:val="903"/>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p>
          <w:p>
            <w:pPr>
              <w:pStyle w:val="903"/>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《投标函》（加盖电子签章，格式见招标文件第七章《投标文件相关格式》）；</w:t>
            </w:r>
            <w:r/>
          </w:p>
          <w:p>
            <w:pPr>
              <w:pStyle w:val="903"/>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p>
          <w:p>
            <w:pPr>
              <w:pStyle w:val="903"/>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《偏离表》（加盖电子签章，格式见招标文件第七章《投标文件相关格式》）。</w:t>
            </w:r>
            <w:r/>
          </w:p>
          <w:p>
            <w:pPr>
              <w:pStyle w:val="939"/>
              <w:spacing w:line="360" w:lineRule="auto"/>
              <w:rPr>
                <w:rFonts w:hint="eastAsia" w:ascii="仿宋" w:hAnsi="仿宋" w:eastAsia="仿宋" w:cs="仿宋"/>
                <w:sz w:val="28"/>
                <w:szCs w:val="28"/>
              </w:rPr>
            </w:pPr>
            <w:r>
              <w:rPr>
                <w:rFonts w:hint="eastAsia" w:ascii="仿宋" w:hAnsi="仿宋" w:eastAsia="仿宋" w:cs="仿宋"/>
                <w:b/>
                <w:bCs/>
                <w:color w:val="000000"/>
                <w:sz w:val="28"/>
                <w:szCs w:val="28"/>
              </w:rPr>
              <w:t xml:space="preserve">四、综合评审评分项</w:t>
            </w:r>
            <w:r/>
          </w:p>
          <w:p>
            <w:pPr>
              <w:pStyle w:val="918"/>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val="en-US" w:eastAsia="zh-CN"/>
              </w:rPr>
              <w:t xml:space="preserve">一</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技术部分</w:t>
            </w:r>
            <w:r/>
          </w:p>
          <w:p>
            <w:pPr>
              <w:pStyle w:val="926"/>
              <w:jc w:val="both"/>
              <w:spacing w:line="360"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1、</w:t>
            </w:r>
            <w:r>
              <w:rPr>
                <w:rFonts w:hint="eastAsia" w:ascii="仿宋" w:hAnsi="仿宋" w:eastAsia="仿宋" w:cs="仿宋"/>
                <w:color w:val="000000"/>
                <w:sz w:val="28"/>
                <w:szCs w:val="28"/>
                <w:highlight w:val="none"/>
                <w:lang w:val="en-US" w:eastAsia="zh-CN" w:bidi="ar-SA"/>
              </w:rPr>
              <w:t xml:space="preserve">设备、工艺流程，包装标识、使用说明书（</w:t>
            </w:r>
            <w:r>
              <w:rPr>
                <w:rFonts w:hint="eastAsia" w:ascii="仿宋" w:hAnsi="仿宋" w:eastAsia="仿宋" w:cs="仿宋"/>
                <w:b w:val="0"/>
                <w:bCs/>
                <w:color w:val="000000"/>
                <w:sz w:val="28"/>
                <w:szCs w:val="28"/>
                <w:highlight w:val="none"/>
              </w:rPr>
              <w:t xml:space="preserve">根据评分细则和项目要求自行编写)；</w:t>
            </w:r>
            <w:r/>
          </w:p>
          <w:p>
            <w:pPr>
              <w:pStyle w:val="922"/>
              <w:spacing w:line="360" w:lineRule="auto"/>
              <w:rPr>
                <w:rFonts w:hint="eastAsia"/>
                <w:b w:val="0"/>
                <w:bCs/>
                <w:color w:val="000000"/>
                <w:highlight w:val="none"/>
              </w:rPr>
            </w:pPr>
            <w:r>
              <w:rPr>
                <w:rFonts w:hint="eastAsia" w:ascii="仿宋" w:hAnsi="仿宋" w:eastAsia="仿宋" w:cs="仿宋"/>
                <w:b w:val="0"/>
                <w:bCs/>
                <w:color w:val="000000"/>
                <w:sz w:val="28"/>
                <w:szCs w:val="28"/>
                <w:highlight w:val="none"/>
                <w:lang w:val="en-US" w:eastAsia="zh-CN" w:bidi="ar-SA"/>
              </w:rPr>
              <w:t xml:space="preserve">2、质量控制措施</w:t>
            </w:r>
            <w:r>
              <w:rPr>
                <w:rFonts w:hint="eastAsia" w:ascii="仿宋" w:hAnsi="仿宋" w:eastAsia="仿宋" w:cs="仿宋"/>
                <w:b w:val="0"/>
                <w:bCs/>
                <w:color w:val="000000"/>
                <w:sz w:val="28"/>
                <w:szCs w:val="28"/>
                <w:highlight w:val="none"/>
              </w:rPr>
              <w:t xml:space="preserve">(根据评分细则和项目要求自行编写)；</w:t>
            </w:r>
            <w:r/>
          </w:p>
          <w:p>
            <w:pPr>
              <w:pStyle w:val="922"/>
              <w:spacing w:line="360"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3、</w:t>
            </w:r>
            <w:r>
              <w:rPr>
                <w:rFonts w:hint="eastAsia" w:ascii="仿宋" w:hAnsi="仿宋" w:eastAsia="仿宋" w:cs="仿宋"/>
                <w:b w:val="0"/>
                <w:bCs/>
                <w:color w:val="000000"/>
                <w:sz w:val="28"/>
                <w:szCs w:val="28"/>
                <w:highlight w:val="none"/>
              </w:rPr>
              <w:t xml:space="preserve">项目实施方案(根据评分细则和项目要求自行编写)；</w:t>
            </w:r>
            <w:r/>
          </w:p>
          <w:p>
            <w:pPr>
              <w:pStyle w:val="922"/>
              <w:spacing w:line="360" w:lineRule="auto"/>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4</w:t>
            </w:r>
            <w:r>
              <w:rPr>
                <w:rFonts w:hint="eastAsia" w:ascii="仿宋" w:hAnsi="仿宋" w:eastAsia="仿宋" w:cs="仿宋"/>
                <w:b w:val="0"/>
                <w:bCs/>
                <w:color w:val="000000"/>
                <w:sz w:val="28"/>
                <w:szCs w:val="28"/>
                <w:highlight w:val="none"/>
              </w:rPr>
              <w:t xml:space="preserve">、</w:t>
            </w:r>
            <w:r>
              <w:rPr>
                <w:rFonts w:hint="eastAsia" w:ascii="仿宋" w:hAnsi="仿宋" w:eastAsia="仿宋" w:cs="仿宋"/>
                <w:b w:val="0"/>
                <w:bCs/>
                <w:color w:val="000000"/>
                <w:sz w:val="28"/>
                <w:szCs w:val="28"/>
                <w:highlight w:val="none"/>
                <w:lang w:val="en-US" w:eastAsia="zh-CN"/>
              </w:rPr>
              <w:t xml:space="preserve">技术指导方案</w:t>
            </w:r>
            <w:r>
              <w:rPr>
                <w:rFonts w:hint="eastAsia" w:ascii="仿宋" w:hAnsi="仿宋" w:eastAsia="仿宋" w:cs="仿宋"/>
                <w:b w:val="0"/>
                <w:bCs/>
                <w:color w:val="000000"/>
                <w:sz w:val="28"/>
                <w:szCs w:val="28"/>
                <w:highlight w:val="none"/>
              </w:rPr>
              <w:t xml:space="preserve">(根据评分细则和项目要求自行编写)；</w:t>
            </w:r>
            <w:r/>
          </w:p>
          <w:p>
            <w:pPr>
              <w:pStyle w:val="938"/>
              <w:spacing w:line="360"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5、</w:t>
            </w:r>
            <w:r>
              <w:rPr>
                <w:rFonts w:hint="eastAsia" w:ascii="仿宋" w:hAnsi="仿宋" w:eastAsia="仿宋" w:cs="仿宋"/>
                <w:b w:val="0"/>
                <w:bCs/>
                <w:color w:val="000000"/>
                <w:sz w:val="28"/>
                <w:szCs w:val="28"/>
                <w:highlight w:val="none"/>
                <w:lang w:eastAsia="zh-CN"/>
              </w:rPr>
              <w:t xml:space="preserve">售后服务方案</w:t>
            </w:r>
            <w:r>
              <w:rPr>
                <w:rFonts w:hint="eastAsia" w:ascii="仿宋" w:hAnsi="仿宋" w:eastAsia="仿宋" w:cs="仿宋"/>
                <w:b w:val="0"/>
                <w:bCs/>
                <w:color w:val="000000"/>
                <w:sz w:val="28"/>
                <w:szCs w:val="28"/>
                <w:highlight w:val="none"/>
              </w:rPr>
              <w:t xml:space="preserve">(根据评分细则和项目要求自行编写)；</w:t>
            </w:r>
            <w:r/>
          </w:p>
          <w:p>
            <w:pPr>
              <w:pStyle w:val="922"/>
              <w:spacing w:line="360" w:lineRule="auto"/>
              <w:rPr>
                <w:rFonts w:hint="eastAsia" w:eastAsia="仿宋"/>
                <w:b w:val="0"/>
                <w:bCs/>
                <w:color w:val="000000"/>
                <w:highlight w:val="none"/>
                <w:lang w:val="en-US" w:eastAsia="zh-CN"/>
              </w:rPr>
            </w:pPr>
            <w:r>
              <w:rPr>
                <w:rFonts w:hint="eastAsia" w:ascii="仿宋" w:hAnsi="仿宋" w:eastAsia="仿宋" w:cs="仿宋"/>
                <w:b w:val="0"/>
                <w:bCs/>
                <w:color w:val="000000"/>
                <w:sz w:val="28"/>
                <w:szCs w:val="28"/>
                <w:highlight w:val="none"/>
                <w:lang w:val="en-US" w:eastAsia="zh-CN"/>
              </w:rPr>
              <w:t xml:space="preserve">6、应急方案</w:t>
            </w:r>
            <w:r>
              <w:rPr>
                <w:rFonts w:hint="eastAsia" w:ascii="仿宋" w:hAnsi="仿宋" w:eastAsia="仿宋" w:cs="仿宋"/>
                <w:b w:val="0"/>
                <w:bCs/>
                <w:color w:val="000000"/>
                <w:sz w:val="28"/>
                <w:szCs w:val="28"/>
                <w:highlight w:val="none"/>
              </w:rPr>
              <w:t xml:space="preserve">(根据评分细则和项目要求自行编写)；</w:t>
            </w:r>
            <w:r/>
          </w:p>
          <w:p>
            <w:pPr>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二</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商务部分</w:t>
            </w:r>
            <w:r/>
          </w:p>
          <w:p>
            <w:pPr>
              <w:pStyle w:val="926"/>
              <w:jc w:val="both"/>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投标人业绩</w:t>
            </w:r>
            <w:r/>
          </w:p>
          <w:p>
            <w:pPr>
              <w:pStyle w:val="924"/>
              <w:ind w:left="0" w:firstLine="0"/>
              <w:rPr>
                <w:rFonts w:hint="eastAsia" w:eastAsia="仿宋"/>
                <w:lang w:val="en-US" w:eastAsia="zh-CN"/>
              </w:rPr>
            </w:pPr>
            <w:r>
              <w:rPr>
                <w:rFonts w:hint="eastAsia" w:ascii="仿宋" w:hAnsi="仿宋" w:eastAsia="仿宋" w:cs="仿宋"/>
                <w:color w:val="000000"/>
                <w:sz w:val="28"/>
                <w:szCs w:val="28"/>
                <w:lang w:val="en-US" w:eastAsia="zh-CN"/>
              </w:rPr>
              <w:t xml:space="preserve">2、投标人综合实力</w:t>
            </w:r>
            <w:r/>
          </w:p>
          <w:p>
            <w:pPr>
              <w:ind w:left="0" w:right="1440" w:firstLine="0"/>
              <w:jc w:val="both"/>
              <w:spacing w:after="120" w:line="360" w:lineRule="auto"/>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val="en-US" w:eastAsia="zh-CN" w:bidi="ar-SA"/>
              </w:rPr>
              <w:t xml:space="preserve">（三）</w:t>
            </w:r>
            <w:r>
              <w:rPr>
                <w:rFonts w:ascii="仿宋" w:hAnsi="仿宋" w:eastAsia="仿宋" w:cs="仿宋"/>
                <w:color w:val="000000"/>
                <w:sz w:val="28"/>
              </w:rPr>
              <w:t xml:space="preserve">所报产品为“环境标志产品”</w:t>
            </w:r>
            <w:r>
              <w:rPr>
                <w:rFonts w:hint="eastAsia" w:ascii="仿宋" w:hAnsi="仿宋" w:eastAsia="仿宋" w:cs="仿宋"/>
                <w:color w:val="000000"/>
                <w:sz w:val="28"/>
                <w:lang w:eastAsia="zh-CN"/>
              </w:rPr>
              <w:t xml:space="preserve">和</w:t>
            </w:r>
            <w:r>
              <w:rPr>
                <w:rFonts w:ascii="仿宋" w:hAnsi="仿宋" w:eastAsia="仿宋" w:cs="仿宋"/>
                <w:color w:val="000000"/>
                <w:sz w:val="28"/>
              </w:rPr>
              <w:t xml:space="preserve">“节能产品”</w:t>
            </w:r>
            <w:r>
              <w:rPr>
                <w:rFonts w:hint="eastAsia" w:ascii="仿宋" w:hAnsi="仿宋" w:eastAsia="仿宋" w:cs="仿宋"/>
                <w:bCs/>
                <w:sz w:val="28"/>
                <w:szCs w:val="28"/>
                <w:lang w:val="en-US" w:eastAsia="zh-CN" w:bidi="ar-SA"/>
              </w:rPr>
              <w:t xml:space="preserve">。</w:t>
            </w:r>
            <w:r/>
          </w:p>
          <w:p>
            <w:pPr>
              <w:pStyle w:val="891"/>
              <w:ind w:left="0" w:firstLine="0"/>
              <w:spacing w:line="360" w:lineRule="auto"/>
              <w:rPr>
                <w:rFonts w:hint="eastAsia" w:ascii="仿宋" w:hAnsi="仿宋" w:eastAsia="仿宋" w:cs="仿宋"/>
                <w:bCs/>
                <w:sz w:val="28"/>
                <w:szCs w:val="28"/>
              </w:rPr>
            </w:pP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四</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价格折扣文件格式</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无</w:t>
            </w:r>
            <w:r>
              <w:rPr>
                <w:rFonts w:hint="eastAsia" w:ascii="仿宋" w:hAnsi="仿宋" w:eastAsia="仿宋" w:cs="仿宋"/>
                <w:bCs/>
                <w:sz w:val="28"/>
                <w:szCs w:val="28"/>
              </w:rPr>
              <w:t xml:space="preserve">。</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p>
          <w:p>
            <w:pPr>
              <w:ind w:right="26" w:firstLine="480"/>
              <w:spacing w:line="360" w:lineRule="auto"/>
              <w:rPr>
                <w:rFonts w:hint="eastAsia" w:ascii="仿宋" w:hAnsi="仿宋" w:eastAsia="仿宋" w:cs="仿宋"/>
                <w:sz w:val="28"/>
                <w:szCs w:val="28"/>
                <w:lang w:eastAsia="zh-CN"/>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firstLine="116"/>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w:t>
            </w:r>
            <w:r/>
          </w:p>
          <w:p>
            <w:pPr>
              <w:ind w:firstLine="472"/>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p>
          <w:p>
            <w:pPr>
              <w:ind w:left="792" w:hanging="240"/>
              <w:spacing w:line="360" w:lineRule="auto"/>
              <w:rPr>
                <w:rFonts w:hint="eastAsia" w:ascii="仿宋" w:hAnsi="仿宋" w:eastAsia="仿宋" w:cs="仿宋"/>
                <w:color w:val="000000"/>
                <w:sz w:val="28"/>
                <w:szCs w:val="28"/>
                <w:highlight w:val="none"/>
              </w:rPr>
            </w:pPr>
            <w:r>
              <w:rPr>
                <w:rFonts w:hint="eastAsia" w:ascii="仿宋" w:hAnsi="仿宋" w:eastAsia="仿宋" w:cs="仿宋"/>
                <w:bCs/>
                <w:sz w:val="28"/>
                <w:szCs w:val="28"/>
              </w:rPr>
              <w:t xml:space="preserve">2.</w:t>
            </w:r>
            <w:r>
              <w:rPr>
                <w:rFonts w:hint="eastAsia" w:ascii="仿宋" w:hAnsi="仿宋" w:eastAsia="仿宋" w:cs="仿宋"/>
                <w:sz w:val="28"/>
                <w:szCs w:val="28"/>
              </w:rPr>
              <w:t xml:space="preserve">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jc w:val="left"/>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本项目预算金额：</w:t>
            </w:r>
            <w:r>
              <w:rPr>
                <w:rFonts w:hint="eastAsia" w:ascii="仿宋" w:hAnsi="仿宋" w:eastAsia="仿宋" w:cs="仿宋"/>
                <w:b/>
                <w:bCs/>
                <w:color w:val="000000"/>
                <w:sz w:val="28"/>
                <w:szCs w:val="28"/>
                <w:highlight w:val="none"/>
                <w:lang w:val="en-US" w:eastAsia="zh-CN"/>
              </w:rPr>
              <w:t xml:space="preserve">80</w:t>
            </w:r>
            <w:r>
              <w:rPr>
                <w:rFonts w:hint="eastAsia" w:ascii="仿宋" w:hAnsi="仿宋" w:eastAsia="仿宋" w:cs="仿宋"/>
                <w:b/>
                <w:bCs/>
                <w:color w:val="000000"/>
                <w:sz w:val="28"/>
                <w:szCs w:val="28"/>
                <w:highlight w:val="none"/>
              </w:rPr>
              <w:t xml:space="preserve">万元，不接受超过采购预算的投标报价。</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报价包括产品价、税金、运费、售后服务、投标人的利润等全部费用，采购人不再支付报价以外的任何费用。</w:t>
            </w:r>
            <w:r/>
          </w:p>
        </w:tc>
      </w:tr>
      <w:tr>
        <w:trPr>
          <w:jc w:val="center"/>
          <w:trHeight w:val="34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1819"/>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pStyle w:val="918"/>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p>
          <w:p>
            <w:pPr>
              <w:pStyle w:val="918"/>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ff"/>
                <w:sz w:val="28"/>
                <w:szCs w:val="28"/>
              </w:rPr>
              <w:t xml:space="preserve"> </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(十八)</w:t>
            </w:r>
            <w:r/>
          </w:p>
        </w:tc>
        <w:tc>
          <w:tcPr>
            <w:tcMar>
              <w:left w:w="108" w:type="dxa"/>
              <w:top w:w="0" w:type="dxa"/>
              <w:right w:w="108" w:type="dxa"/>
              <w:bottom w:w="0" w:type="dxa"/>
            </w:tcMar>
            <w:tcW w:w="8313" w:type="dxa"/>
            <w:vAlign w:val="top"/>
            <w:textDirection w:val="lrTb"/>
            <w:noWrap w:val="false"/>
          </w:tcPr>
          <w:p>
            <w:pPr>
              <w:ind w:left="560" w:hanging="480"/>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一、投标文件提交时间：202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u w:val="none"/>
                <w:lang w:val="en-US" w:eastAsia="zh-CN"/>
              </w:rPr>
              <w:t xml:space="preserve">11</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14</w:t>
            </w:r>
            <w:r>
              <w:rPr>
                <w:rFonts w:hint="eastAsia" w:ascii="仿宋" w:hAnsi="仿宋" w:eastAsia="仿宋" w:cs="仿宋"/>
                <w:color w:val="000000"/>
                <w:sz w:val="28"/>
                <w:szCs w:val="28"/>
                <w:u w:val="none"/>
              </w:rPr>
              <w:t xml:space="preserve">日北京时间</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0前。</w:t>
            </w:r>
            <w:r/>
          </w:p>
          <w:p>
            <w:pPr>
              <w:ind w:left="560" w:hanging="480"/>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二、投标文件接收截止时间：202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u w:val="none"/>
                <w:lang w:val="en-US" w:eastAsia="zh-CN"/>
              </w:rPr>
              <w:t xml:space="preserve">11</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14</w:t>
            </w:r>
            <w:r>
              <w:rPr>
                <w:rFonts w:hint="eastAsia" w:ascii="仿宋" w:hAnsi="仿宋" w:eastAsia="仿宋" w:cs="仿宋"/>
                <w:color w:val="000000"/>
                <w:sz w:val="28"/>
                <w:szCs w:val="28"/>
                <w:u w:val="none"/>
              </w:rPr>
              <w:t xml:space="preserve">日北京时间</w:t>
            </w:r>
            <w:r>
              <w:rPr>
                <w:rFonts w:hint="eastAsia" w:ascii="仿宋" w:hAnsi="仿宋" w:eastAsia="仿宋" w:cs="仿宋"/>
                <w:color w:val="000000"/>
                <w:sz w:val="28"/>
                <w:szCs w:val="28"/>
                <w:u w:val="none"/>
                <w:lang w:val="en-US" w:eastAsia="zh-CN"/>
              </w:rPr>
              <w:t xml:space="preserve">10：0</w:t>
            </w:r>
            <w:r>
              <w:rPr>
                <w:rFonts w:hint="eastAsia" w:ascii="仿宋" w:hAnsi="仿宋" w:eastAsia="仿宋" w:cs="仿宋"/>
                <w:color w:val="000000"/>
                <w:sz w:val="28"/>
                <w:szCs w:val="28"/>
                <w:u w:val="none"/>
              </w:rPr>
              <w:t xml:space="preserve">0。</w:t>
            </w:r>
            <w:r/>
          </w:p>
          <w:p>
            <w:pPr>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rPr>
              <w:t xml:space="preserve">电子投标文件应由其法定代表人或法定代表人授权代表在规定的网上投标时间内，</w:t>
            </w:r>
            <w:r>
              <w:rPr>
                <w:rFonts w:hint="eastAsia" w:ascii="仿宋" w:hAnsi="仿宋" w:eastAsia="仿宋" w:cs="仿宋"/>
                <w:b/>
                <w:bCs/>
                <w:color w:val="000000"/>
                <w:sz w:val="28"/>
                <w:szCs w:val="28"/>
              </w:rPr>
              <w:t xml:space="preserve">凭 CA 证书登陆“苏采云”系统在线编制投标文件（电子数据），</w:t>
            </w:r>
            <w:r>
              <w:rPr>
                <w:rFonts w:hint="eastAsia" w:ascii="仿宋" w:hAnsi="仿宋" w:eastAsia="仿宋" w:cs="仿宋"/>
                <w:b/>
                <w:color w:val="000000"/>
                <w:sz w:val="28"/>
                <w:szCs w:val="28"/>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p>
        </w:tc>
      </w:tr>
      <w:tr>
        <w:trPr>
          <w:jc w:val="center"/>
          <w:trHeight w:val="244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(二十四)</w:t>
            </w:r>
            <w:r/>
          </w:p>
        </w:tc>
        <w:tc>
          <w:tcPr>
            <w:tcMar>
              <w:left w:w="108" w:type="dxa"/>
              <w:top w:w="0" w:type="dxa"/>
              <w:right w:w="108" w:type="dxa"/>
              <w:bottom w:w="0" w:type="dxa"/>
            </w:tcMar>
            <w:tcW w:w="8313" w:type="dxa"/>
            <w:vAlign w:val="top"/>
            <w:textDirection w:val="lrTb"/>
            <w:noWrap w:val="false"/>
          </w:tcPr>
          <w:p>
            <w:pPr>
              <w:pStyle w:val="918"/>
              <w:spacing w:line="360" w:lineRule="auto"/>
              <w:tabs>
                <w:tab w:val="right" w:pos="8097"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开标时间及地点：</w:t>
            </w:r>
            <w:r>
              <w:rPr>
                <w:rFonts w:hint="eastAsia" w:ascii="仿宋" w:hAnsi="仿宋" w:eastAsia="仿宋" w:cs="仿宋"/>
                <w:color w:val="000000"/>
                <w:sz w:val="28"/>
                <w:szCs w:val="28"/>
                <w:lang w:eastAsia="zh-CN"/>
              </w:rPr>
              <w:tab/>
            </w:r>
            <w:r/>
          </w:p>
          <w:p>
            <w:pPr>
              <w:pStyle w:val="918"/>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1.开标时间：202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u w:val="none"/>
                <w:lang w:val="en-US" w:eastAsia="zh-CN"/>
              </w:rPr>
              <w:t xml:space="preserve">11</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14</w:t>
            </w:r>
            <w:r>
              <w:rPr>
                <w:rFonts w:hint="eastAsia" w:ascii="仿宋" w:hAnsi="仿宋" w:eastAsia="仿宋" w:cs="仿宋"/>
                <w:color w:val="000000"/>
                <w:sz w:val="28"/>
                <w:szCs w:val="28"/>
                <w:u w:val="none"/>
              </w:rPr>
              <w:t xml:space="preserve">日</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0（标准时间）</w:t>
            </w:r>
            <w:r/>
          </w:p>
          <w:p>
            <w:pPr>
              <w:ind w:left="1680" w:hanging="16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2.开标地点：“苏采云”系统（网址： http://jszfcg.jsczt.cn/）“开标大厅”或进入徐州政府采购网（网址：</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"http://czj.xz.gov.cn/Home/HomeIndex）--业务工作--用户登录，点击" </w:instrText>
            </w:r>
            <w:r>
              <w:rPr>
                <w:rFonts w:hint="eastAsia" w:ascii="仿宋" w:hAnsi="仿宋" w:eastAsia="仿宋" w:cs="仿宋"/>
                <w:color w:val="000000"/>
                <w:sz w:val="28"/>
                <w:szCs w:val="28"/>
              </w:rPr>
              <w:fldChar w:fldCharType="separate"/>
            </w:r>
            <w:r>
              <w:rPr>
                <w:rStyle w:val="902"/>
                <w:rFonts w:hint="eastAsia" w:ascii="仿宋" w:hAnsi="仿宋" w:eastAsia="仿宋" w:cs="仿宋"/>
                <w:color w:val="000000"/>
                <w:sz w:val="28"/>
                <w:szCs w:val="28"/>
              </w:rPr>
              <w:t xml:space="preserve">http://czj.xz.gov.cn/Home/HomeIndex）--业务工作--用户登录，点击“苏采云”进入系统“开标大厅”。</w:t>
            </w:r>
            <w:r>
              <w:rPr>
                <w:rFonts w:hint="eastAsia" w:ascii="仿宋" w:hAnsi="仿宋" w:eastAsia="仿宋" w:cs="仿宋"/>
                <w:color w:val="000000"/>
                <w:sz w:val="28"/>
                <w:szCs w:val="28"/>
              </w:rPr>
              <w:fldChar w:fldCharType="end"/>
            </w:r>
            <w:r/>
          </w:p>
          <w:p>
            <w:pPr>
              <w:pStyle w:val="903"/>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采用综合评分法。</w:t>
            </w:r>
            <w:r/>
          </w:p>
        </w:tc>
      </w:tr>
      <w:tr>
        <w:trPr>
          <w:jc w:val="center"/>
          <w:trHeight w:val="543"/>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p>
        </w:tc>
        <w:tc>
          <w:tcPr>
            <w:tcMar>
              <w:left w:w="108" w:type="dxa"/>
              <w:top w:w="0" w:type="dxa"/>
              <w:right w:w="108" w:type="dxa"/>
              <w:bottom w:w="0" w:type="dxa"/>
            </w:tcMar>
            <w:tcW w:w="8313" w:type="dxa"/>
            <w:vAlign w:val="top"/>
            <w:textDirection w:val="lrTb"/>
            <w:noWrap w:val="false"/>
          </w:tcPr>
          <w:p>
            <w:pPr>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p>
          <w:p>
            <w:pPr>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二、采用综合评分法的，按评审后得分由高到低顺序排列。评审得分相同的，按实施方案得分顺序排列。</w:t>
            </w:r>
            <w:r/>
          </w:p>
        </w:tc>
      </w:tr>
      <w:tr>
        <w:trPr>
          <w:jc w:val="center"/>
          <w:trHeight w:val="50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03"/>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p>
          <w:p>
            <w:pPr>
              <w:pStyle w:val="903"/>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2.对于投标文件中含义不明确、同类问题表述不一致或者有明显文字，评标委员会通过“苏采云”系统要求投标人作出必要的澄清、说明或者补正，并规定回复时间。</w:t>
            </w:r>
            <w:r/>
          </w:p>
          <w:p>
            <w:pPr>
              <w:pStyle w:val="903"/>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88"/>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（三十</w:t>
            </w:r>
            <w:r>
              <w:rPr>
                <w:rFonts w:hint="eastAsia" w:ascii="仿宋" w:hAnsi="仿宋" w:eastAsia="仿宋" w:cs="仿宋"/>
                <w:sz w:val="24"/>
                <w:szCs w:val="24"/>
                <w:lang w:eastAsia="zh-CN"/>
              </w:rPr>
              <w:t xml:space="preserve">九</w:t>
            </w:r>
            <w:r>
              <w:rPr>
                <w:rFonts w:hint="eastAsia" w:ascii="仿宋" w:hAnsi="仿宋" w:eastAsia="仿宋" w:cs="仿宋"/>
                <w:sz w:val="24"/>
                <w:szCs w:val="24"/>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质疑接收人：</w:t>
            </w:r>
            <w:r>
              <w:rPr>
                <w:rFonts w:hint="eastAsia" w:ascii="仿宋" w:hAnsi="仿宋" w:eastAsia="仿宋" w:cs="仿宋"/>
                <w:sz w:val="28"/>
                <w:szCs w:val="28"/>
                <w:lang w:eastAsia="zh-CN"/>
              </w:rPr>
              <w:t xml:space="preserve">周建国</w:t>
            </w:r>
            <w:r>
              <w:rPr>
                <w:rFonts w:hint="eastAsia" w:ascii="仿宋" w:hAnsi="仿宋" w:eastAsia="仿宋" w:cs="仿宋"/>
                <w:sz w:val="28"/>
                <w:szCs w:val="28"/>
                <w:lang w:eastAsia="zh-CN"/>
              </w:rPr>
            </w:r>
            <w:r>
              <w:rPr>
                <w:rFonts w:hint="eastAsia" w:ascii="仿宋" w:hAnsi="仿宋" w:eastAsia="仿宋" w:cs="仿宋"/>
                <w:sz w:val="28"/>
                <w:szCs w:val="28"/>
              </w:rPr>
              <w:t xml:space="preserve">;联系电话：15505193689</w:t>
            </w:r>
            <w:r>
              <w:rPr>
                <w:rFonts w:hint="eastAsia" w:ascii="仿宋" w:hAnsi="仿宋" w:eastAsia="仿宋" w:cs="仿宋"/>
                <w:sz w:val="28"/>
                <w:szCs w:val="28"/>
              </w:rPr>
              <w:t xml:space="preserve">；</w:t>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sz w:val="28"/>
                <w:szCs w:val="28"/>
              </w:rPr>
              <w:t xml:space="preserve">地址：</w:t>
            </w:r>
            <w:r>
              <w:rPr>
                <w:rFonts w:hint="eastAsia" w:ascii="仿宋" w:hAnsi="仿宋" w:eastAsia="仿宋" w:cs="仿宋"/>
                <w:sz w:val="28"/>
                <w:szCs w:val="28"/>
                <w:lang w:eastAsia="zh-CN"/>
              </w:rPr>
              <w:t xml:space="preserve">徐州市铜山区学府路万达华府北门2-106</w:t>
            </w:r>
            <w:r/>
          </w:p>
        </w:tc>
      </w:tr>
    </w:tbl>
    <w:p>
      <w:pPr>
        <w:ind w:firstLine="600"/>
        <w:spacing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p>
    <w:p>
      <w:pPr>
        <w:ind w:firstLine="600"/>
        <w:spacing w:line="23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ind w:firstLine="2377"/>
        <w:spacing w:line="520" w:lineRule="exact"/>
        <w:tabs>
          <w:tab w:val="left" w:pos="2235" w:leader="none"/>
        </w:tabs>
        <w:rPr>
          <w:rFonts w:hint="eastAsia" w:ascii="仿宋" w:hAnsi="仿宋" w:eastAsia="仿宋" w:cs="仿宋"/>
          <w:color w:val="000000"/>
          <w:sz w:val="32"/>
          <w:szCs w:val="32"/>
        </w:rPr>
      </w:pPr>
      <w:r>
        <w:rPr>
          <w:rFonts w:hint="eastAsia" w:ascii="仿宋" w:hAnsi="仿宋" w:eastAsia="仿宋" w:cs="仿宋"/>
          <w:b/>
          <w:bCs/>
          <w:sz w:val="32"/>
          <w:szCs w:val="32"/>
        </w:rPr>
        <w:t xml:space="preserve">本章附件：招标代理服务收费标准</w:t>
      </w:r>
      <w:r/>
    </w:p>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5"/>
        <w:rPr>
          <w:rFonts w:hint="eastAsia" w:ascii="仿宋" w:hAnsi="仿宋" w:eastAsia="仿宋" w:cs="仿宋"/>
          <w:highlight w:val="none"/>
        </w:rPr>
      </w:pPr>
      <w:r>
        <w:rPr>
          <w:rFonts w:hint="eastAsia" w:ascii="仿宋" w:hAnsi="仿宋" w:eastAsia="仿宋" w:cs="仿宋"/>
          <w:highlight w:val="none"/>
        </w:rPr>
      </w:r>
      <w:r/>
    </w:p>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中标金额</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货物</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w:t>
            </w:r>
            <w:r/>
          </w:p>
        </w:tc>
        <w:tc>
          <w:tcPr>
            <w:tcW w:w="197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收费上</w:t>
            </w:r>
            <w:r>
              <w:rPr>
                <w:rFonts w:hint="eastAsia" w:ascii="仿宋" w:hAnsi="仿宋" w:eastAsia="仿宋" w:cs="仿宋"/>
                <w:color w:val="000000"/>
                <w:sz w:val="28"/>
                <w:szCs w:val="28"/>
                <w:lang w:val="en-US" w:eastAsia="zh-CN"/>
              </w:rPr>
              <w:t xml:space="preserve">下</w:t>
            </w:r>
            <w:r>
              <w:rPr>
                <w:rFonts w:hint="eastAsia" w:ascii="仿宋" w:hAnsi="仿宋" w:eastAsia="仿宋" w:cs="仿宋"/>
                <w:color w:val="000000"/>
                <w:sz w:val="28"/>
                <w:szCs w:val="28"/>
              </w:rPr>
              <w:t xml:space="preserve">限</w:t>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100万以下</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w:t>
            </w:r>
            <w:r/>
          </w:p>
        </w:tc>
        <w:tc>
          <w:tcPr>
            <w:tcW w:w="1971" w:type="dxa"/>
            <w:vAlign w:val="center"/>
            <w:vMerge w:val="restart"/>
            <w:textDirection w:val="lrTb"/>
            <w:noWrap w:val="false"/>
          </w:tcPr>
          <w:p>
            <w:pPr>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最低5千元</w:t>
            </w:r>
            <w:r/>
          </w:p>
          <w:p>
            <w:pPr>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最高15万元</w:t>
            </w:r>
            <w:r/>
          </w:p>
          <w:p>
            <w:pPr>
              <w:ind w:firstLine="28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500万</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0.70%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1000万</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0.45%</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l000万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5000万</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0.50%</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l亿</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0.10%</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5亿</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10亿</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50亿</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w:t>
            </w:r>
            <w:r>
              <w:rPr>
                <w:rFonts w:hint="eastAsia" w:ascii="仿宋" w:hAnsi="仿宋" w:eastAsia="仿宋" w:cs="仿宋"/>
                <w:color w:val="333333"/>
                <w:sz w:val="28"/>
                <w:szCs w:val="28"/>
                <w:lang w:val="en-US" w:eastAsia="zh-CN"/>
              </w:rPr>
              <w:t xml:space="preserve">以上</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p>
    <w:p>
      <w:pPr>
        <w:ind w:firstLine="677"/>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1.按上表计算的收费为代理服务全过程的收费金额。</w:t>
      </w:r>
      <w:r>
        <w:rPr>
          <w:rFonts w:hint="eastAsia" w:ascii="仿宋" w:hAnsi="仿宋" w:eastAsia="仿宋" w:cs="仿宋"/>
          <w:color w:val="000000"/>
          <w:sz w:val="28"/>
          <w:szCs w:val="28"/>
          <w:lang w:val="en-US" w:eastAsia="zh-CN"/>
        </w:rPr>
        <w:t xml:space="preserve">各社会代理机构</w:t>
      </w:r>
      <w:r>
        <w:rPr>
          <w:rFonts w:hint="eastAsia" w:ascii="仿宋" w:hAnsi="仿宋" w:eastAsia="仿宋" w:cs="仿宋"/>
          <w:color w:val="000000"/>
          <w:sz w:val="28"/>
          <w:szCs w:val="28"/>
        </w:rPr>
        <w:t xml:space="preserve">不</w:t>
      </w:r>
      <w:r>
        <w:rPr>
          <w:rFonts w:hint="eastAsia" w:ascii="仿宋" w:hAnsi="仿宋" w:eastAsia="仿宋" w:cs="仿宋"/>
          <w:color w:val="000000"/>
          <w:sz w:val="28"/>
          <w:szCs w:val="28"/>
          <w:lang w:val="en-US" w:eastAsia="zh-CN"/>
        </w:rPr>
        <w:t xml:space="preserve">再</w:t>
      </w:r>
      <w:r>
        <w:rPr>
          <w:rFonts w:hint="eastAsia" w:ascii="仿宋" w:hAnsi="仿宋" w:eastAsia="仿宋" w:cs="仿宋"/>
          <w:color w:val="000000"/>
          <w:sz w:val="28"/>
          <w:szCs w:val="28"/>
        </w:rPr>
        <w:t xml:space="preserve">收取采购文件制作售卖费用。</w:t>
      </w:r>
      <w:r/>
    </w:p>
    <w:p>
      <w:pPr>
        <w:ind w:firstLine="630"/>
        <w:keepLines w:val="0"/>
        <w:keepNext w:val="0"/>
        <w:pageBreakBefore w:val="0"/>
        <w:spacing w:line="600" w:lineRule="exact"/>
        <w:tabs>
          <w:tab w:val="left" w:pos="84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2.代理服务费按差额定率累进法计算。</w:t>
      </w:r>
      <w:r/>
    </w:p>
    <w:p>
      <w:pPr>
        <w:ind w:left="67"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3.代理服务费基准金额（按差额定率累进法计算的）=中标金额（按差额定率累进法计算的） * 费率（%）</w:t>
      </w:r>
      <w:r/>
    </w:p>
    <w:p>
      <w:pPr>
        <w:ind w:left="67"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4.代理服务费应收取金额=代理服务费基准金额（按差额定率累进法计算的）的合计数。</w:t>
      </w:r>
      <w:r/>
    </w:p>
    <w:p>
      <w:pPr>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5.计算出的代理服务费应收取金额如低于</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千元，按</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千元收取；如高于</w:t>
      </w:r>
      <w:r>
        <w:rPr>
          <w:rFonts w:hint="eastAsia" w:ascii="仿宋" w:hAnsi="仿宋" w:eastAsia="仿宋" w:cs="仿宋"/>
          <w:color w:val="000000"/>
          <w:sz w:val="28"/>
          <w:szCs w:val="28"/>
          <w:lang w:val="en-US" w:eastAsia="zh-CN"/>
        </w:rPr>
        <w:t xml:space="preserve">15万元，按15万元收取。</w:t>
      </w:r>
      <w:r/>
    </w:p>
    <w:p>
      <w:pPr>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en-US" w:eastAsia="zh-CN"/>
        </w:rPr>
        <w:t xml:space="preserve">定点类等无金额或事先不能计算出价格总额的</w:t>
      </w: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lang w:val="en-US" w:eastAsia="zh-CN"/>
        </w:rPr>
        <w:t xml:space="preserve">按</w:t>
      </w:r>
      <w:r>
        <w:rPr>
          <w:rFonts w:hint="eastAsia" w:ascii="仿宋" w:hAnsi="仿宋" w:eastAsia="仿宋" w:cs="仿宋"/>
          <w:color w:val="000000"/>
          <w:sz w:val="28"/>
          <w:szCs w:val="28"/>
        </w:rPr>
        <w:t xml:space="preserve">中标（成交）金额</w:t>
      </w:r>
      <w:r>
        <w:rPr>
          <w:rFonts w:hint="eastAsia" w:ascii="仿宋" w:hAnsi="仿宋" w:eastAsia="仿宋" w:cs="仿宋"/>
          <w:color w:val="000000"/>
          <w:sz w:val="28"/>
          <w:szCs w:val="28"/>
          <w:lang w:val="en-US" w:eastAsia="zh-CN"/>
        </w:rPr>
        <w:t xml:space="preserve">100</w:t>
      </w:r>
      <w:r>
        <w:rPr>
          <w:rFonts w:hint="eastAsia" w:ascii="仿宋" w:hAnsi="仿宋" w:eastAsia="仿宋" w:cs="仿宋"/>
          <w:color w:val="000000"/>
          <w:sz w:val="28"/>
          <w:szCs w:val="28"/>
        </w:rPr>
        <w:t xml:space="preserve">万元计算</w:t>
      </w:r>
      <w:r>
        <w:rPr>
          <w:rFonts w:hint="eastAsia" w:ascii="仿宋" w:hAnsi="仿宋" w:eastAsia="仿宋" w:cs="仿宋"/>
          <w:color w:val="000000"/>
          <w:sz w:val="28"/>
          <w:szCs w:val="28"/>
          <w:lang w:val="en-US" w:eastAsia="zh-CN"/>
        </w:rPr>
        <w:t xml:space="preserve">服务费</w:t>
      </w:r>
      <w:r>
        <w:rPr>
          <w:rFonts w:hint="eastAsia" w:ascii="仿宋" w:hAnsi="仿宋" w:eastAsia="仿宋" w:cs="仿宋"/>
          <w:color w:val="000000"/>
          <w:sz w:val="28"/>
          <w:szCs w:val="28"/>
        </w:rPr>
        <w:t xml:space="preserve">。</w:t>
      </w:r>
      <w:r/>
    </w:p>
    <w:p>
      <w:pPr>
        <w:ind w:firstLine="630"/>
        <w:keepLines w:val="0"/>
        <w:keepNext w:val="0"/>
        <w:pageBreakBefore w:val="0"/>
        <w:spacing w:line="6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7.多个采购包（标段）项目按总项目中标（成交）金额收费，最高不超过15万元。</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.账户信息：</w:t>
      </w:r>
      <w:r/>
    </w:p>
    <w:p>
      <w:pPr>
        <w:ind w:firstLine="720"/>
        <w:spacing w:line="560" w:lineRule="exact"/>
        <w:rPr>
          <w:rFonts w:hint="eastAsia" w:ascii="仿宋" w:hAnsi="仿宋" w:eastAsia="仿宋" w:cs="仿宋"/>
          <w:sz w:val="28"/>
          <w:szCs w:val="28"/>
        </w:rPr>
      </w:pPr>
      <w:r>
        <w:rPr>
          <w:rFonts w:hint="eastAsia" w:ascii="仿宋" w:hAnsi="仿宋" w:eastAsia="仿宋" w:cs="仿宋"/>
          <w:sz w:val="28"/>
          <w:szCs w:val="28"/>
        </w:rPr>
        <w:t xml:space="preserve">收款人：</w:t>
      </w:r>
      <w:r>
        <w:rPr>
          <w:rFonts w:hint="eastAsia" w:ascii="仿宋" w:hAnsi="仿宋" w:eastAsia="仿宋" w:cs="仿宋"/>
          <w:sz w:val="28"/>
          <w:szCs w:val="28"/>
          <w:lang w:eastAsia="zh-CN"/>
        </w:rPr>
        <w:t xml:space="preserve">江苏家淼招标代理有限公司</w:t>
      </w:r>
      <w:r>
        <w:rPr>
          <w:rFonts w:hint="eastAsia" w:ascii="仿宋" w:hAnsi="仿宋" w:eastAsia="仿宋" w:cs="仿宋"/>
          <w:sz w:val="28"/>
          <w:szCs w:val="28"/>
        </w:rPr>
        <w:t xml:space="preserve"> </w:t>
      </w:r>
      <w:r/>
    </w:p>
    <w:p>
      <w:pPr>
        <w:ind w:firstLine="720"/>
        <w:spacing w:line="560" w:lineRule="exact"/>
        <w:rPr>
          <w:rFonts w:hint="eastAsia" w:ascii="仿宋" w:hAnsi="仿宋" w:eastAsia="仿宋" w:cs="仿宋"/>
          <w:sz w:val="28"/>
          <w:szCs w:val="28"/>
        </w:rPr>
      </w:pPr>
      <w:r>
        <w:rPr>
          <w:rFonts w:hint="eastAsia" w:ascii="仿宋" w:hAnsi="仿宋" w:eastAsia="仿宋" w:cs="仿宋"/>
          <w:sz w:val="28"/>
          <w:szCs w:val="28"/>
        </w:rPr>
        <w:t xml:space="preserve">开户行：中国建设银行徐州泉山支行 </w:t>
      </w:r>
      <w:r/>
    </w:p>
    <w:p>
      <w:pPr>
        <w:ind w:firstLine="720"/>
        <w:spacing w:line="560" w:lineRule="exact"/>
        <w:rPr>
          <w:rFonts w:hint="eastAsia" w:ascii="仿宋" w:hAnsi="仿宋" w:eastAsia="仿宋" w:cs="仿宋"/>
          <w:sz w:val="28"/>
          <w:szCs w:val="28"/>
        </w:rPr>
      </w:pPr>
      <w:r>
        <w:rPr>
          <w:rFonts w:hint="eastAsia" w:ascii="仿宋" w:hAnsi="仿宋" w:eastAsia="仿宋" w:cs="仿宋"/>
          <w:sz w:val="28"/>
          <w:szCs w:val="28"/>
        </w:rPr>
        <w:t xml:space="preserve">账</w:t>
      </w:r>
      <w:r>
        <w:rPr>
          <w:rFonts w:hint="eastAsia" w:ascii="仿宋" w:hAnsi="仿宋" w:eastAsia="仿宋" w:cs="仿宋"/>
          <w:sz w:val="28"/>
          <w:szCs w:val="28"/>
        </w:rPr>
        <w:tab/>
      </w:r>
      <w:r>
        <w:rPr>
          <w:rFonts w:hint="eastAsia" w:ascii="仿宋" w:hAnsi="仿宋" w:eastAsia="仿宋" w:cs="仿宋"/>
          <w:sz w:val="28"/>
          <w:szCs w:val="28"/>
        </w:rPr>
        <w:t xml:space="preserve"> 号：32050171893600002762</w:t>
      </w:r>
      <w:r/>
    </w:p>
    <w:p>
      <w:pPr>
        <w:jc w:val="center"/>
        <w:spacing w:line="360" w:lineRule="auto"/>
        <w:rPr>
          <w:rFonts w:hint="eastAsia" w:ascii="宋体" w:hAnsi="宋体" w:cs="宋体"/>
          <w:color w:val="000000"/>
        </w:rPr>
      </w:pPr>
      <w:r>
        <w:rPr>
          <w:rFonts w:hint="eastAsia" w:ascii="宋体" w:hAnsi="宋体" w:cs="宋体"/>
          <w:color w:val="000000"/>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240" w:lineRule="auto"/>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t xml:space="preserve">第四章</w:t>
      </w:r>
      <w:r>
        <w:rPr>
          <w:rFonts w:hint="eastAsia" w:ascii="仿宋" w:hAnsi="仿宋" w:eastAsia="仿宋" w:cs="仿宋"/>
          <w:b/>
          <w:color w:val="000000"/>
          <w:sz w:val="30"/>
          <w:highlight w:val="none"/>
          <w:lang w:val="en-US" w:eastAsia="zh-CN"/>
        </w:rPr>
        <w:t xml:space="preserve">  </w:t>
      </w:r>
      <w:r>
        <w:rPr>
          <w:rFonts w:hint="eastAsia" w:ascii="仿宋" w:hAnsi="仿宋" w:eastAsia="仿宋" w:cs="仿宋"/>
          <w:b/>
          <w:color w:val="000000"/>
          <w:sz w:val="30"/>
          <w:highlight w:val="none"/>
        </w:rPr>
        <w:t xml:space="preserve">评标标准</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1344"/>
        <w:gridCol w:w="6968"/>
      </w:tblGrid>
      <w:tr>
        <w:trPr>
          <w:trHeight w:val="454"/>
        </w:trPr>
        <w:tc>
          <w:tcPr>
            <w:gridSpan w:val="2"/>
            <w:tcMar>
              <w:left w:w="108" w:type="dxa"/>
              <w:top w:w="0" w:type="dxa"/>
              <w:right w:w="108" w:type="dxa"/>
              <w:bottom w:w="0" w:type="dxa"/>
            </w:tcMar>
            <w:tcW w:w="2387" w:type="dxa"/>
            <w:vAlign w:val="center"/>
            <w:textDirection w:val="lrTb"/>
            <w:noWrap w:val="false"/>
          </w:tcPr>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评分项目</w:t>
            </w:r>
            <w:r/>
          </w:p>
        </w:tc>
        <w:tc>
          <w:tcPr>
            <w:tcMar>
              <w:left w:w="108" w:type="dxa"/>
              <w:top w:w="0" w:type="dxa"/>
              <w:right w:w="108" w:type="dxa"/>
              <w:bottom w:w="0" w:type="dxa"/>
            </w:tcMar>
            <w:tcW w:w="6968" w:type="dxa"/>
            <w:vAlign w:val="center"/>
            <w:textDirection w:val="lrTb"/>
            <w:noWrap w:val="false"/>
          </w:tcPr>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评分细则</w:t>
            </w:r>
            <w:r/>
          </w:p>
        </w:tc>
      </w:tr>
      <w:tr>
        <w:trPr>
          <w:trHeight w:val="1558"/>
        </w:trPr>
        <w:tc>
          <w:tcPr>
            <w:gridSpan w:val="2"/>
            <w:tcMar>
              <w:left w:w="108" w:type="dxa"/>
              <w:top w:w="0" w:type="dxa"/>
              <w:right w:w="108" w:type="dxa"/>
              <w:bottom w:w="0" w:type="dxa"/>
            </w:tcMar>
            <w:tcW w:w="2387" w:type="dxa"/>
            <w:vAlign w:val="center"/>
            <w:textDirection w:val="lrTb"/>
            <w:noWrap w:val="false"/>
          </w:tcPr>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投标价格（30分）</w:t>
            </w:r>
            <w:r/>
          </w:p>
        </w:tc>
        <w:tc>
          <w:tcPr>
            <w:tcMar>
              <w:left w:w="108" w:type="dxa"/>
              <w:top w:w="0" w:type="dxa"/>
              <w:right w:w="108" w:type="dxa"/>
              <w:bottom w:w="0" w:type="dxa"/>
            </w:tcMar>
            <w:tcW w:w="6968" w:type="dxa"/>
            <w:vAlign w:val="center"/>
            <w:textDirection w:val="lrTb"/>
            <w:noWrap w:val="false"/>
          </w:tcPr>
          <w:p>
            <w:pPr>
              <w:ind w:left="0" w:right="0" w:firstLine="0"/>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采用低价优先法计算，即满足招标文件要求且投标人评审价格最低的投标报价为评标基准价，其价格得分为满分。</w:t>
            </w:r>
            <w:r/>
          </w:p>
          <w:p>
            <w:pPr>
              <w:ind w:left="0" w:right="0" w:firstLine="0"/>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各投标人价格得分=最低报价（投标人的最低评审价格）÷各投标人评审价格×30。（按四舍五入取至小数点后两位）</w:t>
            </w:r>
            <w:r/>
          </w:p>
        </w:tc>
      </w:tr>
      <w:tr>
        <w:trPr>
          <w:trHeight w:val="709"/>
        </w:trPr>
        <w:tc>
          <w:tcPr>
            <w:tcMar>
              <w:left w:w="108" w:type="dxa"/>
              <w:top w:w="0" w:type="dxa"/>
              <w:right w:w="108" w:type="dxa"/>
              <w:bottom w:w="0" w:type="dxa"/>
            </w:tcMar>
            <w:tcW w:w="1043" w:type="dxa"/>
            <w:vAlign w:val="center"/>
            <w:vMerge w:val="restart"/>
            <w:textDirection w:val="lrTb"/>
            <w:noWrap w:val="false"/>
          </w:tcPr>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商务部分</w:t>
            </w:r>
            <w:r/>
          </w:p>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w:t>
            </w:r>
            <w:r>
              <w:rPr>
                <w:rFonts w:hint="eastAsia" w:ascii="仿宋" w:hAnsi="仿宋" w:eastAsia="仿宋" w:cs="仿宋"/>
                <w:color w:val="000000"/>
                <w:sz w:val="28"/>
                <w:lang w:val="en-US" w:eastAsia="zh-CN"/>
              </w:rPr>
              <w:t xml:space="preserve">6</w:t>
            </w:r>
            <w:r>
              <w:rPr>
                <w:rFonts w:ascii="仿宋" w:hAnsi="仿宋" w:eastAsia="仿宋" w:cs="仿宋"/>
                <w:color w:val="000000"/>
                <w:sz w:val="28"/>
              </w:rPr>
              <w:t xml:space="preserve">分)</w:t>
            </w:r>
            <w:r/>
          </w:p>
        </w:tc>
        <w:tc>
          <w:tcPr>
            <w:tcMar>
              <w:left w:w="108" w:type="dxa"/>
              <w:top w:w="0" w:type="dxa"/>
              <w:right w:w="108" w:type="dxa"/>
              <w:bottom w:w="0" w:type="dxa"/>
            </w:tcMar>
            <w:tcW w:w="1344" w:type="dxa"/>
            <w:vAlign w:val="center"/>
            <w:textDirection w:val="lrTb"/>
            <w:noWrap w:val="false"/>
          </w:tcPr>
          <w:p>
            <w:pPr>
              <w:ind w:left="-106" w:right="0" w:hanging="1"/>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投标人业绩</w:t>
            </w:r>
            <w:r/>
          </w:p>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（4分）</w:t>
            </w:r>
            <w:r/>
          </w:p>
        </w:tc>
        <w:tc>
          <w:tcPr>
            <w:tcMar>
              <w:left w:w="108" w:type="dxa"/>
              <w:top w:w="0" w:type="dxa"/>
              <w:right w:w="108" w:type="dxa"/>
              <w:bottom w:w="0" w:type="dxa"/>
            </w:tcMar>
            <w:tcW w:w="6968" w:type="dxa"/>
            <w:vAlign w:val="center"/>
            <w:textDirection w:val="lrTb"/>
            <w:noWrap w:val="false"/>
          </w:tcPr>
          <w:p>
            <w:pPr>
              <w:ind w:left="0" w:right="0" w:firstLine="0"/>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投标文件中提供投标人为乙方，合同签订日期在2021年1月1日以后，合同内容为相同或类似产品项目业绩，每提供一份合同得2分，本项最高得4分。</w:t>
            </w:r>
            <w:r/>
          </w:p>
          <w:p>
            <w:pPr>
              <w:ind w:left="0" w:right="0" w:firstLine="0"/>
              <w:jc w:val="both"/>
              <w:spacing w:before="200" w:after="200" w:line="71"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投标文件中应提供上述合同原件扫描件并加盖投标人电子签章</w:t>
            </w:r>
            <w:r/>
          </w:p>
        </w:tc>
      </w:tr>
      <w:tr>
        <w:trPr>
          <w:trHeight w:val="709"/>
        </w:trPr>
        <w:tc>
          <w:tcPr>
            <w:vMerge w:val="continue"/>
            <w:textDirection w:val="lrTb"/>
            <w:noWrap w:val="false"/>
          </w:tcPr>
          <w:p>
            <w:pPr>
              <w:spacing w:after="0" w:line="240" w:lineRule="auto"/>
              <w:rPr>
                <w:rFonts w:ascii="Times New Roman" w:hAnsi="Times New Roman" w:eastAsia="宋体" w:cs="Times New Roman"/>
              </w:rPr>
            </w:pPr>
            <w:r>
              <w:rPr>
                <w:rFonts w:ascii="Times New Roman" w:hAnsi="Times New Roman" w:eastAsia="宋体" w:cs="Times New Roman"/>
              </w:rPr>
            </w:r>
            <w:r/>
          </w:p>
        </w:tc>
        <w:tc>
          <w:tcPr>
            <w:tcMar>
              <w:left w:w="108" w:type="dxa"/>
              <w:top w:w="0" w:type="dxa"/>
              <w:right w:w="108" w:type="dxa"/>
              <w:bottom w:w="0" w:type="dxa"/>
            </w:tcMar>
            <w:tcW w:w="1344" w:type="dxa"/>
            <w:vAlign w:val="center"/>
            <w:textDirection w:val="lrTb"/>
            <w:noWrap w:val="false"/>
          </w:tcPr>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投标人综合实力</w:t>
            </w:r>
            <w:r/>
          </w:p>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w:t>
            </w:r>
            <w:r>
              <w:rPr>
                <w:rFonts w:hint="eastAsia" w:ascii="仿宋" w:hAnsi="仿宋" w:eastAsia="仿宋" w:cs="仿宋"/>
                <w:color w:val="000000"/>
                <w:sz w:val="28"/>
                <w:lang w:val="en-US" w:eastAsia="zh-CN"/>
              </w:rPr>
              <w:t xml:space="preserve">2</w:t>
            </w:r>
            <w:r>
              <w:rPr>
                <w:rFonts w:ascii="仿宋" w:hAnsi="仿宋" w:eastAsia="仿宋" w:cs="仿宋"/>
                <w:color w:val="000000"/>
                <w:sz w:val="28"/>
              </w:rPr>
              <w:t xml:space="preserve">分）</w:t>
            </w:r>
            <w:r/>
          </w:p>
        </w:tc>
        <w:tc>
          <w:tcPr>
            <w:tcMar>
              <w:left w:w="108" w:type="dxa"/>
              <w:top w:w="0" w:type="dxa"/>
              <w:right w:w="108" w:type="dxa"/>
              <w:bottom w:w="0" w:type="dxa"/>
            </w:tcMar>
            <w:tcW w:w="6968" w:type="dxa"/>
            <w:vAlign w:val="center"/>
            <w:textDirection w:val="lrTb"/>
            <w:noWrap w:val="false"/>
          </w:tcPr>
          <w:p>
            <w:pPr>
              <w:ind w:left="0" w:right="0" w:firstLine="0"/>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1、投标人或所投产品生产商具备</w:t>
            </w:r>
            <w:r>
              <w:rPr>
                <w:rFonts w:hint="eastAsia" w:ascii="仿宋" w:hAnsi="仿宋" w:eastAsia="仿宋" w:cs="仿宋"/>
                <w:color w:val="000000"/>
                <w:sz w:val="28"/>
                <w:lang w:eastAsia="zh-CN"/>
              </w:rPr>
              <w:t xml:space="preserve">有效含量N：P205：K20：18-10-12</w:t>
            </w:r>
            <w:r>
              <w:rPr>
                <w:rFonts w:hint="eastAsia" w:ascii="仿宋" w:hAnsi="仿宋" w:eastAsia="仿宋" w:cs="仿宋"/>
                <w:color w:val="000000"/>
                <w:sz w:val="28"/>
                <w:lang w:val="en-US" w:eastAsia="zh-CN"/>
              </w:rPr>
              <w:t xml:space="preserve">复合肥</w:t>
            </w:r>
            <w:r>
              <w:rPr>
                <w:rFonts w:ascii="仿宋" w:hAnsi="仿宋" w:eastAsia="仿宋" w:cs="仿宋"/>
                <w:color w:val="000000"/>
                <w:sz w:val="28"/>
              </w:rPr>
              <w:t xml:space="preserve">合格的检测报告得2分；</w:t>
            </w:r>
            <w:r/>
          </w:p>
          <w:p>
            <w:pPr>
              <w:ind w:left="0" w:right="0" w:firstLine="0"/>
              <w:jc w:val="both"/>
              <w:spacing w:before="200" w:after="200" w:line="71"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投标文件中应提供有效期内的检测报告原件扫描件并加盖投标人电子签章</w:t>
            </w:r>
            <w:r/>
          </w:p>
        </w:tc>
      </w:tr>
      <w:tr>
        <w:trPr>
          <w:trHeight w:val="90"/>
        </w:trPr>
        <w:tc>
          <w:tcPr>
            <w:tcMar>
              <w:left w:w="108" w:type="dxa"/>
              <w:top w:w="0" w:type="dxa"/>
              <w:right w:w="108" w:type="dxa"/>
              <w:bottom w:w="0" w:type="dxa"/>
            </w:tcMar>
            <w:tcW w:w="1043" w:type="dxa"/>
            <w:vAlign w:val="center"/>
            <w:vMerge w:val="restart"/>
            <w:textDirection w:val="lrTb"/>
            <w:noWrap w:val="false"/>
          </w:tcPr>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技术部分</w:t>
            </w:r>
            <w:r/>
          </w:p>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w:t>
            </w:r>
            <w:r>
              <w:rPr>
                <w:rFonts w:hint="eastAsia" w:ascii="仿宋" w:hAnsi="仿宋" w:eastAsia="仿宋" w:cs="仿宋"/>
                <w:color w:val="000000"/>
                <w:sz w:val="28"/>
                <w:lang w:val="en-US" w:eastAsia="zh-CN"/>
              </w:rPr>
              <w:t xml:space="preserve">2</w:t>
            </w:r>
            <w:r>
              <w:rPr>
                <w:rFonts w:ascii="仿宋" w:hAnsi="仿宋" w:eastAsia="仿宋" w:cs="仿宋"/>
                <w:color w:val="000000"/>
                <w:sz w:val="28"/>
              </w:rPr>
              <w:t xml:space="preserve">分)</w:t>
            </w:r>
            <w:r/>
          </w:p>
        </w:tc>
        <w:tc>
          <w:tcPr>
            <w:tcMar>
              <w:left w:w="108" w:type="dxa"/>
              <w:top w:w="0" w:type="dxa"/>
              <w:right w:w="108" w:type="dxa"/>
              <w:bottom w:w="0" w:type="dxa"/>
            </w:tcMar>
            <w:tcW w:w="1344" w:type="dxa"/>
            <w:vAlign w:val="center"/>
            <w:textDirection w:val="lrTb"/>
            <w:noWrap w:val="false"/>
          </w:tcPr>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设备、工艺流程，包装标识、使用说明书</w:t>
            </w:r>
            <w:r/>
          </w:p>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（10分）</w:t>
            </w:r>
            <w:r/>
          </w:p>
        </w:tc>
        <w:tc>
          <w:tcPr>
            <w:tcMar>
              <w:left w:w="108" w:type="dxa"/>
              <w:top w:w="0" w:type="dxa"/>
              <w:right w:w="108" w:type="dxa"/>
              <w:bottom w:w="0" w:type="dxa"/>
            </w:tcMar>
            <w:tcW w:w="6968" w:type="dxa"/>
            <w:vAlign w:val="center"/>
            <w:textDirection w:val="lrTb"/>
            <w:noWrap w:val="false"/>
          </w:tcPr>
          <w:p>
            <w:pPr>
              <w:ind w:left="0" w:right="0" w:firstLine="0"/>
              <w:spacing w:before="200" w:after="200" w:line="71"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根据投标文件中提供的主要设备清单、工艺流程照片、彩页包装标识、使用说明书等内容。</w:t>
            </w:r>
            <w:r/>
          </w:p>
          <w:p>
            <w:pPr>
              <w:ind w:left="0" w:right="0" w:firstLine="0"/>
              <w:spacing w:before="200" w:after="200" w:line="71"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1、设备、工艺流程（6分）</w:t>
            </w:r>
            <w:r/>
          </w:p>
          <w:p>
            <w:pPr>
              <w:ind w:left="0" w:right="0" w:firstLine="0"/>
              <w:spacing w:before="200" w:after="200" w:line="71"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设备、工艺流程先进的得6分；设备、工艺流程一般的得3分。不提供的不得分。</w:t>
            </w:r>
            <w:r/>
          </w:p>
          <w:p>
            <w:pPr>
              <w:ind w:left="0" w:right="0" w:firstLine="0"/>
              <w:spacing w:before="200" w:after="200" w:line="71"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2、包装标识、使用说明书（4分）</w:t>
            </w:r>
            <w:r/>
          </w:p>
          <w:p>
            <w:pPr>
              <w:ind w:left="0" w:right="0" w:firstLine="0"/>
              <w:spacing w:before="200" w:after="200" w:line="71"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包装标识符合国家标准、使用说明书完整的得4分；包装标识基本符合国家标准、使用说明书基本完整的得2分；不提供的不得分。</w:t>
            </w:r>
            <w:r/>
          </w:p>
        </w:tc>
      </w:tr>
      <w:tr>
        <w:trPr>
          <w:trHeight w:val="404"/>
        </w:trPr>
        <w:tc>
          <w:tcPr>
            <w:vMerge w:val="continue"/>
            <w:textDirection w:val="lrTb"/>
            <w:noWrap w:val="false"/>
          </w:tcPr>
          <w:p>
            <w:pPr>
              <w:spacing w:after="0" w:line="240" w:lineRule="auto"/>
              <w:rPr>
                <w:rFonts w:ascii="Times New Roman" w:hAnsi="Times New Roman" w:eastAsia="宋体" w:cs="Times New Roman"/>
              </w:rPr>
            </w:pPr>
            <w:r>
              <w:rPr>
                <w:rFonts w:ascii="Times New Roman" w:hAnsi="Times New Roman" w:eastAsia="宋体" w:cs="Times New Roman"/>
              </w:rPr>
            </w:r>
            <w:r/>
          </w:p>
        </w:tc>
        <w:tc>
          <w:tcPr>
            <w:tcMar>
              <w:left w:w="108" w:type="dxa"/>
              <w:top w:w="0" w:type="dxa"/>
              <w:right w:w="108" w:type="dxa"/>
              <w:bottom w:w="0" w:type="dxa"/>
            </w:tcMar>
            <w:tcW w:w="1344" w:type="dxa"/>
            <w:vAlign w:val="center"/>
            <w:textDirection w:val="lrTb"/>
            <w:noWrap w:val="false"/>
          </w:tcPr>
          <w:p>
            <w:pPr>
              <w:ind w:left="-106" w:right="0" w:hanging="1"/>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质量控制措施（10分）</w:t>
            </w:r>
            <w:r/>
          </w:p>
        </w:tc>
        <w:tc>
          <w:tcPr>
            <w:tcMar>
              <w:left w:w="108" w:type="dxa"/>
              <w:top w:w="0" w:type="dxa"/>
              <w:right w:w="108" w:type="dxa"/>
              <w:bottom w:w="0" w:type="dxa"/>
            </w:tcMar>
            <w:tcW w:w="6968" w:type="dxa"/>
            <w:vAlign w:val="center"/>
            <w:textDirection w:val="lrTb"/>
            <w:noWrap w:val="false"/>
          </w:tcPr>
          <w:p>
            <w:pPr>
              <w:ind w:left="0" w:right="0" w:firstLine="0"/>
              <w:spacing w:before="200" w:after="200" w:line="71"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质量控制措施（10分）</w:t>
            </w:r>
            <w:r/>
          </w:p>
          <w:p>
            <w:pPr>
              <w:ind w:left="0" w:right="0" w:firstLine="0"/>
              <w:spacing w:before="200" w:after="200" w:line="71"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质量控制措施科学、合理的得10分；质量控制措施较科学、较合理的得7分；质量控制措施较科学、基本合理的得4分；质量控制措施不科学、不合理的得1分。不提供的不得分。</w:t>
            </w:r>
            <w:r/>
          </w:p>
        </w:tc>
      </w:tr>
      <w:tr>
        <w:trPr>
          <w:trHeight w:val="5121"/>
        </w:trPr>
        <w:tc>
          <w:tcPr>
            <w:vMerge w:val="continue"/>
            <w:textDirection w:val="lrTb"/>
            <w:noWrap w:val="false"/>
          </w:tcPr>
          <w:p>
            <w:pPr>
              <w:spacing w:after="0" w:line="240" w:lineRule="auto"/>
              <w:rPr>
                <w:rFonts w:ascii="Times New Roman" w:hAnsi="Times New Roman" w:eastAsia="宋体" w:cs="Times New Roman"/>
              </w:rPr>
            </w:pPr>
            <w:r>
              <w:rPr>
                <w:rFonts w:ascii="Times New Roman" w:hAnsi="Times New Roman" w:eastAsia="宋体" w:cs="Times New Roman"/>
              </w:rPr>
            </w:r>
            <w:r/>
          </w:p>
        </w:tc>
        <w:tc>
          <w:tcPr>
            <w:tcMar>
              <w:left w:w="108" w:type="dxa"/>
              <w:top w:w="0" w:type="dxa"/>
              <w:right w:w="108" w:type="dxa"/>
              <w:bottom w:w="0" w:type="dxa"/>
            </w:tcMar>
            <w:tcW w:w="1344" w:type="dxa"/>
            <w:vAlign w:val="center"/>
            <w:textDirection w:val="lrTb"/>
            <w:noWrap w:val="false"/>
          </w:tcPr>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项目实施方案</w:t>
            </w:r>
            <w:r/>
          </w:p>
          <w:p>
            <w:pPr>
              <w:ind w:left="-106" w:right="0" w:hanging="1"/>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（14分）</w:t>
            </w:r>
            <w:r/>
          </w:p>
        </w:tc>
        <w:tc>
          <w:tcPr>
            <w:tcMar>
              <w:left w:w="108" w:type="dxa"/>
              <w:top w:w="0" w:type="dxa"/>
              <w:right w:w="108" w:type="dxa"/>
              <w:bottom w:w="0" w:type="dxa"/>
            </w:tcMar>
            <w:tcW w:w="6968" w:type="dxa"/>
            <w:vAlign w:val="center"/>
            <w:textDirection w:val="lrTb"/>
            <w:noWrap w:val="false"/>
          </w:tcPr>
          <w:p>
            <w:pPr>
              <w:ind w:left="0" w:right="0" w:firstLine="0"/>
              <w:spacing w:before="200" w:after="200" w:line="71"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根据投标文件中的项目实施方案，</w:t>
            </w:r>
            <w:r/>
          </w:p>
          <w:p>
            <w:pPr>
              <w:ind w:left="0" w:right="0" w:firstLine="0"/>
              <w:spacing w:before="200" w:after="200" w:line="71"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1、供货方案（6分）</w:t>
            </w:r>
            <w:r/>
          </w:p>
          <w:p>
            <w:pPr>
              <w:ind w:left="0" w:right="0" w:firstLine="0"/>
              <w:spacing w:before="200" w:after="200" w:line="71"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供货方案合理、可行的得6分；供货方案较合理、较可行的得3分；供货方案不合理、可行性欠缺的得1分。不提供的不得分。</w:t>
            </w:r>
            <w:r/>
          </w:p>
          <w:p>
            <w:pPr>
              <w:ind w:left="0" w:right="0" w:firstLine="0"/>
              <w:spacing w:before="200" w:after="200" w:line="71"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2、组织实施方案（包含撒施到田、产品废弃物处理、发放使用说明书、作业方式等内容）（8分）</w:t>
            </w:r>
            <w:r/>
          </w:p>
          <w:p>
            <w:pPr>
              <w:ind w:left="0" w:right="0" w:firstLine="0"/>
              <w:spacing w:before="200" w:after="20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组织实施方案方案科学合理、可操作性强的得8分；组织实施方案较科学合理、可操作性较强的得5分；组织实施方案基本合理、具备可操作性的得2分。</w:t>
            </w:r>
            <w:r/>
          </w:p>
          <w:p>
            <w:pPr>
              <w:ind w:left="0" w:right="0" w:firstLine="0"/>
              <w:spacing w:before="200" w:after="20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不提供的不得分。</w:t>
            </w:r>
            <w:r/>
          </w:p>
        </w:tc>
      </w:tr>
      <w:tr>
        <w:trPr>
          <w:trHeight w:val="2535"/>
        </w:trPr>
        <w:tc>
          <w:tcPr>
            <w:vMerge w:val="continue"/>
            <w:textDirection w:val="lrTb"/>
            <w:noWrap w:val="false"/>
          </w:tcPr>
          <w:p>
            <w:pPr>
              <w:spacing w:after="0" w:line="240" w:lineRule="auto"/>
              <w:rPr>
                <w:rFonts w:ascii="Times New Roman" w:hAnsi="Times New Roman" w:eastAsia="宋体" w:cs="Times New Roman"/>
              </w:rPr>
            </w:pPr>
            <w:r>
              <w:rPr>
                <w:rFonts w:ascii="Times New Roman" w:hAnsi="Times New Roman" w:eastAsia="宋体" w:cs="Times New Roman"/>
              </w:rPr>
            </w:r>
            <w:r/>
          </w:p>
        </w:tc>
        <w:tc>
          <w:tcPr>
            <w:shd w:val="clear" w:color="auto" w:fill="auto"/>
            <w:tcMar>
              <w:left w:w="108" w:type="dxa"/>
              <w:top w:w="0" w:type="dxa"/>
              <w:right w:w="108" w:type="dxa"/>
              <w:bottom w:w="0" w:type="dxa"/>
            </w:tcMar>
            <w:tcW w:w="1344" w:type="dxa"/>
            <w:vAlign w:val="center"/>
            <w:textDirection w:val="lrTb"/>
            <w:noWrap w:val="false"/>
          </w:tcPr>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技术指导方案</w:t>
            </w:r>
            <w:r/>
          </w:p>
          <w:p>
            <w:pPr>
              <w:ind w:left="-106" w:right="0" w:hanging="1"/>
              <w:jc w:val="center"/>
              <w:spacing w:before="200" w:after="200" w:line="240" w:lineRule="auto"/>
              <w:rPr>
                <w:rFonts w:hint="default"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w:t>
            </w:r>
            <w:r>
              <w:rPr>
                <w:rFonts w:hint="eastAsia" w:ascii="仿宋" w:hAnsi="仿宋" w:eastAsia="仿宋" w:cs="仿宋"/>
                <w:color w:val="000000"/>
                <w:sz w:val="28"/>
                <w:lang w:val="en-US" w:eastAsia="zh-CN"/>
              </w:rPr>
              <w:t xml:space="preserve">2</w:t>
            </w:r>
            <w:r>
              <w:rPr>
                <w:rFonts w:ascii="仿宋" w:hAnsi="仿宋" w:eastAsia="仿宋" w:cs="仿宋"/>
                <w:color w:val="000000"/>
                <w:sz w:val="28"/>
              </w:rPr>
              <w:t xml:space="preserve">分）</w:t>
            </w:r>
            <w:r/>
          </w:p>
        </w:tc>
        <w:tc>
          <w:tcPr>
            <w:shd w:val="clear" w:color="auto" w:fill="auto"/>
            <w:tcMar>
              <w:left w:w="108" w:type="dxa"/>
              <w:top w:w="0" w:type="dxa"/>
              <w:right w:w="108" w:type="dxa"/>
              <w:bottom w:w="0" w:type="dxa"/>
            </w:tcMar>
            <w:tcW w:w="6968" w:type="dxa"/>
            <w:vAlign w:val="center"/>
            <w:textDirection w:val="lrTb"/>
            <w:noWrap w:val="false"/>
          </w:tcPr>
          <w:p>
            <w:pPr>
              <w:ind w:left="0" w:right="0" w:firstLine="0"/>
              <w:spacing w:before="200" w:after="20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10"/>
                <w:sz w:val="28"/>
              </w:rPr>
              <w:t xml:space="preserve">技术指导方案（</w:t>
            </w:r>
            <w:r>
              <w:rPr>
                <w:rFonts w:hint="eastAsia" w:ascii="仿宋" w:hAnsi="仿宋" w:eastAsia="仿宋" w:cs="仿宋"/>
                <w:color w:val="000000"/>
                <w:spacing w:val="10"/>
                <w:sz w:val="28"/>
                <w:lang w:val="en-US" w:eastAsia="zh-CN"/>
              </w:rPr>
              <w:t xml:space="preserve">12</w:t>
            </w:r>
            <w:r>
              <w:rPr>
                <w:rFonts w:ascii="仿宋" w:hAnsi="仿宋" w:eastAsia="仿宋" w:cs="仿宋"/>
                <w:color w:val="000000"/>
                <w:spacing w:val="10"/>
                <w:sz w:val="28"/>
              </w:rPr>
              <w:t xml:space="preserve">分）</w:t>
            </w:r>
            <w:r/>
          </w:p>
          <w:p>
            <w:pPr>
              <w:ind w:left="0" w:right="0" w:firstLine="0"/>
              <w:spacing w:before="200" w:after="200" w:line="85" w:lineRule="atLeast"/>
              <w:rPr>
                <w:rFonts w:hint="default"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10"/>
                <w:sz w:val="28"/>
              </w:rPr>
              <w:t xml:space="preserve">技术指导方案合理、可行的的</w:t>
            </w:r>
            <w:r>
              <w:rPr>
                <w:rFonts w:hint="eastAsia" w:ascii="仿宋" w:hAnsi="仿宋" w:eastAsia="仿宋" w:cs="仿宋"/>
                <w:color w:val="000000"/>
                <w:spacing w:val="10"/>
                <w:sz w:val="28"/>
                <w:lang w:val="en-US" w:eastAsia="zh-CN"/>
              </w:rPr>
              <w:t xml:space="preserve">12</w:t>
            </w:r>
            <w:r>
              <w:rPr>
                <w:rFonts w:ascii="仿宋" w:hAnsi="仿宋" w:eastAsia="仿宋" w:cs="仿宋"/>
                <w:color w:val="000000"/>
                <w:spacing w:val="10"/>
                <w:sz w:val="28"/>
              </w:rPr>
              <w:t xml:space="preserve">分；技术指导方案较合理、较可行的得</w:t>
            </w:r>
            <w:r>
              <w:rPr>
                <w:rFonts w:hint="eastAsia" w:ascii="仿宋" w:hAnsi="仿宋" w:eastAsia="仿宋" w:cs="仿宋"/>
                <w:color w:val="000000"/>
                <w:spacing w:val="10"/>
                <w:sz w:val="28"/>
                <w:lang w:val="en-US" w:eastAsia="zh-CN"/>
              </w:rPr>
              <w:t xml:space="preserve">8</w:t>
            </w:r>
            <w:r>
              <w:rPr>
                <w:rFonts w:ascii="仿宋" w:hAnsi="仿宋" w:eastAsia="仿宋" w:cs="仿宋"/>
                <w:color w:val="000000"/>
                <w:spacing w:val="10"/>
                <w:sz w:val="28"/>
              </w:rPr>
              <w:t xml:space="preserve">分；技术指导方案基本合理、具备可行性的得4分；技术指导方案不合理、可行性欠缺的得1分。不提供的不得分。</w:t>
            </w:r>
            <w:r/>
          </w:p>
        </w:tc>
      </w:tr>
      <w:tr>
        <w:trPr>
          <w:trHeight w:val="2535"/>
        </w:trPr>
        <w:tc>
          <w:tcPr>
            <w:vMerge w:val="continue"/>
            <w:textDirection w:val="lrTb"/>
            <w:noWrap w:val="false"/>
          </w:tcPr>
          <w:p>
            <w:pPr>
              <w:spacing w:after="0" w:line="240" w:lineRule="auto"/>
              <w:rPr>
                <w:rFonts w:ascii="Times New Roman" w:hAnsi="Times New Roman" w:eastAsia="宋体" w:cs="Times New Roman"/>
              </w:rPr>
            </w:pPr>
            <w:r>
              <w:rPr>
                <w:rFonts w:ascii="Times New Roman" w:hAnsi="Times New Roman" w:eastAsia="宋体" w:cs="Times New Roman"/>
              </w:rPr>
            </w:r>
            <w:r/>
          </w:p>
        </w:tc>
        <w:tc>
          <w:tcPr>
            <w:shd w:val="clear" w:color="auto" w:fill="auto"/>
            <w:tcMar>
              <w:left w:w="108" w:type="dxa"/>
              <w:top w:w="0" w:type="dxa"/>
              <w:right w:w="108" w:type="dxa"/>
              <w:bottom w:w="0" w:type="dxa"/>
            </w:tcMar>
            <w:tcW w:w="1344" w:type="dxa"/>
            <w:vAlign w:val="center"/>
            <w:textDirection w:val="lrTb"/>
            <w:noWrap w:val="false"/>
          </w:tcPr>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售后服务方案（10</w:t>
            </w:r>
            <w:r>
              <w:rPr>
                <w:rFonts w:ascii="仿宋" w:hAnsi="仿宋" w:eastAsia="仿宋" w:cs="仿宋"/>
                <w:color w:val="000000"/>
                <w:sz w:val="28"/>
              </w:rPr>
              <w:t xml:space="preserve">分</w:t>
            </w:r>
            <w:r>
              <w:rPr>
                <w:rFonts w:ascii="仿宋" w:hAnsi="仿宋" w:eastAsia="仿宋" w:cs="仿宋"/>
                <w:color w:val="000000"/>
                <w:sz w:val="28"/>
              </w:rPr>
              <w:t xml:space="preserve">）</w:t>
            </w:r>
            <w:r/>
          </w:p>
          <w:p>
            <w:pPr>
              <w:ind w:left="-106" w:right="0" w:hanging="1"/>
              <w:jc w:val="both"/>
              <w:spacing w:before="200" w:after="200" w:line="240" w:lineRule="auto"/>
              <w:rPr>
                <w:rFonts w:hint="default"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1"/>
                <w:szCs w:val="24"/>
                <w:lang w:val="en-US" w:eastAsia="zh-CN" w:bidi="ar-SA"/>
              </w:rPr>
            </w:r>
            <w:r/>
          </w:p>
        </w:tc>
        <w:tc>
          <w:tcPr>
            <w:shd w:val="clear" w:color="auto" w:fill="auto"/>
            <w:tcMar>
              <w:left w:w="108" w:type="dxa"/>
              <w:top w:w="0" w:type="dxa"/>
              <w:right w:w="108" w:type="dxa"/>
              <w:bottom w:w="0" w:type="dxa"/>
            </w:tcMar>
            <w:tcW w:w="6968" w:type="dxa"/>
            <w:vAlign w:val="center"/>
            <w:textDirection w:val="lrTb"/>
            <w:noWrap w:val="false"/>
          </w:tcPr>
          <w:p>
            <w:pPr>
              <w:ind w:left="0" w:right="0" w:firstLine="0"/>
              <w:spacing w:before="200" w:after="20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10"/>
                <w:sz w:val="28"/>
              </w:rPr>
              <w:t xml:space="preserve">售后服务方案（10分）</w:t>
            </w:r>
            <w:r/>
          </w:p>
          <w:p>
            <w:pPr>
              <w:ind w:left="0" w:right="0" w:firstLine="0"/>
              <w:spacing w:before="200" w:after="200" w:line="85" w:lineRule="atLeast"/>
              <w:rPr>
                <w:rFonts w:hint="default"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10"/>
                <w:sz w:val="28"/>
              </w:rPr>
              <w:t xml:space="preserve">售后服务方案全面、可行的得10分；售后服务方案较全面、较可行的得7分；售后服务方案较全面性、基本可行的得4分；售后服务方案全面性、可行性、欠缺的得1分。不提供不得分。</w:t>
            </w:r>
            <w:r/>
          </w:p>
        </w:tc>
      </w:tr>
      <w:tr>
        <w:trPr>
          <w:trHeight w:val="2535"/>
        </w:trPr>
        <w:tc>
          <w:tcPr>
            <w:vMerge w:val="continue"/>
            <w:textDirection w:val="lrTb"/>
            <w:noWrap w:val="false"/>
          </w:tcPr>
          <w:p>
            <w:pPr>
              <w:spacing w:after="0" w:line="240" w:lineRule="auto"/>
              <w:rPr>
                <w:rFonts w:ascii="Times New Roman" w:hAnsi="Times New Roman" w:eastAsia="宋体" w:cs="Times New Roman"/>
              </w:rPr>
            </w:pPr>
            <w:r>
              <w:rPr>
                <w:rFonts w:ascii="Times New Roman" w:hAnsi="Times New Roman" w:eastAsia="宋体" w:cs="Times New Roman"/>
              </w:rPr>
            </w:r>
            <w:r/>
          </w:p>
        </w:tc>
        <w:tc>
          <w:tcPr>
            <w:shd w:val="clear" w:color="auto" w:fill="auto"/>
            <w:tcMar>
              <w:left w:w="108" w:type="dxa"/>
              <w:top w:w="0" w:type="dxa"/>
              <w:right w:w="108" w:type="dxa"/>
              <w:bottom w:w="0" w:type="dxa"/>
            </w:tcMar>
            <w:tcW w:w="1344" w:type="dxa"/>
            <w:vAlign w:val="center"/>
            <w:textDirection w:val="lrTb"/>
            <w:noWrap w:val="false"/>
          </w:tcPr>
          <w:p>
            <w:pPr>
              <w:ind w:left="-106" w:right="0" w:hanging="1"/>
              <w:jc w:val="center"/>
              <w:spacing w:before="200" w:after="200" w:line="240" w:lineRule="auto"/>
              <w:rPr>
                <w:rFonts w:hint="default"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应急方案（6分）</w:t>
            </w:r>
            <w:r/>
          </w:p>
        </w:tc>
        <w:tc>
          <w:tcPr>
            <w:shd w:val="clear" w:color="auto" w:fill="auto"/>
            <w:tcMar>
              <w:left w:w="108" w:type="dxa"/>
              <w:top w:w="0" w:type="dxa"/>
              <w:right w:w="108" w:type="dxa"/>
              <w:bottom w:w="0" w:type="dxa"/>
            </w:tcMar>
            <w:tcW w:w="6968" w:type="dxa"/>
            <w:vAlign w:val="center"/>
            <w:textDirection w:val="lrTb"/>
            <w:noWrap w:val="false"/>
          </w:tcPr>
          <w:p>
            <w:pPr>
              <w:ind w:left="0" w:right="0" w:firstLine="0"/>
              <w:spacing w:before="200" w:after="200" w:line="85" w:lineRule="atLeast"/>
              <w:rPr>
                <w:rFonts w:hint="default" w:ascii="Times New Roman" w:hAnsi="Times New Roman" w:eastAsia="宋体" w:cs="Times New Roman"/>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10"/>
                <w:sz w:val="28"/>
              </w:rPr>
              <w:t xml:space="preserve">应急方案（6分）应急方案全面、可行的得6分；应急方案较全面、较可行的得3分；应急方案全面性、可行性、欠缺的得1分。不提供不得分。</w:t>
            </w:r>
            <w:r/>
          </w:p>
        </w:tc>
      </w:tr>
      <w:tr>
        <w:trPr>
          <w:trHeight w:val="90"/>
        </w:trPr>
        <w:tc>
          <w:tcPr>
            <w:gridSpan w:val="2"/>
            <w:tcMar>
              <w:left w:w="108" w:type="dxa"/>
              <w:top w:w="0" w:type="dxa"/>
              <w:right w:w="108" w:type="dxa"/>
              <w:bottom w:w="0" w:type="dxa"/>
            </w:tcMar>
            <w:tcW w:w="2387" w:type="dxa"/>
            <w:vAlign w:val="center"/>
            <w:textDirection w:val="lrTb"/>
            <w:noWrap w:val="false"/>
          </w:tcPr>
          <w:p>
            <w:pPr>
              <w:ind w:left="0" w:right="0" w:firstLine="0"/>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所报产品为“环境标志产品”（1分）</w:t>
            </w:r>
            <w:r/>
          </w:p>
        </w:tc>
        <w:tc>
          <w:tcPr>
            <w:tcMar>
              <w:left w:w="108" w:type="dxa"/>
              <w:top w:w="0" w:type="dxa"/>
              <w:right w:w="108" w:type="dxa"/>
              <w:bottom w:w="0" w:type="dxa"/>
            </w:tcMar>
            <w:tcW w:w="6968" w:type="dxa"/>
            <w:vAlign w:val="center"/>
            <w:textDirection w:val="lrTb"/>
            <w:noWrap w:val="false"/>
          </w:tcPr>
          <w:p>
            <w:pPr>
              <w:ind w:left="0" w:right="0" w:firstLine="0"/>
              <w:spacing w:before="200" w:after="20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trHeight w:val="90"/>
        </w:trPr>
        <w:tc>
          <w:tcPr>
            <w:gridSpan w:val="2"/>
            <w:tcMar>
              <w:left w:w="108" w:type="dxa"/>
              <w:top w:w="0" w:type="dxa"/>
              <w:right w:w="108" w:type="dxa"/>
              <w:bottom w:w="0" w:type="dxa"/>
            </w:tcMar>
            <w:tcW w:w="2387" w:type="dxa"/>
            <w:vAlign w:val="center"/>
            <w:textDirection w:val="lrTb"/>
            <w:noWrap w:val="false"/>
          </w:tcPr>
          <w:p>
            <w:pPr>
              <w:ind w:left="0" w:right="0" w:firstLine="0"/>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所报产品为“节能产品”（1分）</w:t>
            </w:r>
            <w:r/>
          </w:p>
        </w:tc>
        <w:tc>
          <w:tcPr>
            <w:tcMar>
              <w:left w:w="108" w:type="dxa"/>
              <w:top w:w="0" w:type="dxa"/>
              <w:right w:w="108" w:type="dxa"/>
              <w:bottom w:w="0" w:type="dxa"/>
            </w:tcMar>
            <w:tcW w:w="6968" w:type="dxa"/>
            <w:vAlign w:val="center"/>
            <w:textDirection w:val="lrTb"/>
            <w:noWrap w:val="false"/>
          </w:tcPr>
          <w:p>
            <w:pPr>
              <w:ind w:left="0" w:right="0" w:firstLine="0"/>
              <w:spacing w:before="200" w:after="20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投标时不须提供原件核查。</w:t>
            </w:r>
            <w:r/>
          </w:p>
        </w:tc>
      </w:tr>
    </w:tbl>
    <w:p>
      <w:pPr>
        <w:pStyle w:val="922"/>
        <w:rPr>
          <w:rFonts w:hint="eastAsia" w:ascii="仿宋" w:hAnsi="仿宋" w:eastAsia="仿宋" w:cs="仿宋"/>
          <w:b w:val="0"/>
          <w:bCs w:val="0"/>
          <w:color w:val="ff0000"/>
          <w:sz w:val="24"/>
        </w:rPr>
      </w:pPr>
      <w:r>
        <w:rPr>
          <w:rFonts w:hint="eastAsia" w:ascii="仿宋" w:hAnsi="仿宋" w:eastAsia="仿宋" w:cs="仿宋"/>
          <w:b w:val="0"/>
          <w:bCs w:val="0"/>
          <w:color w:val="ff0000"/>
          <w:sz w:val="24"/>
        </w:rPr>
      </w:r>
      <w:r/>
    </w:p>
    <w:p>
      <w:pPr>
        <w:pStyle w:val="922"/>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22"/>
        <w:spacing w:line="360" w:lineRule="auto"/>
        <w:rPr>
          <w:rFonts w:hint="eastAsia"/>
          <w:highlight w:val="none"/>
        </w:rPr>
      </w:pPr>
      <w:r>
        <w:rPr>
          <w:rFonts w:hint="eastAsia" w:ascii="仿宋" w:hAnsi="仿宋" w:eastAsia="仿宋" w:cs="仿宋"/>
          <w:b/>
          <w:bCs/>
          <w:color w:val="000000"/>
          <w:sz w:val="28"/>
          <w:szCs w:val="28"/>
        </w:rPr>
        <w:t xml:space="preserve">本项目采用综合评分法</w:t>
      </w:r>
      <w:r>
        <w:rPr>
          <w:rFonts w:hint="eastAsia" w:ascii="仿宋" w:hAnsi="仿宋" w:eastAsia="仿宋" w:cs="仿宋"/>
          <w:color w:val="000000"/>
          <w:sz w:val="24"/>
        </w:rPr>
        <w:t xml:space="preserve">。</w:t>
      </w:r>
      <w:r/>
    </w:p>
    <w:p>
      <w:pPr>
        <w:rPr>
          <w:rFonts w:hint="eastAsia"/>
        </w:rPr>
      </w:pPr>
      <w:r>
        <w:rPr>
          <w:rFonts w:hint="eastAsia"/>
        </w:rPr>
      </w:r>
      <w:r/>
    </w:p>
    <w:p>
      <w:pPr>
        <w:ind w:left="0" w:right="0" w:firstLine="0"/>
        <w:spacing w:before="240" w:after="240"/>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注：</w:t>
      </w:r>
      <w:r/>
    </w:p>
    <w:p>
      <w:pPr>
        <w:ind w:left="0" w:right="0" w:firstLine="0"/>
        <w:jc w:val="both"/>
        <w:spacing w:before="240" w:after="24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1、评分细则中要求提供的证明文件及资料等在投标文件中提供原件扫描件。</w:t>
      </w:r>
      <w:r/>
    </w:p>
    <w:p>
      <w:pPr>
        <w:ind w:left="0" w:right="0" w:firstLine="0"/>
        <w:jc w:val="both"/>
        <w:spacing w:before="240" w:after="24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2、评标时，未能按以上要求提供相应证明（原件扫描件）的，不作为评标依据，不得分。</w:t>
      </w:r>
      <w:r/>
    </w:p>
    <w:p>
      <w:pPr>
        <w:rPr>
          <w:rFonts w:hint="eastAsia"/>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rPr>
      </w:r>
      <w:r/>
    </w:p>
    <w:p>
      <w:pPr>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895"/>
        <w:rPr>
          <w:rFonts w:hint="eastAsia" w:ascii="仿宋" w:hAnsi="仿宋" w:eastAsia="仿宋" w:cs="仿宋"/>
          <w:sz w:val="28"/>
          <w:szCs w:val="28"/>
        </w:rPr>
      </w:pPr>
      <w:r>
        <w:rPr>
          <w:rFonts w:hint="eastAsia" w:ascii="仿宋" w:hAnsi="仿宋" w:eastAsia="仿宋" w:cs="仿宋"/>
          <w:sz w:val="28"/>
          <w:szCs w:val="28"/>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2024年铜山区粮食绿色高产高效丰产片建设</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项目编号：JSZC-320312-JSJM-G2024-0007</w:t>
      </w:r>
      <w:r/>
    </w:p>
    <w:p>
      <w:pPr>
        <w:pStyle w:val="891"/>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 </w:t>
      </w:r>
      <w:r/>
    </w:p>
    <w:p>
      <w:pPr>
        <w:pStyle w:val="891"/>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883"/>
        <w:jc w:val="center"/>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szCs w:val="36"/>
        </w:rPr>
        <w:t xml:space="preserve">政府采购合同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  购  人：</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成交供应商：</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合同签订日期： 年 月 日</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891"/>
        <w:jc w:val="both"/>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jc w:val="center"/>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合同通用条款</w:t>
      </w:r>
      <w:r/>
    </w:p>
    <w:p>
      <w:pPr>
        <w:pStyle w:val="90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90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包装和标记</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b/>
          <w:bCs/>
          <w:color w:val="000000"/>
          <w:sz w:val="28"/>
          <w:szCs w:val="28"/>
        </w:rPr>
        <w:t xml:space="preserve">合同通用条款</w:t>
      </w:r>
      <w:r/>
    </w:p>
    <w:p>
      <w:pPr>
        <w:pStyle w:val="90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第一条  定义</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除本合同上下文中另有规定外，下列各词语定义如下： </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1.1“买方”见《合同专用条款》。</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1.2“卖方”见《合同专用条款》。</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1.3“工作现场”见《合同专用条款》。</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1.4“合同标的”见合同附件4。</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1.5“技术资料”是指与合同标的的安装、试运行、验收、操作以及维修有关的技术指标、规格、图纸和文件。</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1.6“技术培训”是指在合同标的的安装、试运行、验收、操作、维修以及其他方面卖方给予买方的培训。</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1.7“安装”是指有关合同标的、备件和材料的安装工作。</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1.8“试运行”是指为验明合同标的的技术性能，在安装完毕后对合同标的进行的测试。</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1.10“合同货币”见《合同专用条款》。</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1.11“合同价格”见合同附件4。</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1.12“合同生效日”见《合同协议书》（合同附件1）第5 条。</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1.13“日”是指日历天数。</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1.14“月”是指日历月数。</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第二条 合同范围</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2.1买方同意从卖方购买、卖方同意向买方出售和提供的合同标的以及相关售后服务、技术培训和技术资料。</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第三条 价格</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 合同总价见《合同专用条款》。</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 合同总价是固定价格。</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第四条 支付</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4.1买方应按照《合同专用条款》的规定进行支付。如果卖方未能按照《合同专用条款》的要求提交支付文件，由此产生的所有责任和发生的所有费用，均由卖方承担。</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4.2卖方有义务根据合同的规定向买方支付违约金和/或赔偿金时。</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第五条 交货</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5.1交货期限、批次和交货条件见《合同专用条款》。</w:t>
      </w:r>
      <w:r/>
    </w:p>
    <w:p>
      <w:pPr>
        <w:pStyle w:val="903"/>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5.2交货地点见《合同专用条款》。</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5.3在《合同专用条款》规定的期限内，卖方应将合同号、合同标的的名称、数量、金额、包装件数以及交货的时间以书面方式通知买方。</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5.4卖方应按下列规定交付合同标的：</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5.4.1卖方负责将合同标的送至《合同专用条款》规定的交货地点。</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5.4.2买方出具的收据日期是合同标的的实际交货日期。</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5.5如果卖方未能按照合同规定的交货期限交货，卖方应按《合同专用条款》的规定支付违约金或提供其他救济。</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第六条 包装与标记</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6.1除非合同中另有规定，合同标的应保持产品制造企业原包装完好。</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6.2在合同标的的每件包装中都应附有下列单据： </w:t>
      </w:r>
      <w:r/>
    </w:p>
    <w:p>
      <w:pPr>
        <w:pStyle w:val="903"/>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A. 装箱明细单； </w:t>
      </w:r>
      <w:r/>
    </w:p>
    <w:p>
      <w:pPr>
        <w:pStyle w:val="903"/>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B. 质量合格证； </w:t>
      </w:r>
      <w:r/>
    </w:p>
    <w:p>
      <w:pPr>
        <w:pStyle w:val="903"/>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C. 技术资料。</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第七条 技术资料</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技术资料交付的期限和方式见《合同专用条款》。</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第八条 安装</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 合同标的的安装期限见《合同专用条款》。</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第九条 验收</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9.1合同标的的试运行、验收见《合同专用条款》。</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9.2如果合同附件2 所规定的所有技术性能在验收中都已经达到，双方应在验收合格后5 日内签署验收书。</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9.3买方派出1-3名技术人员参加项目实施，卖方应积极配合甲方派出的1-3名技术人员监督管理。</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第十条 售后服务和技术培训</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10.1售后服务和技术培训见合同附件3。</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卖方替换不符合合同规定的合同标的。</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按质量低劣的程度、买方受损害的程度及损失的数额对合同标的进行降价。</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拒收合同标的。</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D. 赔偿由卖方违约引起的其他损失。</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第十二条 不可抗力</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第十三条 合同的终止</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卖方在合同规定的交货期限后未能按《合同专用条款》中规定的最终期限交付合同标的和/或技术资料； </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合同标的未能达到合同附件2 规定的技术性能； </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卖方未能履行合同项下任何其它义务，并且在收到买方违约通知后未能按《合同专用条款》中规定的期限对其违约行为作出补救。</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13.3如果买方认定卖方在投标或执行合同中有腐败或欺诈行为,买方有权在任何时候发出书面通知终止合同。</w:t>
      </w:r>
      <w:r/>
    </w:p>
    <w:p>
      <w:pPr>
        <w:pStyle w:val="903"/>
        <w:ind w:left="1" w:firstLine="53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A.“腐败行为”系指在招标、采购和合同执行等过程中，为谋求利益、影响相关人员而提供、给予、接受或索取任何有价物的行为。</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B.“欺诈行为”系指为了影响招标、采购和合同执行等过程而隐瞒事实，从而给买方造成损害的行为，其中包括响应供应商之间的串通行为。</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在买方全部或部分终止合同的情况下，卖方应按《合同专用条款》的规定对买方给予补偿。</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第十四条 争议的解决</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 因执行本合同所发生的或者与本合同有关的一切争议由合同双方通过友好协商解决，如果不能协商一致，按《合同专用条款》规定的方式解决。</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第十五条 适用法律</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本合同的执行和争议的解决适用中华人民共和国的法律并按中华人民共和国的法律进行解释。</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第十六条  权利保证</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16.1卖方应保证买方在使用合同标的时不受第三方提出侵犯其专利权、版权、商标权或其他权利的起诉。一旦出现侵权，卖方承担全部责任。</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第十七条  保密 </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17.2上述秘密，卖方只能用于本合同，而且只能由卖方相应的人员使用；没有必要接触的卖方人员，不得接触。</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17.3卖方应当采取适当有效的方式保护所获取的上述秘密。</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03"/>
        <w:ind w:firstLine="48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第十八条 合同生效及其他</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 本合同在合同协议书（合同附件1）规定的条件全部满足后生效。</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18.3 合同双方各自承担与本合同有关的应负税费。</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18.4合同双方除非《合同专用条款》另有规定，所有合同文件及相关的修订和合同双方之间的书面联络，应使用中文书就并按中文解释。</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18.5对本合同的任何补充、增添或修改以书面方式进行。</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18.6没有另一方的事先书面同意，合同任何一方不得将合同项下的任何权利和义务转让给第三方。</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18.8合同条款中的标题和边注仅供参考使用，不应视为合同的一部分，也不影响本文的解释。</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18.9合同构成买方和卖方之间就合同主要内容方面的完整协议，并且取代合同签订前所有关于这方面的通讯、协商、协议(不论是书面的，还是口头的)。</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18.11合同双方之间的一切联络往来应以书面形式按《合同专用条款》中规定的通讯地址发往合同另一方。有关重要事项的传真应及时用挂号信或快件确认。</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b/>
          <w:bCs/>
          <w:color w:val="000000"/>
          <w:sz w:val="28"/>
          <w:szCs w:val="28"/>
        </w:rPr>
        <w:t xml:space="preserve">合同专用条款</w:t>
      </w:r>
      <w:r/>
    </w:p>
    <w:p>
      <w:pPr>
        <w:pStyle w:val="90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p>
    <w:p>
      <w:pPr>
        <w:pStyle w:val="90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54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第一条 定义</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 “买方”为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“卖方”为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“工作现场”为</w:t>
      </w:r>
      <w:r>
        <w:rPr>
          <w:rFonts w:hint="eastAsia" w:ascii="仿宋" w:hAnsi="仿宋" w:eastAsia="仿宋" w:cs="仿宋"/>
          <w:color w:val="000000"/>
          <w:sz w:val="28"/>
          <w:szCs w:val="28"/>
          <w:u w:val="single"/>
        </w:rPr>
        <w:t xml:space="preserve">买方指定地点</w:t>
      </w:r>
      <w:r>
        <w:rPr>
          <w:rFonts w:hint="eastAsia" w:ascii="仿宋" w:hAnsi="仿宋" w:eastAsia="仿宋" w:cs="仿宋"/>
          <w:color w:val="000000"/>
          <w:sz w:val="28"/>
          <w:szCs w:val="28"/>
        </w:rPr>
        <w:t xml:space="preserve">。</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 “合同货币”即</w:t>
      </w:r>
      <w:r>
        <w:rPr>
          <w:rFonts w:hint="eastAsia" w:ascii="仿宋" w:hAnsi="仿宋" w:eastAsia="仿宋" w:cs="仿宋"/>
          <w:color w:val="000000"/>
          <w:sz w:val="28"/>
          <w:szCs w:val="28"/>
          <w:u w:val="single"/>
        </w:rPr>
        <w:t xml:space="preserve">人民币</w:t>
      </w:r>
      <w:r>
        <w:rPr>
          <w:rFonts w:hint="eastAsia" w:ascii="仿宋" w:hAnsi="仿宋" w:eastAsia="仿宋" w:cs="仿宋"/>
          <w:color w:val="000000"/>
          <w:sz w:val="28"/>
          <w:szCs w:val="28"/>
        </w:rPr>
        <w:t xml:space="preserve">。</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第二条 合同范围</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2.1买方同意从卖方购买、卖方同意向买方出售的合同标的是</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。详见合同附件。</w:t>
      </w:r>
      <w:r/>
    </w:p>
    <w:p>
      <w:pPr>
        <w:pStyle w:val="903"/>
        <w:ind w:firstLine="54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第三条 价格</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3.1合同总价为￥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03"/>
        <w:ind w:firstLine="54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第四条 支付</w:t>
      </w:r>
      <w:r/>
    </w:p>
    <w:p>
      <w:pPr>
        <w:pStyle w:val="930"/>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     本合同总金额为人民币大写金额</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元（小写金额：</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eastAsia="zh-CN"/>
        </w:rPr>
        <w:t xml:space="preserve">元），经双方协商一致，选择以下第</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种付款方式：</w:t>
      </w:r>
      <w:r/>
    </w:p>
    <w:p>
      <w:pPr>
        <w:pStyle w:val="903"/>
        <w:ind w:firstLine="542"/>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（一）付款方式（提交预付款保函的）</w:t>
      </w:r>
      <w:r/>
    </w:p>
    <w:p>
      <w:pPr>
        <w:pStyle w:val="903"/>
        <w:ind w:firstLine="54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百分之五十</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u w:val="single"/>
        </w:rPr>
        <w:t xml:space="preserve">50%</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w:t>
      </w:r>
      <w:r>
        <w:rPr>
          <w:rFonts w:hint="eastAsia" w:ascii="仿宋" w:hAnsi="仿宋" w:eastAsia="仿宋" w:cs="仿宋"/>
          <w:color w:val="000000"/>
          <w:sz w:val="28"/>
          <w:szCs w:val="28"/>
        </w:rPr>
        <w:t xml:space="preserve">，乙方向甲方出具等额预付款保函后15日内，办理政府采购资金结算手续</w:t>
      </w:r>
      <w:r>
        <w:rPr>
          <w:rFonts w:hint="eastAsia" w:ascii="仿宋" w:hAnsi="仿宋" w:eastAsia="仿宋" w:cs="仿宋"/>
          <w:bCs/>
          <w:color w:val="000000"/>
          <w:sz w:val="28"/>
          <w:szCs w:val="28"/>
        </w:rPr>
        <w:t xml:space="preserve">支付给乙方。</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百分之五十</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50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元整</w:t>
      </w:r>
      <w:r>
        <w:rPr>
          <w:rFonts w:hint="eastAsia" w:ascii="仿宋" w:hAnsi="仿宋" w:eastAsia="仿宋" w:cs="仿宋"/>
          <w:color w:val="000000"/>
          <w:sz w:val="28"/>
          <w:szCs w:val="28"/>
        </w:rPr>
        <w:t xml:space="preserve">，合同标的全部交付并安装完毕验收后15日内，由买方办理政府采购资金结算手续，经审核后支付给卖方。</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p>
    <w:p>
      <w:pPr>
        <w:pStyle w:val="903"/>
        <w:ind w:firstLine="540"/>
        <w:spacing w:line="52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卖方出具的全额正式发票；</w:t>
      </w:r>
      <w:r/>
    </w:p>
    <w:p>
      <w:pPr>
        <w:pStyle w:val="903"/>
        <w:ind w:firstLine="542"/>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（二）付款方式（不提交预付款保函的）</w:t>
      </w:r>
      <w:r/>
    </w:p>
    <w:p>
      <w:pPr>
        <w:pStyle w:val="903"/>
        <w:ind w:firstLine="54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w:t>
      </w:r>
      <w:r>
        <w:rPr>
          <w:rFonts w:hint="eastAsia" w:ascii="仿宋" w:hAnsi="仿宋" w:eastAsia="仿宋" w:cs="仿宋"/>
          <w:bCs/>
          <w:color w:val="000000"/>
          <w:sz w:val="28"/>
          <w:szCs w:val="28"/>
          <w:u w:val="single"/>
          <w:lang w:val="en-US" w:eastAsia="zh-CN"/>
        </w:rPr>
        <w:t xml:space="preserve">三</w:t>
      </w:r>
      <w:r>
        <w:rPr>
          <w:rFonts w:hint="eastAsia" w:ascii="仿宋" w:hAnsi="仿宋" w:eastAsia="仿宋" w:cs="仿宋"/>
          <w:bCs/>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30</w:t>
      </w:r>
      <w:r>
        <w:rPr>
          <w:rFonts w:hint="eastAsia" w:ascii="仿宋" w:hAnsi="仿宋" w:eastAsia="仿宋" w:cs="仿宋"/>
          <w:color w:val="000000"/>
          <w:sz w:val="28"/>
          <w:szCs w:val="28"/>
        </w:rPr>
        <w:t xml:space="preserve">%)</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元整，在双方签订合同后</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办理政府采购资金结算手续支付给乙方。</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w:t>
      </w:r>
      <w:r>
        <w:rPr>
          <w:rFonts w:hint="eastAsia" w:ascii="仿宋" w:hAnsi="仿宋" w:eastAsia="仿宋" w:cs="仿宋"/>
          <w:color w:val="000000"/>
          <w:sz w:val="28"/>
          <w:szCs w:val="28"/>
          <w:u w:val="single"/>
          <w:lang w:val="en-US" w:eastAsia="zh-CN"/>
        </w:rPr>
        <w:t xml:space="preserve">七</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7</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元整</w:t>
      </w:r>
      <w:r>
        <w:rPr>
          <w:rFonts w:hint="eastAsia" w:ascii="仿宋" w:hAnsi="仿宋" w:eastAsia="仿宋" w:cs="仿宋"/>
          <w:color w:val="000000"/>
          <w:sz w:val="28"/>
          <w:szCs w:val="28"/>
        </w:rPr>
        <w:t xml:space="preserve">，合同标的全部交付并安装完毕验收后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，由买方办理政府采购资金结算手续，经审核后支付给卖方。</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卖方出具的全额正式发票；</w:t>
      </w:r>
      <w:r/>
    </w:p>
    <w:p>
      <w:pPr>
        <w:pStyle w:val="903"/>
        <w:ind w:firstLine="54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第五条 交货</w:t>
      </w:r>
      <w:r/>
    </w:p>
    <w:p>
      <w:pPr>
        <w:pStyle w:val="903"/>
        <w:ind w:firstLine="540"/>
        <w:spacing w:line="520" w:lineRule="exact"/>
        <w:tabs>
          <w:tab w:val="left" w:pos="27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color w:val="000000"/>
          <w:sz w:val="28"/>
          <w:szCs w:val="28"/>
        </w:rPr>
        <w:t xml:space="preserve">。</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5.2 交货地点为买方指定地点。</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5.3卖方应在不迟于每批合同标的备妥待运前</w:t>
      </w:r>
      <w:r>
        <w:rPr>
          <w:rFonts w:hint="eastAsia" w:ascii="仿宋" w:hAnsi="仿宋" w:eastAsia="仿宋" w:cs="仿宋"/>
          <w:color w:val="000000"/>
          <w:sz w:val="28"/>
          <w:szCs w:val="28"/>
          <w:u w:val="single"/>
        </w:rPr>
        <w:t xml:space="preserve"> 5</w:t>
      </w:r>
      <w:r>
        <w:rPr>
          <w:rFonts w:hint="eastAsia" w:ascii="仿宋" w:hAnsi="仿宋" w:eastAsia="仿宋" w:cs="仿宋"/>
          <w:color w:val="000000"/>
          <w:sz w:val="28"/>
          <w:szCs w:val="28"/>
        </w:rPr>
        <w:t xml:space="preserve">日通知买方。</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5.5如果卖方未能按照合同规定的交货期限交货，卖方应按每天迟交合同标的金额的百分之</w:t>
      </w:r>
      <w:r>
        <w:rPr>
          <w:rFonts w:hint="eastAsia" w:ascii="仿宋" w:hAnsi="仿宋" w:eastAsia="仿宋" w:cs="仿宋"/>
          <w:color w:val="000000"/>
          <w:sz w:val="28"/>
          <w:szCs w:val="28"/>
          <w:u w:val="single"/>
        </w:rPr>
        <w:t xml:space="preserve">一</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1</w:t>
      </w:r>
      <w:r>
        <w:rPr>
          <w:rFonts w:hint="eastAsia" w:ascii="仿宋" w:hAnsi="仿宋" w:eastAsia="仿宋" w:cs="仿宋"/>
          <w:color w:val="000000"/>
          <w:sz w:val="28"/>
          <w:szCs w:val="28"/>
        </w:rPr>
        <w:t xml:space="preserve">%)的比率支付违约金。违约金的总金额不超过合同总价的百分之</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 ，违约金的支付不能免除卖方继续交付相关合同标的的义务。</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如果卖方在合同规定的交货期限后</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日内仍未能交付全部或部分标的，在不妨碍买方采取其他救济手段的情况下，买方可以向卖方发出书面违约通知从而全部或部分地终止合同。</w:t>
      </w:r>
      <w:r/>
    </w:p>
    <w:p>
      <w:pPr>
        <w:pStyle w:val="903"/>
        <w:ind w:firstLine="54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w:t>
      </w:r>
      <w:r>
        <w:rPr>
          <w:rFonts w:hint="eastAsia" w:ascii="仿宋" w:hAnsi="仿宋" w:eastAsia="仿宋" w:cs="仿宋"/>
          <w:b/>
          <w:bCs/>
          <w:color w:val="000000"/>
          <w:sz w:val="28"/>
          <w:szCs w:val="28"/>
          <w:lang w:eastAsia="zh-CN"/>
        </w:rPr>
        <w:t xml:space="preserve">六</w:t>
      </w:r>
      <w:r>
        <w:rPr>
          <w:rFonts w:hint="eastAsia" w:ascii="仿宋" w:hAnsi="仿宋" w:eastAsia="仿宋" w:cs="仿宋"/>
          <w:b/>
          <w:bCs/>
          <w:color w:val="000000"/>
          <w:sz w:val="28"/>
          <w:szCs w:val="28"/>
        </w:rPr>
        <w:t xml:space="preserve">条 技术资料</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技术资料随合同标的同时交付给买方。</w:t>
      </w:r>
      <w:r/>
    </w:p>
    <w:p>
      <w:pPr>
        <w:pStyle w:val="903"/>
        <w:ind w:firstLine="54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w:t>
      </w:r>
      <w:r>
        <w:rPr>
          <w:rFonts w:hint="eastAsia" w:ascii="仿宋" w:hAnsi="仿宋" w:eastAsia="仿宋" w:cs="仿宋"/>
          <w:b/>
          <w:bCs/>
          <w:color w:val="000000"/>
          <w:sz w:val="28"/>
          <w:szCs w:val="28"/>
          <w:lang w:eastAsia="zh-CN"/>
        </w:rPr>
        <w:t xml:space="preserve">七</w:t>
      </w:r>
      <w:r>
        <w:rPr>
          <w:rFonts w:hint="eastAsia" w:ascii="仿宋" w:hAnsi="仿宋" w:eastAsia="仿宋" w:cs="仿宋"/>
          <w:b/>
          <w:bCs/>
          <w:color w:val="000000"/>
          <w:sz w:val="28"/>
          <w:szCs w:val="28"/>
        </w:rPr>
        <w:t xml:space="preserve">条 安装</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color w:val="000000"/>
          <w:sz w:val="28"/>
          <w:szCs w:val="28"/>
        </w:rPr>
        <w:t xml:space="preserve">。</w:t>
      </w:r>
      <w:r/>
    </w:p>
    <w:p>
      <w:pPr>
        <w:pStyle w:val="903"/>
        <w:ind w:firstLine="54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w:t>
      </w:r>
      <w:r>
        <w:rPr>
          <w:rFonts w:hint="eastAsia" w:ascii="仿宋" w:hAnsi="仿宋" w:eastAsia="仿宋" w:cs="仿宋"/>
          <w:b/>
          <w:bCs/>
          <w:color w:val="000000"/>
          <w:sz w:val="28"/>
          <w:szCs w:val="28"/>
          <w:lang w:eastAsia="zh-CN"/>
        </w:rPr>
        <w:t xml:space="preserve">八</w:t>
      </w:r>
      <w:r>
        <w:rPr>
          <w:rFonts w:hint="eastAsia" w:ascii="仿宋" w:hAnsi="仿宋" w:eastAsia="仿宋" w:cs="仿宋"/>
          <w:b/>
          <w:bCs/>
          <w:color w:val="000000"/>
          <w:sz w:val="28"/>
          <w:szCs w:val="28"/>
        </w:rPr>
        <w:t xml:space="preserve">条 验收</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.1 签订合同后，所有标的出厂需经买方验收后方可发货。</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.2 合同标的的验收应在卖方的协助下进行。合同标的全部交付完毕后，卖方可向买方书面提出验收要求，买方在接到书面要求后</w:t>
      </w:r>
      <w:r>
        <w:rPr>
          <w:rFonts w:hint="eastAsia" w:ascii="仿宋" w:hAnsi="仿宋" w:eastAsia="仿宋" w:cs="仿宋"/>
          <w:color w:val="000000"/>
          <w:sz w:val="28"/>
          <w:szCs w:val="28"/>
          <w:u w:val="single"/>
        </w:rPr>
        <w:t xml:space="preserve">10 </w:t>
      </w:r>
      <w:r>
        <w:rPr>
          <w:rFonts w:hint="eastAsia" w:ascii="仿宋" w:hAnsi="仿宋" w:eastAsia="仿宋" w:cs="仿宋"/>
          <w:color w:val="000000"/>
          <w:sz w:val="28"/>
          <w:szCs w:val="28"/>
        </w:rPr>
        <w:t xml:space="preserve">日进行验收。如果验收因卖方原因发生迟延和/ 或在其它情况下发生额外费用，买方有权就因迟延发生的损害和损失和/或任何额外费用请求赔偿。</w:t>
      </w:r>
      <w:r/>
    </w:p>
    <w:p>
      <w:pPr>
        <w:pStyle w:val="903"/>
        <w:ind w:firstLine="54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w:t>
      </w:r>
      <w:r>
        <w:rPr>
          <w:rFonts w:hint="eastAsia" w:ascii="仿宋" w:hAnsi="仿宋" w:eastAsia="仿宋" w:cs="仿宋"/>
          <w:b/>
          <w:bCs/>
          <w:color w:val="000000"/>
          <w:sz w:val="28"/>
          <w:szCs w:val="28"/>
          <w:lang w:eastAsia="zh-CN"/>
        </w:rPr>
        <w:t xml:space="preserve">九</w:t>
      </w:r>
      <w:r>
        <w:rPr>
          <w:rFonts w:hint="eastAsia" w:ascii="仿宋" w:hAnsi="仿宋" w:eastAsia="仿宋" w:cs="仿宋"/>
          <w:b/>
          <w:bCs/>
          <w:color w:val="000000"/>
          <w:sz w:val="28"/>
          <w:szCs w:val="28"/>
        </w:rPr>
        <w:t xml:space="preserve">条 索赔</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.1买方有权选择本条款规定的任意或全部救济方式。</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.2卖方应在收到买方索赔要求后14日内作出书面回复，否则该索赔要求将被视为已被卖方接受。卖方应在买方发出索赔要求后14日内，按照买方选择的救济方法解决索赔事宜。</w:t>
      </w:r>
      <w:r/>
    </w:p>
    <w:p>
      <w:pPr>
        <w:pStyle w:val="903"/>
        <w:ind w:firstLine="54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第十条 不可抗力</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如果不可抗力事件的影响持续超过20日，合同任何一方均有权发出书面通知终止合同。</w:t>
      </w:r>
      <w:r/>
    </w:p>
    <w:p>
      <w:pPr>
        <w:pStyle w:val="903"/>
        <w:ind w:firstLine="54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w:t>
      </w:r>
      <w:r>
        <w:rPr>
          <w:rFonts w:hint="eastAsia" w:ascii="仿宋" w:hAnsi="仿宋" w:eastAsia="仿宋" w:cs="仿宋"/>
          <w:b/>
          <w:bCs/>
          <w:color w:val="000000"/>
          <w:sz w:val="28"/>
          <w:szCs w:val="28"/>
          <w:lang w:eastAsia="zh-CN"/>
        </w:rPr>
        <w:t xml:space="preserve">一</w:t>
      </w:r>
      <w:r>
        <w:rPr>
          <w:rFonts w:hint="eastAsia" w:ascii="仿宋" w:hAnsi="仿宋" w:eastAsia="仿宋" w:cs="仿宋"/>
          <w:b/>
          <w:bCs/>
          <w:color w:val="000000"/>
          <w:sz w:val="28"/>
          <w:szCs w:val="28"/>
        </w:rPr>
        <w:t xml:space="preserve">条 合同的终止</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.1如果卖方有下述违约行为，买方可以全部或部分地终止合同：</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卖方在合同规定的交货期限后</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日内仍未能交付合同标的和/ 或技术资料；或者卖方未能履行合同项下任何其它义务，并且在收到买方违约通知后</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rPr>
        <w:t xml:space="preserve">日内仍未能对其违约行为作出补救。</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903"/>
        <w:ind w:firstLine="54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w:t>
      </w:r>
      <w:r>
        <w:rPr>
          <w:rFonts w:hint="eastAsia" w:ascii="仿宋" w:hAnsi="仿宋" w:eastAsia="仿宋" w:cs="仿宋"/>
          <w:b/>
          <w:bCs/>
          <w:color w:val="000000"/>
          <w:sz w:val="28"/>
          <w:szCs w:val="28"/>
          <w:lang w:eastAsia="zh-CN"/>
        </w:rPr>
        <w:t xml:space="preserve">二</w:t>
      </w:r>
      <w:r>
        <w:rPr>
          <w:rFonts w:hint="eastAsia" w:ascii="仿宋" w:hAnsi="仿宋" w:eastAsia="仿宋" w:cs="仿宋"/>
          <w:b/>
          <w:bCs/>
          <w:color w:val="000000"/>
          <w:sz w:val="28"/>
          <w:szCs w:val="28"/>
        </w:rPr>
        <w:t xml:space="preserve">条 争议的解决</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.1如果不能协商一致，合同任何一方有权向买方所在地人民法院提起诉讼。</w:t>
      </w:r>
      <w:r/>
    </w:p>
    <w:p>
      <w:pPr>
        <w:pStyle w:val="903"/>
        <w:ind w:firstLine="540"/>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第十</w:t>
      </w:r>
      <w:r>
        <w:rPr>
          <w:rFonts w:hint="eastAsia" w:ascii="仿宋" w:hAnsi="仿宋" w:eastAsia="仿宋" w:cs="仿宋"/>
          <w:b/>
          <w:bCs/>
          <w:color w:val="000000"/>
          <w:sz w:val="28"/>
          <w:szCs w:val="28"/>
          <w:lang w:eastAsia="zh-CN"/>
        </w:rPr>
        <w:t xml:space="preserve">三</w:t>
      </w:r>
      <w:r>
        <w:rPr>
          <w:rFonts w:hint="eastAsia" w:ascii="仿宋" w:hAnsi="仿宋" w:eastAsia="仿宋" w:cs="仿宋"/>
          <w:b/>
          <w:bCs/>
          <w:color w:val="000000"/>
          <w:sz w:val="28"/>
          <w:szCs w:val="28"/>
        </w:rPr>
        <w:t xml:space="preserve">条 合同生效及其他</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13.1</w:t>
      </w:r>
      <w:r>
        <w:rPr>
          <w:rFonts w:hint="eastAsia" w:ascii="仿宋" w:hAnsi="仿宋" w:eastAsia="仿宋" w:cs="仿宋"/>
          <w:color w:val="000000"/>
          <w:sz w:val="28"/>
          <w:szCs w:val="28"/>
        </w:rPr>
        <w:t xml:space="preserve">按照《财政部关于做好政府采购信息公开工作的通知》（财库〔2015〕135号），买方依据《保守国家秘密法》等法律制度规定确定本合同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部分涉及国家秘密，该涉及国家秘密部分不公告；买方依据《反不正当竞争法》等法律制度的规定与卖方约定本合同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部分涉及商业秘密，该涉及商业秘密部分不公告。</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13.2</w:t>
      </w:r>
      <w:r>
        <w:rPr>
          <w:rFonts w:hint="eastAsia" w:ascii="仿宋" w:hAnsi="仿宋" w:eastAsia="仿宋" w:cs="仿宋"/>
          <w:color w:val="000000"/>
          <w:sz w:val="28"/>
          <w:szCs w:val="28"/>
        </w:rPr>
        <w:t xml:space="preserve"> 合同双方的通讯地址： </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 </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p>
    <w:p>
      <w:pPr>
        <w:pStyle w:val="903"/>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b/>
          <w:bCs/>
          <w:color w:val="000000"/>
          <w:sz w:val="28"/>
          <w:szCs w:val="28"/>
        </w:rPr>
        <w:t xml:space="preserve">合同附件</w:t>
      </w:r>
      <w:r/>
    </w:p>
    <w:p>
      <w:pPr>
        <w:pStyle w:val="903"/>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90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合同附件1：合同协议书</w:t>
      </w:r>
      <w:r/>
    </w:p>
    <w:p>
      <w:pPr>
        <w:pStyle w:val="90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合同附件2：技术规格和技术性能</w:t>
      </w:r>
      <w:r/>
    </w:p>
    <w:p>
      <w:pPr>
        <w:pStyle w:val="90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p>
    <w:p>
      <w:pPr>
        <w:pStyle w:val="90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合同附件3：售后服务</w:t>
      </w:r>
      <w:r/>
    </w:p>
    <w:p>
      <w:pPr>
        <w:pStyle w:val="90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p>
    <w:p>
      <w:pPr>
        <w:pStyle w:val="90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合同附件4：供货范围和价格清单</w:t>
      </w:r>
      <w:r/>
    </w:p>
    <w:p>
      <w:pPr>
        <w:pStyle w:val="90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(要求见招标文件第七章《投标文件相关格式》中《开标一览表》和《分项价格表》；合同见卖方投标文件。)</w:t>
      </w:r>
      <w:r/>
    </w:p>
    <w:p>
      <w:pPr>
        <w:pStyle w:val="90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合同附件1：</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合同协议书</w:t>
      </w:r>
      <w:r/>
    </w:p>
    <w:p>
      <w:pPr>
        <w:pStyle w:val="903"/>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合同编号:____________ </w:t>
      </w:r>
      <w:r/>
    </w:p>
    <w:p>
      <w:pPr>
        <w:pStyle w:val="903"/>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签字日期:____________ </w:t>
      </w:r>
      <w:r/>
    </w:p>
    <w:p>
      <w:pPr>
        <w:pStyle w:val="903"/>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签字地点:____________ </w:t>
      </w:r>
      <w:r/>
    </w:p>
    <w:p>
      <w:pPr>
        <w:pStyle w:val="903"/>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（买方名称）（以下简称“买方”）已接受</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（卖方名称）（以下简称“卖方”）对</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项目编号：JSZC-320312-JSJM-G2024-0007</w:t>
      </w:r>
      <w:r>
        <w:rPr>
          <w:rFonts w:hint="eastAsia" w:ascii="仿宋" w:hAnsi="仿宋" w:eastAsia="仿宋" w:cs="仿宋"/>
          <w:color w:val="000000"/>
          <w:sz w:val="28"/>
          <w:szCs w:val="28"/>
        </w:rPr>
        <w:t xml:space="preserve">）的投标。买方和卖方共同达成如下协议。</w:t>
      </w:r>
      <w:r/>
    </w:p>
    <w:p>
      <w:pPr>
        <w:pStyle w:val="903"/>
        <w:numPr>
          <w:ilvl w:val="0"/>
          <w:numId w:val="2"/>
        </w:numP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本合同协议书中的词语和术语的含义与合同条款中定义的相同。</w:t>
      </w:r>
      <w:r/>
    </w:p>
    <w:p>
      <w:pPr>
        <w:pStyle w:val="903"/>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以下文件应构成买方和卖方之间达成的合同，若各文件之间存在含糊不清或互相冲突之处，优先顺序应按下列文件顺序解释。</w:t>
      </w:r>
      <w:r/>
    </w:p>
    <w:p>
      <w:pPr>
        <w:pStyle w:val="903"/>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合同协议书</w:t>
      </w:r>
      <w:r/>
    </w:p>
    <w:p>
      <w:pPr>
        <w:pStyle w:val="903"/>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中标通知书</w:t>
      </w:r>
      <w:r/>
    </w:p>
    <w:p>
      <w:pPr>
        <w:pStyle w:val="903"/>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合同专用条款</w:t>
      </w:r>
      <w:r/>
    </w:p>
    <w:p>
      <w:pPr>
        <w:pStyle w:val="903"/>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合同通用条款</w:t>
      </w:r>
      <w:r/>
    </w:p>
    <w:p>
      <w:pPr>
        <w:pStyle w:val="903"/>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除合同附件1外的合同附件</w:t>
      </w:r>
      <w:r/>
    </w:p>
    <w:p>
      <w:pPr>
        <w:pStyle w:val="903"/>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其他文件</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考虑到买方将按照本合同向卖方支付合同价款，卖方在此保证全部按照合同的规定向买方提供合同标的、技术资料、售后服务及技术培训。</w:t>
      </w:r>
      <w:r/>
    </w:p>
    <w:p>
      <w:pPr>
        <w:pStyle w:val="90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考虑到卖方将按合同规定提供合同标的、技术资料、售后服务及技术培训，买方在此保证按照合同规定的时间和方式向卖方支付合同价款。</w:t>
      </w:r>
      <w:r/>
    </w:p>
    <w:p>
      <w:pPr>
        <w:pStyle w:val="90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本合同在下列条件全部满足后生效，生效日期以下列条件全部满足的最晚日期为准： </w:t>
      </w:r>
      <w:r/>
    </w:p>
    <w:p>
      <w:pPr>
        <w:pStyle w:val="903"/>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双方加盖公章或合同专用章；</w:t>
      </w:r>
      <w:r/>
    </w:p>
    <w:p>
      <w:pPr>
        <w:pStyle w:val="903"/>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合同一式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肆</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份，具有同等法律效力，买方</w:t>
      </w: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份，卖方</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lang w:eastAsia="zh-CN"/>
        </w:rPr>
        <w:t xml:space="preserve">采购代理机构一份</w:t>
      </w:r>
      <w:r>
        <w:rPr>
          <w:rFonts w:hint="eastAsia" w:ascii="仿宋" w:hAnsi="仿宋" w:eastAsia="仿宋" w:cs="仿宋"/>
          <w:color w:val="000000"/>
          <w:sz w:val="28"/>
          <w:szCs w:val="28"/>
        </w:rPr>
        <w:t xml:space="preserve">。</w:t>
      </w:r>
      <w:r/>
    </w:p>
    <w:p>
      <w:pPr>
        <w:pStyle w:val="903"/>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7.本合同其他未尽事宜及与采购文件有矛盾之处，以采购文件[</w:t>
      </w:r>
      <w:r>
        <w:rPr>
          <w:rFonts w:hint="eastAsia" w:ascii="仿宋" w:hAnsi="仿宋" w:eastAsia="仿宋" w:cs="仿宋"/>
          <w:color w:val="000000"/>
          <w:sz w:val="28"/>
          <w:szCs w:val="28"/>
          <w:lang w:eastAsia="zh-CN"/>
        </w:rPr>
        <w:t xml:space="preserve">项目编号：JSZC-320312-JSJM-G2024-0007</w:t>
      </w:r>
      <w:r>
        <w:rPr>
          <w:rFonts w:hint="eastAsia" w:ascii="仿宋" w:hAnsi="仿宋" w:eastAsia="仿宋" w:cs="仿宋"/>
          <w:bCs/>
          <w:color w:val="000000"/>
          <w:sz w:val="28"/>
          <w:szCs w:val="28"/>
          <w:lang w:val="en-US" w:eastAsia="zh-CN"/>
        </w:rPr>
        <w:t xml:space="preserve"> </w:t>
      </w:r>
      <w:r>
        <w:rPr>
          <w:rFonts w:hint="eastAsia" w:ascii="仿宋" w:hAnsi="仿宋" w:eastAsia="仿宋" w:cs="仿宋"/>
          <w:color w:val="000000"/>
          <w:sz w:val="28"/>
          <w:szCs w:val="28"/>
        </w:rPr>
        <w:t xml:space="preserve">]为准。</w:t>
      </w:r>
      <w:r/>
    </w:p>
    <w:p>
      <w:pPr>
        <w:pStyle w:val="903"/>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买方和卖方由其正式授权代表于上述所写日期和地点签订本合同。</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买方（签章）： </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p>
    <w:p>
      <w:pPr>
        <w:pStyle w:val="903"/>
        <w:ind w:firstLine="3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卖方（签章）： </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w:t>
      </w:r>
      <w:r/>
    </w:p>
    <w:p>
      <w:pPr>
        <w:pStyle w:val="9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w:t>
      </w:r>
      <w:r/>
    </w:p>
    <w:p>
      <w:pPr>
        <w:jc w:val="center"/>
        <w:spacing w:line="288"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宋体" w:cs="仿宋"/>
          <w:b/>
          <w:bCs w:val="0"/>
          <w:color w:val="000000"/>
          <w:sz w:val="32"/>
          <w:szCs w:val="32"/>
          <w:highlight w:val="none"/>
          <w:lang w:eastAsia="zh-CN"/>
        </w:rPr>
      </w:pPr>
      <w:r>
        <w:rPr>
          <w:rFonts w:hint="eastAsia" w:ascii="仿宋" w:hAnsi="仿宋" w:eastAsia="仿宋" w:cs="仿宋"/>
          <w:b/>
          <w:bCs w:val="0"/>
          <w:color w:val="000000"/>
          <w:sz w:val="32"/>
          <w:szCs w:val="32"/>
          <w:highlight w:val="none"/>
          <w:lang w:eastAsia="zh-CN"/>
        </w:rPr>
        <w:t xml:space="preserve">第六</w:t>
      </w:r>
      <w:bookmarkStart w:id="0" w:name="_Toc324452802"/>
      <w:r/>
      <w:bookmarkEnd w:id="0"/>
      <w:r/>
      <w:bookmarkStart w:id="1" w:name="_Toc322457054"/>
      <w:r/>
      <w:bookmarkEnd w:id="1"/>
      <w:r>
        <w:rPr>
          <w:rFonts w:hint="eastAsia" w:ascii="仿宋" w:hAnsi="仿宋" w:eastAsia="仿宋" w:cs="仿宋"/>
          <w:b/>
          <w:bCs w:val="0"/>
          <w:color w:val="000000"/>
          <w:sz w:val="32"/>
          <w:szCs w:val="32"/>
          <w:highlight w:val="none"/>
          <w:lang w:eastAsia="zh-CN"/>
        </w:rPr>
        <w:t xml:space="preserve">章</w:t>
      </w:r>
      <w:r>
        <w:rPr>
          <w:rFonts w:ascii="宋体" w:hAnsi="宋体" w:eastAsia="宋体"/>
          <w:b/>
          <w:bCs w:val="0"/>
          <w:color w:val="000000"/>
          <w:sz w:val="30"/>
          <w:szCs w:val="30"/>
        </w:rPr>
        <w:t xml:space="preserve"> </w:t>
      </w:r>
      <w:r>
        <w:rPr>
          <w:rFonts w:hint="eastAsia" w:ascii="宋体" w:hAnsi="宋体"/>
          <w:b/>
          <w:bCs w:val="0"/>
          <w:color w:val="000000"/>
          <w:sz w:val="30"/>
          <w:szCs w:val="30"/>
          <w:lang w:eastAsia="zh-CN"/>
        </w:rPr>
        <w:t xml:space="preserve">采购需求</w:t>
      </w:r>
      <w:r/>
    </w:p>
    <w:p>
      <w:pPr>
        <w:jc w:val="both"/>
        <w:spacing w:line="288" w:lineRule="auto"/>
        <w:rPr>
          <w:rFonts w:hint="eastAsia" w:ascii="仿宋" w:hAnsi="仿宋" w:eastAsia="仿宋" w:cs="仿宋"/>
          <w:b w:val="0"/>
          <w:bCs/>
          <w:color w:val="000000"/>
          <w:sz w:val="32"/>
          <w:szCs w:val="32"/>
          <w:highlight w:val="none"/>
        </w:rPr>
      </w:pPr>
      <w:r>
        <w:rPr>
          <w:rFonts w:hint="eastAsia" w:ascii="仿宋" w:hAnsi="仿宋" w:eastAsia="仿宋" w:cs="仿宋"/>
          <w:b w:val="0"/>
          <w:bCs/>
          <w:color w:val="000000"/>
          <w:sz w:val="32"/>
          <w:szCs w:val="32"/>
          <w:highlight w:val="none"/>
        </w:rPr>
      </w:r>
      <w:r/>
    </w:p>
    <w:p>
      <w:pPr>
        <w:pStyle w:val="946"/>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p>
    <w:p>
      <w:pPr>
        <w:ind w:left="0" w:right="0" w:firstLine="0"/>
        <w:spacing w:before="240" w:after="240" w:line="85" w:lineRule="atLeast"/>
        <w:rPr>
          <w:rFonts w:hint="eastAsia" w:ascii="Times New Roman" w:hAnsi="Times New Roman" w:eastAsia="仿宋" w:cs="Times New Roman"/>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1、项目名称：</w:t>
      </w:r>
      <w:r>
        <w:rPr>
          <w:rFonts w:hint="eastAsia" w:ascii="仿宋" w:hAnsi="仿宋" w:eastAsia="仿宋" w:cs="仿宋"/>
          <w:color w:val="000000"/>
          <w:sz w:val="28"/>
          <w:lang w:eastAsia="zh-CN"/>
        </w:rPr>
        <w:t xml:space="preserve">2024年铜山区粮食绿色高产高效丰产片建设</w:t>
      </w:r>
      <w:r/>
    </w:p>
    <w:p>
      <w:pPr>
        <w:ind w:left="0" w:right="0" w:firstLine="0"/>
        <w:spacing w:before="240" w:after="240" w:line="85" w:lineRule="atLeast"/>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2、项目概况：通过财政资金扶持，在我区建设2个5000亩水稻丰产片和4个1000亩丰产片；2个5000亩小麦丰产片和1个1000亩丰产片。其中水稻亩产在650公斤以上，小麦亩产550公斤以上， 共涉及8 个镇（街道），丰产片总面积达30061.9亩</w:t>
      </w:r>
      <w:r/>
    </w:p>
    <w:p>
      <w:pPr>
        <w:pStyle w:val="922"/>
        <w:jc w:val="left"/>
        <w:spacing w:line="360" w:lineRule="auto"/>
        <w:rPr>
          <w:rFonts w:hint="eastAsia" w:ascii="仿宋" w:hAnsi="仿宋" w:eastAsia="仿宋" w:cs="仿宋"/>
          <w:b/>
          <w:color w:val="000000"/>
          <w:spacing w:val="2"/>
          <w:sz w:val="28"/>
          <w:szCs w:val="28"/>
        </w:rPr>
      </w:pPr>
      <w:r>
        <w:rPr>
          <w:rFonts w:hint="eastAsia" w:ascii="仿宋" w:hAnsi="仿宋" w:eastAsia="仿宋" w:cs="仿宋"/>
          <w:color w:val="000000"/>
          <w:sz w:val="28"/>
          <w:lang w:val="en-US" w:eastAsia="zh-CN"/>
        </w:rPr>
        <w:t xml:space="preserve">3</w:t>
      </w:r>
      <w:r>
        <w:rPr>
          <w:rFonts w:ascii="仿宋" w:hAnsi="仿宋" w:eastAsia="仿宋" w:cs="仿宋"/>
          <w:color w:val="000000"/>
          <w:sz w:val="28"/>
        </w:rPr>
        <w:t xml:space="preserve">、项目预算：</w:t>
      </w:r>
      <w:r>
        <w:rPr>
          <w:rFonts w:ascii="仿宋" w:hAnsi="仿宋" w:eastAsia="仿宋" w:cs="仿宋"/>
          <w:b/>
          <w:color w:val="000000"/>
          <w:spacing w:val="2"/>
          <w:sz w:val="28"/>
        </w:rPr>
        <w:t xml:space="preserve">本项目采购预算总金额</w:t>
      </w:r>
      <w:r>
        <w:rPr>
          <w:rFonts w:hint="eastAsia" w:ascii="仿宋" w:hAnsi="仿宋" w:eastAsia="仿宋" w:cs="仿宋"/>
          <w:b/>
          <w:color w:val="000000"/>
          <w:spacing w:val="2"/>
          <w:sz w:val="28"/>
          <w:lang w:val="en-US" w:eastAsia="zh-CN"/>
        </w:rPr>
        <w:t xml:space="preserve">80</w:t>
      </w:r>
      <w:r>
        <w:rPr>
          <w:rFonts w:ascii="仿宋" w:hAnsi="仿宋" w:eastAsia="仿宋" w:cs="仿宋"/>
          <w:b/>
          <w:color w:val="000000"/>
          <w:spacing w:val="2"/>
          <w:sz w:val="28"/>
        </w:rPr>
        <w:t xml:space="preserve">万元人民币；报价包括全部费用，采购人不再支付报价以外的任何费用</w:t>
      </w:r>
      <w:r>
        <w:rPr>
          <w:rFonts w:hint="eastAsia" w:ascii="仿宋" w:hAnsi="仿宋" w:eastAsia="仿宋" w:cs="仿宋"/>
          <w:b/>
          <w:color w:val="000000"/>
          <w:spacing w:val="2"/>
          <w:sz w:val="28"/>
          <w:szCs w:val="28"/>
        </w:rPr>
        <w:t xml:space="preserve">。</w:t>
      </w:r>
      <w:r/>
    </w:p>
    <w:p>
      <w:pPr>
        <w:pStyle w:val="926"/>
        <w:spacing w:line="30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二、项目内容及要求</w:t>
      </w:r>
      <w:r/>
    </w:p>
    <w:p>
      <w:pPr>
        <w:ind w:left="0" w:right="0" w:firstLine="0"/>
        <w:spacing w:before="240" w:after="24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 项目内容：</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2"/>
        <w:gridCol w:w="4369"/>
        <w:gridCol w:w="1529"/>
        <w:gridCol w:w="1004"/>
      </w:tblGrid>
      <w:tr>
        <w:trPr>
          <w:trHeight w:val="680"/>
        </w:trPr>
        <w:tc>
          <w:tcPr>
            <w:shd w:val="clear" w:color="e7e6e6" w:fill="e7e6e6"/>
            <w:tcMar>
              <w:left w:w="108" w:type="dxa"/>
              <w:top w:w="0" w:type="dxa"/>
              <w:right w:w="108" w:type="dxa"/>
              <w:bottom w:w="0" w:type="dxa"/>
            </w:tcMar>
            <w:tcW w:w="2302" w:type="dxa"/>
            <w:vAlign w:val="center"/>
            <w:textDirection w:val="lrTb"/>
            <w:noWrap w:val="false"/>
          </w:tcPr>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名称</w:t>
            </w:r>
            <w:r/>
          </w:p>
        </w:tc>
        <w:tc>
          <w:tcPr>
            <w:shd w:val="clear" w:color="e7e6e6" w:fill="e7e6e6"/>
            <w:tcMar>
              <w:left w:w="108" w:type="dxa"/>
              <w:top w:w="0" w:type="dxa"/>
              <w:right w:w="108" w:type="dxa"/>
              <w:bottom w:w="0" w:type="dxa"/>
            </w:tcMar>
            <w:tcW w:w="4369" w:type="dxa"/>
            <w:vAlign w:val="center"/>
            <w:textDirection w:val="lrTb"/>
            <w:noWrap w:val="false"/>
          </w:tcPr>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具体规格、参数及配方</w:t>
            </w:r>
            <w:r/>
          </w:p>
        </w:tc>
        <w:tc>
          <w:tcPr>
            <w:shd w:val="clear" w:color="e7e6e6" w:fill="e7e6e6"/>
            <w:tcMar>
              <w:left w:w="108" w:type="dxa"/>
              <w:top w:w="0" w:type="dxa"/>
              <w:right w:w="108" w:type="dxa"/>
              <w:bottom w:w="0" w:type="dxa"/>
            </w:tcMar>
            <w:tcW w:w="1529" w:type="dxa"/>
            <w:vAlign w:val="center"/>
            <w:textDirection w:val="lrTb"/>
            <w:noWrap w:val="false"/>
          </w:tcPr>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最高限价(单价)</w:t>
            </w:r>
            <w:r/>
          </w:p>
        </w:tc>
        <w:tc>
          <w:tcPr>
            <w:shd w:val="clear" w:color="e7e6e6" w:fill="e7e6e6"/>
            <w:tcMar>
              <w:left w:w="108" w:type="dxa"/>
              <w:top w:w="0" w:type="dxa"/>
              <w:right w:w="108" w:type="dxa"/>
              <w:bottom w:w="0" w:type="dxa"/>
            </w:tcMar>
            <w:tcW w:w="1004" w:type="dxa"/>
            <w:vAlign w:val="center"/>
            <w:textDirection w:val="lrTb"/>
            <w:noWrap w:val="false"/>
          </w:tcPr>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单位</w:t>
            </w:r>
            <w:r/>
          </w:p>
        </w:tc>
      </w:tr>
      <w:tr>
        <w:trPr>
          <w:trHeight w:val="680"/>
        </w:trPr>
        <w:tc>
          <w:tcPr>
            <w:tcMar>
              <w:left w:w="108" w:type="dxa"/>
              <w:top w:w="0" w:type="dxa"/>
              <w:right w:w="108" w:type="dxa"/>
              <w:bottom w:w="0" w:type="dxa"/>
            </w:tcMar>
            <w:tcW w:w="2302" w:type="dxa"/>
            <w:vAlign w:val="center"/>
            <w:textDirection w:val="lrTb"/>
            <w:noWrap w:val="false"/>
          </w:tcPr>
          <w:p>
            <w:pPr>
              <w:ind w:left="0" w:right="0" w:firstLine="0"/>
              <w:jc w:val="center"/>
              <w:spacing w:before="200" w:after="200" w:line="240" w:lineRule="auto"/>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2024年铜山区粮食绿色高产高效丰产片建设</w:t>
            </w:r>
            <w:r/>
          </w:p>
        </w:tc>
        <w:tc>
          <w:tcPr>
            <w:tcMar>
              <w:left w:w="108" w:type="dxa"/>
              <w:top w:w="0" w:type="dxa"/>
              <w:right w:w="108" w:type="dxa"/>
              <w:bottom w:w="0" w:type="dxa"/>
            </w:tcMar>
            <w:tcW w:w="4369" w:type="dxa"/>
            <w:vAlign w:val="center"/>
            <w:textDirection w:val="lrTb"/>
            <w:noWrap w:val="false"/>
          </w:tcPr>
          <w:p>
            <w:pPr>
              <w:ind w:left="0" w:right="0" w:firstLine="0"/>
              <w:jc w:val="center"/>
              <w:spacing w:before="200" w:after="200" w:line="24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高效腐殖酸复合肥，有效含量N：P205：K20：18-10-12复合肥。</w:t>
            </w:r>
            <w:r/>
          </w:p>
        </w:tc>
        <w:tc>
          <w:tcPr>
            <w:tcMar>
              <w:left w:w="108" w:type="dxa"/>
              <w:top w:w="0" w:type="dxa"/>
              <w:right w:w="108" w:type="dxa"/>
              <w:bottom w:w="0" w:type="dxa"/>
            </w:tcMar>
            <w:tcW w:w="1529" w:type="dxa"/>
            <w:vAlign w:val="center"/>
            <w:textDirection w:val="lrTb"/>
            <w:noWrap w:val="false"/>
          </w:tcPr>
          <w:p>
            <w:pPr>
              <w:ind w:left="0" w:right="0" w:firstLine="0"/>
              <w:jc w:val="center"/>
              <w:spacing w:before="200" w:after="200" w:line="240" w:lineRule="auto"/>
              <w:rPr>
                <w:rFonts w:hint="default"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3200</w:t>
            </w:r>
            <w:r/>
          </w:p>
        </w:tc>
        <w:tc>
          <w:tcPr>
            <w:tcMar>
              <w:left w:w="108" w:type="dxa"/>
              <w:top w:w="0" w:type="dxa"/>
              <w:right w:w="108" w:type="dxa"/>
              <w:bottom w:w="0" w:type="dxa"/>
            </w:tcMar>
            <w:tcW w:w="1004" w:type="dxa"/>
            <w:vAlign w:val="center"/>
            <w:textDirection w:val="lrTb"/>
            <w:noWrap w:val="false"/>
          </w:tcPr>
          <w:p>
            <w:pPr>
              <w:ind w:left="0" w:right="0" w:firstLine="0"/>
              <w:jc w:val="center"/>
              <w:spacing w:before="200" w:after="200" w:line="240" w:lineRule="auto"/>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吨</w:t>
            </w:r>
            <w:r/>
          </w:p>
        </w:tc>
      </w:tr>
    </w:tbl>
    <w:p>
      <w:pPr>
        <w:ind w:left="0" w:right="0" w:firstLine="0"/>
        <w:spacing w:before="240" w:after="24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rPr>
      </w:r>
      <w:r/>
    </w:p>
    <w:p>
      <w:pPr>
        <w:ind w:left="0" w:right="0" w:firstLine="0"/>
        <w:spacing w:before="240" w:after="24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2、交货时间：合同签订后一个月内供货完成。</w:t>
      </w:r>
      <w:r/>
    </w:p>
    <w:p>
      <w:pPr>
        <w:ind w:left="0" w:right="0" w:firstLine="0"/>
        <w:spacing w:before="240" w:after="240" w:line="85"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3、对采购项目质量、服务及结算方面的要求：产品达到规定的质量标准，送货到指定地点，按合同结算。</w:t>
      </w:r>
      <w:r/>
    </w:p>
    <w:p>
      <w:pPr>
        <w:pStyle w:val="938"/>
        <w:keepLines w:val="0"/>
        <w:keepNext w:val="0"/>
        <w:pageBreakBefore w:val="0"/>
        <w:spacing w:line="360" w:lineRule="auto"/>
        <w:widowControl w:val="off"/>
        <w:rPr>
          <w:rFonts w:hint="eastAsia" w:ascii="仿宋" w:hAnsi="仿宋" w:eastAsia="仿宋" w:cs="仿宋"/>
          <w:sz w:val="28"/>
          <w:szCs w:val="28"/>
        </w:rPr>
        <w:outlineLvl w:val="9"/>
      </w:pPr>
      <w:r>
        <w:rPr>
          <w:rFonts w:ascii="仿宋" w:hAnsi="仿宋" w:eastAsia="仿宋" w:cs="仿宋"/>
          <w:color w:val="000000"/>
          <w:spacing w:val="10"/>
          <w:sz w:val="28"/>
        </w:rPr>
        <w:t xml:space="preserve">4、产品质保期：质保期壹年（自交货验收合格之日起计）</w:t>
      </w:r>
      <w:r>
        <w:rPr>
          <w:rFonts w:hint="eastAsia" w:ascii="仿宋" w:hAnsi="仿宋" w:eastAsia="仿宋" w:cs="仿宋"/>
          <w:b w:val="0"/>
          <w:bCs/>
          <w:sz w:val="28"/>
          <w:szCs w:val="28"/>
        </w:rPr>
        <w:t xml:space="preserve">。</w:t>
      </w:r>
      <w:r/>
    </w:p>
    <w:p>
      <w:pPr>
        <w:pStyle w:val="926"/>
        <w:jc w:val="left"/>
        <w:keepLines w:val="0"/>
        <w:keepNext w:val="0"/>
        <w:pageBreakBefore w:val="0"/>
        <w:spacing w:line="360" w:lineRule="auto"/>
        <w:widowControl w:val="off"/>
        <w:rPr>
          <w:rFonts w:hint="eastAsia" w:ascii="仿宋" w:hAnsi="仿宋" w:eastAsia="仿宋" w:cs="仿宋"/>
          <w:b/>
          <w:color w:val="000000"/>
          <w:sz w:val="28"/>
          <w:szCs w:val="28"/>
          <w:lang w:val="en-US" w:eastAsia="zh-CN"/>
        </w:rPr>
        <w:outlineLvl w:val="9"/>
      </w:pPr>
      <w:r>
        <w:rPr>
          <w:rFonts w:hint="eastAsia" w:ascii="仿宋" w:hAnsi="仿宋" w:eastAsia="仿宋" w:cs="仿宋"/>
          <w:b/>
          <w:color w:val="000000"/>
          <w:sz w:val="28"/>
          <w:szCs w:val="28"/>
          <w:lang w:val="en-US" w:eastAsia="zh-CN"/>
        </w:rPr>
        <w:t xml:space="preserve">三、投标文件中提供项目总体方案。投标人报价时应根据自己的实施方案，充分考虑安全措施及其他影响因素。</w:t>
      </w:r>
      <w:r/>
    </w:p>
    <w:p>
      <w:pPr>
        <w:jc w:val="center"/>
        <w:spacing w:line="239"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rPr>
      </w:r>
      <w:r/>
    </w:p>
    <w:p>
      <w:pPr>
        <w:spacing w:line="360" w:lineRule="auto"/>
        <w:rPr>
          <w:rFonts w:hint="eastAsia"/>
          <w:sz w:val="30"/>
          <w:szCs w:val="30"/>
        </w:rPr>
      </w:pPr>
      <w:r/>
      <w:bookmarkStart w:id="2" w:name="_Toc523404701"/>
      <w:r/>
      <w:bookmarkStart w:id="3" w:name="_Toc522790136"/>
      <w:r/>
      <w:r/>
    </w:p>
    <w:p>
      <w:pPr>
        <w:ind w:firstLine="3300"/>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第七章  投标文件相关格式</w:t>
      </w:r>
      <w:bookmarkEnd w:id="2"/>
      <w:r/>
      <w:bookmarkEnd w:id="3"/>
      <w:r/>
      <w:r/>
    </w:p>
    <w:p>
      <w:pPr>
        <w:ind w:firstLine="4500"/>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一、投标函</w:t>
      </w:r>
      <w:r/>
    </w:p>
    <w:p>
      <w:pPr>
        <w:spacing w:line="48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江苏家淼招标代理有限公司</w:t>
      </w:r>
      <w:r/>
    </w:p>
    <w:p>
      <w:pPr>
        <w:ind w:left="47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lang w:eastAsia="zh-CN"/>
        </w:rPr>
        <w:t xml:space="preserve">2024年铜山区粮食绿色高产高效丰产片建设</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项目编号：JSZC-320312-JSJM-G2024-0007</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w:t>
      </w:r>
      <w:r>
        <w:rPr>
          <w:rFonts w:hint="eastAsia" w:ascii="仿宋" w:hAnsi="仿宋" w:eastAsia="仿宋" w:cs="仿宋"/>
          <w:sz w:val="28"/>
          <w:szCs w:val="28"/>
        </w:rPr>
        <w:t xml:space="preserve">标人的名称）全权处理本次投标的有关事宜。</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 投标人唯一投标报价见《开标一览表》。</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2. 投标人将按招标文件的规定履行合同责任和义务。</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3. 投标人已详细审查全部招标文件，投标人完全理解并同意放弃对这方面有不明及误解的权力。</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4. 投标有效期为开标之日后90天。</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5. 投标人同意提供按照贵方可能要求的与其投标有关的一切数据或资料。</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6. 投标人同意在授予合同后，按照投标资料表中的有关规定支付招标代理服务费。</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7. </w:t>
      </w:r>
      <w:r>
        <w:rPr>
          <w:rFonts w:hint="eastAsia" w:ascii="仿宋" w:hAnsi="仿宋" w:eastAsia="仿宋" w:cs="仿宋"/>
          <w:sz w:val="28"/>
          <w:szCs w:val="28"/>
          <w:lang w:eastAsia="zh-CN"/>
        </w:rPr>
        <w:t xml:space="preserve">江苏家淼招标代理有限公司</w:t>
      </w:r>
      <w:r>
        <w:rPr>
          <w:rFonts w:hint="eastAsia" w:ascii="仿宋" w:hAnsi="仿宋" w:eastAsia="仿宋" w:cs="仿宋"/>
          <w:sz w:val="28"/>
          <w:szCs w:val="28"/>
        </w:rPr>
        <w:t xml:space="preserve">有权将我单位本项目的《开标一览表》和《分项价格表》予以公示，公示的方式由</w:t>
      </w:r>
      <w:r>
        <w:rPr>
          <w:rFonts w:hint="eastAsia" w:ascii="仿宋" w:hAnsi="仿宋" w:eastAsia="仿宋" w:cs="仿宋"/>
          <w:sz w:val="28"/>
          <w:szCs w:val="28"/>
          <w:lang w:eastAsia="zh-CN"/>
        </w:rPr>
        <w:t xml:space="preserve">江苏家淼招标代理有限公司</w:t>
      </w:r>
      <w:r>
        <w:rPr>
          <w:rFonts w:hint="eastAsia" w:ascii="仿宋" w:hAnsi="仿宋" w:eastAsia="仿宋" w:cs="仿宋"/>
          <w:sz w:val="28"/>
          <w:szCs w:val="28"/>
        </w:rPr>
        <w:t xml:space="preserve">确定。</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 与本投标有关的一切正式往来信函请寄：</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地址：                    </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电话：                 </w:t>
      </w:r>
      <w:r/>
    </w:p>
    <w:p>
      <w:pPr>
        <w:ind w:firstLine="38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p>
    <w:p>
      <w:pPr>
        <w:ind w:firstLine="50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both"/>
        <w:spacing w:line="48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center"/>
        <w:spacing w:line="480" w:lineRule="exact"/>
        <w:rPr>
          <w:rFonts w:hint="eastAsia" w:ascii="仿宋" w:hAnsi="仿宋" w:eastAsia="仿宋" w:cs="仿宋"/>
          <w:b/>
          <w:bCs/>
          <w:sz w:val="32"/>
          <w:szCs w:val="32"/>
        </w:rPr>
      </w:pPr>
      <w:r>
        <w:rPr>
          <w:rFonts w:hint="eastAsia" w:ascii="仿宋" w:hAnsi="仿宋" w:eastAsia="仿宋" w:cs="仿宋"/>
          <w:b/>
          <w:bCs/>
          <w:color w:val="000000"/>
          <w:sz w:val="32"/>
          <w:szCs w:val="32"/>
          <w:highlight w:val="none"/>
        </w:rPr>
        <w:t xml:space="preserve"> </w:t>
      </w:r>
      <w:r>
        <w:rPr>
          <w:rFonts w:hint="eastAsia" w:ascii="仿宋" w:hAnsi="仿宋" w:eastAsia="仿宋" w:cs="仿宋"/>
          <w:b/>
          <w:bCs/>
          <w:sz w:val="32"/>
          <w:szCs w:val="32"/>
        </w:rPr>
        <w:t xml:space="preserve">二、开标一览表</w:t>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spacing w:line="520" w:lineRule="exact"/>
        <w:rPr>
          <w:rFonts w:hint="eastAsia" w:ascii="仿宋" w:hAnsi="仿宋" w:eastAsia="仿宋" w:cs="仿宋"/>
          <w:sz w:val="28"/>
          <w:szCs w:val="28"/>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2024年铜山区粮食绿色高产高效丰产片建设</w:t>
      </w:r>
      <w:r/>
    </w:p>
    <w:p>
      <w:pPr>
        <w:spacing w:line="360" w:lineRule="auto"/>
        <w:rPr>
          <w:rFonts w:hint="eastAsia" w:ascii="仿宋" w:hAnsi="仿宋" w:eastAsia="仿宋" w:cs="仿宋"/>
          <w:b/>
          <w:bCs/>
          <w:sz w:val="28"/>
          <w:szCs w:val="28"/>
          <w:u w:val="none"/>
        </w:rPr>
      </w:pPr>
      <w:r>
        <w:rPr>
          <w:rFonts w:hint="eastAsia" w:ascii="仿宋" w:hAnsi="仿宋" w:eastAsia="仿宋" w:cs="仿宋"/>
          <w:color w:val="000000"/>
          <w:sz w:val="28"/>
          <w:szCs w:val="28"/>
          <w:u w:val="none"/>
          <w:lang w:eastAsia="zh-CN"/>
        </w:rPr>
        <w:t xml:space="preserve">项目编号：JSZC-320312-JSJM-G2024-0007</w:t>
      </w:r>
      <w:r/>
    </w:p>
    <w:p>
      <w:pPr>
        <w:ind w:firstLine="6720"/>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货币单位：人民币元</w:t>
      </w:r>
      <w:r/>
    </w:p>
    <w:tbl>
      <w:tblPr>
        <w:tblStyle w:val="71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60"/>
        <w:gridCol w:w="2836"/>
        <w:gridCol w:w="2934"/>
      </w:tblGrid>
      <w:tr>
        <w:trPr>
          <w:cantSplit/>
          <w:jc w:val="center"/>
          <w:trHeight w:val="1163"/>
        </w:trPr>
        <w:tc>
          <w:tcPr>
            <w:tcW w:w="366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283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项目内容</w:t>
            </w:r>
            <w:r/>
          </w:p>
        </w:tc>
        <w:tc>
          <w:tcPr>
            <w:tcW w:w="293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价（小写）</w:t>
            </w:r>
            <w:r/>
          </w:p>
        </w:tc>
      </w:tr>
      <w:tr>
        <w:trPr>
          <w:cantSplit/>
          <w:jc w:val="center"/>
          <w:trHeight w:val="1214"/>
        </w:trPr>
        <w:tc>
          <w:tcPr>
            <w:tcW w:w="366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color w:val="000000"/>
                <w:sz w:val="28"/>
                <w:szCs w:val="28"/>
                <w:u w:val="none"/>
                <w:lang w:eastAsia="zh-CN"/>
              </w:rPr>
              <w:t xml:space="preserve">2024年铜山区粮食绿色高产高效丰产片建设</w:t>
            </w:r>
            <w:r/>
          </w:p>
        </w:tc>
        <w:tc>
          <w:tcPr>
            <w:tcW w:w="283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详见投标文件</w:t>
            </w:r>
            <w:r/>
          </w:p>
        </w:tc>
        <w:tc>
          <w:tcPr>
            <w:tcW w:w="293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1452"/>
        </w:trPr>
        <w:tc>
          <w:tcPr>
            <w:tcW w:w="366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价（大写）：</w:t>
            </w:r>
            <w:r/>
          </w:p>
        </w:tc>
        <w:tc>
          <w:tcPr>
            <w:gridSpan w:val="2"/>
            <w:tcW w:w="577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bl>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392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2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392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ascii="宋体" w:hAnsi="宋体"/>
          <w:sz w:val="24"/>
          <w:szCs w:val="24"/>
        </w:rPr>
      </w:pPr>
      <w:r>
        <w:rPr>
          <w:rFonts w:ascii="宋体" w:hAnsi="宋体"/>
          <w:sz w:val="24"/>
          <w:szCs w:val="24"/>
        </w:rPr>
      </w:r>
      <w:r/>
    </w:p>
    <w:p>
      <w:pPr>
        <w:pStyle w:val="892"/>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92"/>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92"/>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892"/>
        <w:rPr>
          <w:rFonts w:ascii="宋体" w:hAnsi="宋体"/>
          <w:sz w:val="24"/>
          <w:szCs w:val="24"/>
        </w:rPr>
      </w:pPr>
      <w:r>
        <w:rPr>
          <w:rFonts w:ascii="宋体" w:hAnsi="宋体"/>
          <w:sz w:val="24"/>
          <w:szCs w:val="24"/>
        </w:rPr>
      </w:r>
      <w:r/>
    </w:p>
    <w:p>
      <w:pPr>
        <w:jc w:val="both"/>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项目编号：JSZC-320312-JSJM-G2024-0007</w:t>
      </w:r>
      <w:r/>
    </w:p>
    <w:p>
      <w:pPr>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2024年铜山区粮食绿色高产高效丰产片建设</w:t>
      </w:r>
      <w:r/>
    </w:p>
    <w:p>
      <w:pPr>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货币单位：人民币元</w:t>
      </w:r>
      <w:r/>
    </w:p>
    <w:p>
      <w:pPr>
        <w:ind w:firstLine="312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Style w:val="711"/>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p>
    <w:p>
      <w:pPr>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03"/>
        <w:rPr>
          <w:rFonts w:hint="eastAsia" w:ascii="仿宋" w:hAnsi="仿宋" w:eastAsia="仿宋" w:cs="仿宋"/>
          <w:color w:val="000000"/>
          <w:highlight w:val="none"/>
        </w:rPr>
      </w:pPr>
      <w:r>
        <w:rPr>
          <w:rFonts w:hint="eastAsia" w:ascii="仿宋" w:hAnsi="仿宋" w:eastAsia="仿宋" w:cs="仿宋"/>
          <w:color w:val="000000"/>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b/>
          <w:bCs/>
          <w:sz w:val="28"/>
          <w:szCs w:val="28"/>
        </w:rPr>
      </w:pPr>
      <w:r>
        <w:rPr>
          <w:rFonts w:hint="eastAsia" w:ascii="仿宋" w:hAnsi="仿宋" w:eastAsia="仿宋" w:cs="仿宋"/>
          <w:b/>
          <w:bCs/>
          <w:sz w:val="28"/>
          <w:szCs w:val="28"/>
        </w:rPr>
        <w:br w:type="page" w:clear="all"/>
      </w:r>
      <w:r/>
    </w:p>
    <w:p>
      <w:pPr>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四、偏离表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highlight w:val="none"/>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2024年铜山区粮食绿色高产高效丰产片建设</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项目编号：JSZC-320312-JSJM-G2024-0007</w:t>
      </w:r>
      <w:r>
        <w:rPr>
          <w:rFonts w:hint="eastAsia" w:ascii="仿宋" w:hAnsi="仿宋" w:eastAsia="仿宋" w:cs="仿宋"/>
          <w:color w:val="000000"/>
          <w:sz w:val="28"/>
          <w:szCs w:val="28"/>
          <w:lang w:val="en-US" w:eastAsia="zh-CN"/>
        </w:rPr>
        <w:t xml:space="preserve"> </w:t>
      </w:r>
      <w:r/>
    </w:p>
    <w:tbl>
      <w:tblPr>
        <w:tblStyle w:val="711"/>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p>
        </w:tc>
        <w:tc>
          <w:tcPr>
            <w:tcW w:w="1404"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p>
        </w:tc>
        <w:tc>
          <w:tcPr>
            <w:tcW w:w="1476"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p>
        </w:tc>
        <w:tc>
          <w:tcPr>
            <w:tcW w:w="162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p>
        </w:tc>
        <w:tc>
          <w:tcPr>
            <w:tcW w:w="126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p>
        </w:tc>
        <w:tc>
          <w:tcPr>
            <w:tcW w:w="252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u w:val="single"/>
        </w:rPr>
      </w:pPr>
      <w:r>
        <w:rPr>
          <w:rFonts w:hint="eastAsia" w:ascii="仿宋" w:hAnsi="仿宋" w:eastAsia="仿宋" w:cs="仿宋"/>
          <w:sz w:val="28"/>
          <w:szCs w:val="28"/>
          <w:u w:val="single"/>
        </w:rPr>
      </w:r>
      <w:r/>
    </w:p>
    <w:p>
      <w:pPr>
        <w:ind w:firstLine="482"/>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仿宋" w:hAnsi="仿宋" w:eastAsia="仿宋" w:cs="仿宋"/>
          <w:sz w:val="28"/>
          <w:szCs w:val="28"/>
        </w:rPr>
      </w:pPr>
      <w:r>
        <w:rPr>
          <w:rFonts w:hint="eastAsia" w:ascii="仿宋" w:hAnsi="仿宋" w:eastAsia="仿宋" w:cs="仿宋"/>
          <w:sz w:val="28"/>
          <w:szCs w:val="28"/>
        </w:rPr>
      </w:r>
      <w:r/>
    </w:p>
    <w:p>
      <w:pPr>
        <w:ind w:firstLine="22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6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920"/>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五、授权委托书格式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2024年铜山区粮食绿色高产高效丰产片建设</w:t>
      </w:r>
      <w:r>
        <w:rPr>
          <w:rFonts w:hint="eastAsia" w:ascii="仿宋" w:hAnsi="仿宋" w:eastAsia="仿宋" w:cs="仿宋"/>
          <w:color w:val="000000"/>
          <w:sz w:val="30"/>
          <w:highlight w:val="none"/>
        </w:rPr>
        <w:t xml:space="preserve">）项目（</w:t>
      </w:r>
      <w:r>
        <w:rPr>
          <w:rFonts w:hint="eastAsia" w:ascii="仿宋" w:hAnsi="仿宋" w:eastAsia="仿宋" w:cs="仿宋"/>
          <w:color w:val="000000"/>
          <w:sz w:val="30"/>
          <w:highlight w:val="none"/>
          <w:lang w:eastAsia="zh-CN"/>
        </w:rPr>
        <w:t xml:space="preserve">项目编号：JSZC-320312-JSJM-G2024-0007</w:t>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p>
    <w:p>
      <w:pPr>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p>
    <w:p>
      <w:pP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p>
    <w:p>
      <w:pPr>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p>
    <w:p>
      <w:pPr>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p>
    <w:p>
      <w:pPr>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p>
    <w:p>
      <w:pPr>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918"/>
        <w:ind w:firstLine="602"/>
        <w:jc w:val="center"/>
        <w:spacing w:before="100" w:beforeAutospacing="1" w:after="100" w:afterAutospacing="1" w:line="48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p>
    <w:p>
      <w:pPr>
        <w:pStyle w:val="922"/>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2024年铜山区粮食绿色高产高效丰产片建设</w:t>
      </w:r>
      <w:r/>
    </w:p>
    <w:p>
      <w:pPr>
        <w:spacing w:line="360" w:lineRule="auto"/>
        <w:rPr>
          <w:rFonts w:hint="eastAsia" w:ascii="仿宋" w:hAnsi="仿宋" w:eastAsia="仿宋" w:cs="仿宋"/>
          <w:color w:val="ff0000"/>
          <w:sz w:val="28"/>
          <w:szCs w:val="28"/>
          <w:lang w:eastAsia="zh-CN"/>
        </w:rPr>
      </w:pPr>
      <w:r>
        <w:rPr>
          <w:rFonts w:hint="eastAsia" w:ascii="仿宋" w:hAnsi="仿宋" w:eastAsia="仿宋" w:cs="仿宋"/>
          <w:spacing w:val="6"/>
          <w:sz w:val="28"/>
          <w:szCs w:val="28"/>
          <w:lang w:eastAsia="zh-CN"/>
        </w:rPr>
        <w:t xml:space="preserve">项目编号：JSZC-320312-JSJM-G2024-0007</w:t>
      </w:r>
      <w:r/>
    </w:p>
    <w:p>
      <w:pPr>
        <w:pStyle w:val="918"/>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采购活动，提供的货物全部由符合政策要求的中小企业制造。相关企业的具体情况如下</w:t>
      </w:r>
      <w:r/>
    </w:p>
    <w:p>
      <w:pPr>
        <w:pStyle w:val="918"/>
        <w:numPr>
          <w:ilvl w:val="0"/>
          <w:numId w:val="3"/>
        </w:numPr>
        <w:ind w:firstLine="560"/>
        <w:jc w:val="left"/>
        <w:spacing w:line="480" w:lineRule="exact"/>
        <w:rPr>
          <w:rFonts w:hint="eastAsia" w:ascii="仿宋" w:hAnsi="仿宋" w:eastAsia="仿宋" w:cs="仿宋"/>
          <w:bCs/>
          <w:sz w:val="28"/>
          <w:szCs w:val="28"/>
        </w:rPr>
      </w:pP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918"/>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pStyle w:val="918"/>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pStyle w:val="918"/>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8"/>
        <w:ind w:firstLine="3513"/>
        <w:spacing w:line="480" w:lineRule="exact"/>
        <w:rPr>
          <w:rFonts w:hint="eastAsia" w:ascii="仿宋" w:hAnsi="仿宋" w:eastAsia="仿宋" w:cs="仿宋"/>
          <w:sz w:val="28"/>
          <w:szCs w:val="28"/>
        </w:rPr>
      </w:pPr>
      <w:r>
        <w:rPr>
          <w:rFonts w:hint="eastAsia" w:ascii="仿宋" w:hAnsi="仿宋" w:eastAsia="仿宋" w:cs="仿宋"/>
          <w:sz w:val="28"/>
          <w:szCs w:val="28"/>
        </w:rPr>
        <w:t xml:space="preserve">企业名称（电子签章）：</w:t>
      </w:r>
      <w:r/>
    </w:p>
    <w:p>
      <w:pPr>
        <w:pStyle w:val="918"/>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日期：</w:t>
      </w:r>
      <w:r/>
    </w:p>
    <w:p>
      <w:pPr>
        <w:pStyle w:val="918"/>
        <w:ind w:firstLine="560"/>
        <w:spacing w:line="480" w:lineRule="exact"/>
        <w:tabs>
          <w:tab w:val="left" w:pos="8188" w:leader="none"/>
        </w:tabs>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注：</w:t>
      </w:r>
      <w:r>
        <w:rPr>
          <w:rFonts w:hint="eastAsia" w:ascii="仿宋" w:hAnsi="仿宋" w:eastAsia="仿宋" w:cs="仿宋"/>
          <w:b/>
          <w:sz w:val="28"/>
          <w:szCs w:val="28"/>
        </w:rPr>
        <w:t xml:space="preserve">本项目采购项目属性为：</w:t>
      </w:r>
      <w:r>
        <w:rPr>
          <w:rFonts w:hint="eastAsia" w:ascii="仿宋" w:hAnsi="仿宋" w:eastAsia="仿宋" w:cs="仿宋"/>
          <w:b/>
          <w:bCs/>
          <w:i w:val="0"/>
          <w:iCs w:val="0"/>
          <w:caps w:val="0"/>
          <w:spacing w:val="0"/>
          <w:sz w:val="28"/>
          <w:szCs w:val="28"/>
          <w:u w:val="single"/>
          <w:shd w:val="clear" w:color="auto" w:fill="fafafa"/>
          <w:lang w:eastAsia="zh-CN"/>
        </w:rPr>
        <w:t xml:space="preserve">工业</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lang w:val="en-US" w:eastAsia="zh-CN"/>
        </w:rPr>
        <w:tab/>
      </w:r>
      <w:r/>
    </w:p>
    <w:p>
      <w:pPr>
        <w:pStyle w:val="918"/>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备注：</w:t>
      </w:r>
      <w:r/>
    </w:p>
    <w:p>
      <w:pPr>
        <w:pStyle w:val="918"/>
        <w:ind w:firstLine="562"/>
        <w:spacing w:line="480" w:lineRule="exact"/>
        <w:rPr>
          <w:rFonts w:hint="eastAsia" w:ascii="仿宋" w:hAnsi="仿宋" w:eastAsia="仿宋" w:cs="仿宋"/>
          <w:sz w:val="28"/>
          <w:szCs w:val="28"/>
        </w:rPr>
      </w:pPr>
      <w:r>
        <w:rPr>
          <w:rFonts w:hint="eastAsia" w:ascii="仿宋" w:hAnsi="仿宋" w:eastAsia="仿宋" w:cs="仿宋"/>
          <w:b/>
          <w:sz w:val="28"/>
          <w:szCs w:val="28"/>
        </w:rPr>
        <w:t xml:space="preserve">1、从业人员、营业收入、资产总额填报上一年度数据，无上一年度数据的新成立企业可不填报。</w:t>
      </w:r>
      <w:r/>
    </w:p>
    <w:p>
      <w:pPr>
        <w:pStyle w:val="918"/>
        <w:ind w:firstLine="562"/>
        <w:spacing w:line="480" w:lineRule="exact"/>
        <w:rPr>
          <w:rFonts w:hint="eastAsia" w:ascii="仿宋" w:hAnsi="仿宋" w:eastAsia="仿宋" w:cs="仿宋"/>
          <w:b/>
          <w:bCs/>
          <w:sz w:val="28"/>
          <w:szCs w:val="28"/>
          <w:lang w:val="en-US" w:eastAsia="zh-CN"/>
        </w:rPr>
      </w:pPr>
      <w:r>
        <w:rPr>
          <w:rFonts w:hint="eastAsia" w:ascii="仿宋" w:hAnsi="仿宋" w:eastAsia="仿宋" w:cs="仿宋"/>
          <w:b/>
          <w:bCs w:val="0"/>
          <w:sz w:val="28"/>
          <w:szCs w:val="28"/>
        </w:rPr>
        <w:t xml:space="preserve">2、中小企业声明</w:t>
      </w:r>
      <w:r>
        <w:rPr>
          <w:rFonts w:hint="eastAsia" w:ascii="仿宋" w:hAnsi="仿宋" w:eastAsia="仿宋" w:cs="仿宋"/>
          <w:b/>
          <w:bCs w:val="0"/>
          <w:sz w:val="28"/>
          <w:szCs w:val="28"/>
          <w:lang w:eastAsia="zh-CN"/>
        </w:rPr>
        <w:t xml:space="preserve">函</w:t>
      </w:r>
      <w:r>
        <w:rPr>
          <w:rFonts w:hint="eastAsia" w:ascii="仿宋" w:hAnsi="仿宋" w:eastAsia="仿宋" w:cs="仿宋"/>
          <w:b/>
          <w:bCs w:val="0"/>
          <w:sz w:val="28"/>
          <w:szCs w:val="28"/>
        </w:rPr>
        <w:t xml:space="preserve">查询渠道用微信搜索“中小企业规模类型自测小程序”</w:t>
      </w:r>
      <w:r>
        <w:rPr>
          <w:rFonts w:hint="eastAsia" w:ascii="仿宋" w:hAnsi="仿宋" w:eastAsia="仿宋" w:cs="仿宋"/>
          <w:b/>
          <w:bCs w:val="0"/>
          <w:sz w:val="28"/>
          <w:szCs w:val="28"/>
          <w:lang w:eastAsia="zh-CN"/>
        </w:rPr>
        <w:t xml:space="preserve">，</w:t>
      </w:r>
      <w:r>
        <w:rPr>
          <w:rFonts w:hint="eastAsia" w:ascii="仿宋" w:hAnsi="仿宋" w:eastAsia="仿宋" w:cs="仿宋"/>
          <w:b/>
          <w:bCs/>
          <w:color w:val="000000"/>
          <w:sz w:val="28"/>
          <w:szCs w:val="28"/>
        </w:rPr>
        <w:t xml:space="preserve">测试者可按照小程序填写测试企业有关信息并完成自测后，保存自测结果自行打印。</w:t>
      </w:r>
      <w:r/>
    </w:p>
    <w:p>
      <w:pPr>
        <w:pStyle w:val="918"/>
        <w:rPr>
          <w:rFonts w:ascii="宋体" w:hAnsi="宋体"/>
          <w:sz w:val="24"/>
        </w:rPr>
      </w:pPr>
      <w:r>
        <w:rPr>
          <w:rFonts w:ascii="宋体" w:hAnsi="宋体"/>
        </w:rPr>
        <w:t xml:space="preserve">                          </w:t>
      </w:r>
      <w:r/>
    </w:p>
    <w:p>
      <w:pPr>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03"/>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03"/>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0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03"/>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rPr>
      </w:pPr>
      <w:r>
        <w:rPr>
          <w:rFonts w:hint="eastAsia"/>
        </w:rPr>
      </w:r>
      <w:r/>
    </w:p>
    <w:p>
      <w:pPr>
        <w:jc w:val="center"/>
        <w:spacing w:line="480" w:lineRule="exact"/>
        <w:rPr>
          <w:rFonts w:hint="eastAsia" w:ascii="仿宋" w:hAnsi="仿宋" w:eastAsia="仿宋" w:cs="仿宋"/>
          <w:b/>
          <w:bCs/>
          <w:spacing w:val="6"/>
          <w:sz w:val="28"/>
          <w:szCs w:val="28"/>
        </w:rPr>
      </w:pPr>
      <w:r>
        <w:rPr>
          <w:rFonts w:hint="eastAsia" w:ascii="仿宋" w:hAnsi="仿宋" w:eastAsia="仿宋" w:cs="仿宋"/>
          <w:b/>
          <w:bCs/>
          <w:sz w:val="28"/>
          <w:szCs w:val="28"/>
        </w:rPr>
        <w:t xml:space="preserve">七、残疾人福利性单位声明函</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22"/>
        <w:rPr>
          <w:rFonts w:hint="eastAsia" w:ascii="仿宋" w:hAnsi="仿宋" w:eastAsia="仿宋" w:cs="仿宋"/>
          <w:spacing w:val="6"/>
          <w:sz w:val="28"/>
          <w:szCs w:val="28"/>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2024年铜山区粮食绿色高产高效丰产片建设</w:t>
      </w:r>
      <w:r/>
    </w:p>
    <w:p>
      <w:pPr>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lang w:eastAsia="zh-CN"/>
        </w:rPr>
        <w:t xml:space="preserve">项目编号：JSZC-320312-JSJM-G2024-0007</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 141</w:t>
      </w:r>
      <w:r>
        <w:rPr>
          <w:rFonts w:hint="eastAsia" w:ascii="仿宋" w:hAnsi="仿宋" w:eastAsia="仿宋" w:cs="仿宋"/>
          <w:spacing w:val="6"/>
          <w:sz w:val="28"/>
          <w:szCs w:val="28"/>
        </w:rPr>
        <w:t xml:space="preserve">号）的规定，本单位为符合条件的残疾人福利性单位，本单位参加</w:t>
      </w:r>
      <w:r>
        <w:rPr>
          <w:rFonts w:hint="eastAsia" w:ascii="仿宋" w:hAnsi="仿宋" w:eastAsia="仿宋" w:cs="仿宋"/>
          <w:sz w:val="28"/>
          <w:szCs w:val="28"/>
          <w:u w:val="single"/>
          <w:lang w:eastAsia="zh-CN"/>
        </w:rPr>
        <w:t xml:space="preserve">徐州市铜山区农业农村局（机关）的</w:t>
      </w:r>
      <w:r>
        <w:rPr>
          <w:rFonts w:hint="eastAsia" w:ascii="仿宋" w:hAnsi="仿宋" w:eastAsia="仿宋" w:cs="仿宋"/>
          <w:color w:val="000000"/>
          <w:sz w:val="28"/>
          <w:szCs w:val="28"/>
          <w:u w:val="single"/>
          <w:lang w:eastAsia="zh-CN"/>
        </w:rPr>
        <w:t xml:space="preserve">2024年铜山区粮食绿色高产高效丰产片建设</w:t>
      </w:r>
      <w:r>
        <w:rPr>
          <w:rFonts w:hint="eastAsia" w:ascii="仿宋" w:hAnsi="仿宋" w:eastAsia="仿宋" w:cs="仿宋"/>
          <w:spacing w:val="6"/>
          <w:sz w:val="28"/>
          <w:szCs w:val="28"/>
        </w:rPr>
        <w:t xml:space="preserve">的服务由本单位承担。</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本单位对上述声明的真实性负责。如有虚假，将依法承担相应责任。</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b/>
          <w:bCs/>
          <w:sz w:val="28"/>
          <w:szCs w:val="28"/>
        </w:rPr>
      </w:pPr>
      <w:r>
        <w:rPr>
          <w:rFonts w:hint="eastAsia" w:ascii="仿宋" w:hAnsi="仿宋" w:eastAsia="仿宋" w:cs="仿宋"/>
          <w:b/>
          <w:bCs/>
          <w:sz w:val="28"/>
          <w:szCs w:val="28"/>
        </w:rPr>
        <w:br w:type="page" w:clear="all"/>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徐州市铜山区农业农村局（机关）2024年铜山区粮食绿色高产高效丰产片建设</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项目编号：JSZC-320312-JSJM-G2024-0007</w:t>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3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6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九、具备履行合同所必需的设备和专业技术能力的书面声明（附证明材料扫描件）</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22"/>
        <w:ind w:firstLine="560"/>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2024年铜山区粮食绿色高产高效丰产片建设</w:t>
      </w:r>
      <w:r>
        <w:rPr>
          <w:rFonts w:hint="eastAsia" w:ascii="仿宋" w:hAnsi="仿宋" w:eastAsia="仿宋" w:cs="仿宋"/>
          <w:color w:val="000000"/>
          <w:sz w:val="28"/>
          <w:szCs w:val="28"/>
        </w:rPr>
        <w:t xml:space="preserve"> </w:t>
      </w:r>
      <w:r/>
    </w:p>
    <w:p>
      <w:pPr>
        <w:ind w:firstLine="480"/>
        <w:spacing w:line="36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color w:val="000000"/>
          <w:sz w:val="28"/>
          <w:szCs w:val="28"/>
          <w:lang w:eastAsia="zh-CN"/>
        </w:rPr>
        <w:t xml:space="preserve">项目编号：JSZC-320312-JSJM-G2024-0007</w:t>
      </w:r>
      <w:r/>
    </w:p>
    <w:p>
      <w:pPr>
        <w:pStyle w:val="922"/>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2024年铜山区粮食绿色高产高效丰产片建设</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项目编号：JSZC-320312-JSJM-G2024-0007）</w:t>
      </w:r>
      <w:r>
        <w:rPr>
          <w:rFonts w:hint="eastAsia" w:ascii="仿宋" w:hAnsi="仿宋" w:eastAsia="仿宋" w:cs="仿宋"/>
          <w:sz w:val="28"/>
          <w:szCs w:val="28"/>
        </w:rPr>
        <w:t xml:space="preserve">所必需的设备和专业技术能力，具体为：</w:t>
      </w:r>
      <w:r/>
    </w:p>
    <w:p>
      <w:pPr>
        <w:pStyle w:val="918"/>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8"/>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8"/>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8"/>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p>
    <w:p>
      <w:pPr>
        <w:pStyle w:val="918"/>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pStyle w:val="923"/>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p>
    <w:p>
      <w:pPr>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投标人授权代表：（签字）</w:t>
      </w:r>
      <w:r/>
    </w:p>
    <w:p>
      <w:pPr>
        <w:ind w:firstLine="312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t xml:space="preserve">十、预付款保函支付条款</w:t>
      </w:r>
      <w:r/>
    </w:p>
    <w:p>
      <w:pPr>
        <w:ind w:firstLine="484"/>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p>
    <w:p>
      <w:pPr>
        <w:pStyle w:val="889"/>
        <w:ind w:firstLine="560"/>
        <w:spacing w:line="48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p>
    <w:p>
      <w:pPr>
        <w:pStyle w:val="891"/>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Courier New">
    <w:panose1 w:val="02070309020205020404"/>
  </w:font>
  <w:font w:name="仿宋_GB2312">
    <w:panose1 w:val="02010609060101010101"/>
  </w:font>
  <w:font w:name="黑体">
    <w:panose1 w:val="02010609060101010101"/>
  </w:font>
  <w:font w:name="Verdana">
    <w:panose1 w:val="020B0604030504040204"/>
  </w:font>
  <w:font w:name="Calibri">
    <w:panose1 w:val="020F0502020204030204"/>
  </w:font>
  <w:font w:name="Cambria">
    <w:panose1 w:val="02040503050406030204"/>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9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1">
    <w:name w:val="Heading 1"/>
    <w:basedOn w:val="700"/>
    <w:next w:val="700"/>
    <w:link w:val="733"/>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34"/>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35"/>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36"/>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37"/>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38"/>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40"/>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41"/>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right="0" w:firstLine="0"/>
      <w:spacing w:after="57"/>
    </w:pPr>
  </w:style>
  <w:style w:type="paragraph" w:styleId="713">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toc 5"/>
    <w:basedOn w:val="700"/>
    <w:next w:val="700"/>
    <w:uiPriority w:val="39"/>
    <w:unhideWhenUsed/>
    <w:qFormat/>
    <w:pPr>
      <w:ind w:left="1134" w:right="0" w:firstLine="0"/>
      <w:spacing w:after="57"/>
    </w:pPr>
  </w:style>
  <w:style w:type="paragraph" w:styleId="715">
    <w:name w:val="toc 3"/>
    <w:basedOn w:val="700"/>
    <w:next w:val="700"/>
    <w:uiPriority w:val="39"/>
    <w:unhideWhenUsed/>
    <w:qFormat/>
    <w:pPr>
      <w:ind w:left="567" w:right="0" w:firstLine="0"/>
      <w:spacing w:after="57"/>
    </w:pPr>
  </w:style>
  <w:style w:type="paragraph" w:styleId="716">
    <w:name w:val="toc 8"/>
    <w:basedOn w:val="700"/>
    <w:next w:val="700"/>
    <w:uiPriority w:val="39"/>
    <w:unhideWhenUsed/>
    <w:pPr>
      <w:ind w:left="1984" w:right="0" w:firstLine="0"/>
      <w:spacing w:after="57"/>
    </w:pPr>
  </w:style>
  <w:style w:type="paragraph" w:styleId="717">
    <w:name w:val="endnote text"/>
    <w:basedOn w:val="700"/>
    <w:link w:val="879"/>
    <w:uiPriority w:val="99"/>
    <w:semiHidden/>
    <w:unhideWhenUsed/>
    <w:qFormat/>
    <w:pPr>
      <w:spacing w:after="0" w:line="240" w:lineRule="auto"/>
    </w:pPr>
    <w:rPr>
      <w:sz w:val="20"/>
    </w:rPr>
  </w:style>
  <w:style w:type="paragraph" w:styleId="718">
    <w:name w:val="Footer"/>
    <w:basedOn w:val="700"/>
    <w:link w:val="752"/>
    <w:uiPriority w:val="99"/>
    <w:unhideWhenUsed/>
    <w:pPr>
      <w:spacing w:after="0" w:line="240" w:lineRule="auto"/>
      <w:tabs>
        <w:tab w:val="center" w:pos="7143" w:leader="none"/>
        <w:tab w:val="right" w:pos="14287" w:leader="none"/>
      </w:tabs>
    </w:pPr>
  </w:style>
  <w:style w:type="paragraph" w:styleId="719">
    <w:name w:val="Header"/>
    <w:basedOn w:val="700"/>
    <w:link w:val="750"/>
    <w:uiPriority w:val="99"/>
    <w:unhideWhenUsed/>
    <w:pPr>
      <w:spacing w:after="0" w:line="240" w:lineRule="auto"/>
      <w:tabs>
        <w:tab w:val="center" w:pos="7143" w:leader="none"/>
        <w:tab w:val="right" w:pos="14287" w:leader="none"/>
      </w:tabs>
    </w:pPr>
  </w:style>
  <w:style w:type="paragraph" w:styleId="720">
    <w:name w:val="toc 1"/>
    <w:basedOn w:val="700"/>
    <w:next w:val="700"/>
    <w:uiPriority w:val="39"/>
    <w:unhideWhenUsed/>
    <w:pPr>
      <w:ind w:left="0" w:right="0" w:firstLine="0"/>
      <w:spacing w:after="57"/>
    </w:pPr>
  </w:style>
  <w:style w:type="paragraph" w:styleId="721">
    <w:name w:val="toc 4"/>
    <w:basedOn w:val="700"/>
    <w:next w:val="700"/>
    <w:uiPriority w:val="39"/>
    <w:unhideWhenUsed/>
    <w:pPr>
      <w:ind w:left="850" w:right="0" w:firstLine="0"/>
      <w:spacing w:after="57"/>
    </w:pPr>
  </w:style>
  <w:style w:type="paragraph" w:styleId="722">
    <w:name w:val="Subtitle"/>
    <w:basedOn w:val="700"/>
    <w:next w:val="700"/>
    <w:link w:val="745"/>
    <w:uiPriority w:val="11"/>
    <w:qFormat/>
    <w:pPr>
      <w:spacing w:before="200" w:after="200"/>
    </w:pPr>
    <w:rPr>
      <w:sz w:val="24"/>
      <w:szCs w:val="24"/>
    </w:rPr>
  </w:style>
  <w:style w:type="paragraph" w:styleId="723">
    <w:name w:val="footnote text"/>
    <w:basedOn w:val="700"/>
    <w:link w:val="878"/>
    <w:uiPriority w:val="99"/>
    <w:semiHidden/>
    <w:unhideWhenUsed/>
    <w:qFormat/>
    <w:pPr>
      <w:spacing w:after="40" w:line="240" w:lineRule="auto"/>
    </w:pPr>
    <w:rPr>
      <w:sz w:val="18"/>
    </w:rPr>
  </w:style>
  <w:style w:type="paragraph" w:styleId="724">
    <w:name w:val="toc 6"/>
    <w:basedOn w:val="700"/>
    <w:next w:val="700"/>
    <w:uiPriority w:val="39"/>
    <w:unhideWhenUsed/>
    <w:qFormat/>
    <w:pPr>
      <w:ind w:left="1417" w:right="0" w:firstLine="0"/>
      <w:spacing w:after="57"/>
    </w:pPr>
  </w:style>
  <w:style w:type="paragraph" w:styleId="725">
    <w:name w:val="table of figures"/>
    <w:basedOn w:val="700"/>
    <w:next w:val="700"/>
    <w:uiPriority w:val="99"/>
    <w:unhideWhenUsed/>
    <w:qFormat/>
    <w:pPr>
      <w:spacing w:after="0" w:afterAutospacing="0"/>
    </w:pPr>
  </w:style>
  <w:style w:type="paragraph" w:styleId="726">
    <w:name w:val="toc 2"/>
    <w:basedOn w:val="700"/>
    <w:next w:val="700"/>
    <w:uiPriority w:val="39"/>
    <w:unhideWhenUsed/>
    <w:qFormat/>
    <w:pPr>
      <w:ind w:left="283" w:right="0" w:firstLine="0"/>
      <w:spacing w:after="57"/>
    </w:pPr>
  </w:style>
  <w:style w:type="paragraph" w:styleId="727">
    <w:name w:val="toc 9"/>
    <w:basedOn w:val="700"/>
    <w:next w:val="700"/>
    <w:uiPriority w:val="39"/>
    <w:unhideWhenUsed/>
    <w:qFormat/>
    <w:pPr>
      <w:ind w:left="2268" w:right="0" w:firstLine="0"/>
      <w:spacing w:after="57"/>
    </w:pPr>
  </w:style>
  <w:style w:type="paragraph" w:styleId="728">
    <w:name w:val="Title"/>
    <w:basedOn w:val="700"/>
    <w:next w:val="700"/>
    <w:link w:val="744"/>
    <w:uiPriority w:val="10"/>
    <w:qFormat/>
    <w:pPr>
      <w:contextualSpacing/>
      <w:spacing w:before="300" w:after="200"/>
    </w:pPr>
    <w:rPr>
      <w:sz w:val="48"/>
      <w:szCs w:val="48"/>
    </w:rPr>
  </w:style>
  <w:style w:type="table" w:styleId="7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uiPriority w:val="99"/>
    <w:semiHidden/>
    <w:unhideWhenUsed/>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qFormat/>
    <w:rPr>
      <w:vertAlign w:val="superscript"/>
    </w:rPr>
  </w:style>
  <w:style w:type="character" w:styleId="733" w:customStyle="1">
    <w:name w:val="Heading 1 Char"/>
    <w:link w:val="701"/>
    <w:uiPriority w:val="9"/>
    <w:qFormat/>
    <w:rPr>
      <w:rFonts w:ascii="Arial" w:hAnsi="Arial" w:eastAsia="Arial" w:cs="Arial"/>
      <w:sz w:val="40"/>
      <w:szCs w:val="40"/>
    </w:rPr>
  </w:style>
  <w:style w:type="character" w:styleId="734" w:customStyle="1">
    <w:name w:val="Heading 2 Char"/>
    <w:link w:val="702"/>
    <w:uiPriority w:val="9"/>
    <w:qFormat/>
    <w:rPr>
      <w:rFonts w:ascii="Arial" w:hAnsi="Arial" w:eastAsia="Arial" w:cs="Arial"/>
      <w:sz w:val="34"/>
    </w:rPr>
  </w:style>
  <w:style w:type="character" w:styleId="735" w:customStyle="1">
    <w:name w:val="Heading 3 Char"/>
    <w:link w:val="703"/>
    <w:uiPriority w:val="9"/>
    <w:qFormat/>
    <w:rPr>
      <w:rFonts w:ascii="Arial" w:hAnsi="Arial" w:eastAsia="Arial" w:cs="Arial"/>
      <w:sz w:val="30"/>
      <w:szCs w:val="30"/>
    </w:rPr>
  </w:style>
  <w:style w:type="character" w:styleId="736" w:customStyle="1">
    <w:name w:val="Heading 4 Char"/>
    <w:link w:val="704"/>
    <w:uiPriority w:val="9"/>
    <w:rPr>
      <w:rFonts w:ascii="Arial" w:hAnsi="Arial" w:eastAsia="Arial" w:cs="Arial"/>
      <w:b/>
      <w:bCs/>
      <w:sz w:val="26"/>
      <w:szCs w:val="26"/>
    </w:rPr>
  </w:style>
  <w:style w:type="character" w:styleId="737" w:customStyle="1">
    <w:name w:val="Heading 5 Char"/>
    <w:link w:val="705"/>
    <w:uiPriority w:val="9"/>
    <w:qFormat/>
    <w:rPr>
      <w:rFonts w:ascii="Arial" w:hAnsi="Arial" w:eastAsia="Arial" w:cs="Arial"/>
      <w:b/>
      <w:bCs/>
      <w:sz w:val="24"/>
      <w:szCs w:val="24"/>
    </w:rPr>
  </w:style>
  <w:style w:type="character" w:styleId="738" w:customStyle="1">
    <w:name w:val="Heading 6 Char"/>
    <w:link w:val="706"/>
    <w:uiPriority w:val="9"/>
    <w:qFormat/>
    <w:rPr>
      <w:rFonts w:ascii="Arial" w:hAnsi="Arial" w:eastAsia="Arial" w:cs="Arial"/>
      <w:b/>
      <w:bCs/>
      <w:sz w:val="22"/>
      <w:szCs w:val="22"/>
    </w:rPr>
  </w:style>
  <w:style w:type="character" w:styleId="739" w:customStyle="1">
    <w:name w:val="Heading 7 Char"/>
    <w:link w:val="707"/>
    <w:uiPriority w:val="9"/>
    <w:qFormat/>
    <w:rPr>
      <w:rFonts w:ascii="Arial" w:hAnsi="Arial" w:eastAsia="Arial" w:cs="Arial"/>
      <w:b/>
      <w:bCs/>
      <w:i/>
      <w:iCs/>
      <w:sz w:val="22"/>
      <w:szCs w:val="22"/>
    </w:rPr>
  </w:style>
  <w:style w:type="character" w:styleId="740" w:customStyle="1">
    <w:name w:val="Heading 8 Char"/>
    <w:link w:val="708"/>
    <w:uiPriority w:val="9"/>
    <w:qFormat/>
    <w:rPr>
      <w:rFonts w:ascii="Arial" w:hAnsi="Arial" w:eastAsia="Arial" w:cs="Arial"/>
      <w:i/>
      <w:iCs/>
      <w:sz w:val="22"/>
      <w:szCs w:val="22"/>
    </w:rPr>
  </w:style>
  <w:style w:type="character" w:styleId="741" w:customStyle="1">
    <w:name w:val="Heading 9 Char"/>
    <w:link w:val="709"/>
    <w:uiPriority w:val="9"/>
    <w:qFormat/>
    <w:rPr>
      <w:rFonts w:ascii="Arial" w:hAnsi="Arial" w:eastAsia="Arial" w:cs="Arial"/>
      <w:i/>
      <w:iCs/>
      <w:sz w:val="21"/>
      <w:szCs w:val="21"/>
    </w:rPr>
  </w:style>
  <w:style w:type="paragraph" w:styleId="742">
    <w:name w:val="List Paragraph"/>
    <w:basedOn w:val="700"/>
    <w:uiPriority w:val="34"/>
    <w:qFormat/>
    <w:pPr>
      <w:contextualSpacing/>
      <w:ind w:left="720"/>
    </w:pPr>
  </w:style>
  <w:style w:type="paragraph" w:styleId="743">
    <w:name w:val="No Spacing"/>
    <w:uiPriority w:val="1"/>
    <w:qFormat/>
    <w:pPr>
      <w:spacing w:before="0" w:after="0" w:line="240" w:lineRule="auto"/>
    </w:pPr>
    <w:rPr>
      <w:rFonts w:hint="default" w:ascii="Times New Roman" w:hAnsi="Times New Roman" w:eastAsia="宋体" w:cs="Times New Roman"/>
    </w:rPr>
  </w:style>
  <w:style w:type="character" w:styleId="744" w:customStyle="1">
    <w:name w:val="Title Char"/>
    <w:link w:val="728"/>
    <w:uiPriority w:val="10"/>
    <w:rPr>
      <w:sz w:val="48"/>
      <w:szCs w:val="48"/>
    </w:rPr>
  </w:style>
  <w:style w:type="character" w:styleId="745" w:customStyle="1">
    <w:name w:val="Subtitle Char"/>
    <w:link w:val="722"/>
    <w:uiPriority w:val="11"/>
    <w:qFormat/>
    <w:rPr>
      <w:sz w:val="24"/>
      <w:szCs w:val="24"/>
    </w:rPr>
  </w:style>
  <w:style w:type="paragraph" w:styleId="746">
    <w:name w:val="Quote"/>
    <w:basedOn w:val="700"/>
    <w:next w:val="700"/>
    <w:link w:val="747"/>
    <w:uiPriority w:val="29"/>
    <w:qFormat/>
    <w:pPr>
      <w:ind w:left="720" w:right="720"/>
    </w:pPr>
    <w:rPr>
      <w:i/>
    </w:rPr>
  </w:style>
  <w:style w:type="character" w:styleId="747" w:customStyle="1">
    <w:name w:val="Quote Char"/>
    <w:link w:val="746"/>
    <w:uiPriority w:val="29"/>
    <w:qFormat/>
    <w:rPr>
      <w:i/>
    </w:rPr>
  </w:style>
  <w:style w:type="paragraph" w:styleId="748">
    <w:name w:val="Intense Quote"/>
    <w:basedOn w:val="700"/>
    <w:next w:val="700"/>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Intense Quote Char"/>
    <w:link w:val="748"/>
    <w:uiPriority w:val="30"/>
    <w:qFormat/>
    <w:rPr>
      <w:i/>
    </w:rPr>
  </w:style>
  <w:style w:type="character" w:styleId="750" w:customStyle="1">
    <w:name w:val="Header Char"/>
    <w:link w:val="719"/>
    <w:uiPriority w:val="99"/>
    <w:qFormat/>
  </w:style>
  <w:style w:type="character" w:styleId="751" w:customStyle="1">
    <w:name w:val="Footer Char"/>
    <w:link w:val="718"/>
    <w:uiPriority w:val="99"/>
    <w:qFormat/>
  </w:style>
  <w:style w:type="character" w:styleId="752" w:customStyle="1">
    <w:name w:val="Caption Char"/>
    <w:link w:val="718"/>
    <w:uiPriority w:val="99"/>
    <w:qFormat/>
  </w:style>
  <w:style w:type="table" w:styleId="753"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5"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8"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9"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0"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Footnote Text Char"/>
    <w:link w:val="723"/>
    <w:uiPriority w:val="99"/>
    <w:qFormat/>
    <w:rPr>
      <w:sz w:val="18"/>
    </w:rPr>
  </w:style>
  <w:style w:type="character" w:styleId="879" w:customStyle="1">
    <w:name w:val="Endnote Text Char"/>
    <w:link w:val="717"/>
    <w:uiPriority w:val="99"/>
    <w:qFormat/>
    <w:rPr>
      <w:sz w:val="20"/>
    </w:rPr>
  </w:style>
  <w:style w:type="paragraph" w:styleId="880" w:customStyle="1">
    <w:name w:val="TOC Heading"/>
    <w:uiPriority w:val="39"/>
    <w:unhideWhenUsed/>
    <w:rPr>
      <w:rFonts w:hint="default" w:ascii="Times New Roman" w:hAnsi="Times New Roman" w:eastAsia="宋体" w:cs="Times New Roman"/>
    </w:rPr>
  </w:style>
  <w:style w:type="paragraph" w:styleId="881" w:customStyle="1">
    <w:name w:val="标题 111"/>
    <w:basedOn w:val="700"/>
    <w:next w:val="700"/>
    <w:uiPriority w:val="0"/>
    <w:qFormat/>
    <w:pPr>
      <w:jc w:val="center"/>
      <w:keepLines/>
      <w:keepNext/>
      <w:spacing w:line="578" w:lineRule="auto"/>
      <w:outlineLvl w:val="0"/>
    </w:pPr>
    <w:rPr>
      <w:rFonts w:eastAsia="新宋体"/>
      <w:b/>
      <w:bCs/>
      <w:sz w:val="30"/>
      <w:szCs w:val="44"/>
    </w:rPr>
  </w:style>
  <w:style w:type="paragraph" w:styleId="882" w:customStyle="1">
    <w:name w:val="标题 211"/>
    <w:basedOn w:val="700"/>
    <w:next w:val="700"/>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883" w:customStyle="1">
    <w:name w:val="标题 31"/>
    <w:basedOn w:val="700"/>
    <w:next w:val="700"/>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884" w:customStyle="1">
    <w:name w:val="默认段落字体1"/>
    <w:link w:val="700"/>
    <w:uiPriority w:val="0"/>
    <w:semiHidden/>
    <w:qFormat/>
  </w:style>
  <w:style w:type="table" w:styleId="885" w:customStyle="1">
    <w:name w:val="普通表格111"/>
    <w:uiPriority w:val="0"/>
    <w:semiHidden/>
    <w:qFormat/>
    <w:tblPr/>
  </w:style>
  <w:style w:type="paragraph" w:styleId="886" w:customStyle="1">
    <w:name w:val="正文缩进1"/>
    <w:basedOn w:val="700"/>
    <w:uiPriority w:val="0"/>
    <w:qFormat/>
    <w:pPr>
      <w:ind w:firstLine="420"/>
    </w:pPr>
  </w:style>
  <w:style w:type="paragraph" w:styleId="887" w:customStyle="1">
    <w:name w:val="索引 511"/>
    <w:basedOn w:val="700"/>
    <w:next w:val="700"/>
    <w:uiPriority w:val="0"/>
    <w:qFormat/>
    <w:pPr>
      <w:ind w:left="798"/>
      <w:jc w:val="left"/>
    </w:pPr>
    <w:rPr>
      <w:rFonts w:ascii="Calibri" w:hAnsi="Calibri" w:eastAsia="宋体" w:cs="Times New Roman"/>
      <w:sz w:val="21"/>
      <w:szCs w:val="24"/>
    </w:rPr>
  </w:style>
  <w:style w:type="paragraph" w:styleId="888" w:customStyle="1">
    <w:name w:val="正文文本12"/>
    <w:basedOn w:val="700"/>
    <w:next w:val="700"/>
    <w:uiPriority w:val="99"/>
    <w:qFormat/>
    <w:pPr>
      <w:spacing w:after="120"/>
    </w:pPr>
    <w:rPr>
      <w:rFonts w:ascii="Calibri" w:hAnsi="Calibri"/>
    </w:rPr>
  </w:style>
  <w:style w:type="paragraph" w:styleId="889" w:customStyle="1">
    <w:name w:val="正文文本缩进12"/>
    <w:basedOn w:val="700"/>
    <w:next w:val="890"/>
    <w:uiPriority w:val="0"/>
    <w:qFormat/>
    <w:pPr>
      <w:ind w:left="420"/>
      <w:spacing w:after="120"/>
    </w:pPr>
    <w:rPr>
      <w:rFonts w:ascii="Calibri" w:hAnsi="Calibri"/>
    </w:rPr>
  </w:style>
  <w:style w:type="paragraph" w:styleId="890" w:customStyle="1">
    <w:name w:val="寄信人地址11"/>
    <w:basedOn w:val="700"/>
    <w:uiPriority w:val="0"/>
    <w:qFormat/>
    <w:rPr>
      <w:rFonts w:ascii="Arial" w:hAnsi="Arial" w:eastAsia="宋体" w:cs="Times New Roman"/>
    </w:rPr>
  </w:style>
  <w:style w:type="paragraph" w:styleId="891" w:customStyle="1">
    <w:name w:val="文本块11"/>
    <w:basedOn w:val="700"/>
    <w:uiPriority w:val="99"/>
    <w:unhideWhenUsed/>
    <w:qFormat/>
    <w:pPr>
      <w:ind w:left="1440" w:right="1440"/>
      <w:spacing w:after="120"/>
    </w:pPr>
  </w:style>
  <w:style w:type="paragraph" w:styleId="892" w:customStyle="1">
    <w:name w:val="索引 412"/>
    <w:basedOn w:val="700"/>
    <w:next w:val="700"/>
    <w:uiPriority w:val="0"/>
    <w:qFormat/>
    <w:pPr>
      <w:ind w:left="1260"/>
    </w:pPr>
  </w:style>
  <w:style w:type="paragraph" w:styleId="893" w:customStyle="1">
    <w:name w:val="页脚11"/>
    <w:basedOn w:val="700"/>
    <w:uiPriority w:val="99"/>
    <w:qFormat/>
    <w:pPr>
      <w:jc w:val="left"/>
      <w:tabs>
        <w:tab w:val="center" w:pos="4153" w:leader="none"/>
        <w:tab w:val="right" w:pos="8306" w:leader="none"/>
      </w:tabs>
    </w:pPr>
    <w:rPr>
      <w:sz w:val="18"/>
      <w:szCs w:val="18"/>
    </w:rPr>
  </w:style>
  <w:style w:type="paragraph" w:styleId="894" w:customStyle="1">
    <w:name w:val="页眉11"/>
    <w:basedOn w:val="700"/>
    <w:uiPriority w:val="99"/>
    <w:qFormat/>
    <w:pPr>
      <w:jc w:val="center"/>
      <w:tabs>
        <w:tab w:val="center" w:pos="4153" w:leader="none"/>
        <w:tab w:val="right" w:pos="8306" w:leader="none"/>
      </w:tabs>
      <w:pBdr>
        <w:bottom w:val="single" w:color="000000" w:sz="6" w:space="1"/>
      </w:pBdr>
    </w:pPr>
    <w:rPr>
      <w:sz w:val="18"/>
      <w:szCs w:val="18"/>
    </w:rPr>
  </w:style>
  <w:style w:type="paragraph" w:styleId="895" w:customStyle="1">
    <w:name w:val="目录 1111"/>
    <w:basedOn w:val="700"/>
    <w:next w:val="700"/>
    <w:uiPriority w:val="39"/>
    <w:unhideWhenUsed/>
    <w:qFormat/>
    <w:pPr>
      <w:ind w:left="0" w:right="0" w:firstLine="0"/>
      <w:spacing w:after="57"/>
    </w:pPr>
  </w:style>
  <w:style w:type="paragraph" w:styleId="896" w:customStyle="1">
    <w:name w:val="脚注文本11"/>
    <w:basedOn w:val="700"/>
    <w:next w:val="887"/>
    <w:uiPriority w:val="0"/>
    <w:qFormat/>
    <w:pPr>
      <w:jc w:val="left"/>
    </w:pPr>
    <w:rPr>
      <w:rFonts w:ascii="Calibri" w:hAnsi="Calibri" w:eastAsia="宋体" w:cs="Times New Roman"/>
      <w:sz w:val="18"/>
      <w:szCs w:val="24"/>
    </w:rPr>
  </w:style>
  <w:style w:type="paragraph" w:styleId="897" w:customStyle="1">
    <w:name w:val="普通(网站)1"/>
    <w:basedOn w:val="700"/>
    <w:uiPriority w:val="0"/>
    <w:qFormat/>
    <w:pPr>
      <w:spacing w:before="100" w:beforeAutospacing="1" w:after="100" w:afterAutospacing="1"/>
    </w:pPr>
    <w:rPr>
      <w:rFonts w:ascii="宋体" w:hAnsi="宋体"/>
      <w:sz w:val="24"/>
    </w:rPr>
  </w:style>
  <w:style w:type="paragraph" w:styleId="898" w:customStyle="1">
    <w:name w:val="正文首行缩进12"/>
    <w:basedOn w:val="888"/>
    <w:next w:val="899"/>
    <w:uiPriority w:val="0"/>
    <w:qFormat/>
    <w:pPr>
      <w:ind w:firstLine="420"/>
    </w:pPr>
  </w:style>
  <w:style w:type="paragraph" w:styleId="899" w:customStyle="1">
    <w:name w:val="正文首行缩进 2111"/>
    <w:basedOn w:val="889"/>
    <w:next w:val="700"/>
    <w:uiPriority w:val="0"/>
    <w:qFormat/>
    <w:pPr>
      <w:ind w:firstLine="420"/>
      <w:spacing w:line="360" w:lineRule="auto"/>
    </w:pPr>
    <w:rPr>
      <w:color w:val="000000"/>
      <w:sz w:val="20"/>
    </w:rPr>
  </w:style>
  <w:style w:type="table" w:styleId="900" w:customStyle="1">
    <w:name w:val="网格型12"/>
    <w:basedOn w:val="885"/>
    <w:uiPriority w:val="39"/>
    <w:qFormat/>
    <w:tblPr/>
  </w:style>
  <w:style w:type="character" w:styleId="901" w:customStyle="1">
    <w:name w:val="页码1"/>
    <w:basedOn w:val="884"/>
    <w:link w:val="700"/>
    <w:uiPriority w:val="0"/>
    <w:qFormat/>
  </w:style>
  <w:style w:type="character" w:styleId="902" w:customStyle="1">
    <w:name w:val="超链接1"/>
    <w:basedOn w:val="884"/>
    <w:link w:val="700"/>
    <w:uiPriority w:val="99"/>
    <w:unhideWhenUsed/>
    <w:qFormat/>
    <w:rPr>
      <w:color w:val="0000ff"/>
      <w:u w:val="none"/>
    </w:rPr>
  </w:style>
  <w:style w:type="paragraph" w:styleId="903" w:customStyle="1">
    <w:name w:val="正文1"/>
    <w:basedOn w:val="904"/>
    <w:next w:val="909"/>
    <w:uiPriority w:val="0"/>
    <w:qFormat/>
    <w:pPr>
      <w:jc w:val="left"/>
      <w:spacing w:line="360" w:lineRule="atLeast"/>
    </w:pPr>
    <w:rPr>
      <w:rFonts w:ascii="宋体" w:hAnsi="Calibri" w:eastAsia="宋体" w:cs="Times New Roman"/>
      <w:sz w:val="24"/>
      <w:szCs w:val="20"/>
    </w:rPr>
  </w:style>
  <w:style w:type="paragraph" w:styleId="904" w:customStyle="1">
    <w:name w:val="正文112"/>
    <w:next w:val="9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customStyle="1">
    <w:name w:val="页脚1"/>
    <w:basedOn w:val="906"/>
    <w:uiPriority w:val="0"/>
    <w:qFormat/>
    <w:pPr>
      <w:jc w:val="left"/>
      <w:tabs>
        <w:tab w:val="center" w:pos="4153" w:leader="none"/>
        <w:tab w:val="right" w:pos="8306" w:leader="none"/>
      </w:tabs>
    </w:pPr>
    <w:rPr>
      <w:sz w:val="18"/>
      <w:szCs w:val="18"/>
    </w:rPr>
  </w:style>
  <w:style w:type="paragraph" w:styleId="906" w:customStyle="1">
    <w:name w:val="正文113"/>
    <w:next w:val="907"/>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907" w:customStyle="1">
    <w:name w:val="BodyText1I21"/>
    <w:basedOn w:val="908"/>
    <w:uiPriority w:val="0"/>
    <w:qFormat/>
    <w:pPr>
      <w:ind w:firstLine="420"/>
      <w:spacing w:line="240" w:lineRule="auto"/>
    </w:pPr>
    <w:rPr>
      <w:sz w:val="21"/>
    </w:rPr>
  </w:style>
  <w:style w:type="paragraph" w:styleId="908" w:customStyle="1">
    <w:name w:val="BodyTextIndent1"/>
    <w:basedOn w:val="906"/>
    <w:uiPriority w:val="0"/>
    <w:qFormat/>
    <w:pPr>
      <w:ind w:left="420" w:firstLine="200"/>
      <w:spacing w:after="120" w:line="360" w:lineRule="auto"/>
    </w:pPr>
    <w:rPr>
      <w:rFonts w:ascii="Verdana" w:hAnsi="Verdana"/>
      <w:sz w:val="24"/>
      <w:szCs w:val="28"/>
    </w:rPr>
  </w:style>
  <w:style w:type="paragraph" w:styleId="909" w:customStyle="1">
    <w:name w:val="正文1111"/>
    <w:next w:val="9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0" w:customStyle="1">
    <w:name w:val="BodyText1I211"/>
    <w:basedOn w:val="911"/>
    <w:uiPriority w:val="0"/>
    <w:qFormat/>
    <w:pPr>
      <w:ind w:firstLine="420"/>
      <w:spacing w:line="240" w:lineRule="auto"/>
    </w:pPr>
    <w:rPr>
      <w:sz w:val="21"/>
    </w:rPr>
  </w:style>
  <w:style w:type="paragraph" w:styleId="911" w:customStyle="1">
    <w:name w:val="BodyTextIndent11"/>
    <w:basedOn w:val="906"/>
    <w:uiPriority w:val="0"/>
    <w:qFormat/>
    <w:pPr>
      <w:ind w:left="420" w:firstLine="200"/>
      <w:spacing w:after="120" w:line="360" w:lineRule="auto"/>
    </w:pPr>
    <w:rPr>
      <w:rFonts w:ascii="Verdana" w:hAnsi="Verdana"/>
      <w:sz w:val="24"/>
      <w:szCs w:val="28"/>
    </w:rPr>
  </w:style>
  <w:style w:type="character" w:styleId="912" w:customStyle="1">
    <w:name w:val="NormalCharacter1"/>
    <w:link w:val="700"/>
    <w:uiPriority w:val="0"/>
    <w:semiHidden/>
    <w:qFormat/>
    <w:rPr>
      <w:sz w:val="28"/>
      <w:lang w:val="en-US" w:eastAsia="zh-CN" w:bidi="ar-SA"/>
    </w:rPr>
  </w:style>
  <w:style w:type="paragraph" w:styleId="913" w:customStyle="1">
    <w:name w:val="段"/>
    <w:basedOn w:val="903"/>
    <w:next w:val="903"/>
    <w:uiPriority w:val="0"/>
    <w:qFormat/>
    <w:pPr>
      <w:ind w:firstLine="200"/>
      <w:widowControl/>
    </w:pPr>
    <w:rPr>
      <w:sz w:val="20"/>
    </w:rPr>
  </w:style>
  <w:style w:type="paragraph" w:styleId="914" w:customStyle="1">
    <w:name w:val="正文文本缩进11"/>
    <w:basedOn w:val="915"/>
    <w:uiPriority w:val="0"/>
    <w:qFormat/>
    <w:pPr>
      <w:ind w:firstLine="425"/>
      <w:spacing w:line="360" w:lineRule="auto"/>
    </w:pPr>
  </w:style>
  <w:style w:type="paragraph" w:styleId="915" w:customStyle="1">
    <w:name w:val="正文111"/>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customStyle="1">
    <w:name w:val="正文首行缩进11"/>
    <w:basedOn w:val="917"/>
    <w:uiPriority w:val="0"/>
    <w:qFormat/>
    <w:pPr>
      <w:ind w:firstLine="420"/>
    </w:pPr>
    <w:rPr>
      <w:sz w:val="24"/>
    </w:rPr>
  </w:style>
  <w:style w:type="paragraph" w:styleId="917" w:customStyle="1">
    <w:name w:val="正文文本11"/>
    <w:basedOn w:val="918"/>
    <w:next w:val="915"/>
    <w:uiPriority w:val="0"/>
    <w:qFormat/>
    <w:pPr>
      <w:spacing w:after="120"/>
    </w:pPr>
  </w:style>
  <w:style w:type="paragraph" w:styleId="918" w:customStyle="1">
    <w:name w:val="正文11"/>
    <w:next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目录 11"/>
    <w:basedOn w:val="918"/>
    <w:next w:val="918"/>
    <w:uiPriority w:val="0"/>
    <w:qFormat/>
    <w:pPr>
      <w:jc w:val="left"/>
      <w:spacing w:before="120" w:after="120"/>
    </w:pPr>
    <w:rPr>
      <w:rFonts w:ascii="Calibri" w:hAnsi="Calibri" w:eastAsia="宋体"/>
      <w:b/>
      <w:bCs/>
      <w:caps/>
      <w:sz w:val="20"/>
      <w:szCs w:val="20"/>
    </w:rPr>
  </w:style>
  <w:style w:type="paragraph" w:styleId="920" w:customStyle="1">
    <w:name w:val="标题 21"/>
    <w:basedOn w:val="903"/>
    <w:next w:val="918"/>
    <w:uiPriority w:val="0"/>
    <w:qFormat/>
    <w:pPr>
      <w:jc w:val="left"/>
      <w:keepLines/>
      <w:keepNext/>
      <w:spacing w:before="50"/>
      <w:tabs>
        <w:tab w:val="left" w:pos="0" w:leader="none"/>
      </w:tabs>
    </w:pPr>
    <w:rPr>
      <w:rFonts w:ascii="Arial" w:hAnsi="Arial" w:eastAsia="黑体"/>
      <w:sz w:val="32"/>
      <w:szCs w:val="20"/>
    </w:rPr>
  </w:style>
  <w:style w:type="paragraph" w:styleId="921" w:customStyle="1">
    <w:name w:val="标题 11"/>
    <w:basedOn w:val="922"/>
    <w:next w:val="922"/>
    <w:uiPriority w:val="0"/>
    <w:qFormat/>
    <w:pPr>
      <w:keepLines/>
      <w:keepNext/>
      <w:spacing w:before="340" w:after="330" w:line="578" w:lineRule="auto"/>
      <w:outlineLvl w:val="0"/>
    </w:pPr>
    <w:rPr>
      <w:b/>
      <w:bCs/>
      <w:sz w:val="44"/>
      <w:szCs w:val="44"/>
    </w:rPr>
  </w:style>
  <w:style w:type="paragraph" w:styleId="922" w:customStyle="1">
    <w:name w:val="正文13"/>
    <w:next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3" w:customStyle="1">
    <w:name w:val="文本块1"/>
    <w:basedOn w:val="922"/>
    <w:uiPriority w:val="0"/>
    <w:qFormat/>
    <w:pPr>
      <w:ind w:left="420" w:right="33"/>
      <w:jc w:val="left"/>
    </w:pPr>
    <w:rPr>
      <w:sz w:val="24"/>
      <w:szCs w:val="20"/>
    </w:rPr>
  </w:style>
  <w:style w:type="paragraph" w:styleId="924" w:customStyle="1">
    <w:name w:val="正文首行缩进 21"/>
    <w:basedOn w:val="925"/>
    <w:next w:val="915"/>
    <w:uiPriority w:val="0"/>
    <w:qFormat/>
    <w:pPr>
      <w:ind w:firstLine="420"/>
    </w:pPr>
  </w:style>
  <w:style w:type="paragraph" w:styleId="925" w:customStyle="1">
    <w:name w:val="正文文本缩进1"/>
    <w:basedOn w:val="926"/>
    <w:next w:val="927"/>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926" w:customStyle="1">
    <w:name w:val="正文12"/>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customStyle="1">
    <w:name w:val="寄信人地址1"/>
    <w:basedOn w:val="926"/>
    <w:uiPriority w:val="0"/>
    <w:qFormat/>
    <w:rPr>
      <w:rFonts w:ascii="Arial" w:hAnsi="Arial"/>
    </w:rPr>
  </w:style>
  <w:style w:type="paragraph" w:styleId="928" w:customStyle="1">
    <w:name w:val="BlockQuote1"/>
    <w:basedOn w:val="929"/>
    <w:uiPriority w:val="0"/>
    <w:qFormat/>
    <w:pPr>
      <w:ind w:left="256" w:right="6" w:firstLine="624"/>
    </w:pPr>
    <w:rPr>
      <w:rFonts w:eastAsia="仿宋_GB2312"/>
      <w:sz w:val="28"/>
    </w:rPr>
  </w:style>
  <w:style w:type="paragraph" w:styleId="929" w:customStyle="1">
    <w:name w:val="正文121"/>
    <w:next w:val="928"/>
    <w:uiPriority w:val="0"/>
    <w:qFormat/>
    <w:rPr>
      <w:rFonts w:hint="default" w:ascii="Times New Roman" w:hAnsi="Times New Roman" w:eastAsia="宋体" w:cs="Times New Roman"/>
    </w:rPr>
  </w:style>
  <w:style w:type="paragraph" w:styleId="930" w:customStyle="1">
    <w:name w:val="正文文本1"/>
    <w:basedOn w:val="918"/>
    <w:next w:val="931"/>
    <w:uiPriority w:val="0"/>
    <w:qFormat/>
    <w:pPr>
      <w:spacing w:after="120"/>
    </w:pPr>
    <w:rPr>
      <w:lang w:eastAsia="en-US"/>
    </w:rPr>
  </w:style>
  <w:style w:type="paragraph" w:styleId="931" w:customStyle="1">
    <w:name w:val="一级条标题"/>
    <w:basedOn w:val="932"/>
    <w:next w:val="9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2" w:customStyle="1">
    <w:name w:val="章标题"/>
    <w:basedOn w:val="904"/>
    <w:next w:val="90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3" w:customStyle="1">
    <w:name w:val="纯文本1"/>
    <w:basedOn w:val="918"/>
    <w:uiPriority w:val="0"/>
    <w:qFormat/>
    <w:rPr>
      <w:rFonts w:ascii="宋体" w:hAnsi="Courier New"/>
      <w:sz w:val="20"/>
      <w:szCs w:val="20"/>
    </w:rPr>
  </w:style>
  <w:style w:type="paragraph" w:styleId="934" w:customStyle="1">
    <w:name w:val="标题 41"/>
    <w:basedOn w:val="918"/>
    <w:next w:val="903"/>
    <w:uiPriority w:val="0"/>
    <w:qFormat/>
    <w:pPr>
      <w:ind w:left="864" w:hanging="864"/>
      <w:keepLines/>
      <w:keepNext/>
      <w:spacing w:before="280" w:after="290" w:line="376" w:lineRule="auto"/>
      <w:outlineLvl w:val="3"/>
    </w:pPr>
    <w:rPr>
      <w:rFonts w:ascii="Cambria" w:hAnsi="Cambria"/>
      <w:b/>
      <w:bCs/>
      <w:sz w:val="28"/>
      <w:szCs w:val="28"/>
    </w:rPr>
  </w:style>
  <w:style w:type="paragraph" w:styleId="935" w:customStyle="1">
    <w:name w:val="正文首行缩进 211"/>
    <w:basedOn w:val="936"/>
    <w:next w:val="929"/>
    <w:uiPriority w:val="0"/>
    <w:qFormat/>
    <w:pPr>
      <w:ind w:firstLine="420"/>
      <w:jc w:val="both"/>
    </w:pPr>
    <w:rPr>
      <w:lang w:val="en-US" w:eastAsia="en-US"/>
    </w:rPr>
  </w:style>
  <w:style w:type="paragraph" w:styleId="936" w:customStyle="1">
    <w:name w:val="正文文本缩进111"/>
    <w:basedOn w:val="929"/>
    <w:next w:val="937"/>
    <w:uiPriority w:val="0"/>
    <w:qFormat/>
    <w:pPr>
      <w:ind w:firstLine="538"/>
    </w:pPr>
    <w:rPr>
      <w:sz w:val="28"/>
    </w:rPr>
  </w:style>
  <w:style w:type="paragraph" w:styleId="937" w:customStyle="1">
    <w:name w:val="样式 正文文本缩进 + 首行缩进:  2 字符 行距: 1.5 倍行距"/>
    <w:basedOn w:val="925"/>
    <w:uiPriority w:val="0"/>
    <w:qFormat/>
    <w:pPr>
      <w:ind w:firstLine="645"/>
      <w:spacing w:before="156"/>
    </w:pPr>
    <w:rPr>
      <w:rFonts w:ascii="Calibri" w:hAnsi="Calibri"/>
      <w:sz w:val="28"/>
    </w:rPr>
  </w:style>
  <w:style w:type="paragraph" w:styleId="938" w:customStyle="1">
    <w:name w:val="表格文字"/>
    <w:basedOn w:val="926"/>
    <w:next w:val="917"/>
    <w:uiPriority w:val="0"/>
    <w:qFormat/>
    <w:pPr>
      <w:jc w:val="left"/>
    </w:pPr>
    <w:rPr>
      <w:bCs/>
      <w:spacing w:val="10"/>
      <w:sz w:val="20"/>
      <w:szCs w:val="20"/>
    </w:rPr>
  </w:style>
  <w:style w:type="paragraph" w:styleId="939" w:customStyle="1">
    <w:name w:val="脚注文本1"/>
    <w:basedOn w:val="922"/>
    <w:next w:val="940"/>
    <w:uiPriority w:val="0"/>
    <w:qFormat/>
    <w:rPr>
      <w:rFonts w:eastAsia="Times New Roman"/>
      <w:sz w:val="18"/>
      <w:szCs w:val="18"/>
    </w:rPr>
  </w:style>
  <w:style w:type="paragraph" w:styleId="940" w:customStyle="1">
    <w:name w:val="索引 51"/>
    <w:basedOn w:val="903"/>
    <w:next w:val="903"/>
    <w:uiPriority w:val="0"/>
    <w:qFormat/>
    <w:pPr>
      <w:ind w:left="798"/>
    </w:pPr>
    <w:rPr>
      <w:rFonts w:ascii="Calibri" w:hAnsi="Calibri"/>
    </w:rPr>
  </w:style>
  <w:style w:type="paragraph" w:styleId="941" w:customStyle="1">
    <w:name w:val="正文首行缩进1"/>
    <w:basedOn w:val="917"/>
    <w:next w:val="924"/>
    <w:uiPriority w:val="0"/>
    <w:qFormat/>
    <w:pPr>
      <w:ind w:firstLine="420"/>
      <w:spacing w:after="120"/>
    </w:pPr>
    <w:rPr>
      <w:rFonts w:ascii="Times New Roman" w:eastAsia="宋体"/>
      <w:sz w:val="24"/>
      <w:szCs w:val="24"/>
    </w:rPr>
  </w:style>
  <w:style w:type="paragraph" w:styleId="942" w:customStyle="1">
    <w:name w:val="列出段落1"/>
    <w:basedOn w:val="700"/>
    <w:uiPriority w:val="34"/>
    <w:qFormat/>
    <w:pPr>
      <w:ind w:left="480"/>
      <w:jc w:val="left"/>
    </w:pPr>
    <w:rPr>
      <w:rFonts w:ascii="Calibri" w:hAnsi="Calibri" w:eastAsia="PMingLiU"/>
      <w:sz w:val="24"/>
      <w:szCs w:val="20"/>
      <w:lang w:eastAsia="zh-TW"/>
    </w:rPr>
  </w:style>
  <w:style w:type="paragraph" w:styleId="943" w:customStyle="1">
    <w:name w:val="索引 411"/>
    <w:basedOn w:val="700"/>
    <w:next w:val="700"/>
    <w:uiPriority w:val="0"/>
    <w:qFormat/>
    <w:pPr>
      <w:ind w:left="1260"/>
    </w:pPr>
  </w:style>
  <w:style w:type="paragraph" w:styleId="944" w:customStyle="1">
    <w:name w:val="页眉1"/>
    <w:basedOn w:val="922"/>
    <w:uiPriority w:val="0"/>
    <w:qFormat/>
    <w:pPr>
      <w:jc w:val="center"/>
      <w:tabs>
        <w:tab w:val="center" w:pos="4153" w:leader="none"/>
        <w:tab w:val="right" w:pos="8306" w:leader="none"/>
      </w:tabs>
      <w:pBdr>
        <w:bottom w:val="single" w:color="000000" w:sz="6" w:space="1"/>
      </w:pBdr>
    </w:pPr>
    <w:rPr>
      <w:sz w:val="18"/>
      <w:szCs w:val="18"/>
    </w:rPr>
  </w:style>
  <w:style w:type="paragraph" w:styleId="945" w:customStyle="1">
    <w:name w:val="目录 12"/>
    <w:basedOn w:val="922"/>
    <w:next w:val="922"/>
    <w:uiPriority w:val="0"/>
    <w:qFormat/>
    <w:rPr>
      <w:sz w:val="20"/>
      <w:szCs w:val="20"/>
    </w:rPr>
  </w:style>
  <w:style w:type="paragraph" w:styleId="946" w:customStyle="1">
    <w:name w:val="首行缩进"/>
    <w:basedOn w:val="922"/>
    <w:next w:val="922"/>
    <w:uiPriority w:val="0"/>
    <w:qFormat/>
    <w:pPr>
      <w:ind w:firstLine="480"/>
      <w:spacing w:line="360" w:lineRule="auto"/>
    </w:pPr>
    <w:rPr>
      <w:rFonts w:ascii="宋体" w:hAnsi="宋体"/>
      <w:sz w:val="24"/>
    </w:rPr>
  </w:style>
  <w:style w:type="paragraph" w:styleId="947" w:customStyle="1">
    <w:name w:val="目录 111"/>
    <w:basedOn w:val="915"/>
    <w:next w:val="915"/>
    <w:uiPriority w:val="0"/>
    <w:qFormat/>
    <w:pPr>
      <w:jc w:val="left"/>
      <w:spacing w:after="100" w:line="259" w:lineRule="auto"/>
      <w:widowControl/>
    </w:pPr>
    <w:rPr>
      <w:rFonts w:ascii="Calibri" w:hAnsi="Calibri" w:eastAsia="宋体"/>
      <w:sz w:val="22"/>
      <w:szCs w:val="22"/>
    </w:rPr>
  </w:style>
  <w:style w:type="paragraph" w:styleId="948" w:customStyle="1">
    <w:name w:val="索引 41"/>
    <w:basedOn w:val="903"/>
    <w:next w:val="903"/>
    <w:uiPriority w:val="0"/>
    <w:qFormat/>
    <w:pPr>
      <w:ind w:left="600"/>
    </w:pPr>
    <w:rPr>
      <w:rFonts w:ascii="Calibri" w:hAnsi="Calibri"/>
      <w:sz w:val="22"/>
      <w:szCs w:val="22"/>
    </w:rPr>
  </w:style>
  <w:style w:type="table" w:styleId="949" w:customStyle="1">
    <w:name w:val="网格型11"/>
    <w:basedOn w:val="950"/>
    <w:uiPriority w:val="59"/>
    <w:qFormat/>
    <w:tblPr/>
  </w:style>
  <w:style w:type="table" w:styleId="950" w:customStyle="1">
    <w:name w:val="普通表格1"/>
    <w:uiPriority w:val="99"/>
    <w:unhideWhenUsed/>
    <w:qFormat/>
    <w:tblPr/>
  </w:style>
  <w:style w:type="table" w:styleId="951" w:customStyle="1">
    <w:name w:val="网格型1"/>
    <w:basedOn w:val="952"/>
    <w:uiPriority w:val="39"/>
    <w:qFormat/>
    <w:tblPr/>
  </w:style>
  <w:style w:type="table" w:styleId="952" w:customStyle="1">
    <w:name w:val="普通表格11"/>
    <w:uiPriority w:val="0"/>
    <w:semiHidden/>
    <w:qFormat/>
    <w:tblPr/>
  </w:style>
  <w:style w:type="numbering" w:styleId="81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周建国</cp:lastModifiedBy>
  <cp:revision>5</cp:revision>
  <dcterms:created xsi:type="dcterms:W3CDTF">2014-10-29T12:08:00Z</dcterms:created>
  <dcterms:modified xsi:type="dcterms:W3CDTF">2024-10-22T03:09:27Z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90E465D7417D4FE8BC81D19F103307A3_13</vt:lpwstr>
  </property>
</Properties>
</file>