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asciiTheme="minorEastAsia" w:hAnsiTheme="minorEastAsia"/>
          <w:sz w:val="20"/>
          <w:szCs w:val="21"/>
        </w:rPr>
      </w:pPr>
      <w:r>
        <w:rPr>
          <w:rFonts w:hint="eastAsia" w:cs="宋体" w:asciiTheme="minorEastAsia" w:hAnsiTheme="minorEastAsia"/>
          <w:b/>
          <w:color w:val="000000"/>
          <w:kern w:val="0"/>
          <w:sz w:val="28"/>
          <w:szCs w:val="28"/>
          <w:lang w:eastAsia="zh-CN"/>
        </w:rPr>
        <w:t>江浦街道非机动车管理服务</w:t>
      </w:r>
      <w:r>
        <w:rPr>
          <w:rFonts w:hint="eastAsia" w:cs="宋体" w:asciiTheme="minorEastAsia" w:hAnsiTheme="minorEastAsia"/>
          <w:b/>
          <w:color w:val="000000"/>
          <w:kern w:val="0"/>
          <w:sz w:val="28"/>
          <w:szCs w:val="28"/>
        </w:rPr>
        <w:t>服务质量考核办法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rPr>
      </w:pPr>
      <w:r>
        <w:rPr>
          <w:rFonts w:cs="仿宋" w:asciiTheme="minorEastAsia" w:hAnsiTheme="minorEastAsia"/>
          <w:color w:val="000000"/>
          <w:kern w:val="0"/>
          <w:sz w:val="24"/>
          <w:szCs w:val="24"/>
        </w:rPr>
        <w:t>按照《</w:t>
      </w:r>
      <w:r>
        <w:rPr>
          <w:rFonts w:hint="eastAsia" w:cs="仿宋" w:asciiTheme="minorEastAsia" w:hAnsiTheme="minorEastAsia"/>
          <w:color w:val="000000"/>
          <w:kern w:val="0"/>
          <w:sz w:val="24"/>
          <w:szCs w:val="24"/>
          <w:lang w:eastAsia="zh-CN"/>
        </w:rPr>
        <w:t>江浦街道非机动车管理服务</w:t>
      </w:r>
      <w:r>
        <w:rPr>
          <w:rFonts w:cs="仿宋" w:asciiTheme="minorEastAsia" w:hAnsiTheme="minorEastAsia"/>
          <w:color w:val="000000"/>
          <w:kern w:val="0"/>
          <w:sz w:val="24"/>
          <w:szCs w:val="24"/>
        </w:rPr>
        <w:t>服务质量考核办法》的标准和要求</w:t>
      </w:r>
      <w:r>
        <w:rPr>
          <w:rFonts w:hint="eastAsia" w:cs="仿宋" w:asciiTheme="minorEastAsia" w:hAnsiTheme="minorEastAsia"/>
          <w:color w:val="000000"/>
          <w:kern w:val="0"/>
          <w:sz w:val="24"/>
          <w:szCs w:val="24"/>
        </w:rPr>
        <w:t xml:space="preserve">按月度进行考核。考核办法如下：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 xml:space="preserve">（一）考核对象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 xml:space="preserve">从事浦口区江浦街道辖区范围內人行道非机动车停放管理服务的承包公司。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 xml:space="preserve">（二）考核范围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lang w:val="en-US" w:eastAsia="zh-CN"/>
        </w:rPr>
        <w:t>1、</w:t>
      </w:r>
      <w:r>
        <w:rPr>
          <w:rFonts w:hint="eastAsia" w:cs="仿宋" w:asciiTheme="minorEastAsia" w:hAnsiTheme="minorEastAsia"/>
          <w:color w:val="000000"/>
          <w:kern w:val="0"/>
          <w:sz w:val="24"/>
          <w:szCs w:val="24"/>
        </w:rPr>
        <w:t>城市化范围内主要道路及道路旁广场、地铁口等区域的非机动车停车管理工作。</w:t>
      </w:r>
    </w:p>
    <w:tbl>
      <w:tblPr>
        <w:tblStyle w:val="4"/>
        <w:tblW w:w="6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10"/>
        <w:gridCol w:w="1695"/>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道路名称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道路名称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狮山路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妇幼巷（崇德巷）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凤凰大街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金浦步行街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法院巷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怡园巷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凤凰幼儿园巷 （故事里）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凤凰台路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武家巷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菜场巷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文昌路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天凤巷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蚕丝楼巷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定山巷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一条巷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交通巷（鼎业二期旁支巷）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二条巷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中圣南街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江中巷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南门巷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区政府后门巷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上河街（南门桥-浦云路大桥）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邮电巷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浦云路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南江花园巷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城南河路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公园北路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珠泉路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城运路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南庄巷（珠泉菜场南侧巷）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公园南路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新珠巷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珠海路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珠源路（珠泉菜场东侧巷）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白云巷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珠宁路（珠泉菜场西侧巷）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象山路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圣源巷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公向巷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同心路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海象路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河滨路（公园北路-浦云路大桥）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城樾路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城东路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市民中心南巷（体育场巷）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一米阳光巷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沿山大道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珠泉西路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黄山岭路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夏庄路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八里路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文德西路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大马山路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文德巷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海都路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林公堤商业街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阅景巷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双桥路           （林公堤路）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旭晨路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张墩路(东)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白马路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张墩路(西)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孝祥路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北花园路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亚青路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西水湾路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锦上路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新浦路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中圣街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康健路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雨山路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康盛路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康宁路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江淼路（文德西路-浦云路）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中圣北街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盛景路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南江巷         （南江新寓巷）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康浦路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广电巷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康平路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建设路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康安路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珠苗路           （北花园北段）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康华路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环城西路            （新北路）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珠江路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雨山西路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安裕巷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台北路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嘉云路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卓溪路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浦虹路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郑所路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嘉芝路            （幸福里）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江淼路（雨山路-文德西路）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虹悦城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龙湖商业街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城南新中心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高新片区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团结路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高旺老街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109</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文德路地铁站周边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昌海路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雨山路地铁站周边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龙华路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111</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工大地铁站周边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文德东路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112</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1"/>
                <w:szCs w:val="21"/>
                <w:u w:val="none"/>
                <w:lang w:val="en-US" w:eastAsia="zh-CN" w:bidi="ar"/>
              </w:rPr>
              <w:t>龙华路地铁站周边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文德路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凤凰大街4号巷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1"/>
                <w:szCs w:val="21"/>
                <w:u w:val="none"/>
                <w:lang w:val="en-US" w:eastAsia="zh-CN" w:bidi="ar-SA"/>
              </w:rPr>
            </w:pPr>
            <w:r>
              <w:rPr>
                <w:rFonts w:hint="default" w:ascii="方正仿宋_GBK" w:hAnsi="方正仿宋_GBK" w:eastAsia="方正仿宋_GBK" w:cs="方正仿宋_GBK"/>
                <w:i w:val="0"/>
                <w:iCs w:val="0"/>
                <w:color w:val="000000"/>
                <w:kern w:val="0"/>
                <w:sz w:val="21"/>
                <w:szCs w:val="21"/>
                <w:u w:val="none"/>
                <w:lang w:val="en-US" w:eastAsia="zh-CN" w:bidi="ar"/>
              </w:rPr>
              <w:t>东风巷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珠泉东路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rPr>
      </w:pPr>
      <w:r>
        <w:rPr>
          <w:rFonts w:hint="eastAsia" w:cs="仿宋" w:asciiTheme="minorEastAsia" w:hAnsiTheme="minorEastAsia"/>
          <w:color w:val="000000"/>
          <w:kern w:val="0"/>
          <w:sz w:val="24"/>
          <w:szCs w:val="24"/>
          <w:lang w:val="en-US" w:eastAsia="zh-CN"/>
        </w:rPr>
        <w:t>2、岗位</w:t>
      </w:r>
      <w:r>
        <w:rPr>
          <w:rFonts w:hint="eastAsia" w:cs="仿宋" w:asciiTheme="minorEastAsia" w:hAnsiTheme="minorEastAsia"/>
          <w:color w:val="000000"/>
          <w:kern w:val="0"/>
          <w:sz w:val="24"/>
          <w:szCs w:val="24"/>
        </w:rPr>
        <w:t>配置及要求：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s="仿宋" w:asciiTheme="minorEastAsia" w:hAnsiTheme="minorEastAsia"/>
          <w:color w:val="000000"/>
          <w:kern w:val="0"/>
          <w:sz w:val="24"/>
          <w:szCs w:val="24"/>
          <w:highlight w:val="yellow"/>
          <w:lang w:val="en-US" w:eastAsia="zh-CN"/>
        </w:rPr>
      </w:pPr>
      <w:r>
        <w:rPr>
          <w:rFonts w:hint="eastAsia" w:cs="仿宋" w:asciiTheme="minorEastAsia" w:hAnsiTheme="minorEastAsia"/>
          <w:color w:val="000000"/>
          <w:kern w:val="0"/>
          <w:sz w:val="24"/>
          <w:szCs w:val="24"/>
          <w:highlight w:val="yellow"/>
          <w:lang w:val="en-US" w:eastAsia="zh-CN"/>
        </w:rPr>
        <w:t>岗位配置需保证每2条路设置一岗，专人专岗。</w:t>
      </w:r>
      <w:r>
        <w:rPr>
          <w:rFonts w:hint="default" w:cs="仿宋" w:asciiTheme="minorEastAsia" w:hAnsiTheme="minorEastAsia"/>
          <w:color w:val="000000"/>
          <w:kern w:val="0"/>
          <w:sz w:val="24"/>
          <w:szCs w:val="24"/>
          <w:highlight w:val="yellow"/>
          <w:lang w:val="en-US" w:eastAsia="zh-CN"/>
        </w:rPr>
        <w:t>工大地铁站周边</w:t>
      </w:r>
      <w:r>
        <w:rPr>
          <w:rFonts w:hint="eastAsia" w:cs="仿宋" w:asciiTheme="minorEastAsia" w:hAnsiTheme="minorEastAsia"/>
          <w:color w:val="000000"/>
          <w:kern w:val="0"/>
          <w:sz w:val="24"/>
          <w:szCs w:val="24"/>
          <w:highlight w:val="yellow"/>
          <w:lang w:val="en-US" w:eastAsia="zh-CN"/>
        </w:rPr>
        <w:t>、</w:t>
      </w:r>
      <w:r>
        <w:rPr>
          <w:rFonts w:hint="default" w:cs="仿宋" w:asciiTheme="minorEastAsia" w:hAnsiTheme="minorEastAsia"/>
          <w:color w:val="000000"/>
          <w:kern w:val="0"/>
          <w:sz w:val="24"/>
          <w:szCs w:val="24"/>
          <w:highlight w:val="yellow"/>
          <w:lang w:val="en-US" w:eastAsia="zh-CN"/>
        </w:rPr>
        <w:t>雨山路地铁站周边</w:t>
      </w:r>
      <w:r>
        <w:rPr>
          <w:rFonts w:hint="eastAsia" w:cs="仿宋" w:asciiTheme="minorEastAsia" w:hAnsiTheme="minorEastAsia"/>
          <w:color w:val="000000"/>
          <w:kern w:val="0"/>
          <w:sz w:val="24"/>
          <w:szCs w:val="24"/>
          <w:highlight w:val="yellow"/>
          <w:lang w:val="en-US" w:eastAsia="zh-CN"/>
        </w:rPr>
        <w:t>、</w:t>
      </w:r>
      <w:r>
        <w:rPr>
          <w:rFonts w:hint="default" w:cs="仿宋" w:asciiTheme="minorEastAsia" w:hAnsiTheme="minorEastAsia"/>
          <w:color w:val="000000"/>
          <w:kern w:val="0"/>
          <w:sz w:val="24"/>
          <w:szCs w:val="24"/>
          <w:highlight w:val="yellow"/>
          <w:lang w:val="en-US" w:eastAsia="zh-CN"/>
        </w:rPr>
        <w:t>文德路地铁站周边</w:t>
      </w:r>
      <w:r>
        <w:rPr>
          <w:rFonts w:hint="eastAsia" w:cs="仿宋" w:asciiTheme="minorEastAsia" w:hAnsiTheme="minorEastAsia"/>
          <w:color w:val="000000"/>
          <w:kern w:val="0"/>
          <w:sz w:val="24"/>
          <w:szCs w:val="24"/>
          <w:highlight w:val="yellow"/>
          <w:lang w:val="en-US" w:eastAsia="zh-CN"/>
        </w:rPr>
        <w:t>、</w:t>
      </w:r>
      <w:r>
        <w:rPr>
          <w:rFonts w:hint="default" w:cs="仿宋" w:asciiTheme="minorEastAsia" w:hAnsiTheme="minorEastAsia"/>
          <w:color w:val="000000"/>
          <w:kern w:val="0"/>
          <w:sz w:val="24"/>
          <w:szCs w:val="24"/>
          <w:highlight w:val="yellow"/>
          <w:lang w:val="en-US" w:eastAsia="zh-CN"/>
        </w:rPr>
        <w:t>龙华路地铁站周边</w:t>
      </w:r>
      <w:r>
        <w:rPr>
          <w:rFonts w:hint="eastAsia" w:cs="仿宋" w:asciiTheme="minorEastAsia" w:hAnsiTheme="minorEastAsia"/>
          <w:color w:val="000000"/>
          <w:kern w:val="0"/>
          <w:sz w:val="24"/>
          <w:szCs w:val="24"/>
          <w:highlight w:val="yellow"/>
          <w:lang w:val="en-US" w:eastAsia="zh-CN"/>
        </w:rPr>
        <w:t>每个地铁站周边设置一岗，专人专岗。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rPr>
      </w:pPr>
      <w:r>
        <w:rPr>
          <w:rFonts w:hint="eastAsia" w:cs="仿宋" w:asciiTheme="minorEastAsia" w:hAnsiTheme="minorEastAsia"/>
          <w:color w:val="000000"/>
          <w:kern w:val="0"/>
          <w:sz w:val="24"/>
          <w:szCs w:val="24"/>
        </w:rPr>
        <w:t>人员要求：人员身体素质达到正常人健康标准。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（三）考核内容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四大项分别为：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1、作业人员工作纪律；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2、车辆管理规范；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3、特别事项考核；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4、公众监督管理情况。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（四）考核分值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满分1000分，采用扣分罚款  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（五）考核结果评议与扣款规则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bookmarkStart w:id="0" w:name="_GoBack"/>
      <w:r>
        <w:rPr>
          <w:rFonts w:hint="eastAsia" w:cs="仿宋" w:asciiTheme="minorEastAsia" w:hAnsiTheme="minorEastAsia"/>
          <w:color w:val="000000"/>
          <w:kern w:val="0"/>
          <w:sz w:val="24"/>
          <w:szCs w:val="24"/>
          <w:highlight w:val="none"/>
          <w:lang w:val="en-US" w:eastAsia="zh-CN"/>
        </w:rPr>
        <w:t>1、评分：根据考核打分办法与标准，每次考核对评分结果进行一次记录，每月由江浦街道综合行政执法局考核小组进行一次汇总，并按规定计算出承包单位当月最终考核扣分。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 xml:space="preserve">2、扣分罚款细则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 xml:space="preserve">a、扣分罚款在每月服务承包费中扣除，每月服务承包费=中标服务费/12月- 当月被扣分值*200元。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 xml:space="preserve">b、承包方未及时落实整改或整改不符合标准的，采购人通过雇佣其他作业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 xml:space="preserve">队伍进行整改，所需费用在承包款中抵扣，并视情节予以扣分。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（六）、如果出现以下现象之一，甲方有权随时解除合同，并要求承包人赔偿损失。</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 xml:space="preserve">1、承包人在服务期一年内（以作业周期计算）累计出现3次以上（含3次）月考核评分扣分达到200分，甲方有权随时解除合同，并没收承包人的履约保证金作为违约金。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 xml:space="preserve">2、承包人在服务期间因管理不善导致出现安全事故，并在社会上造成不良影响及严重后果的。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3、任何由承包人的管理工作而引起的劳资纠纷问题影响正常作业的，街道有权另行聘请人员确保正常保洁工作，所产生的费用在承包款中抵扣。情节严重的，甲方有权解除合同。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 xml:space="preserve">4、中标企业试用期为3个月，试用期满后，业主单位将对中标企业的服务质量、服务成果等进行考核。中标企业试用期内考核评分扣分达到200分，业主单位有权终止合同。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color w:val="000000"/>
          <w:kern w:val="0"/>
          <w:sz w:val="24"/>
          <w:szCs w:val="24"/>
          <w:highlight w:val="none"/>
          <w:lang w:val="en-US" w:eastAsia="zh-CN"/>
        </w:rPr>
      </w:pPr>
      <w:r>
        <w:rPr>
          <w:rFonts w:hint="eastAsia" w:cs="仿宋" w:asciiTheme="minorEastAsia" w:hAnsiTheme="minorEastAsia"/>
          <w:color w:val="000000"/>
          <w:kern w:val="0"/>
          <w:sz w:val="24"/>
          <w:szCs w:val="24"/>
          <w:highlight w:val="none"/>
          <w:lang w:val="en-US" w:eastAsia="zh-CN"/>
        </w:rPr>
        <w:t>（七）考核内容与扣分标准详见</w:t>
      </w:r>
    </w:p>
    <w:bookmarkEnd w:id="0"/>
    <w:p>
      <w:pPr>
        <w:widowControl/>
        <w:jc w:val="center"/>
        <w:rPr>
          <w:rFonts w:asciiTheme="minorEastAsia" w:hAnsiTheme="minorEastAsia"/>
        </w:rPr>
      </w:pPr>
      <w:r>
        <w:rPr>
          <w:rFonts w:hint="eastAsia" w:cs="宋体" w:asciiTheme="minorEastAsia" w:hAnsiTheme="minorEastAsia"/>
          <w:b/>
          <w:color w:val="000000"/>
          <w:kern w:val="0"/>
          <w:sz w:val="24"/>
          <w:szCs w:val="24"/>
        </w:rPr>
        <w:t>《江浦街道</w:t>
      </w:r>
      <w:r>
        <w:rPr>
          <w:rFonts w:hint="eastAsia" w:cs="宋体" w:asciiTheme="minorEastAsia" w:hAnsiTheme="minorEastAsia"/>
          <w:b/>
          <w:color w:val="000000"/>
          <w:kern w:val="0"/>
          <w:sz w:val="22"/>
        </w:rPr>
        <w:t>人行道非机车停放管理</w:t>
      </w:r>
      <w:r>
        <w:rPr>
          <w:rFonts w:hint="eastAsia" w:cs="宋体" w:asciiTheme="minorEastAsia" w:hAnsiTheme="minorEastAsia"/>
          <w:b/>
          <w:color w:val="000000"/>
          <w:kern w:val="0"/>
          <w:sz w:val="24"/>
          <w:szCs w:val="24"/>
        </w:rPr>
        <w:t>服务考核内容和扣分标准》</w:t>
      </w:r>
    </w:p>
    <w:tbl>
      <w:tblPr>
        <w:tblStyle w:val="4"/>
        <w:tblpPr w:leftFromText="180" w:rightFromText="180" w:vertAnchor="text" w:horzAnchor="page" w:tblpX="941" w:tblpY="310"/>
        <w:tblOverlap w:val="never"/>
        <w:tblW w:w="10397" w:type="dxa"/>
        <w:tblInd w:w="0" w:type="dxa"/>
        <w:tblLayout w:type="fixed"/>
        <w:tblCellMar>
          <w:top w:w="0" w:type="dxa"/>
          <w:left w:w="108" w:type="dxa"/>
          <w:bottom w:w="0" w:type="dxa"/>
          <w:right w:w="108" w:type="dxa"/>
        </w:tblCellMar>
      </w:tblPr>
      <w:tblGrid>
        <w:gridCol w:w="1128"/>
        <w:gridCol w:w="858"/>
        <w:gridCol w:w="3781"/>
        <w:gridCol w:w="648"/>
        <w:gridCol w:w="3982"/>
      </w:tblGrid>
      <w:tr>
        <w:tblPrEx>
          <w:tblCellMar>
            <w:top w:w="0" w:type="dxa"/>
            <w:left w:w="108" w:type="dxa"/>
            <w:bottom w:w="0" w:type="dxa"/>
            <w:right w:w="108" w:type="dxa"/>
          </w:tblCellMar>
        </w:tblPrEx>
        <w:trPr>
          <w:trHeight w:val="797" w:hRule="atLeast"/>
        </w:trPr>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项目</w:t>
            </w:r>
          </w:p>
        </w:tc>
        <w:tc>
          <w:tcPr>
            <w:tcW w:w="858" w:type="dxa"/>
            <w:tcBorders>
              <w:top w:val="single" w:color="auto" w:sz="4" w:space="0"/>
              <w:left w:val="nil"/>
              <w:bottom w:val="single" w:color="auto" w:sz="4" w:space="0"/>
              <w:right w:val="single" w:color="auto" w:sz="4" w:space="0"/>
            </w:tcBorders>
            <w:vAlign w:val="center"/>
          </w:tcPr>
          <w:p>
            <w:pPr>
              <w:widowControl/>
              <w:jc w:val="center"/>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考核</w:t>
            </w:r>
          </w:p>
          <w:p>
            <w:pPr>
              <w:widowControl/>
              <w:jc w:val="center"/>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内容</w:t>
            </w:r>
          </w:p>
        </w:tc>
        <w:tc>
          <w:tcPr>
            <w:tcW w:w="3781" w:type="dxa"/>
            <w:tcBorders>
              <w:top w:val="single" w:color="auto" w:sz="4" w:space="0"/>
              <w:left w:val="nil"/>
              <w:bottom w:val="single" w:color="auto" w:sz="4" w:space="0"/>
              <w:right w:val="single" w:color="auto" w:sz="4" w:space="0"/>
            </w:tcBorders>
            <w:vAlign w:val="center"/>
          </w:tcPr>
          <w:p>
            <w:pPr>
              <w:widowControl/>
              <w:jc w:val="center"/>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工作要求</w:t>
            </w:r>
          </w:p>
        </w:tc>
        <w:tc>
          <w:tcPr>
            <w:tcW w:w="648" w:type="dxa"/>
            <w:tcBorders>
              <w:top w:val="single" w:color="auto" w:sz="4" w:space="0"/>
              <w:left w:val="nil"/>
              <w:bottom w:val="single" w:color="auto" w:sz="4" w:space="0"/>
              <w:right w:val="single" w:color="auto" w:sz="4" w:space="0"/>
            </w:tcBorders>
            <w:vAlign w:val="center"/>
          </w:tcPr>
          <w:p>
            <w:pPr>
              <w:widowControl/>
              <w:jc w:val="center"/>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分值</w:t>
            </w:r>
          </w:p>
        </w:tc>
        <w:tc>
          <w:tcPr>
            <w:tcW w:w="3982" w:type="dxa"/>
            <w:tcBorders>
              <w:top w:val="single" w:color="auto" w:sz="4" w:space="0"/>
              <w:left w:val="nil"/>
              <w:bottom w:val="single" w:color="auto" w:sz="4" w:space="0"/>
              <w:right w:val="single" w:color="auto" w:sz="4" w:space="0"/>
            </w:tcBorders>
            <w:vAlign w:val="center"/>
          </w:tcPr>
          <w:p>
            <w:pPr>
              <w:widowControl/>
              <w:jc w:val="center"/>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考核方式及评分标准</w:t>
            </w:r>
          </w:p>
        </w:tc>
      </w:tr>
      <w:tr>
        <w:tblPrEx>
          <w:tblCellMar>
            <w:top w:w="0" w:type="dxa"/>
            <w:left w:w="108" w:type="dxa"/>
            <w:bottom w:w="0" w:type="dxa"/>
            <w:right w:w="108" w:type="dxa"/>
          </w:tblCellMar>
        </w:tblPrEx>
        <w:trPr>
          <w:trHeight w:val="648" w:hRule="atLeast"/>
        </w:trPr>
        <w:tc>
          <w:tcPr>
            <w:tcW w:w="11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工作纪律（400）</w:t>
            </w: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1、工作纪律</w:t>
            </w: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1.1在规定时间内每个路段管理人员到岗到位。</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150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路段管理人员未按规定到岗到位，发现每缺一人，一次扣4分。</w:t>
            </w:r>
          </w:p>
        </w:tc>
      </w:tr>
      <w:tr>
        <w:tblPrEx>
          <w:tblCellMar>
            <w:top w:w="0" w:type="dxa"/>
            <w:left w:w="108" w:type="dxa"/>
            <w:bottom w:w="0" w:type="dxa"/>
            <w:right w:w="108" w:type="dxa"/>
          </w:tblCellMar>
        </w:tblPrEx>
        <w:trPr>
          <w:trHeight w:val="459" w:hRule="atLeast"/>
        </w:trPr>
        <w:tc>
          <w:tcPr>
            <w:tcW w:w="11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1.2准时上下班。</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100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上班迟到、早退的每发现一次扣2分。</w:t>
            </w:r>
          </w:p>
        </w:tc>
      </w:tr>
      <w:tr>
        <w:tblPrEx>
          <w:tblCellMar>
            <w:top w:w="0" w:type="dxa"/>
            <w:left w:w="108" w:type="dxa"/>
            <w:bottom w:w="0" w:type="dxa"/>
            <w:right w:w="108" w:type="dxa"/>
          </w:tblCellMar>
        </w:tblPrEx>
        <w:trPr>
          <w:trHeight w:val="844" w:hRule="atLeast"/>
        </w:trPr>
        <w:tc>
          <w:tcPr>
            <w:tcW w:w="11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1.3工作认真负责、形象良好。</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50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上班时间有脱岗、溜岗、瞌睡以及两人以上集群做工作无关的事情等或不注意不文明行为的，每发现一人一次扣2分。</w:t>
            </w:r>
          </w:p>
        </w:tc>
      </w:tr>
      <w:tr>
        <w:tblPrEx>
          <w:tblCellMar>
            <w:top w:w="0" w:type="dxa"/>
            <w:left w:w="108" w:type="dxa"/>
            <w:bottom w:w="0" w:type="dxa"/>
            <w:right w:w="108" w:type="dxa"/>
          </w:tblCellMar>
        </w:tblPrEx>
        <w:trPr>
          <w:trHeight w:val="942" w:hRule="atLeast"/>
        </w:trPr>
        <w:tc>
          <w:tcPr>
            <w:tcW w:w="11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1.4工作服、工作证穿戴规范整齐。</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100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未按规定穿戴工作衣帽、佩戴工作证的，或者穿戴不整齐、不清洁的，每人每次扣2分。</w:t>
            </w:r>
          </w:p>
        </w:tc>
      </w:tr>
      <w:tr>
        <w:tblPrEx>
          <w:tblCellMar>
            <w:top w:w="0" w:type="dxa"/>
            <w:left w:w="108" w:type="dxa"/>
            <w:bottom w:w="0" w:type="dxa"/>
            <w:right w:w="108" w:type="dxa"/>
          </w:tblCellMar>
        </w:tblPrEx>
        <w:trPr>
          <w:trHeight w:val="1236" w:hRule="atLeast"/>
        </w:trPr>
        <w:tc>
          <w:tcPr>
            <w:tcW w:w="11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车辆管理（600）</w:t>
            </w:r>
          </w:p>
        </w:tc>
        <w:tc>
          <w:tcPr>
            <w:tcW w:w="85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2、管理业绩</w:t>
            </w: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1.1车辆及时归位。</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150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每发现一辆未及时停放在规定区域内的，每一辆车扣4分，存在的问题，经考核人员指出后仍不予纠正的，每辆扣3分。</w:t>
            </w:r>
          </w:p>
        </w:tc>
      </w:tr>
      <w:tr>
        <w:tblPrEx>
          <w:tblCellMar>
            <w:top w:w="0" w:type="dxa"/>
            <w:left w:w="108" w:type="dxa"/>
            <w:bottom w:w="0" w:type="dxa"/>
            <w:right w:w="108" w:type="dxa"/>
          </w:tblCellMar>
        </w:tblPrEx>
        <w:trPr>
          <w:trHeight w:val="1123" w:hRule="atLeast"/>
        </w:trPr>
        <w:tc>
          <w:tcPr>
            <w:tcW w:w="112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1.2车辆摆放整齐有序，车头方向保持一致。</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150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每发现一辆摆放不整齐或方向摆放不一致的，每一辆车扣4分；存在的问题，经考核人员指出后仍不予纠正的，每辆车扣3分。</w:t>
            </w:r>
          </w:p>
        </w:tc>
      </w:tr>
      <w:tr>
        <w:tblPrEx>
          <w:tblCellMar>
            <w:top w:w="0" w:type="dxa"/>
            <w:left w:w="108" w:type="dxa"/>
            <w:bottom w:w="0" w:type="dxa"/>
            <w:right w:w="108" w:type="dxa"/>
          </w:tblCellMar>
        </w:tblPrEx>
        <w:trPr>
          <w:trHeight w:val="822" w:hRule="atLeast"/>
        </w:trPr>
        <w:tc>
          <w:tcPr>
            <w:tcW w:w="112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1.3在管理过程中不与被管理对象发生矛盾纠纷。</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100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与车主发生矛盾冲突，经查明管理人员有过错的视情扣4分。</w:t>
            </w:r>
          </w:p>
        </w:tc>
      </w:tr>
      <w:tr>
        <w:tblPrEx>
          <w:tblCellMar>
            <w:top w:w="0" w:type="dxa"/>
            <w:left w:w="108" w:type="dxa"/>
            <w:bottom w:w="0" w:type="dxa"/>
            <w:right w:w="108" w:type="dxa"/>
          </w:tblCellMar>
        </w:tblPrEx>
        <w:trPr>
          <w:trHeight w:val="593" w:hRule="atLeast"/>
        </w:trPr>
        <w:tc>
          <w:tcPr>
            <w:tcW w:w="112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3、培训考核情况</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1.1每月做好作业人员不少于一次的案例教育并做好台账记录。</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20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发现无相关台账记录的，每次扣4分。</w:t>
            </w:r>
          </w:p>
        </w:tc>
      </w:tr>
      <w:tr>
        <w:tblPrEx>
          <w:tblCellMar>
            <w:top w:w="0" w:type="dxa"/>
            <w:left w:w="108" w:type="dxa"/>
            <w:bottom w:w="0" w:type="dxa"/>
            <w:right w:w="108" w:type="dxa"/>
          </w:tblCellMar>
        </w:tblPrEx>
        <w:trPr>
          <w:trHeight w:val="530" w:hRule="atLeast"/>
        </w:trPr>
        <w:tc>
          <w:tcPr>
            <w:tcW w:w="112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1.2企业对作业人员出台管理评优制度，每月考核1次并做好台账记录。</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20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发现无台账记录的，每次扣4分。</w:t>
            </w:r>
          </w:p>
        </w:tc>
      </w:tr>
      <w:tr>
        <w:tblPrEx>
          <w:tblCellMar>
            <w:top w:w="0" w:type="dxa"/>
            <w:left w:w="108" w:type="dxa"/>
            <w:bottom w:w="0" w:type="dxa"/>
            <w:right w:w="108" w:type="dxa"/>
          </w:tblCellMar>
        </w:tblPrEx>
        <w:trPr>
          <w:trHeight w:val="613" w:hRule="atLeast"/>
        </w:trPr>
        <w:tc>
          <w:tcPr>
            <w:tcW w:w="1128"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4、指令性和临时性突击任务及应急任务</w:t>
            </w: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1.1成立应急队伍，及时处理突发作业内容，在规定时限内进行半小时响应。</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100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超过半小时无处理的，每宗扣4分。</w:t>
            </w:r>
          </w:p>
        </w:tc>
      </w:tr>
      <w:tr>
        <w:tblPrEx>
          <w:tblCellMar>
            <w:top w:w="0" w:type="dxa"/>
            <w:left w:w="108" w:type="dxa"/>
            <w:bottom w:w="0" w:type="dxa"/>
            <w:right w:w="108" w:type="dxa"/>
          </w:tblCellMar>
        </w:tblPrEx>
        <w:trPr>
          <w:trHeight w:val="1123" w:hRule="atLeast"/>
        </w:trPr>
        <w:tc>
          <w:tcPr>
            <w:tcW w:w="11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1.2按时保质保量完成安排的责任内的指令性任务和临时性突击任务（包括提交有关涉及管理制度、岗位责任、安全生产、考核制度的文字资料以及人员、车辆要求等）。</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60</w:t>
            </w: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未按时保质保量完成任务的每次扣4分。</w:t>
            </w:r>
          </w:p>
        </w:tc>
      </w:tr>
      <w:tr>
        <w:tblPrEx>
          <w:tblCellMar>
            <w:top w:w="0" w:type="dxa"/>
            <w:left w:w="108" w:type="dxa"/>
            <w:bottom w:w="0" w:type="dxa"/>
            <w:right w:w="108" w:type="dxa"/>
          </w:tblCellMar>
        </w:tblPrEx>
        <w:trPr>
          <w:trHeight w:val="958" w:hRule="atLeast"/>
        </w:trPr>
        <w:tc>
          <w:tcPr>
            <w:tcW w:w="11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公众监督管理情况（倒扣分项）</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1、新闻媒体曝光</w:t>
            </w: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1.1出现重大问题，被新闻媒体曝光的，经确认有责的（以媒体最先曝光时间为扣分记录时间）。</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出现重大问题，被新闻媒体曝光的，属有责的每宗扣10分。</w:t>
            </w:r>
          </w:p>
        </w:tc>
      </w:tr>
      <w:tr>
        <w:tblPrEx>
          <w:tblCellMar>
            <w:top w:w="0" w:type="dxa"/>
            <w:left w:w="108" w:type="dxa"/>
            <w:bottom w:w="0" w:type="dxa"/>
            <w:right w:w="108" w:type="dxa"/>
          </w:tblCellMar>
        </w:tblPrEx>
        <w:trPr>
          <w:trHeight w:val="1004" w:hRule="atLeast"/>
        </w:trPr>
        <w:tc>
          <w:tcPr>
            <w:tcW w:w="11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1.2造成严重恶劣影响的；不及时整改的。</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每宗扣4分，不及时整改另行扣4分。</w:t>
            </w:r>
          </w:p>
        </w:tc>
      </w:tr>
      <w:tr>
        <w:tblPrEx>
          <w:tblCellMar>
            <w:top w:w="0" w:type="dxa"/>
            <w:left w:w="108" w:type="dxa"/>
            <w:bottom w:w="0" w:type="dxa"/>
            <w:right w:w="108" w:type="dxa"/>
          </w:tblCellMar>
        </w:tblPrEx>
        <w:trPr>
          <w:trHeight w:val="639" w:hRule="atLeast"/>
        </w:trPr>
        <w:tc>
          <w:tcPr>
            <w:tcW w:w="11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1.3同一区域同类问题被连续曝光的。</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同一区域同类问题被连续曝光的，另行扣除8分。</w:t>
            </w:r>
          </w:p>
        </w:tc>
      </w:tr>
      <w:tr>
        <w:tblPrEx>
          <w:tblCellMar>
            <w:top w:w="0" w:type="dxa"/>
            <w:left w:w="108" w:type="dxa"/>
            <w:bottom w:w="0" w:type="dxa"/>
            <w:right w:w="108" w:type="dxa"/>
          </w:tblCellMar>
        </w:tblPrEx>
        <w:trPr>
          <w:trHeight w:val="523" w:hRule="atLeast"/>
        </w:trPr>
        <w:tc>
          <w:tcPr>
            <w:tcW w:w="11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2、市民监督</w:t>
            </w: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1.1帮助引导市民有序停放非机动车，经确认为有责并整改不到位的。</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每宗扣4分。</w:t>
            </w:r>
          </w:p>
        </w:tc>
      </w:tr>
      <w:tr>
        <w:tblPrEx>
          <w:tblCellMar>
            <w:top w:w="0" w:type="dxa"/>
            <w:left w:w="108" w:type="dxa"/>
            <w:bottom w:w="0" w:type="dxa"/>
            <w:right w:w="108" w:type="dxa"/>
          </w:tblCellMar>
        </w:tblPrEx>
        <w:trPr>
          <w:trHeight w:val="713" w:hRule="atLeast"/>
        </w:trPr>
        <w:tc>
          <w:tcPr>
            <w:tcW w:w="11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1.2未在规定的时限内处理或处理不完善的。</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每宗再扣4分。</w:t>
            </w:r>
          </w:p>
        </w:tc>
      </w:tr>
      <w:tr>
        <w:tblPrEx>
          <w:tblCellMar>
            <w:top w:w="0" w:type="dxa"/>
            <w:left w:w="108" w:type="dxa"/>
            <w:bottom w:w="0" w:type="dxa"/>
            <w:right w:w="108" w:type="dxa"/>
          </w:tblCellMar>
        </w:tblPrEx>
        <w:trPr>
          <w:trHeight w:val="705" w:hRule="atLeast"/>
        </w:trPr>
        <w:tc>
          <w:tcPr>
            <w:tcW w:w="11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1.3拒不整改或整改不力的；同一问题被多次投诉，经确认为有责并整改不彻底的。</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每宗扣4分</w:t>
            </w:r>
          </w:p>
        </w:tc>
      </w:tr>
      <w:tr>
        <w:tblPrEx>
          <w:tblCellMar>
            <w:top w:w="0" w:type="dxa"/>
            <w:left w:w="108" w:type="dxa"/>
            <w:bottom w:w="0" w:type="dxa"/>
            <w:right w:w="108" w:type="dxa"/>
          </w:tblCellMar>
        </w:tblPrEx>
        <w:trPr>
          <w:trHeight w:val="958" w:hRule="atLeast"/>
        </w:trPr>
        <w:tc>
          <w:tcPr>
            <w:tcW w:w="112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3、上级监督</w:t>
            </w: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1.1出现问题被上级督办的（市、区城市治理考核“数字考评”案件）；同一问题被多次督办的；出现问题被街道领导点名批评的。</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出现市级问题菜单，每起扣4分，区级问题菜单，每起扣2分；市、区主管领导督办的，每宗扣10分。未整改或整改不力的，额外扣除10分。同一问题被多次督办的，每宗每次额外扣15分。出现问题被街道领导点名批评的，每宗扣10分。</w:t>
            </w:r>
          </w:p>
        </w:tc>
      </w:tr>
      <w:tr>
        <w:tblPrEx>
          <w:tblCellMar>
            <w:top w:w="0" w:type="dxa"/>
            <w:left w:w="108" w:type="dxa"/>
            <w:bottom w:w="0" w:type="dxa"/>
            <w:right w:w="108" w:type="dxa"/>
          </w:tblCellMar>
        </w:tblPrEx>
        <w:trPr>
          <w:trHeight w:val="958" w:hRule="atLeast"/>
        </w:trPr>
        <w:tc>
          <w:tcPr>
            <w:tcW w:w="11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85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1.2 出现市主要领导点名批评的问题。</w:t>
            </w:r>
          </w:p>
        </w:tc>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p>
        </w:tc>
        <w:tc>
          <w:tcPr>
            <w:tcW w:w="39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出现被市主要领导点名批评的，每宗扣 20分。</w:t>
            </w:r>
          </w:p>
        </w:tc>
      </w:tr>
    </w:tbl>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cs="仿宋" w:asciiTheme="minorEastAsia" w:hAnsiTheme="minorEastAsia"/>
          <w:color w:val="000000"/>
          <w:kern w:val="0"/>
          <w:sz w:val="24"/>
          <w:szCs w:val="24"/>
          <w:lang w:val="en-US" w:eastAsia="zh-CN"/>
        </w:rPr>
      </w:pPr>
    </w:p>
    <w:p>
      <w:pPr>
        <w:widowControl/>
        <w:ind w:firstLine="480" w:firstLineChars="200"/>
        <w:jc w:val="left"/>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（九）说明 </w:t>
      </w:r>
    </w:p>
    <w:p>
      <w:pPr>
        <w:widowControl/>
        <w:ind w:firstLine="480" w:firstLineChars="200"/>
        <w:jc w:val="left"/>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 xml:space="preserve">1、本考核管理办法自合同签订后实施，合同执行期间采购人有权根据实际运行情况可作出相应调整，承包单位应无条件服从。 </w:t>
      </w:r>
    </w:p>
    <w:p>
      <w:pPr>
        <w:widowControl/>
        <w:ind w:firstLine="480" w:firstLineChars="200"/>
        <w:jc w:val="left"/>
        <w:rPr>
          <w:rFonts w:hint="eastAsia" w:cs="仿宋" w:asciiTheme="minorEastAsia" w:hAnsiTheme="minorEastAsia"/>
          <w:color w:val="000000"/>
          <w:kern w:val="0"/>
          <w:sz w:val="24"/>
          <w:szCs w:val="24"/>
          <w:lang w:val="en-US" w:eastAsia="zh-CN"/>
        </w:rPr>
      </w:pPr>
      <w:r>
        <w:rPr>
          <w:rFonts w:hint="eastAsia" w:cs="仿宋" w:asciiTheme="minorEastAsia" w:hAnsiTheme="minorEastAsia"/>
          <w:color w:val="000000"/>
          <w:kern w:val="0"/>
          <w:sz w:val="24"/>
          <w:szCs w:val="24"/>
          <w:lang w:val="en-US" w:eastAsia="zh-CN"/>
        </w:rPr>
        <w:t>2、本考核管理办法解释权归江浦街道综合行政执法局。</w:t>
      </w:r>
    </w:p>
    <w:p>
      <w:pPr>
        <w:adjustRightInd w:val="0"/>
        <w:snapToGrid w:val="0"/>
        <w:spacing w:line="312" w:lineRule="auto"/>
        <w:ind w:firstLine="560" w:firstLineChars="200"/>
        <w:rPr>
          <w:rFonts w:cs="宋体" w:asciiTheme="minorEastAsia" w:hAnsiTheme="minorEastAsia"/>
          <w:sz w:val="28"/>
          <w:szCs w:val="28"/>
        </w:rPr>
      </w:pPr>
    </w:p>
    <w:sectPr>
      <w:headerReference r:id="rId4" w:type="first"/>
      <w:headerReference r:id="rId3" w:type="default"/>
      <w:pgSz w:w="11906" w:h="16838"/>
      <w:pgMar w:top="1440" w:right="1800" w:bottom="1440" w:left="1800" w:header="794" w:footer="62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asciiTheme="minorEastAsia" w:hAnsiTheme="minor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yOTA4ZmI5MzAxM2Y4MDZmMzgwY2UxZjQ0YWZhYjAifQ=="/>
  </w:docVars>
  <w:rsids>
    <w:rsidRoot w:val="00BB5AAA"/>
    <w:rsid w:val="000338A9"/>
    <w:rsid w:val="00047BDC"/>
    <w:rsid w:val="0006176E"/>
    <w:rsid w:val="0006361A"/>
    <w:rsid w:val="00090DA2"/>
    <w:rsid w:val="000E74AE"/>
    <w:rsid w:val="00104E2A"/>
    <w:rsid w:val="00106414"/>
    <w:rsid w:val="00126D76"/>
    <w:rsid w:val="00146A96"/>
    <w:rsid w:val="00182319"/>
    <w:rsid w:val="00187D1E"/>
    <w:rsid w:val="001C42DE"/>
    <w:rsid w:val="0021452F"/>
    <w:rsid w:val="00215AD3"/>
    <w:rsid w:val="002215A0"/>
    <w:rsid w:val="00236C21"/>
    <w:rsid w:val="00245511"/>
    <w:rsid w:val="002869DD"/>
    <w:rsid w:val="0028756A"/>
    <w:rsid w:val="002D2DD2"/>
    <w:rsid w:val="00302965"/>
    <w:rsid w:val="00307C0C"/>
    <w:rsid w:val="003234BB"/>
    <w:rsid w:val="0035053E"/>
    <w:rsid w:val="003A0C10"/>
    <w:rsid w:val="003B09FA"/>
    <w:rsid w:val="003E7D18"/>
    <w:rsid w:val="00401B7C"/>
    <w:rsid w:val="00413E4B"/>
    <w:rsid w:val="00416360"/>
    <w:rsid w:val="004217D7"/>
    <w:rsid w:val="00437E5B"/>
    <w:rsid w:val="00446BE9"/>
    <w:rsid w:val="00472BA5"/>
    <w:rsid w:val="00476D97"/>
    <w:rsid w:val="004A3F76"/>
    <w:rsid w:val="004B091D"/>
    <w:rsid w:val="004E1FF8"/>
    <w:rsid w:val="004F716B"/>
    <w:rsid w:val="004F74AD"/>
    <w:rsid w:val="0051214A"/>
    <w:rsid w:val="005965B1"/>
    <w:rsid w:val="005F5E8D"/>
    <w:rsid w:val="00611E3C"/>
    <w:rsid w:val="00644330"/>
    <w:rsid w:val="006521CB"/>
    <w:rsid w:val="00693DA3"/>
    <w:rsid w:val="006A7626"/>
    <w:rsid w:val="006D2939"/>
    <w:rsid w:val="00715F9C"/>
    <w:rsid w:val="0074252B"/>
    <w:rsid w:val="00786FCD"/>
    <w:rsid w:val="007B46D5"/>
    <w:rsid w:val="007D2074"/>
    <w:rsid w:val="007D4203"/>
    <w:rsid w:val="007D4E42"/>
    <w:rsid w:val="007D6CCA"/>
    <w:rsid w:val="007F3DD6"/>
    <w:rsid w:val="007F4950"/>
    <w:rsid w:val="008044A3"/>
    <w:rsid w:val="008426A6"/>
    <w:rsid w:val="00844D6A"/>
    <w:rsid w:val="00874F59"/>
    <w:rsid w:val="008916DB"/>
    <w:rsid w:val="008B707A"/>
    <w:rsid w:val="008C643D"/>
    <w:rsid w:val="008F4253"/>
    <w:rsid w:val="00900C8F"/>
    <w:rsid w:val="0090302F"/>
    <w:rsid w:val="009146A8"/>
    <w:rsid w:val="0092062C"/>
    <w:rsid w:val="00926940"/>
    <w:rsid w:val="00932021"/>
    <w:rsid w:val="009410EE"/>
    <w:rsid w:val="00963909"/>
    <w:rsid w:val="009707AB"/>
    <w:rsid w:val="00985050"/>
    <w:rsid w:val="009A2963"/>
    <w:rsid w:val="009A4D77"/>
    <w:rsid w:val="009D5412"/>
    <w:rsid w:val="009D6115"/>
    <w:rsid w:val="009E38AC"/>
    <w:rsid w:val="009E56D2"/>
    <w:rsid w:val="00A01BE2"/>
    <w:rsid w:val="00A305E6"/>
    <w:rsid w:val="00A354CB"/>
    <w:rsid w:val="00A57114"/>
    <w:rsid w:val="00A650E6"/>
    <w:rsid w:val="00AA32D1"/>
    <w:rsid w:val="00AB21AA"/>
    <w:rsid w:val="00AD3B31"/>
    <w:rsid w:val="00AE0165"/>
    <w:rsid w:val="00AF7C08"/>
    <w:rsid w:val="00B25FE8"/>
    <w:rsid w:val="00B7762D"/>
    <w:rsid w:val="00BA09F0"/>
    <w:rsid w:val="00BB23A9"/>
    <w:rsid w:val="00BB5AAA"/>
    <w:rsid w:val="00BD3CF0"/>
    <w:rsid w:val="00BD70A6"/>
    <w:rsid w:val="00C15676"/>
    <w:rsid w:val="00C20290"/>
    <w:rsid w:val="00C473DA"/>
    <w:rsid w:val="00C47829"/>
    <w:rsid w:val="00C56307"/>
    <w:rsid w:val="00C767DA"/>
    <w:rsid w:val="00C80CBF"/>
    <w:rsid w:val="00CA30E5"/>
    <w:rsid w:val="00CA62EF"/>
    <w:rsid w:val="00CE1022"/>
    <w:rsid w:val="00D10825"/>
    <w:rsid w:val="00D14586"/>
    <w:rsid w:val="00D268AD"/>
    <w:rsid w:val="00D619E5"/>
    <w:rsid w:val="00D71C71"/>
    <w:rsid w:val="00D91E8E"/>
    <w:rsid w:val="00DC07A5"/>
    <w:rsid w:val="00DC5142"/>
    <w:rsid w:val="00DE6374"/>
    <w:rsid w:val="00DF7893"/>
    <w:rsid w:val="00E34698"/>
    <w:rsid w:val="00E975A1"/>
    <w:rsid w:val="00EE6294"/>
    <w:rsid w:val="00EF4108"/>
    <w:rsid w:val="00F269F0"/>
    <w:rsid w:val="00F36042"/>
    <w:rsid w:val="00F43473"/>
    <w:rsid w:val="00F5477C"/>
    <w:rsid w:val="00F71F5D"/>
    <w:rsid w:val="00F9560B"/>
    <w:rsid w:val="00FB18C4"/>
    <w:rsid w:val="00FB1BFF"/>
    <w:rsid w:val="020236B3"/>
    <w:rsid w:val="040556DD"/>
    <w:rsid w:val="08B33959"/>
    <w:rsid w:val="09815806"/>
    <w:rsid w:val="0B2B3C7B"/>
    <w:rsid w:val="0B2F4F40"/>
    <w:rsid w:val="0D046532"/>
    <w:rsid w:val="0D9D0734"/>
    <w:rsid w:val="0DEB5944"/>
    <w:rsid w:val="0E032C8D"/>
    <w:rsid w:val="105E064F"/>
    <w:rsid w:val="1111121D"/>
    <w:rsid w:val="131B2827"/>
    <w:rsid w:val="13FF7A53"/>
    <w:rsid w:val="146C1958"/>
    <w:rsid w:val="150572EB"/>
    <w:rsid w:val="15C146FF"/>
    <w:rsid w:val="191044B0"/>
    <w:rsid w:val="1B5E59A7"/>
    <w:rsid w:val="1C940F54"/>
    <w:rsid w:val="1D083E1C"/>
    <w:rsid w:val="1D3F5364"/>
    <w:rsid w:val="1D474925"/>
    <w:rsid w:val="1E197963"/>
    <w:rsid w:val="1FB913FE"/>
    <w:rsid w:val="205A127D"/>
    <w:rsid w:val="21582E98"/>
    <w:rsid w:val="24741D97"/>
    <w:rsid w:val="258E50DA"/>
    <w:rsid w:val="25ED1E01"/>
    <w:rsid w:val="260B04D9"/>
    <w:rsid w:val="26206FF5"/>
    <w:rsid w:val="28137B19"/>
    <w:rsid w:val="289724F8"/>
    <w:rsid w:val="28F86D6C"/>
    <w:rsid w:val="291B4ED7"/>
    <w:rsid w:val="29D14727"/>
    <w:rsid w:val="2A7A3E7F"/>
    <w:rsid w:val="2AA1282F"/>
    <w:rsid w:val="2B830B12"/>
    <w:rsid w:val="2C7B04A3"/>
    <w:rsid w:val="2D8A43D9"/>
    <w:rsid w:val="2E7F1A64"/>
    <w:rsid w:val="3058256D"/>
    <w:rsid w:val="30722A31"/>
    <w:rsid w:val="30872E52"/>
    <w:rsid w:val="33016EEC"/>
    <w:rsid w:val="36ED4BFB"/>
    <w:rsid w:val="379320DC"/>
    <w:rsid w:val="37F45271"/>
    <w:rsid w:val="38044D88"/>
    <w:rsid w:val="397F6DBC"/>
    <w:rsid w:val="3E0C78AB"/>
    <w:rsid w:val="3F1F4D17"/>
    <w:rsid w:val="3FED3B3B"/>
    <w:rsid w:val="4081166C"/>
    <w:rsid w:val="425468FB"/>
    <w:rsid w:val="42F3741C"/>
    <w:rsid w:val="43F34B4F"/>
    <w:rsid w:val="459260C9"/>
    <w:rsid w:val="45F823D0"/>
    <w:rsid w:val="4629258A"/>
    <w:rsid w:val="46A04ED7"/>
    <w:rsid w:val="484C6A03"/>
    <w:rsid w:val="49A308A5"/>
    <w:rsid w:val="4A437992"/>
    <w:rsid w:val="4A965D14"/>
    <w:rsid w:val="4C7622A1"/>
    <w:rsid w:val="4C891FD4"/>
    <w:rsid w:val="4CB247F7"/>
    <w:rsid w:val="4DA370C6"/>
    <w:rsid w:val="4ECB486C"/>
    <w:rsid w:val="4FA5434D"/>
    <w:rsid w:val="50D37CC2"/>
    <w:rsid w:val="50E772C9"/>
    <w:rsid w:val="51E91246"/>
    <w:rsid w:val="534C3D5B"/>
    <w:rsid w:val="541F321E"/>
    <w:rsid w:val="54A35BFD"/>
    <w:rsid w:val="550D3076"/>
    <w:rsid w:val="550F3292"/>
    <w:rsid w:val="55322DF8"/>
    <w:rsid w:val="564927D4"/>
    <w:rsid w:val="565C036A"/>
    <w:rsid w:val="56F72230"/>
    <w:rsid w:val="57EC1669"/>
    <w:rsid w:val="59103135"/>
    <w:rsid w:val="59965D30"/>
    <w:rsid w:val="5A090264"/>
    <w:rsid w:val="5CA442C0"/>
    <w:rsid w:val="5D63417B"/>
    <w:rsid w:val="60CF7D75"/>
    <w:rsid w:val="60EB4BB4"/>
    <w:rsid w:val="613C540F"/>
    <w:rsid w:val="631E6144"/>
    <w:rsid w:val="64FD3107"/>
    <w:rsid w:val="658B24C1"/>
    <w:rsid w:val="659B022A"/>
    <w:rsid w:val="6796514D"/>
    <w:rsid w:val="67EE6D37"/>
    <w:rsid w:val="68686AEA"/>
    <w:rsid w:val="70A409D2"/>
    <w:rsid w:val="72253366"/>
    <w:rsid w:val="728349EC"/>
    <w:rsid w:val="729515BC"/>
    <w:rsid w:val="74DA2B1D"/>
    <w:rsid w:val="75616D9B"/>
    <w:rsid w:val="7A1A39BC"/>
    <w:rsid w:val="7BBE4218"/>
    <w:rsid w:val="7C7970C0"/>
    <w:rsid w:val="7C9E08D4"/>
    <w:rsid w:val="7D22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2787</Words>
  <Characters>2981</Characters>
  <Lines>20</Lines>
  <Paragraphs>5</Paragraphs>
  <TotalTime>0</TotalTime>
  <ScaleCrop>false</ScaleCrop>
  <LinksUpToDate>false</LinksUpToDate>
  <CharactersWithSpaces>3063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2021-12-01T01:23:00Z</dcterms:created>
  <dc:creator>fengshunkeji</dc:creator>
  <cp:lastModifiedBy>12459</cp:lastModifiedBy>
  <cp:lastPrinted>2023-12-04T03:28:00Z</cp:lastPrinted>
  <dcterms:modified xsi:type="dcterms:W3CDTF">2025-06-06T08:40:45Z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1284989121534102A6EFA9F30CC6C357</vt:lpwstr>
  </property>
  <property fmtid="{D5CDD505-2E9C-101B-9397-08002B2CF9AE}" pid="4" name="KSOTemplateDocerSaveRecord">
    <vt:lpwstr>eyJoZGlkIjoiYmY3NzUzY2U0NDExNjYwOThkOThlMjQ2M2RiZGIyNzUiLCJ1c2VySWQiOiIzODg1MDM2MzYifQ==</vt:lpwstr>
  </property>
</Properties>
</file>