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1D49" w14:textId="77777777" w:rsidR="00523523" w:rsidRDefault="00000000">
      <w:pPr>
        <w:spacing w:line="360" w:lineRule="auto"/>
        <w:jc w:val="center"/>
        <w:rPr>
          <w:rFonts w:ascii="宋体" w:hAnsi="宋体" w:cs="仿宋" w:hint="eastAsia"/>
          <w:b/>
          <w:sz w:val="24"/>
        </w:rPr>
      </w:pPr>
      <w:r>
        <w:rPr>
          <w:rFonts w:ascii="宋体" w:hAnsi="宋体" w:cs="仿宋" w:hint="eastAsia"/>
          <w:b/>
          <w:sz w:val="24"/>
          <w:u w:val="single"/>
        </w:rPr>
        <w:t>常州机电职业技术学院工业产品视觉智能检测实训室采购项目</w:t>
      </w:r>
      <w:r>
        <w:rPr>
          <w:rFonts w:ascii="宋体" w:hAnsi="宋体" w:cs="仿宋" w:hint="eastAsia"/>
          <w:b/>
          <w:sz w:val="24"/>
        </w:rPr>
        <w:t>合同</w:t>
      </w:r>
    </w:p>
    <w:p w14:paraId="5AAB98A7" w14:textId="0120E603" w:rsidR="00523523" w:rsidRDefault="00000000" w:rsidP="00420F87">
      <w:pPr>
        <w:pStyle w:val="a4"/>
        <w:spacing w:line="360" w:lineRule="auto"/>
        <w:ind w:firstLine="220"/>
        <w:rPr>
          <w:rFonts w:eastAsia="宋体" w:hAnsi="宋体" w:cs="仿宋" w:hint="eastAsia"/>
          <w:sz w:val="24"/>
          <w:szCs w:val="24"/>
        </w:rPr>
      </w:pPr>
      <w:r>
        <w:rPr>
          <w:rFonts w:eastAsia="宋体" w:hAnsi="宋体" w:cs="仿宋" w:hint="eastAsia"/>
          <w:sz w:val="24"/>
          <w:szCs w:val="24"/>
        </w:rPr>
        <w:t>甲方:</w:t>
      </w:r>
      <w:r>
        <w:rPr>
          <w:rFonts w:eastAsia="宋体" w:hAnsi="宋体" w:cs="仿宋" w:hint="eastAsia"/>
          <w:b/>
          <w:sz w:val="24"/>
          <w:szCs w:val="24"/>
        </w:rPr>
        <w:t xml:space="preserve"> </w:t>
      </w:r>
      <w:r>
        <w:rPr>
          <w:rFonts w:eastAsia="宋体" w:hAnsi="宋体" w:cs="仿宋" w:hint="eastAsia"/>
          <w:sz w:val="24"/>
          <w:szCs w:val="24"/>
          <w:u w:val="single"/>
        </w:rPr>
        <w:t xml:space="preserve">  常州机电职业技术学院  </w:t>
      </w:r>
      <w:r>
        <w:rPr>
          <w:rFonts w:eastAsia="宋体" w:hAnsi="宋体" w:cs="仿宋" w:hint="eastAsia"/>
          <w:b/>
          <w:sz w:val="24"/>
          <w:szCs w:val="24"/>
        </w:rPr>
        <w:t xml:space="preserve">         </w:t>
      </w:r>
      <w:r>
        <w:rPr>
          <w:rFonts w:eastAsia="宋体" w:hAnsi="宋体" w:cs="仿宋" w:hint="eastAsia"/>
          <w:sz w:val="24"/>
          <w:szCs w:val="24"/>
        </w:rPr>
        <w:t>合同编号：</w:t>
      </w:r>
      <w:r>
        <w:rPr>
          <w:rFonts w:eastAsia="宋体" w:hAnsi="宋体" w:cs="仿宋" w:hint="eastAsia"/>
          <w:sz w:val="24"/>
          <w:szCs w:val="24"/>
          <w:u w:val="single"/>
        </w:rPr>
        <w:t xml:space="preserve">  </w:t>
      </w:r>
      <w:r w:rsidR="00420F87" w:rsidRPr="00420F87">
        <w:rPr>
          <w:rFonts w:eastAsia="宋体" w:hAnsi="宋体" w:cs="仿宋"/>
          <w:sz w:val="24"/>
          <w:szCs w:val="24"/>
          <w:u w:val="single"/>
        </w:rPr>
        <w:t>xc202601001-Z</w:t>
      </w:r>
      <w:r>
        <w:rPr>
          <w:rFonts w:eastAsia="宋体" w:hAnsi="宋体" w:cs="仿宋" w:hint="eastAsia"/>
          <w:sz w:val="24"/>
          <w:szCs w:val="24"/>
          <w:u w:val="single"/>
        </w:rPr>
        <w:t xml:space="preserve">   </w:t>
      </w:r>
    </w:p>
    <w:p w14:paraId="5A0BDD7B" w14:textId="13D132CF" w:rsidR="00523523" w:rsidRDefault="00000000">
      <w:pPr>
        <w:pStyle w:val="a4"/>
        <w:spacing w:line="360" w:lineRule="auto"/>
        <w:ind w:firstLine="220"/>
        <w:rPr>
          <w:rFonts w:eastAsia="宋体" w:hAnsi="宋体" w:cs="仿宋" w:hint="eastAsia"/>
          <w:sz w:val="24"/>
          <w:szCs w:val="24"/>
          <w:u w:val="single"/>
        </w:rPr>
      </w:pPr>
      <w:r>
        <w:rPr>
          <w:rFonts w:eastAsia="宋体" w:hAnsi="宋体" w:cs="仿宋" w:hint="eastAsia"/>
          <w:sz w:val="24"/>
          <w:szCs w:val="24"/>
        </w:rPr>
        <w:t xml:space="preserve">乙方: </w:t>
      </w:r>
      <w:r w:rsidR="00841311" w:rsidRPr="00841311">
        <w:rPr>
          <w:rFonts w:eastAsia="宋体" w:hAnsi="宋体" w:cs="仿宋" w:hint="eastAsia"/>
          <w:sz w:val="24"/>
          <w:szCs w:val="24"/>
          <w:u w:val="single"/>
        </w:rPr>
        <w:t>中国机械总院集团江苏分院有限公司</w:t>
      </w:r>
      <w:r>
        <w:rPr>
          <w:rFonts w:eastAsia="宋体" w:hAnsi="宋体" w:cs="仿宋" w:hint="eastAsia"/>
          <w:b/>
          <w:sz w:val="24"/>
          <w:szCs w:val="24"/>
        </w:rPr>
        <w:t xml:space="preserve"> </w:t>
      </w:r>
      <w:r>
        <w:rPr>
          <w:rFonts w:eastAsia="宋体" w:hAnsi="宋体" w:cs="仿宋" w:hint="eastAsia"/>
          <w:sz w:val="24"/>
          <w:szCs w:val="24"/>
        </w:rPr>
        <w:t xml:space="preserve">签订时间: </w:t>
      </w:r>
      <w:r w:rsidR="00D326F9">
        <w:rPr>
          <w:rFonts w:eastAsia="宋体" w:hAnsi="宋体" w:cs="仿宋" w:hint="eastAsia"/>
          <w:sz w:val="24"/>
          <w:szCs w:val="24"/>
          <w:u w:val="single"/>
        </w:rPr>
        <w:t xml:space="preserve"> </w:t>
      </w:r>
      <w:r w:rsidR="00B37791">
        <w:rPr>
          <w:rFonts w:eastAsia="宋体" w:hAnsi="宋体" w:cs="仿宋" w:hint="eastAsia"/>
          <w:sz w:val="24"/>
          <w:szCs w:val="24"/>
          <w:u w:val="single"/>
        </w:rPr>
        <w:t>2026</w:t>
      </w:r>
      <w:r>
        <w:rPr>
          <w:rFonts w:eastAsia="宋体" w:hAnsi="宋体" w:cs="仿宋" w:hint="eastAsia"/>
          <w:sz w:val="24"/>
          <w:szCs w:val="24"/>
        </w:rPr>
        <w:t>年</w:t>
      </w:r>
      <w:r>
        <w:rPr>
          <w:rFonts w:eastAsia="宋体" w:hAnsi="宋体" w:cs="仿宋" w:hint="eastAsia"/>
          <w:sz w:val="24"/>
          <w:szCs w:val="24"/>
          <w:u w:val="single"/>
        </w:rPr>
        <w:t xml:space="preserve"> </w:t>
      </w:r>
      <w:r w:rsidR="00B37791">
        <w:rPr>
          <w:rFonts w:eastAsia="宋体" w:hAnsi="宋体" w:cs="仿宋" w:hint="eastAsia"/>
          <w:sz w:val="24"/>
          <w:szCs w:val="24"/>
          <w:u w:val="single"/>
        </w:rPr>
        <w:t>1</w:t>
      </w:r>
      <w:r>
        <w:rPr>
          <w:rFonts w:eastAsia="宋体" w:hAnsi="宋体" w:cs="仿宋" w:hint="eastAsia"/>
          <w:sz w:val="24"/>
          <w:szCs w:val="24"/>
        </w:rPr>
        <w:t>月</w:t>
      </w:r>
      <w:r>
        <w:rPr>
          <w:rFonts w:eastAsia="宋体" w:hAnsi="宋体" w:cs="仿宋" w:hint="eastAsia"/>
          <w:sz w:val="24"/>
          <w:szCs w:val="24"/>
          <w:u w:val="single"/>
        </w:rPr>
        <w:t xml:space="preserve"> </w:t>
      </w:r>
      <w:r w:rsidR="00B37791">
        <w:rPr>
          <w:rFonts w:eastAsia="宋体" w:hAnsi="宋体" w:cs="仿宋" w:hint="eastAsia"/>
          <w:sz w:val="24"/>
          <w:szCs w:val="24"/>
          <w:u w:val="single"/>
        </w:rPr>
        <w:t>8</w:t>
      </w:r>
      <w:r>
        <w:rPr>
          <w:rFonts w:eastAsia="宋体" w:hAnsi="宋体" w:cs="仿宋" w:hint="eastAsia"/>
          <w:sz w:val="24"/>
          <w:szCs w:val="24"/>
          <w:u w:val="single"/>
        </w:rPr>
        <w:t xml:space="preserve"> </w:t>
      </w:r>
      <w:r>
        <w:rPr>
          <w:rFonts w:eastAsia="宋体" w:hAnsi="宋体" w:cs="仿宋" w:hint="eastAsia"/>
          <w:sz w:val="24"/>
          <w:szCs w:val="24"/>
        </w:rPr>
        <w:t>日</w:t>
      </w:r>
    </w:p>
    <w:p w14:paraId="7EEC2D86" w14:textId="77777777" w:rsidR="00523523" w:rsidRDefault="00000000">
      <w:pPr>
        <w:spacing w:line="360" w:lineRule="auto"/>
        <w:ind w:firstLine="440"/>
        <w:rPr>
          <w:rFonts w:ascii="宋体" w:hAnsi="宋体" w:cs="仿宋" w:hint="eastAsia"/>
          <w:b/>
          <w:sz w:val="24"/>
        </w:rPr>
      </w:pPr>
      <w:r>
        <w:rPr>
          <w:rFonts w:ascii="宋体" w:hAnsi="宋体" w:cs="仿宋" w:hint="eastAsia"/>
          <w:sz w:val="24"/>
        </w:rPr>
        <w:t>甲、乙双方就</w:t>
      </w:r>
      <w:r>
        <w:rPr>
          <w:rFonts w:ascii="宋体" w:hAnsi="宋体" w:cs="仿宋" w:hint="eastAsia"/>
          <w:sz w:val="24"/>
          <w:u w:val="single"/>
        </w:rPr>
        <w:t>常州机电职业技术学院工业产品视觉智能检测实训室采购项目</w:t>
      </w:r>
      <w:r>
        <w:rPr>
          <w:rFonts w:ascii="宋体" w:hAnsi="宋体" w:cs="仿宋" w:hint="eastAsia"/>
          <w:bCs/>
          <w:sz w:val="24"/>
        </w:rPr>
        <w:t>，</w:t>
      </w:r>
      <w:r>
        <w:rPr>
          <w:rFonts w:ascii="宋体" w:hAnsi="宋体" w:cs="仿宋" w:hint="eastAsia"/>
          <w:sz w:val="24"/>
        </w:rPr>
        <w:t>本着平等互利的原则，通过共同协商，根据</w:t>
      </w:r>
      <w:r>
        <w:rPr>
          <w:rFonts w:ascii="宋体" w:hAnsi="宋体" w:cs="仿宋" w:hint="eastAsia"/>
          <w:bCs/>
          <w:sz w:val="24"/>
        </w:rPr>
        <w:t>《中华人民共和国政府采购法》、《中华人民共和国民法典》</w:t>
      </w:r>
      <w:r>
        <w:rPr>
          <w:rFonts w:ascii="宋体" w:hAnsi="宋体" w:cs="仿宋" w:hint="eastAsia"/>
          <w:sz w:val="24"/>
        </w:rPr>
        <w:t>及有关法律法规，就相关事宜达成如下合同。</w:t>
      </w:r>
    </w:p>
    <w:p w14:paraId="504EB2F6" w14:textId="77777777" w:rsidR="00523523" w:rsidRDefault="00000000">
      <w:pPr>
        <w:pStyle w:val="a4"/>
        <w:spacing w:line="360" w:lineRule="auto"/>
        <w:ind w:firstLine="442"/>
        <w:rPr>
          <w:rFonts w:eastAsia="宋体" w:hAnsi="宋体" w:cs="仿宋" w:hint="eastAsia"/>
          <w:b/>
          <w:sz w:val="24"/>
          <w:szCs w:val="24"/>
        </w:rPr>
      </w:pPr>
      <w:r>
        <w:rPr>
          <w:rFonts w:eastAsia="宋体" w:hAnsi="宋体" w:cs="仿宋" w:hint="eastAsia"/>
          <w:b/>
          <w:sz w:val="24"/>
          <w:szCs w:val="24"/>
        </w:rPr>
        <w:t>一、合同标的</w:t>
      </w:r>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702"/>
        <w:gridCol w:w="4110"/>
        <w:gridCol w:w="425"/>
        <w:gridCol w:w="426"/>
        <w:gridCol w:w="425"/>
        <w:gridCol w:w="851"/>
        <w:gridCol w:w="833"/>
      </w:tblGrid>
      <w:tr w:rsidR="00523523" w:rsidRPr="00867F0E" w14:paraId="1107D00C" w14:textId="77777777" w:rsidTr="00705375">
        <w:trPr>
          <w:trHeight w:val="1154"/>
          <w:jc w:val="center"/>
        </w:trPr>
        <w:tc>
          <w:tcPr>
            <w:tcW w:w="260" w:type="pct"/>
            <w:tcBorders>
              <w:top w:val="single" w:sz="4" w:space="0" w:color="auto"/>
              <w:left w:val="single" w:sz="4" w:space="0" w:color="auto"/>
              <w:bottom w:val="single" w:sz="4" w:space="0" w:color="auto"/>
              <w:right w:val="single" w:sz="4" w:space="0" w:color="auto"/>
            </w:tcBorders>
            <w:vAlign w:val="center"/>
          </w:tcPr>
          <w:p w14:paraId="336B2A5E" w14:textId="77777777" w:rsidR="00523523" w:rsidRPr="00867F0E" w:rsidRDefault="00000000">
            <w:pPr>
              <w:ind w:rightChars="-51" w:right="-107"/>
              <w:jc w:val="center"/>
              <w:rPr>
                <w:rFonts w:ascii="宋体"/>
                <w:b/>
                <w:szCs w:val="21"/>
              </w:rPr>
            </w:pPr>
            <w:r w:rsidRPr="00867F0E">
              <w:rPr>
                <w:rFonts w:ascii="宋体" w:hAnsi="宋体" w:hint="eastAsia"/>
                <w:b/>
                <w:szCs w:val="21"/>
              </w:rPr>
              <w:t>序号</w:t>
            </w:r>
          </w:p>
        </w:tc>
        <w:tc>
          <w:tcPr>
            <w:tcW w:w="428" w:type="pct"/>
            <w:tcBorders>
              <w:top w:val="single" w:sz="4" w:space="0" w:color="auto"/>
              <w:left w:val="single" w:sz="4" w:space="0" w:color="auto"/>
              <w:bottom w:val="single" w:sz="4" w:space="0" w:color="auto"/>
              <w:right w:val="single" w:sz="4" w:space="0" w:color="auto"/>
            </w:tcBorders>
            <w:vAlign w:val="center"/>
          </w:tcPr>
          <w:p w14:paraId="5389BC01" w14:textId="77777777" w:rsidR="00523523" w:rsidRPr="00867F0E" w:rsidRDefault="00000000">
            <w:pPr>
              <w:jc w:val="center"/>
              <w:rPr>
                <w:rFonts w:ascii="宋体"/>
                <w:b/>
                <w:szCs w:val="21"/>
              </w:rPr>
            </w:pPr>
            <w:r w:rsidRPr="00867F0E">
              <w:rPr>
                <w:rFonts w:ascii="宋体" w:hAnsi="宋体" w:hint="eastAsia"/>
                <w:b/>
                <w:szCs w:val="21"/>
              </w:rPr>
              <w:t>名称</w:t>
            </w:r>
          </w:p>
        </w:tc>
        <w:tc>
          <w:tcPr>
            <w:tcW w:w="2507" w:type="pct"/>
            <w:tcBorders>
              <w:top w:val="single" w:sz="4" w:space="0" w:color="auto"/>
              <w:left w:val="single" w:sz="4" w:space="0" w:color="auto"/>
              <w:bottom w:val="single" w:sz="4" w:space="0" w:color="auto"/>
              <w:right w:val="single" w:sz="4" w:space="0" w:color="auto"/>
            </w:tcBorders>
            <w:vAlign w:val="center"/>
          </w:tcPr>
          <w:p w14:paraId="11B37113" w14:textId="77777777" w:rsidR="00523523" w:rsidRPr="00867F0E" w:rsidRDefault="00000000">
            <w:pPr>
              <w:jc w:val="center"/>
              <w:rPr>
                <w:rFonts w:ascii="宋体"/>
                <w:b/>
                <w:szCs w:val="21"/>
              </w:rPr>
            </w:pPr>
            <w:r w:rsidRPr="00867F0E">
              <w:rPr>
                <w:rFonts w:ascii="宋体" w:hint="eastAsia"/>
                <w:b/>
                <w:szCs w:val="21"/>
              </w:rPr>
              <w:t>技术参数</w:t>
            </w:r>
          </w:p>
        </w:tc>
        <w:tc>
          <w:tcPr>
            <w:tcW w:w="259" w:type="pct"/>
            <w:tcBorders>
              <w:top w:val="single" w:sz="4" w:space="0" w:color="auto"/>
              <w:left w:val="single" w:sz="4" w:space="0" w:color="auto"/>
              <w:bottom w:val="single" w:sz="4" w:space="0" w:color="auto"/>
              <w:right w:val="single" w:sz="4" w:space="0" w:color="auto"/>
            </w:tcBorders>
            <w:vAlign w:val="center"/>
          </w:tcPr>
          <w:p w14:paraId="0FDC5576" w14:textId="77777777" w:rsidR="00523523" w:rsidRPr="00705375" w:rsidRDefault="00000000" w:rsidP="00705375">
            <w:pPr>
              <w:rPr>
                <w:rFonts w:ascii="宋体" w:hAnsi="宋体" w:hint="eastAsia"/>
                <w:b/>
                <w:sz w:val="20"/>
                <w:szCs w:val="20"/>
              </w:rPr>
            </w:pPr>
            <w:r w:rsidRPr="00705375">
              <w:rPr>
                <w:rFonts w:ascii="宋体" w:hAnsi="宋体" w:hint="eastAsia"/>
                <w:b/>
                <w:sz w:val="20"/>
                <w:szCs w:val="20"/>
              </w:rPr>
              <w:t>品牌</w:t>
            </w:r>
          </w:p>
        </w:tc>
        <w:tc>
          <w:tcPr>
            <w:tcW w:w="260" w:type="pct"/>
            <w:tcBorders>
              <w:top w:val="single" w:sz="4" w:space="0" w:color="auto"/>
              <w:left w:val="single" w:sz="4" w:space="0" w:color="auto"/>
              <w:bottom w:val="single" w:sz="4" w:space="0" w:color="auto"/>
              <w:right w:val="single" w:sz="4" w:space="0" w:color="auto"/>
            </w:tcBorders>
            <w:vAlign w:val="center"/>
          </w:tcPr>
          <w:p w14:paraId="7F7B2EDD" w14:textId="77777777" w:rsidR="00523523" w:rsidRPr="00867F0E" w:rsidRDefault="00000000">
            <w:pPr>
              <w:jc w:val="center"/>
              <w:rPr>
                <w:rFonts w:ascii="宋体"/>
                <w:b/>
                <w:szCs w:val="21"/>
              </w:rPr>
            </w:pPr>
            <w:r w:rsidRPr="00867F0E">
              <w:rPr>
                <w:rFonts w:ascii="宋体" w:hAnsi="宋体" w:hint="eastAsia"/>
                <w:b/>
                <w:szCs w:val="21"/>
              </w:rPr>
              <w:t>数量</w:t>
            </w:r>
          </w:p>
        </w:tc>
        <w:tc>
          <w:tcPr>
            <w:tcW w:w="259" w:type="pct"/>
            <w:tcBorders>
              <w:top w:val="single" w:sz="4" w:space="0" w:color="auto"/>
              <w:left w:val="single" w:sz="4" w:space="0" w:color="auto"/>
              <w:bottom w:val="single" w:sz="4" w:space="0" w:color="auto"/>
              <w:right w:val="single" w:sz="4" w:space="0" w:color="auto"/>
            </w:tcBorders>
            <w:vAlign w:val="center"/>
          </w:tcPr>
          <w:p w14:paraId="4D5AB97C" w14:textId="77777777" w:rsidR="00523523" w:rsidRPr="00867F0E" w:rsidRDefault="00000000">
            <w:pPr>
              <w:jc w:val="center"/>
              <w:rPr>
                <w:rFonts w:ascii="宋体"/>
                <w:b/>
                <w:szCs w:val="21"/>
              </w:rPr>
            </w:pPr>
            <w:r w:rsidRPr="00867F0E">
              <w:rPr>
                <w:rFonts w:ascii="宋体" w:hAnsi="宋体" w:hint="eastAsia"/>
                <w:b/>
                <w:szCs w:val="21"/>
              </w:rPr>
              <w:t>单位</w:t>
            </w:r>
          </w:p>
        </w:tc>
        <w:tc>
          <w:tcPr>
            <w:tcW w:w="519" w:type="pct"/>
            <w:tcBorders>
              <w:top w:val="single" w:sz="4" w:space="0" w:color="auto"/>
              <w:left w:val="single" w:sz="4" w:space="0" w:color="auto"/>
              <w:bottom w:val="single" w:sz="4" w:space="0" w:color="auto"/>
              <w:right w:val="single" w:sz="4" w:space="0" w:color="auto"/>
            </w:tcBorders>
            <w:vAlign w:val="center"/>
          </w:tcPr>
          <w:p w14:paraId="02F1EA42" w14:textId="77777777" w:rsidR="00523523" w:rsidRPr="00705375" w:rsidRDefault="00000000">
            <w:pPr>
              <w:jc w:val="center"/>
              <w:rPr>
                <w:rFonts w:ascii="宋体"/>
                <w:b/>
                <w:sz w:val="20"/>
                <w:szCs w:val="20"/>
              </w:rPr>
            </w:pPr>
            <w:r w:rsidRPr="00705375">
              <w:rPr>
                <w:rFonts w:ascii="宋体" w:hAnsi="宋体" w:hint="eastAsia"/>
                <w:b/>
                <w:sz w:val="20"/>
                <w:szCs w:val="20"/>
              </w:rPr>
              <w:t>单价（元）</w:t>
            </w:r>
          </w:p>
        </w:tc>
        <w:tc>
          <w:tcPr>
            <w:tcW w:w="507" w:type="pct"/>
            <w:tcBorders>
              <w:top w:val="single" w:sz="4" w:space="0" w:color="auto"/>
              <w:left w:val="single" w:sz="4" w:space="0" w:color="auto"/>
              <w:bottom w:val="single" w:sz="4" w:space="0" w:color="auto"/>
              <w:right w:val="single" w:sz="4" w:space="0" w:color="auto"/>
            </w:tcBorders>
            <w:vAlign w:val="center"/>
          </w:tcPr>
          <w:p w14:paraId="16975262" w14:textId="77777777" w:rsidR="00523523" w:rsidRPr="00705375" w:rsidRDefault="00000000">
            <w:pPr>
              <w:jc w:val="center"/>
              <w:rPr>
                <w:rFonts w:ascii="宋体"/>
                <w:b/>
                <w:sz w:val="20"/>
                <w:szCs w:val="20"/>
              </w:rPr>
            </w:pPr>
            <w:r w:rsidRPr="00705375">
              <w:rPr>
                <w:rFonts w:ascii="宋体" w:hAnsi="宋体" w:hint="eastAsia"/>
                <w:b/>
                <w:sz w:val="20"/>
                <w:szCs w:val="20"/>
              </w:rPr>
              <w:t>金额（元）</w:t>
            </w:r>
          </w:p>
        </w:tc>
      </w:tr>
      <w:tr w:rsidR="003A3E3F" w:rsidRPr="00867F0E" w14:paraId="3988E304" w14:textId="77777777" w:rsidTr="00705375">
        <w:trPr>
          <w:trHeight w:val="454"/>
          <w:jc w:val="center"/>
        </w:trPr>
        <w:tc>
          <w:tcPr>
            <w:tcW w:w="260" w:type="pct"/>
            <w:tcBorders>
              <w:top w:val="single" w:sz="4" w:space="0" w:color="auto"/>
              <w:left w:val="single" w:sz="4" w:space="0" w:color="auto"/>
              <w:bottom w:val="single" w:sz="4" w:space="0" w:color="auto"/>
              <w:right w:val="single" w:sz="4" w:space="0" w:color="auto"/>
            </w:tcBorders>
            <w:vAlign w:val="center"/>
          </w:tcPr>
          <w:p w14:paraId="2ED1CD66" w14:textId="5411DDB2" w:rsidR="003A3E3F" w:rsidRPr="00867F0E" w:rsidRDefault="003A3E3F" w:rsidP="003A3E3F">
            <w:pPr>
              <w:widowControl/>
              <w:jc w:val="center"/>
              <w:rPr>
                <w:rFonts w:ascii="宋体" w:hAnsi="宋体" w:hint="eastAsia"/>
                <w:color w:val="000000"/>
                <w:szCs w:val="21"/>
              </w:rPr>
            </w:pPr>
            <w:r w:rsidRPr="00867F0E">
              <w:rPr>
                <w:rFonts w:ascii="宋体" w:hAnsi="宋体" w:cs="仿宋" w:hint="eastAsia"/>
                <w:sz w:val="24"/>
              </w:rPr>
              <w:t>1</w:t>
            </w:r>
          </w:p>
        </w:tc>
        <w:tc>
          <w:tcPr>
            <w:tcW w:w="428" w:type="pct"/>
            <w:tcBorders>
              <w:top w:val="single" w:sz="4" w:space="0" w:color="auto"/>
              <w:left w:val="nil"/>
              <w:bottom w:val="single" w:sz="4" w:space="0" w:color="auto"/>
              <w:right w:val="single" w:sz="4" w:space="0" w:color="auto"/>
            </w:tcBorders>
            <w:vAlign w:val="center"/>
          </w:tcPr>
          <w:p w14:paraId="62B4907A" w14:textId="2000BAED" w:rsidR="003A3E3F" w:rsidRPr="00867F0E" w:rsidRDefault="003A3E3F" w:rsidP="003A3E3F">
            <w:pPr>
              <w:jc w:val="center"/>
              <w:rPr>
                <w:rFonts w:ascii="华文仿宋" w:eastAsia="华文仿宋" w:hAnsi="华文仿宋" w:hint="eastAsia"/>
                <w:color w:val="000000"/>
                <w:szCs w:val="21"/>
              </w:rPr>
            </w:pPr>
            <w:r w:rsidRPr="00867F0E">
              <w:rPr>
                <w:rFonts w:hAnsi="宋体" w:cs="宋体" w:hint="eastAsia"/>
                <w:szCs w:val="21"/>
              </w:rPr>
              <w:t>2D</w:t>
            </w:r>
            <w:r w:rsidRPr="00867F0E">
              <w:rPr>
                <w:rFonts w:hAnsi="宋体" w:cs="宋体" w:hint="eastAsia"/>
                <w:szCs w:val="21"/>
              </w:rPr>
              <w:t>工业视觉智能检测实训平台</w:t>
            </w:r>
          </w:p>
        </w:tc>
        <w:tc>
          <w:tcPr>
            <w:tcW w:w="2507" w:type="pct"/>
            <w:tcBorders>
              <w:top w:val="single" w:sz="4" w:space="0" w:color="auto"/>
              <w:left w:val="single" w:sz="4" w:space="0" w:color="auto"/>
              <w:right w:val="single" w:sz="4" w:space="0" w:color="auto"/>
            </w:tcBorders>
            <w:vAlign w:val="center"/>
          </w:tcPr>
          <w:p w14:paraId="192BBB6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该平台需集成机器视觉系统、机械臂、PLC控制、传动系统等核心模块，具备“视觉检测+机械臂协作+自动化控制”的全流程实训能力，支持工业视觉算法验证、机械臂分拣应用、PLC与总线通信等教学与实训项目，满足职业教育或企业培训对工业视觉智能检测技术的实践需求。</w:t>
            </w:r>
          </w:p>
          <w:p w14:paraId="3DC02A2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1平台整体要求</w:t>
            </w:r>
          </w:p>
          <w:p w14:paraId="101D7FD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1.1功能定位</w:t>
            </w:r>
          </w:p>
          <w:p w14:paraId="56BF4AD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1.1.1集成机器视觉系统、机械臂、PLC控制、传动系统等核心模块，具备“视觉检测+机械臂协作+自动化控制”全流程实训能力。能够满足1.1.2中所有案例的实训功能。</w:t>
            </w:r>
          </w:p>
          <w:p w14:paraId="03A779E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1.1.2包含但不限于以下实训案例，锂电池极片毛刺检测、手机内屏缺陷检测、五金零件物料分拣、字符及多码场景识别、钣金冲压件测量、水晶头接口几何公差测量、光伏硅片尺寸测量系统应用、飞拍定位放料应用零部件贴合定位。</w:t>
            </w:r>
          </w:p>
          <w:p w14:paraId="4AFCF55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1.1.3根据实训案例，提供不低于200页的实训手册。</w:t>
            </w:r>
          </w:p>
          <w:p w14:paraId="655D546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1.2设备外形尺寸：L*W*H(mm)=1000±100mm*1000±100mm *1950±50mm</w:t>
            </w:r>
          </w:p>
          <w:p w14:paraId="487B39D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1.3设备气源要求：0.6-0.8 Mpa</w:t>
            </w:r>
          </w:p>
          <w:p w14:paraId="3A680D0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1.4设备电压：单相220V，50HZ</w:t>
            </w:r>
          </w:p>
          <w:p w14:paraId="44C8D0C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2视觉采集单元</w:t>
            </w:r>
          </w:p>
          <w:p w14:paraId="66FD8F0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 线扫相机</w:t>
            </w:r>
          </w:p>
          <w:p w14:paraId="2865A0C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 传感器：工业级 CMOS 全局快门结构。</w:t>
            </w:r>
          </w:p>
          <w:p w14:paraId="5DD55E2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2.1.2 有效分辨率：2048×1 像素，允许偏差 ±5%。</w:t>
            </w:r>
          </w:p>
          <w:p w14:paraId="5D8943D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2.1.3 像元尺寸：14×14 μm，允许偏差 ±5%。</w:t>
            </w:r>
          </w:p>
          <w:p w14:paraId="75FDB61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2.1.4 行频：57.1 kHz，允许偏差 ±5%。</w:t>
            </w:r>
          </w:p>
          <w:p w14:paraId="213EDE9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 数据接口：GigE 千兆以太网，支持 PoE；带宽 ≥1 Gbps。</w:t>
            </w:r>
          </w:p>
          <w:p w14:paraId="03EEA2C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2.1.6 光学接口：M42×1.0 标准接口。</w:t>
            </w:r>
          </w:p>
          <w:p w14:paraId="74E73DD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2.1.7 曝光时间：1 μs～50 ms 可调。</w:t>
            </w:r>
          </w:p>
          <w:p w14:paraId="663BB4D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2.1.8 图像格式：Mono 8/10/12 bit，含 10Packed、12Packed。</w:t>
            </w:r>
          </w:p>
          <w:p w14:paraId="1B94CF2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2.1.9 动态范围：69.9 dB，允许偏差 ±5%。</w:t>
            </w:r>
          </w:p>
          <w:p w14:paraId="36DBF67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2.1.10 电源输入：12～24 V DC。</w:t>
            </w:r>
          </w:p>
          <w:p w14:paraId="2F8B114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2.1.11 功耗：2.5 W@24 VDC，允许偏差 ±5%。</w:t>
            </w:r>
          </w:p>
          <w:p w14:paraId="052235F9" w14:textId="77777777" w:rsidR="00867F0E" w:rsidRPr="00867F0E" w:rsidRDefault="00867F0E" w:rsidP="00867F0E">
            <w:pPr>
              <w:widowControl/>
              <w:jc w:val="left"/>
              <w:rPr>
                <w:rFonts w:ascii="宋体" w:hAnsi="宋体" w:cs="宋体" w:hint="eastAsia"/>
                <w:szCs w:val="21"/>
              </w:rPr>
            </w:pPr>
            <w:r w:rsidRPr="00867F0E">
              <w:rPr>
                <w:rFonts w:ascii="宋体" w:hAnsi="宋体" w:cs="宋体"/>
                <w:szCs w:val="21"/>
              </w:rPr>
              <w:t xml:space="preserve">2.1.12 </w:t>
            </w:r>
            <w:r w:rsidRPr="00867F0E">
              <w:rPr>
                <w:rFonts w:ascii="宋体" w:hAnsi="宋体" w:cs="宋体" w:hint="eastAsia"/>
                <w:szCs w:val="21"/>
              </w:rPr>
              <w:t>工作温度：</w:t>
            </w:r>
            <w:r w:rsidRPr="00867F0E">
              <w:rPr>
                <w:rFonts w:ascii="宋体" w:hAnsi="宋体" w:cs="宋体"/>
                <w:szCs w:val="21"/>
              </w:rPr>
              <w:t>0</w:t>
            </w:r>
            <w:r w:rsidRPr="00867F0E">
              <w:rPr>
                <w:rFonts w:ascii="宋体" w:hAnsi="宋体" w:cs="宋体" w:hint="eastAsia"/>
                <w:szCs w:val="21"/>
              </w:rPr>
              <w:t>℃～</w:t>
            </w:r>
            <w:r w:rsidRPr="00867F0E">
              <w:rPr>
                <w:rFonts w:ascii="宋体" w:hAnsi="宋体" w:cs="宋体"/>
                <w:szCs w:val="21"/>
              </w:rPr>
              <w:t>+50</w:t>
            </w:r>
            <w:r w:rsidRPr="00867F0E">
              <w:rPr>
                <w:rFonts w:ascii="宋体" w:hAnsi="宋体" w:cs="宋体" w:hint="eastAsia"/>
                <w:szCs w:val="21"/>
              </w:rPr>
              <w:t>℃；存储温度</w:t>
            </w:r>
            <w:r w:rsidRPr="00867F0E">
              <w:rPr>
                <w:rFonts w:ascii="宋体" w:hAnsi="宋体" w:cs="宋体"/>
                <w:szCs w:val="21"/>
              </w:rPr>
              <w:t xml:space="preserve"> </w:t>
            </w:r>
            <w:r w:rsidRPr="00867F0E">
              <w:rPr>
                <w:rFonts w:ascii="Cambria Math" w:hAnsi="Cambria Math" w:cs="Cambria Math"/>
                <w:szCs w:val="21"/>
              </w:rPr>
              <w:t>−</w:t>
            </w:r>
            <w:r w:rsidRPr="00867F0E">
              <w:rPr>
                <w:rFonts w:ascii="宋体" w:hAnsi="宋体" w:cs="宋体"/>
                <w:szCs w:val="21"/>
              </w:rPr>
              <w:t>30</w:t>
            </w:r>
            <w:r w:rsidRPr="00867F0E">
              <w:rPr>
                <w:rFonts w:ascii="宋体" w:hAnsi="宋体" w:cs="宋体" w:hint="eastAsia"/>
                <w:szCs w:val="21"/>
              </w:rPr>
              <w:t>℃～</w:t>
            </w:r>
            <w:r w:rsidRPr="00867F0E">
              <w:rPr>
                <w:rFonts w:ascii="宋体" w:hAnsi="宋体" w:cs="宋体"/>
                <w:szCs w:val="21"/>
              </w:rPr>
              <w:t>+80</w:t>
            </w:r>
            <w:r w:rsidRPr="00867F0E">
              <w:rPr>
                <w:rFonts w:ascii="宋体" w:hAnsi="宋体" w:cs="宋体" w:hint="eastAsia"/>
                <w:szCs w:val="21"/>
              </w:rPr>
              <w:t>℃。</w:t>
            </w:r>
          </w:p>
          <w:p w14:paraId="0C7D43E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2.1.13 GPIO：≥6 路 I/O（含隔离输入/输出）。</w:t>
            </w:r>
          </w:p>
          <w:p w14:paraId="3CA2184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2.1.14 通讯协议：兼容 GigE Vision、GenICam 标准。</w:t>
            </w:r>
          </w:p>
          <w:p w14:paraId="318B550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2.1.15 成像类型：黑白。</w:t>
            </w:r>
          </w:p>
          <w:p w14:paraId="494AE96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 线扫镜头</w:t>
            </w:r>
          </w:p>
          <w:p w14:paraId="59E9F7A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2.2.1 焦距：40 mm，允许偏差 ±5%。</w:t>
            </w:r>
          </w:p>
          <w:p w14:paraId="7FCEA19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2.2.2 工作距离：1000 mm、400 mm、260 mm（三级），允许偏差 ±5%。</w:t>
            </w:r>
          </w:p>
          <w:p w14:paraId="3519716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2.2.3 光圈范围：F4.0～F22。</w:t>
            </w:r>
          </w:p>
          <w:p w14:paraId="2C21212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2.2.4 放大倍率：0.04×～0.16×，允许偏差 ±5%。</w:t>
            </w:r>
          </w:p>
          <w:p w14:paraId="0E02157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2.2.5 靶面直径：30 mm，允许偏差 ±5%。</w:t>
            </w:r>
          </w:p>
          <w:p w14:paraId="00FD209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2.2.6 畸变：≤0.5%，允许偏差 ±5%。</w:t>
            </w:r>
          </w:p>
          <w:p w14:paraId="09D8DFF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2.2.7 法兰距：12 mm，允许偏差 ±5%。</w:t>
            </w:r>
          </w:p>
          <w:p w14:paraId="60157BD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2.2.8 接口：M42。</w:t>
            </w:r>
          </w:p>
          <w:p w14:paraId="333C124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2.2.9 滤镜螺纹：M37.5×0.5。</w:t>
            </w:r>
          </w:p>
          <w:p w14:paraId="2294F31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 高亮线形光源</w:t>
            </w:r>
          </w:p>
          <w:p w14:paraId="473DE0D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2.3.1 发光颜色：白光。</w:t>
            </w:r>
          </w:p>
          <w:p w14:paraId="2BE86AA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2.3.2 功率：约 67 W@24 VDC，允许偏差 ±5%。</w:t>
            </w:r>
          </w:p>
          <w:p w14:paraId="0E4F955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2.3.3 发光面长度：170 mm，允许偏差 ±5%。</w:t>
            </w:r>
          </w:p>
          <w:p w14:paraId="1E2188F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2.3.4 外壳长度：188 mm，允许偏差 ±5%。</w:t>
            </w:r>
          </w:p>
          <w:p w14:paraId="0791565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2.3.5 光照均匀度：≥90%。</w:t>
            </w:r>
          </w:p>
          <w:p w14:paraId="6DA8ECF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2.3.6 驱动方式：恒流，支持常亮与频闪。</w:t>
            </w:r>
          </w:p>
          <w:p w14:paraId="0497988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2.3.7装有散热风扇</w:t>
            </w:r>
          </w:p>
          <w:p w14:paraId="46C3099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 光源控制器</w:t>
            </w:r>
          </w:p>
          <w:p w14:paraId="4353FFE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2.4.1 输入电压：5～24 V；增亮频闪最高至 48 V。</w:t>
            </w:r>
          </w:p>
          <w:p w14:paraId="088D528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2.4.2 最大输出电流：6 A，允许偏差 ±5%。</w:t>
            </w:r>
          </w:p>
          <w:p w14:paraId="30A2F5E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2.4.3 发光模式：常亮/频闪。</w:t>
            </w:r>
          </w:p>
          <w:p w14:paraId="76C187D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2.4.4 自动检测额定电流：200 mA～6 A（适配 5～24 V 光源）。</w:t>
            </w:r>
          </w:p>
          <w:p w14:paraId="7985683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2.4.5 手动最大输出电流：25 mA～6 A 可设。</w:t>
            </w:r>
          </w:p>
          <w:p w14:paraId="0DFD1F9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2.4.6 亮度调节：256 级，步进精度 ≥1%。</w:t>
            </w:r>
          </w:p>
          <w:p w14:paraId="42B2A51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2.4.7 触发方式及能力：电平触发、响应时间 ≤10 μs；频率 ≤40 kHz。</w:t>
            </w:r>
          </w:p>
          <w:p w14:paraId="5A7397F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2.4.8 输出通道：2 通道；输出功率 144 W/CH，允许偏差 ±5%。</w:t>
            </w:r>
          </w:p>
          <w:p w14:paraId="1F9A360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2.4.9 通讯方式：RS232/以太网。</w:t>
            </w:r>
          </w:p>
          <w:p w14:paraId="7A16723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2.4.10 保护功能：短路/过流/过载保护。</w:t>
            </w:r>
          </w:p>
          <w:p w14:paraId="4A28AE7A" w14:textId="77777777" w:rsidR="00867F0E" w:rsidRPr="00867F0E" w:rsidRDefault="00867F0E" w:rsidP="00867F0E">
            <w:pPr>
              <w:widowControl/>
              <w:jc w:val="left"/>
              <w:rPr>
                <w:rFonts w:ascii="宋体" w:hAnsi="宋体" w:cs="宋体" w:hint="eastAsia"/>
                <w:szCs w:val="21"/>
              </w:rPr>
            </w:pPr>
            <w:r w:rsidRPr="00867F0E">
              <w:rPr>
                <w:rFonts w:ascii="宋体" w:hAnsi="宋体" w:cs="宋体"/>
                <w:szCs w:val="21"/>
              </w:rPr>
              <w:t xml:space="preserve">2.4.11 </w:t>
            </w:r>
            <w:r w:rsidRPr="00867F0E">
              <w:rPr>
                <w:rFonts w:ascii="宋体" w:hAnsi="宋体" w:cs="宋体" w:hint="eastAsia"/>
                <w:szCs w:val="21"/>
              </w:rPr>
              <w:t>工作温度：</w:t>
            </w:r>
            <w:r w:rsidRPr="00867F0E">
              <w:rPr>
                <w:rFonts w:ascii="Cambria Math" w:hAnsi="Cambria Math" w:cs="Cambria Math"/>
                <w:szCs w:val="21"/>
              </w:rPr>
              <w:t>−</w:t>
            </w:r>
            <w:r w:rsidRPr="00867F0E">
              <w:rPr>
                <w:rFonts w:ascii="宋体" w:hAnsi="宋体" w:cs="宋体"/>
                <w:szCs w:val="21"/>
              </w:rPr>
              <w:t>5</w:t>
            </w:r>
            <w:r w:rsidRPr="00867F0E">
              <w:rPr>
                <w:rFonts w:ascii="宋体" w:hAnsi="宋体" w:cs="宋体" w:hint="eastAsia"/>
                <w:szCs w:val="21"/>
              </w:rPr>
              <w:t>℃～</w:t>
            </w:r>
            <w:r w:rsidRPr="00867F0E">
              <w:rPr>
                <w:rFonts w:ascii="宋体" w:hAnsi="宋体" w:cs="宋体"/>
                <w:szCs w:val="21"/>
              </w:rPr>
              <w:t>+50</w:t>
            </w:r>
            <w:r w:rsidRPr="00867F0E">
              <w:rPr>
                <w:rFonts w:ascii="宋体" w:hAnsi="宋体" w:cs="宋体" w:hint="eastAsia"/>
                <w:szCs w:val="21"/>
              </w:rPr>
              <w:t>℃。</w:t>
            </w:r>
          </w:p>
          <w:p w14:paraId="15BA59F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 面阵相机（黑白）</w:t>
            </w:r>
          </w:p>
          <w:p w14:paraId="2919EB7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2.5.1 分辨率：2448×2048 像素，允许偏差 ±5%。</w:t>
            </w:r>
          </w:p>
          <w:p w14:paraId="626AF77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2.5.2 像元尺寸：3.4×3.4 μm，允许偏差 ±5%。</w:t>
            </w:r>
          </w:p>
          <w:p w14:paraId="3CA3814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2.5.3 传感器：CMOS 帧曝光；快门：全局。</w:t>
            </w:r>
          </w:p>
          <w:p w14:paraId="67A2F80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2.5.4 帧率：≥23 fps，允许偏差 ±5%。</w:t>
            </w:r>
          </w:p>
          <w:p w14:paraId="7211F4B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2.5.5 芯片尺寸：2/3″。</w:t>
            </w:r>
          </w:p>
          <w:p w14:paraId="35E5F7F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2.5.6 数据接口：GigE PoE；光学接口：C-Mount。</w:t>
            </w:r>
          </w:p>
          <w:p w14:paraId="526645F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2.5.7 曝光：1 μs～1 s 可调。</w:t>
            </w:r>
          </w:p>
          <w:p w14:paraId="3898393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2.5.8 图像格式：Mono 8/10/12/10Packed/12Packed。</w:t>
            </w:r>
          </w:p>
          <w:p w14:paraId="42D84DF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2.5.9 增益范围：1～16 dB，允许偏差 ±5%。</w:t>
            </w:r>
          </w:p>
          <w:p w14:paraId="7F35070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2.5.10 动态范围：68.8 dB，允许偏差 ±5%。</w:t>
            </w:r>
          </w:p>
          <w:p w14:paraId="305A834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2.5.11 供电：PoE 或 9～24 V DC；功耗 ≤3 W（±5%）。</w:t>
            </w:r>
          </w:p>
          <w:p w14:paraId="1B6A695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2.5.12 工作温度：0℃～+50℃。</w:t>
            </w:r>
          </w:p>
          <w:p w14:paraId="5C58442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2.5.13 协议：GigE Vision 2.0、GenICam。</w:t>
            </w:r>
          </w:p>
          <w:p w14:paraId="413BC80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2.5.14 成像类型：黑白。</w:t>
            </w:r>
          </w:p>
          <w:p w14:paraId="2D75033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 面阵相机（彩色）</w:t>
            </w:r>
          </w:p>
          <w:p w14:paraId="7D0A276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2.6.1 分辨率：2448×2048 像素，允许偏差 ±5%。</w:t>
            </w:r>
          </w:p>
          <w:p w14:paraId="099792D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2.6.2 像元尺寸：3.4×3.4 μm，允许偏差 ±5%。</w:t>
            </w:r>
          </w:p>
          <w:p w14:paraId="16E9CAF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2.6.3 传感器：CMOS 帧曝光；快门：全局。</w:t>
            </w:r>
          </w:p>
          <w:p w14:paraId="221CB67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2.6.4 帧率：≥23 fps，允许偏差 ±5%。</w:t>
            </w:r>
          </w:p>
          <w:p w14:paraId="4291687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2.6.5 芯片尺寸：2/3″。</w:t>
            </w:r>
          </w:p>
          <w:p w14:paraId="5F61B0F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2.6.6 数据接口：GigE PoE；光学接口：C-Mount。</w:t>
            </w:r>
          </w:p>
          <w:p w14:paraId="41CFBB3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2.6.7 曝光：6 μs～4 s 可调。</w:t>
            </w:r>
          </w:p>
          <w:p w14:paraId="594F117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2.6.8 图像格式：支持 Mono、Bayer、YUV、RGB/BGR 等多格式。</w:t>
            </w:r>
          </w:p>
          <w:p w14:paraId="495ECBB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2.6.9 增益范围：1～16 dB，允许偏差 ±5%。</w:t>
            </w:r>
          </w:p>
          <w:p w14:paraId="54B912A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2.6.10 动态范围：68.8 dB，允许偏差 ±5%。</w:t>
            </w:r>
          </w:p>
          <w:p w14:paraId="5B0C6F5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2.6.11 供电：PoE 或 9～24 V DC；功耗 ≤3.6 W（±5%）。</w:t>
            </w:r>
          </w:p>
          <w:p w14:paraId="0718806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2.6.12 工作温度：0℃～+50℃。</w:t>
            </w:r>
          </w:p>
          <w:p w14:paraId="5202A57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2.6.13 协议：GigE Vision 2.0、GenICam。</w:t>
            </w:r>
          </w:p>
          <w:p w14:paraId="4A91B87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2.6.14 成像类型：彩色。</w:t>
            </w:r>
          </w:p>
          <w:p w14:paraId="535E93F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 定焦镜头</w:t>
            </w:r>
          </w:p>
          <w:p w14:paraId="6E5EF8F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2.7.1 焦距：16 mm，允许偏差 ±5%。</w:t>
            </w:r>
          </w:p>
          <w:p w14:paraId="4C82093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2.7.2 工作距离：150 mm～∞。</w:t>
            </w:r>
          </w:p>
          <w:p w14:paraId="33A7D1E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2.7.3 光圈范围：F1.8～F16。</w:t>
            </w:r>
          </w:p>
          <w:p w14:paraId="482C65B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2.7.4 适配靶面：1/3″～2/3″；成像圆直径 11 mm。</w:t>
            </w:r>
          </w:p>
          <w:p w14:paraId="6A47967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2.7.5 畸变：&lt;0.2%，允许偏差 ±5%。</w:t>
            </w:r>
          </w:p>
          <w:p w14:paraId="576443C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2.7.6 接口：C-Mount；滤镜螺纹：M30.5×0.5。</w:t>
            </w:r>
          </w:p>
          <w:p w14:paraId="3C88D60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2.8 定焦镜头（25 mm）</w:t>
            </w:r>
          </w:p>
          <w:p w14:paraId="68878EE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2.8.1 焦距：25 mm，允许偏差 ±5%。</w:t>
            </w:r>
          </w:p>
          <w:p w14:paraId="33811A6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2.8.2 工作距离：200 mm～∞。</w:t>
            </w:r>
          </w:p>
          <w:p w14:paraId="7ADE413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2.8.3 光圈范围：F1.4～F16。</w:t>
            </w:r>
          </w:p>
          <w:p w14:paraId="3B78175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2.8.4 适配靶面：1/3″～2/3″；成像圆直径 11 mm。</w:t>
            </w:r>
          </w:p>
          <w:p w14:paraId="09237DE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2.8.5 畸变：&lt;0.3%，允许偏差 ±5%。</w:t>
            </w:r>
          </w:p>
          <w:p w14:paraId="31A0F97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2.8.6 接口：C-Mount；滤镜螺纹：M30.5×0.5。</w:t>
            </w:r>
          </w:p>
          <w:p w14:paraId="078EB36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2.9 定焦镜头（35 mm）</w:t>
            </w:r>
          </w:p>
          <w:p w14:paraId="08845AB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2.9.1 焦距：35 mm，允许偏差 ±5%。</w:t>
            </w:r>
          </w:p>
          <w:p w14:paraId="58990D7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2.9.2 工作距离：390 mm～∞。</w:t>
            </w:r>
          </w:p>
          <w:p w14:paraId="02A5CEF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2.9.3 光圈范围：F1.4～F16。</w:t>
            </w:r>
          </w:p>
          <w:p w14:paraId="2E02B46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2.9.4 适配靶面：2/3″（成像圆 11 mm），兼容 1/3″～1/1.8″。</w:t>
            </w:r>
          </w:p>
          <w:p w14:paraId="38D07E6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2.9.5 畸变：&lt;0.1%，允许偏差 ±5%。</w:t>
            </w:r>
          </w:p>
          <w:p w14:paraId="318D5CB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2.9.6 接口：C-Mount；滤镜螺纹：M30.5×0.5。</w:t>
            </w:r>
          </w:p>
          <w:p w14:paraId="172A3CD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 远心镜头</w:t>
            </w:r>
          </w:p>
          <w:p w14:paraId="4A6C903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2.10.1 工作距离：110 mm，允许偏差 ±5%。</w:t>
            </w:r>
          </w:p>
          <w:p w14:paraId="41E684B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2.10.2 光圈：F6.5，允许偏差 ±5%。</w:t>
            </w:r>
          </w:p>
          <w:p w14:paraId="437D894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2.10.3 放大倍率：0.3×，允许偏差 ±5%。</w:t>
            </w:r>
          </w:p>
          <w:p w14:paraId="4207BF0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2.10.4 靶面直径：11 mm（2/3″），允许偏差 ±5%。</w:t>
            </w:r>
          </w:p>
          <w:p w14:paraId="3E39759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2.10.5 畸变：&lt;0.1%，允许偏差 ±5%。</w:t>
            </w:r>
          </w:p>
          <w:p w14:paraId="3D62201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2.10.6 景深：约 6 mm，允许偏差 ±5%。</w:t>
            </w:r>
          </w:p>
          <w:p w14:paraId="7874F4B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2.10.7 远心度：≤0.1°。</w:t>
            </w:r>
          </w:p>
          <w:p w14:paraId="39DC970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 环形光源</w:t>
            </w:r>
          </w:p>
          <w:p w14:paraId="5E99AD5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2.11.1 发光颜色：白光。</w:t>
            </w:r>
          </w:p>
          <w:p w14:paraId="489BFAB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2.11.2 入射角：45°。</w:t>
            </w:r>
          </w:p>
          <w:p w14:paraId="22EDE79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2.11.3 功率：约 11.3 W@24 V，允许偏差 ±5%。</w:t>
            </w:r>
          </w:p>
          <w:p w14:paraId="1BDB678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2.11.4 外径尺寸：120 mm，允许偏差 ±5%。</w:t>
            </w:r>
          </w:p>
          <w:p w14:paraId="4B1F525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2.12 环形光源</w:t>
            </w:r>
          </w:p>
          <w:p w14:paraId="0BA6216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2.12.1 发光颜色：白光。</w:t>
            </w:r>
          </w:p>
          <w:p w14:paraId="7F5C51C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2.12.2 入射角：0°。</w:t>
            </w:r>
          </w:p>
          <w:p w14:paraId="13BACFB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2.12.3 功率：约 9.1 W@24 V，允许偏差 ±5%。</w:t>
            </w:r>
          </w:p>
          <w:p w14:paraId="00C023D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2.12.4 通道：单通道。</w:t>
            </w:r>
          </w:p>
          <w:p w14:paraId="662C6A1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2.12.5 外径尺寸：120 mm，允许偏差 ±5%。</w:t>
            </w:r>
          </w:p>
          <w:p w14:paraId="50EFC76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2.13 底部背光源</w:t>
            </w:r>
          </w:p>
          <w:p w14:paraId="19C1C32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2.13.1 发光颜色：蓝光。</w:t>
            </w:r>
          </w:p>
          <w:p w14:paraId="3968E8B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2.13.2 功率：约 5.3 W@24 V，允许偏差 ±5%。</w:t>
            </w:r>
          </w:p>
          <w:p w14:paraId="08B39E4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2.13.3 外形长度：70 mm；发光面长度：58 mm（均允许偏差 ±5%）。</w:t>
            </w:r>
          </w:p>
          <w:p w14:paraId="6DCACFD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2.13.4 通道：单通道。</w:t>
            </w:r>
          </w:p>
          <w:p w14:paraId="18938B9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2.14 高指向面光源</w:t>
            </w:r>
          </w:p>
          <w:p w14:paraId="6F5E499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2.14.1 发光颜色：蓝光。</w:t>
            </w:r>
          </w:p>
          <w:p w14:paraId="0F3AE34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2.14.2 功率：约 26.2 W@24 V，允许偏差 ±5%。</w:t>
            </w:r>
          </w:p>
          <w:p w14:paraId="612CF89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2.14.3 外形长度：200 mm；发光面长度：188 mm（均允许偏差 ±5%）。</w:t>
            </w:r>
          </w:p>
          <w:p w14:paraId="1548EF9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2.14.4装有增光膜和扩散板，可抑制特定方向扩散光。</w:t>
            </w:r>
          </w:p>
          <w:p w14:paraId="2A1BC1E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2.14.5能通过软件控制光源亮灭和亮度等级。</w:t>
            </w:r>
          </w:p>
          <w:p w14:paraId="05E9A8A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 光源控制器</w:t>
            </w:r>
          </w:p>
          <w:p w14:paraId="6FF81FA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2.15.1 输入电压：AC 100～240 V，50/60 Hz。</w:t>
            </w:r>
          </w:p>
          <w:p w14:paraId="1CE335B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2.15.2 输出能力：单通道 10 mA～2 A（24 V 光源），允许偏差 ±5%。</w:t>
            </w:r>
          </w:p>
          <w:p w14:paraId="5390849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2.15.3 发光模式：常亮/频闪；亮度 256 级可设。</w:t>
            </w:r>
          </w:p>
          <w:p w14:paraId="6A3CAB1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2.15.4 触发能力：响应时间 ≤30 μs；频率 ≤10 kHz。</w:t>
            </w:r>
          </w:p>
          <w:p w14:paraId="347D723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2.15.5 保护与安规：短路/过流保护；耐压 AC1500 V/1 min，绝缘电阻 ≥20 MΩ（DC500 V）；待机功耗 ≤3.2 W。</w:t>
            </w:r>
          </w:p>
          <w:p w14:paraId="4B92A8E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2.15.6 输出功率：48 W/CH，允许偏差 ±5%（总功率不低于 48 W）。</w:t>
            </w:r>
          </w:p>
          <w:p w14:paraId="54667D5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2.15.7 触发模式：支持可编程流程（≥64 组），亮度/脉宽/触发源可设。</w:t>
            </w:r>
          </w:p>
          <w:p w14:paraId="7AE40B4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2.15.8 通讯：至少1路以太网和1路RS232。</w:t>
            </w:r>
          </w:p>
          <w:p w14:paraId="1991D9B2" w14:textId="77777777" w:rsidR="00867F0E" w:rsidRPr="00867F0E" w:rsidRDefault="00867F0E" w:rsidP="00867F0E">
            <w:pPr>
              <w:widowControl/>
              <w:jc w:val="left"/>
              <w:rPr>
                <w:rFonts w:ascii="宋体" w:hAnsi="宋体" w:cs="宋体" w:hint="eastAsia"/>
                <w:szCs w:val="21"/>
              </w:rPr>
            </w:pPr>
            <w:r w:rsidRPr="00867F0E">
              <w:rPr>
                <w:rFonts w:ascii="宋体" w:hAnsi="宋体" w:cs="宋体"/>
                <w:szCs w:val="21"/>
              </w:rPr>
              <w:t xml:space="preserve">2.15.9 </w:t>
            </w:r>
            <w:r w:rsidRPr="00867F0E">
              <w:rPr>
                <w:rFonts w:ascii="宋体" w:hAnsi="宋体" w:cs="宋体" w:hint="eastAsia"/>
                <w:szCs w:val="21"/>
              </w:rPr>
              <w:t>工作温度：</w:t>
            </w:r>
            <w:r w:rsidRPr="00867F0E">
              <w:rPr>
                <w:rFonts w:ascii="Cambria Math" w:hAnsi="Cambria Math" w:cs="Cambria Math"/>
                <w:szCs w:val="21"/>
              </w:rPr>
              <w:t>−</w:t>
            </w:r>
            <w:r w:rsidRPr="00867F0E">
              <w:rPr>
                <w:rFonts w:ascii="宋体" w:hAnsi="宋体" w:cs="宋体"/>
                <w:szCs w:val="21"/>
              </w:rPr>
              <w:t>5</w:t>
            </w:r>
            <w:r w:rsidRPr="00867F0E">
              <w:rPr>
                <w:rFonts w:ascii="宋体" w:hAnsi="宋体" w:cs="宋体" w:hint="eastAsia"/>
                <w:szCs w:val="21"/>
              </w:rPr>
              <w:t>℃～</w:t>
            </w:r>
            <w:r w:rsidRPr="00867F0E">
              <w:rPr>
                <w:rFonts w:ascii="宋体" w:hAnsi="宋体" w:cs="宋体"/>
                <w:szCs w:val="21"/>
              </w:rPr>
              <w:t>+50</w:t>
            </w:r>
            <w:r w:rsidRPr="00867F0E">
              <w:rPr>
                <w:rFonts w:ascii="宋体" w:hAnsi="宋体" w:cs="宋体" w:hint="eastAsia"/>
                <w:szCs w:val="21"/>
              </w:rPr>
              <w:t>℃。</w:t>
            </w:r>
          </w:p>
          <w:p w14:paraId="0B5943F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2.15.10可编程控制，提供SDK。</w:t>
            </w:r>
          </w:p>
          <w:p w14:paraId="7A919E2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2.16 综合要求</w:t>
            </w:r>
          </w:p>
          <w:p w14:paraId="3F6CC07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2.16.1 各模块接口标准统一，可互换连接。</w:t>
            </w:r>
          </w:p>
          <w:p w14:paraId="4A216D8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2.16.2 系统支持统一软件平台采集与控制。</w:t>
            </w:r>
          </w:p>
          <w:p w14:paraId="7F73A00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2.16.3 电气性能符合国家及行业标准。</w:t>
            </w:r>
          </w:p>
          <w:p w14:paraId="11CEC0B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2.16.4 连续稳定运行时间≥24小时，允许偏差±5%。</w:t>
            </w:r>
          </w:p>
          <w:p w14:paraId="43C3679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3机械与运动单元</w:t>
            </w:r>
          </w:p>
          <w:p w14:paraId="3A6B1B6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3.1视觉支架</w:t>
            </w:r>
          </w:p>
          <w:p w14:paraId="3A05F8D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3.1.1材质：铝合金型材/不锈钢</w:t>
            </w:r>
          </w:p>
          <w:p w14:paraId="1227DDB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3.1.2高度调节：最大高度≥350mm，调节精度≤1mm。</w:t>
            </w:r>
          </w:p>
          <w:p w14:paraId="1E729E1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3.1.3相机夹：适配C-Mount接口相机，角度调节范围360°（水平）×180°（垂直）。</w:t>
            </w:r>
          </w:p>
          <w:p w14:paraId="2E287B1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3.1.4光源夹：适配200mm-240mm尺寸光源，夹紧力≥5N且无滑动。</w:t>
            </w:r>
          </w:p>
          <w:p w14:paraId="62067F1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3.1.5万向夹：支持多维度（X/Y/Z轴）调节，重复定位精度≤0.1mm。</w:t>
            </w:r>
          </w:p>
          <w:p w14:paraId="2E47550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3.1.6承重：整体承重≥5kg，确保相机、镜头、光源同时安装时稳定。</w:t>
            </w:r>
          </w:p>
          <w:p w14:paraId="0194B63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3.2机械臂</w:t>
            </w:r>
          </w:p>
          <w:p w14:paraId="411E63C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3.2.1机械臂类型：SCARA结构（水平多关节式）</w:t>
            </w:r>
          </w:p>
          <w:p w14:paraId="45E7557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3.2.2工作范围：工作半径≥400mm。</w:t>
            </w:r>
          </w:p>
          <w:p w14:paraId="56C678B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3.2.3负载能力：最大负载≥3kg，可抓取实验样品中最大重量物体。</w:t>
            </w:r>
          </w:p>
          <w:p w14:paraId="1710FC9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3.2.4精度：重复定位精度±0.05mm，确保物料分拣、放置的位置精度。</w:t>
            </w:r>
          </w:p>
          <w:p w14:paraId="01B5E72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3.2.5编程方式：</w:t>
            </w:r>
          </w:p>
          <w:p w14:paraId="3A705CB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3.2.5.1图形化编程：支持拖拽式流程图编程，无需代码基础，便于教学。</w:t>
            </w:r>
          </w:p>
          <w:p w14:paraId="03A0B04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3.2.5.2示教编程：配备示教器或软件示教功能。</w:t>
            </w:r>
          </w:p>
          <w:p w14:paraId="469719D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3.2.5.3二次开发：兼容Python、C++等语言SDK，支持与视觉系统、PLC联动开发。</w:t>
            </w:r>
          </w:p>
          <w:p w14:paraId="2DC8021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3.2.6通信接口：支持RS485、以太网（PROFINET兼容）等，实现与外部设备的联动控制。</w:t>
            </w:r>
          </w:p>
          <w:p w14:paraId="6D05C94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3.3小型流水线本体</w:t>
            </w:r>
          </w:p>
          <w:p w14:paraId="1208AD1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3.3.1结构：铝合金框架+同步带传动（或链传动）。</w:t>
            </w:r>
          </w:p>
          <w:p w14:paraId="71E46F9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3.3.2有效传输尺寸：传输宽度≥150mm，长度≥1000mm，满足多物料同时传输。</w:t>
            </w:r>
          </w:p>
          <w:p w14:paraId="6398FA5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3.3.3协作能力：可与伺服系统、PLC、机械臂联动，实现“物料传输-视觉检测-机械臂分拣”全流程。</w:t>
            </w:r>
          </w:p>
          <w:p w14:paraId="7EC8044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3.3.4速度调节：支持0-3m/min无级调速，定位精度≤0.5mm（通过伺服或变频器控制）。</w:t>
            </w:r>
          </w:p>
          <w:p w14:paraId="5A5A59D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3.4分拣转盘</w:t>
            </w:r>
          </w:p>
          <w:p w14:paraId="5734580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3.4.1尺寸：直径350mm±10mm，提供足够的物料放置面积。</w:t>
            </w:r>
          </w:p>
          <w:p w14:paraId="0E20F73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3.4.2转速控制：自定义旋转速度（0-60rpm可调），支持PLC或上位机编程控制。</w:t>
            </w:r>
          </w:p>
          <w:p w14:paraId="21B9563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3.4.3稳定性：旋转时离心力优化设计，确保重量≤500g的物料不会飞出。</w:t>
            </w:r>
          </w:p>
          <w:p w14:paraId="5E2E711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3.4.4定位精度：重复定位精度≤0.2mm，配合机械臂实现精准抓取。</w:t>
            </w:r>
          </w:p>
          <w:p w14:paraId="36B6A1F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4控制单元</w:t>
            </w:r>
          </w:p>
          <w:p w14:paraId="1770ED5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4.1PLC主机</w:t>
            </w:r>
          </w:p>
          <w:p w14:paraId="624E875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4.1.1程序容量：≥150KB，满足复杂控制逻辑编程。</w:t>
            </w:r>
          </w:p>
          <w:p w14:paraId="79ABC35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4.1.2数字IO：14路数字输入（DI）、10路数字输出（DO）。</w:t>
            </w:r>
          </w:p>
          <w:p w14:paraId="4D70CDA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4.1.3通信功能：</w:t>
            </w:r>
          </w:p>
          <w:p w14:paraId="7B8F11D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4.1.3.1工业以太网：支持PROFINET协议，实现与伺服、变频器、视觉系统的高速通信。</w:t>
            </w:r>
          </w:p>
          <w:p w14:paraId="3AABE3C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4.1.3.2扩展兼容性：兼容西门子S7-1200系列扩展模块，可扩展模拟量、高速计数、通信模块等。</w:t>
            </w:r>
          </w:p>
          <w:p w14:paraId="6F4D591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4.1.4编程环境：支持Step7或兼容编程软件，支持梯形图（LAD）、功能块（FBD）、语句表（STL）编程，提供教学版授权。</w:t>
            </w:r>
          </w:p>
          <w:p w14:paraId="0560FDB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4.2调速电机</w:t>
            </w:r>
          </w:p>
          <w:p w14:paraId="74F1137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4.2.1功率：≥90W，适配流水线传动。</w:t>
            </w:r>
          </w:p>
          <w:p w14:paraId="5F85985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4.2.2电源：单相220VAC。</w:t>
            </w:r>
          </w:p>
          <w:p w14:paraId="2332649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5.3伺服电机</w:t>
            </w:r>
          </w:p>
          <w:p w14:paraId="5F4937D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5.3.1功率：≥200W。</w:t>
            </w:r>
          </w:p>
          <w:p w14:paraId="16F0F8A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5.3.2额定转速：3000±50rpm。</w:t>
            </w:r>
          </w:p>
          <w:p w14:paraId="35809AB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5.3.3编码器：2500线高分辨率增量式编码器，确保速度与位置控制精度。</w:t>
            </w:r>
          </w:p>
          <w:p w14:paraId="21BCACE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5.3.4控制模式：支持位置模式、速度模式、扭矩模式三种模式切换。</w:t>
            </w:r>
          </w:p>
          <w:p w14:paraId="5E422A3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5.3.5通信与响应：支持PROFINET工业以太网及Modbus协议，位置控制响应频率≥1kHz，实现高速精准控制。</w:t>
            </w:r>
          </w:p>
          <w:p w14:paraId="2B5AED2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6辅助与配套单元</w:t>
            </w:r>
          </w:p>
          <w:p w14:paraId="5A47E0B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6.1实训操作台</w:t>
            </w:r>
          </w:p>
          <w:p w14:paraId="128451C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6.1.1结构：包含大理石台面厚度≥12cm，平面度≤0.05mm/m²，具备高平整度与稳定性，防止振动干扰检测精度。</w:t>
            </w:r>
          </w:p>
          <w:p w14:paraId="7942FB5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6.1.2布局：集成设备安装区、接线区、操作区，满足设备集成与实训操作需求。</w:t>
            </w:r>
          </w:p>
          <w:p w14:paraId="19B1189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6.2棋盘格标定板</w:t>
            </w:r>
          </w:p>
          <w:p w14:paraId="3A09268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6.2.1阵列规格：9×9阵列。</w:t>
            </w:r>
          </w:p>
          <w:p w14:paraId="0C18FD4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6.2.2单格尺寸：6mm。</w:t>
            </w:r>
          </w:p>
          <w:p w14:paraId="35B9C25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6.2.3精度：精度≤0.05mm，满足视觉系统高精度标定需求。</w:t>
            </w:r>
          </w:p>
          <w:p w14:paraId="3261883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6.3实训样品</w:t>
            </w:r>
          </w:p>
          <w:p w14:paraId="62B4063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6.3.1 包含但不限于以下实训样品（每类样品数量≥3）：锂电池极片（毛刺检测）、手机显示屏（屏幕缺陷检测）、冲压件（尺寸精度检测）、多码识别工件（含 QR 码、DM 码、PDF417、条形码）、OCR 字符识别工件、RJ45 接口件（尺寸精度检测）、光伏硅片（尺寸精度检测）、五金零件物料（物流分拣）等，用于视觉检测、识别与算法训练实验。</w:t>
            </w:r>
          </w:p>
          <w:p w14:paraId="2F6044F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6.4工具箱</w:t>
            </w:r>
          </w:p>
          <w:p w14:paraId="1B42029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6.4.1外壳：铝合金外壳，具备抗冲击、防腐蚀特性。</w:t>
            </w:r>
          </w:p>
          <w:p w14:paraId="4E6AD67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6.4.2配套工具：包含六角扳手等常用安装、调试工具，满足平台运维需求。</w:t>
            </w:r>
          </w:p>
          <w:p w14:paraId="73B26B1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7一体化工业仿真平台</w:t>
            </w:r>
          </w:p>
          <w:p w14:paraId="1EC4609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7.1多场景一体化仿真</w:t>
            </w:r>
          </w:p>
          <w:p w14:paraId="6EB9B8D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7.1.1 支持多场景工业视觉仿真功能，覆盖目标识别、缺陷检测、视觉定位、分拣追踪及自动化协同作业等典型应用场景，实现基于视觉驱动的检测、识别与控制过程的多向协同仿真。</w:t>
            </w:r>
          </w:p>
          <w:p w14:paraId="65F547A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7.2内嵌组件库</w:t>
            </w:r>
          </w:p>
          <w:p w14:paraId="0DCBB8F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7.2.1内置组件库包含国内外知名品牌设备或工业机器人的参数化模型，数量不低于2000个。</w:t>
            </w:r>
          </w:p>
          <w:p w14:paraId="5B831AD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7.2.2组件库涵盖工业机器人成熟动态模型、工厂常见应用组件、各大品牌商的工业机器人、工装夹具、产线设备组件及自动化常用组件。</w:t>
            </w:r>
          </w:p>
          <w:p w14:paraId="4FA99EC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7.3模型导入与导出</w:t>
            </w:r>
          </w:p>
          <w:p w14:paraId="393CBE4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7.3.1支持导入3Dmax、AutoCAD、CATIA、Pro/E、SolidWorks、UG/NX等主流CAD软件模型。</w:t>
            </w:r>
          </w:p>
          <w:p w14:paraId="6A5CE4B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7.3.2支持主流中间格式模型的导入与导出，包括IGES、JT、Parasolid(x_t)、STEP/STP等。</w:t>
            </w:r>
          </w:p>
          <w:p w14:paraId="08C007E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7.4非标设备开发与组件库管理</w:t>
            </w:r>
          </w:p>
          <w:p w14:paraId="49FC935E"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7.4.1支持非标设备组件开发，可快速配置参数化尺寸、颜色等静态属性，定义运行逻辑、运动规则等动态属性。</w:t>
            </w:r>
          </w:p>
          <w:p w14:paraId="79AE648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7.4.2支持建立公有云、私有云或本地化组件库，支持项目成员按权限访问。</w:t>
            </w:r>
          </w:p>
          <w:p w14:paraId="3254422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7.4.3允许客户自主构建数字化工厂和知识库，实现资产与知识的沉淀管理。</w:t>
            </w:r>
          </w:p>
          <w:p w14:paraId="657B80C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7.5现场设备数据交互与虚拟调试</w:t>
            </w:r>
          </w:p>
          <w:p w14:paraId="4E092B1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7.5.1支持通过OPCUA协议和西门子S7协议与现场设备进行数据交互及虚拟调试。</w:t>
            </w:r>
          </w:p>
          <w:p w14:paraId="50C7CDE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7.5.2支持对现场PLC控制器数据点进行读模式、订阅模式和写模式操作，实现数字孪生功能。</w:t>
            </w:r>
          </w:p>
          <w:p w14:paraId="1C33E78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7.5.3可在仿真环境中监视现场设备状态、运动情况，并能下发控制命令（如产线启动、停止）。</w:t>
            </w:r>
          </w:p>
          <w:p w14:paraId="0E44CA4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7.6工业机器人离线编程与调试</w:t>
            </w:r>
          </w:p>
          <w:p w14:paraId="0010E92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7.6.1支持主流工业机器人品牌的轨迹规划离线编程、碰撞检测、可达性分析及代码导出。</w:t>
            </w:r>
          </w:p>
          <w:p w14:paraId="23CD2B1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7.6.2内置工业机器人组件和主流工业机器人协议，支持图形化示教，可快速设计工业机器人姿态、检查运动路径干涉及姿态合理性。</w:t>
            </w:r>
          </w:p>
          <w:p w14:paraId="10FB453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7.6.3支持工业机器人姿态和轨迹的离线编程、虚拟调试，以及与现场设备的实时联机。</w:t>
            </w:r>
          </w:p>
          <w:p w14:paraId="129A012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7.7装配过程仿真与工艺验证</w:t>
            </w:r>
          </w:p>
          <w:p w14:paraId="392B104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7.7.1支持装配顺序规划，可预仿真装配过程与路径，优化装配流程并避免干涉。</w:t>
            </w:r>
          </w:p>
          <w:p w14:paraId="441C6F3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7.7.2支持动态装配安全距离分析，包括装配顺序验证、结构干涉检查、间隙检查及运动过程仿真。</w:t>
            </w:r>
          </w:p>
          <w:p w14:paraId="11E2D79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7.7.3可利用设计模型数据开展工艺虚拟验证（如虚拟装配、运动仿真），解决产品装配干涉、间隙问题及产线整体运动模拟等工艺验证问题。</w:t>
            </w:r>
          </w:p>
          <w:p w14:paraId="46756A1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7.8产线分析与优化</w:t>
            </w:r>
          </w:p>
          <w:p w14:paraId="2173AA9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7.8.1支持分析装配线的产能、瓶颈、缓存区利用率、设备利用率、人力资源利用率、工时平衡、物料配送策略等。</w:t>
            </w:r>
          </w:p>
          <w:p w14:paraId="6D64C34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7.8.2可对产线、设备、物流、库存、节拍、瓶颈、人员及利用率等进行全面评估、分析与优化。</w:t>
            </w:r>
          </w:p>
          <w:p w14:paraId="4DA3E21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7.8.3支持输出折线图、饼图、柱状图等自定义报表，支持设备头顶实时显示运行参数及3D化组态看板。</w:t>
            </w:r>
          </w:p>
          <w:p w14:paraId="2324826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7.8.4所有分析数据可导出为Excel表格，供第三方使用。</w:t>
            </w:r>
          </w:p>
          <w:p w14:paraId="4AABE6F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7.9人机工程学分析</w:t>
            </w:r>
          </w:p>
          <w:p w14:paraId="3FC9408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7.9.1支持人机工程学可达性、可视性、间隙检查等评估。</w:t>
            </w:r>
          </w:p>
          <w:p w14:paraId="26BCE22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7.9.2提供人体姿态调整及运动序列定义功能，系统可自动根据任务和工件位置分解人体动作。</w:t>
            </w:r>
          </w:p>
          <w:p w14:paraId="373D59C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7.9.3支持评估装配和维修的复杂人体姿态，包含疲劳强度分析、工作姿态分析，可实时评估人体疲劳状态。</w:t>
            </w:r>
          </w:p>
          <w:p w14:paraId="47A9C5B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7.9.4支持工时分析，统计人员利用率。</w:t>
            </w:r>
          </w:p>
          <w:p w14:paraId="5712CD9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7.10物理行为与柔性体仿真</w:t>
            </w:r>
          </w:p>
          <w:p w14:paraId="0765874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7.10.1支持惯性、碰撞、重力、摩擦等物理行为仿真。</w:t>
            </w:r>
          </w:p>
          <w:p w14:paraId="5D03607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7.10.2支持柔性线束电缆仿真，模拟线缆运动过程中的形态变化。</w:t>
            </w:r>
          </w:p>
          <w:p w14:paraId="6598C5D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7.11工业机器人虚拟教学</w:t>
            </w:r>
          </w:p>
          <w:p w14:paraId="30EAB8A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7.11.1提供工业机器人虚拟教学功能，支持通过编程对工业机器人进行示教及程序代码自动运行。</w:t>
            </w:r>
          </w:p>
          <w:p w14:paraId="37BB8A1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7.12VR虚拟现实交互</w:t>
            </w:r>
          </w:p>
          <w:p w14:paraId="30AD1B2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7.12.1支持VR设备实时交互，基于VR实现工业仿真展示，沉浸式动态展示生产装配、检测过程。</w:t>
            </w:r>
          </w:p>
          <w:p w14:paraId="7BF8552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7.12.2支持VR虚拟产线互动，可像游戏一样操作产线设备、控制工厂运行。</w:t>
            </w:r>
          </w:p>
          <w:p w14:paraId="00E6AD4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7.13逻辑编程支持</w:t>
            </w:r>
          </w:p>
          <w:p w14:paraId="2C9251F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7.13.1复杂的物流逻辑、设备逻辑支持使用Python等高级语言编写，不支持软件自定义语言。</w:t>
            </w:r>
          </w:p>
          <w:p w14:paraId="04601E8C"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7.14二次开发与优化工具</w:t>
            </w:r>
          </w:p>
          <w:p w14:paraId="7680925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7.14.1具备二次开发能力，支持.net等通用语言开发。</w:t>
            </w:r>
          </w:p>
          <w:p w14:paraId="3D7B4C5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7.14.2提供多种仿真优化工具，可指导产品设计与研发，缩短研发周期、降低成本。</w:t>
            </w:r>
          </w:p>
          <w:p w14:paraId="3E2C8C5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7.15工业应用成熟度与参数修改</w:t>
            </w:r>
          </w:p>
          <w:p w14:paraId="4E1073D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7.15.1系统为工业现场成熟应用系统，需提供不少于10个典型工业应用案例（智能制造或智能检测类生产线）。</w:t>
            </w:r>
          </w:p>
          <w:p w14:paraId="6838EC9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7.15.2针对智能制造类生产线，支持快速修改组件相关参数（如尺寸参数等）。</w:t>
            </w:r>
          </w:p>
          <w:p w14:paraId="6AD8ABB3"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7.16虚实结合与统一控制</w:t>
            </w:r>
          </w:p>
          <w:p w14:paraId="153FEC3D"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lastRenderedPageBreak/>
              <w:t>7.16.1实现虚拟产线场景的智能装配等工艺流程与现场实训系统工控面板、智控面板上的传感器等硬件及桌面级工业机器人的数据采集与流程管理。</w:t>
            </w:r>
          </w:p>
          <w:p w14:paraId="50569D8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7.16.2支持通过发布流程协调各场景，实现统一控制。</w:t>
            </w:r>
          </w:p>
          <w:p w14:paraId="25E614D1"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7.17 1:1场景模型与AI联调</w:t>
            </w:r>
          </w:p>
          <w:p w14:paraId="3CE2BBFC" w14:textId="06B9686D" w:rsidR="003A3E3F" w:rsidRPr="00867F0E" w:rsidRDefault="00867F0E" w:rsidP="00867F0E">
            <w:pPr>
              <w:widowControl/>
              <w:jc w:val="left"/>
              <w:rPr>
                <w:rFonts w:ascii="宋体" w:hAnsi="宋体" w:cs="宋体" w:hint="eastAsia"/>
                <w:szCs w:val="21"/>
              </w:rPr>
            </w:pPr>
            <w:r w:rsidRPr="00867F0E">
              <w:rPr>
                <w:rFonts w:ascii="宋体" w:hAnsi="宋体" w:cs="宋体" w:hint="eastAsia"/>
                <w:szCs w:val="21"/>
              </w:rPr>
              <w:t>7.17.1系统带有应用场景1:1模型，可对工业视觉检测综合应用场景进行AI语言与实际联调技术控制。</w:t>
            </w:r>
          </w:p>
        </w:tc>
        <w:tc>
          <w:tcPr>
            <w:tcW w:w="259" w:type="pct"/>
            <w:tcBorders>
              <w:top w:val="single" w:sz="4" w:space="0" w:color="auto"/>
              <w:left w:val="single" w:sz="4" w:space="0" w:color="auto"/>
              <w:bottom w:val="single" w:sz="4" w:space="0" w:color="auto"/>
              <w:right w:val="single" w:sz="4" w:space="0" w:color="auto"/>
            </w:tcBorders>
            <w:vAlign w:val="center"/>
          </w:tcPr>
          <w:p w14:paraId="43874144" w14:textId="286DAB60" w:rsidR="003A3E3F" w:rsidRPr="00705375" w:rsidRDefault="003A3E3F" w:rsidP="003A3E3F">
            <w:pPr>
              <w:widowControl/>
              <w:jc w:val="center"/>
              <w:rPr>
                <w:rFonts w:ascii="华文仿宋" w:eastAsia="华文仿宋" w:hAnsi="华文仿宋" w:hint="eastAsia"/>
                <w:sz w:val="20"/>
                <w:szCs w:val="20"/>
              </w:rPr>
            </w:pPr>
            <w:r w:rsidRPr="00705375">
              <w:rPr>
                <w:rFonts w:ascii="宋体" w:hAnsi="宋体" w:cs="仿宋" w:hint="eastAsia"/>
                <w:sz w:val="20"/>
                <w:szCs w:val="20"/>
              </w:rPr>
              <w:lastRenderedPageBreak/>
              <w:t>中国机械总院</w:t>
            </w:r>
          </w:p>
        </w:tc>
        <w:tc>
          <w:tcPr>
            <w:tcW w:w="260" w:type="pct"/>
            <w:tcBorders>
              <w:top w:val="single" w:sz="4" w:space="0" w:color="auto"/>
              <w:left w:val="single" w:sz="4" w:space="0" w:color="auto"/>
              <w:bottom w:val="single" w:sz="4" w:space="0" w:color="auto"/>
              <w:right w:val="single" w:sz="4" w:space="0" w:color="auto"/>
            </w:tcBorders>
            <w:vAlign w:val="center"/>
          </w:tcPr>
          <w:p w14:paraId="2BEE3535" w14:textId="478166D6" w:rsidR="003A3E3F" w:rsidRPr="00867F0E" w:rsidRDefault="003A3E3F" w:rsidP="003A3E3F">
            <w:pPr>
              <w:widowControl/>
              <w:jc w:val="center"/>
              <w:rPr>
                <w:rFonts w:ascii="华文仿宋" w:eastAsia="华文仿宋" w:hAnsi="华文仿宋" w:hint="eastAsia"/>
                <w:color w:val="000000"/>
                <w:szCs w:val="21"/>
              </w:rPr>
            </w:pPr>
            <w:r w:rsidRPr="00867F0E">
              <w:rPr>
                <w:rFonts w:ascii="宋体" w:hAnsi="宋体" w:cs="宋体" w:hint="eastAsia"/>
                <w:szCs w:val="21"/>
              </w:rPr>
              <w:t>6</w:t>
            </w:r>
          </w:p>
        </w:tc>
        <w:tc>
          <w:tcPr>
            <w:tcW w:w="259" w:type="pct"/>
            <w:tcBorders>
              <w:top w:val="single" w:sz="4" w:space="0" w:color="auto"/>
              <w:left w:val="nil"/>
              <w:bottom w:val="single" w:sz="4" w:space="0" w:color="auto"/>
              <w:right w:val="single" w:sz="4" w:space="0" w:color="auto"/>
            </w:tcBorders>
            <w:vAlign w:val="center"/>
          </w:tcPr>
          <w:p w14:paraId="6E4542AE" w14:textId="2FAFE6EC" w:rsidR="003A3E3F" w:rsidRPr="00867F0E" w:rsidRDefault="003A3E3F" w:rsidP="003A3E3F">
            <w:pPr>
              <w:jc w:val="center"/>
              <w:rPr>
                <w:rFonts w:ascii="华文仿宋" w:eastAsia="华文仿宋" w:hAnsi="华文仿宋" w:hint="eastAsia"/>
                <w:color w:val="000000"/>
                <w:szCs w:val="21"/>
              </w:rPr>
            </w:pPr>
            <w:r w:rsidRPr="00867F0E">
              <w:rPr>
                <w:rFonts w:ascii="宋体" w:hAnsi="宋体" w:cs="宋体" w:hint="eastAsia"/>
                <w:szCs w:val="21"/>
              </w:rPr>
              <w:t>套</w:t>
            </w:r>
          </w:p>
        </w:tc>
        <w:tc>
          <w:tcPr>
            <w:tcW w:w="519" w:type="pct"/>
            <w:tcBorders>
              <w:top w:val="single" w:sz="4" w:space="0" w:color="auto"/>
              <w:left w:val="single" w:sz="4" w:space="0" w:color="auto"/>
              <w:bottom w:val="single" w:sz="4" w:space="0" w:color="auto"/>
              <w:right w:val="single" w:sz="4" w:space="0" w:color="auto"/>
            </w:tcBorders>
            <w:vAlign w:val="center"/>
          </w:tcPr>
          <w:p w14:paraId="18560CD6" w14:textId="3E093E2C" w:rsidR="003A3E3F" w:rsidRPr="00705375" w:rsidRDefault="003A3E3F" w:rsidP="003A3E3F">
            <w:pPr>
              <w:widowControl/>
              <w:jc w:val="center"/>
              <w:rPr>
                <w:rFonts w:ascii="仿宋" w:eastAsia="仿宋" w:hAnsi="仿宋" w:hint="eastAsia"/>
                <w:color w:val="000000"/>
                <w:sz w:val="20"/>
                <w:szCs w:val="20"/>
              </w:rPr>
            </w:pPr>
            <w:r w:rsidRPr="00705375">
              <w:rPr>
                <w:rFonts w:ascii="宋体" w:hAnsi="宋体" w:cs="仿宋"/>
                <w:sz w:val="20"/>
                <w:szCs w:val="20"/>
              </w:rPr>
              <w:t>143500</w:t>
            </w:r>
          </w:p>
        </w:tc>
        <w:tc>
          <w:tcPr>
            <w:tcW w:w="507" w:type="pct"/>
            <w:tcBorders>
              <w:top w:val="single" w:sz="4" w:space="0" w:color="auto"/>
              <w:left w:val="nil"/>
              <w:bottom w:val="single" w:sz="4" w:space="0" w:color="auto"/>
              <w:right w:val="single" w:sz="4" w:space="0" w:color="auto"/>
            </w:tcBorders>
            <w:vAlign w:val="center"/>
          </w:tcPr>
          <w:p w14:paraId="0D18B321" w14:textId="03A30218" w:rsidR="003A3E3F" w:rsidRPr="00705375" w:rsidRDefault="003A3E3F" w:rsidP="003A3E3F">
            <w:pPr>
              <w:jc w:val="center"/>
              <w:rPr>
                <w:rFonts w:ascii="华文仿宋" w:eastAsia="华文仿宋" w:hAnsi="华文仿宋" w:hint="eastAsia"/>
                <w:color w:val="000000"/>
                <w:sz w:val="20"/>
                <w:szCs w:val="20"/>
              </w:rPr>
            </w:pPr>
            <w:r w:rsidRPr="00705375">
              <w:rPr>
                <w:rFonts w:ascii="宋体" w:hAnsi="宋体" w:cs="仿宋"/>
                <w:sz w:val="20"/>
                <w:szCs w:val="20"/>
              </w:rPr>
              <w:t>861000</w:t>
            </w:r>
          </w:p>
        </w:tc>
      </w:tr>
      <w:tr w:rsidR="003A3E3F" w:rsidRPr="00867F0E" w14:paraId="717814DC" w14:textId="77777777" w:rsidTr="00705375">
        <w:trPr>
          <w:trHeight w:val="454"/>
          <w:jc w:val="center"/>
        </w:trPr>
        <w:tc>
          <w:tcPr>
            <w:tcW w:w="260" w:type="pct"/>
            <w:tcBorders>
              <w:top w:val="nil"/>
              <w:left w:val="single" w:sz="4" w:space="0" w:color="auto"/>
              <w:bottom w:val="single" w:sz="4" w:space="0" w:color="auto"/>
              <w:right w:val="single" w:sz="4" w:space="0" w:color="auto"/>
            </w:tcBorders>
            <w:vAlign w:val="center"/>
          </w:tcPr>
          <w:p w14:paraId="4A9F073A" w14:textId="4C72D99E" w:rsidR="003A3E3F" w:rsidRPr="00867F0E" w:rsidRDefault="003A3E3F" w:rsidP="003A3E3F">
            <w:pPr>
              <w:jc w:val="center"/>
              <w:rPr>
                <w:rFonts w:ascii="宋体" w:hAnsi="宋体" w:hint="eastAsia"/>
                <w:color w:val="000000"/>
                <w:szCs w:val="21"/>
              </w:rPr>
            </w:pPr>
            <w:r w:rsidRPr="00867F0E">
              <w:rPr>
                <w:rFonts w:ascii="宋体" w:hAnsi="宋体" w:cs="仿宋" w:hint="eastAsia"/>
                <w:sz w:val="24"/>
              </w:rPr>
              <w:lastRenderedPageBreak/>
              <w:t>2</w:t>
            </w:r>
          </w:p>
        </w:tc>
        <w:tc>
          <w:tcPr>
            <w:tcW w:w="428" w:type="pct"/>
            <w:tcBorders>
              <w:top w:val="nil"/>
              <w:left w:val="nil"/>
              <w:bottom w:val="single" w:sz="4" w:space="0" w:color="auto"/>
              <w:right w:val="single" w:sz="4" w:space="0" w:color="auto"/>
            </w:tcBorders>
            <w:vAlign w:val="center"/>
          </w:tcPr>
          <w:p w14:paraId="7302BB63" w14:textId="570FE239" w:rsidR="003A3E3F" w:rsidRPr="00867F0E" w:rsidRDefault="003A3E3F" w:rsidP="003A3E3F">
            <w:pPr>
              <w:jc w:val="center"/>
              <w:rPr>
                <w:rFonts w:ascii="华文仿宋" w:eastAsia="华文仿宋" w:hAnsi="华文仿宋" w:hint="eastAsia"/>
                <w:color w:val="000000"/>
                <w:szCs w:val="21"/>
              </w:rPr>
            </w:pPr>
            <w:r w:rsidRPr="00867F0E">
              <w:rPr>
                <w:rFonts w:hAnsi="宋体" w:cs="宋体" w:hint="eastAsia"/>
                <w:szCs w:val="21"/>
              </w:rPr>
              <w:t>3D</w:t>
            </w:r>
            <w:r w:rsidRPr="00867F0E">
              <w:rPr>
                <w:rFonts w:hAnsi="宋体" w:cs="宋体" w:hint="eastAsia"/>
                <w:szCs w:val="21"/>
              </w:rPr>
              <w:t>工业视觉智能检测实训平台</w:t>
            </w:r>
          </w:p>
        </w:tc>
        <w:tc>
          <w:tcPr>
            <w:tcW w:w="2507" w:type="pct"/>
            <w:tcBorders>
              <w:left w:val="single" w:sz="4" w:space="0" w:color="auto"/>
              <w:right w:val="single" w:sz="4" w:space="0" w:color="auto"/>
            </w:tcBorders>
            <w:vAlign w:val="center"/>
          </w:tcPr>
          <w:p w14:paraId="671FDBF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该平台需集成机器视觉系统、3D工业视觉检测系统、协作机械臂、PLC 控制、传动系统等核心模块，具备“2D/3D视觉检测 + 机械臂协作 + 自动化控制”的全流程实训能力，支持二维与三维工业视觉算法验证、机械臂分拣应用、PLC 与总线通信等教学与实训项目，满足职业教育或企业培训对工业视觉智能检测与三维识别技术的实践需求。</w:t>
            </w:r>
          </w:p>
          <w:p w14:paraId="4C475EA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1平台整体要求</w:t>
            </w:r>
          </w:p>
          <w:p w14:paraId="69076CD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1.1功能定位</w:t>
            </w:r>
          </w:p>
          <w:p w14:paraId="5CE80A3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1.1.1集成2D/3D机器视觉系统、机械臂、PLC控制、传动系统等核心模块，具备“视觉检测+机械臂协作+自动化控制”全流程实训能力。</w:t>
            </w:r>
          </w:p>
          <w:p w14:paraId="4CDDA99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1.1.2包含但不限于以下实训案例，锂电池极片毛刺检测、手机内屏缺陷检测、五金零件物料分拣、字符及多码场景识别、钣金冲压件测量、水晶头接口几何公差测量、光伏硅片尺寸测量系统应用、飞拍定位放料应用零部件贴合定位，PCB板线扫检测。</w:t>
            </w:r>
          </w:p>
          <w:p w14:paraId="6EBFE11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1.2设备外形尺寸：L*W*H(mm)=1000±100mm*1000±100mm *1950±50mm</w:t>
            </w:r>
          </w:p>
          <w:p w14:paraId="522C1EE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1.3设备气源要求：0.6-0.8 Mpa</w:t>
            </w:r>
          </w:p>
          <w:p w14:paraId="01A975A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1.4设备电压：单相220V，50HZ</w:t>
            </w:r>
          </w:p>
          <w:p w14:paraId="5D127DC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2视觉采集单元</w:t>
            </w:r>
          </w:p>
          <w:p w14:paraId="2970F2E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 线扫相机</w:t>
            </w:r>
          </w:p>
          <w:p w14:paraId="6D2417A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 传感器：工业级 CMOS 全局快门结构。</w:t>
            </w:r>
          </w:p>
          <w:p w14:paraId="1CAD672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2.1.2 有效分辨率：2048×1 像素，允许偏差 ±5%。</w:t>
            </w:r>
          </w:p>
          <w:p w14:paraId="435AD6E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2.1.3 像元尺寸：14×14 μm，允许偏差 ±5%。</w:t>
            </w:r>
          </w:p>
          <w:p w14:paraId="0EF2207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lastRenderedPageBreak/>
              <w:t>2.1.4 行频：57.1 kHz，允许偏差 ±5%。</w:t>
            </w:r>
          </w:p>
          <w:p w14:paraId="79D3A3C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 数据接口：GigE 千兆以太网，支持 PoE；带宽 ≥1 Gbps。</w:t>
            </w:r>
          </w:p>
          <w:p w14:paraId="473F1ED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2.1.6 光学接口：M42×1.0 标准接口。</w:t>
            </w:r>
          </w:p>
          <w:p w14:paraId="5B8F59F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2.1.7 曝光时间：1 μs～50 ms 可调。</w:t>
            </w:r>
          </w:p>
          <w:p w14:paraId="257AA76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2.1.8 图像格式：Mono 8/10/12 bit，含 10Packed、12Packed。</w:t>
            </w:r>
          </w:p>
          <w:p w14:paraId="6D75ECD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2.1.9 动态范围：69.9 dB，允许偏差 ±5%。</w:t>
            </w:r>
          </w:p>
          <w:p w14:paraId="600CEC8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2.1.10 电源输入：12～24 V DC。</w:t>
            </w:r>
          </w:p>
          <w:p w14:paraId="6ADB7FE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2.1.11 功耗：2.5 W@24 VDC，允许偏差 ±5%。</w:t>
            </w:r>
          </w:p>
          <w:p w14:paraId="01C711AC" w14:textId="77777777" w:rsidR="00867F0E" w:rsidRPr="00867F0E" w:rsidRDefault="00867F0E" w:rsidP="00867F0E">
            <w:pPr>
              <w:jc w:val="left"/>
              <w:rPr>
                <w:rFonts w:ascii="宋体" w:hAnsi="宋体" w:cs="宋体" w:hint="eastAsia"/>
                <w:szCs w:val="21"/>
              </w:rPr>
            </w:pPr>
            <w:r w:rsidRPr="00867F0E">
              <w:rPr>
                <w:rFonts w:ascii="宋体" w:hAnsi="宋体" w:cs="宋体"/>
                <w:szCs w:val="21"/>
              </w:rPr>
              <w:t xml:space="preserve">2.1.12 </w:t>
            </w:r>
            <w:r w:rsidRPr="00867F0E">
              <w:rPr>
                <w:rFonts w:ascii="宋体" w:hAnsi="宋体" w:cs="宋体" w:hint="eastAsia"/>
                <w:szCs w:val="21"/>
              </w:rPr>
              <w:t>工作温度：</w:t>
            </w:r>
            <w:r w:rsidRPr="00867F0E">
              <w:rPr>
                <w:rFonts w:ascii="宋体" w:hAnsi="宋体" w:cs="宋体"/>
                <w:szCs w:val="21"/>
              </w:rPr>
              <w:t>0</w:t>
            </w:r>
            <w:r w:rsidRPr="00867F0E">
              <w:rPr>
                <w:rFonts w:ascii="宋体" w:hAnsi="宋体" w:cs="宋体" w:hint="eastAsia"/>
                <w:szCs w:val="21"/>
              </w:rPr>
              <w:t>℃～</w:t>
            </w:r>
            <w:r w:rsidRPr="00867F0E">
              <w:rPr>
                <w:rFonts w:ascii="宋体" w:hAnsi="宋体" w:cs="宋体"/>
                <w:szCs w:val="21"/>
              </w:rPr>
              <w:t>+50</w:t>
            </w:r>
            <w:r w:rsidRPr="00867F0E">
              <w:rPr>
                <w:rFonts w:ascii="宋体" w:hAnsi="宋体" w:cs="宋体" w:hint="eastAsia"/>
                <w:szCs w:val="21"/>
              </w:rPr>
              <w:t>℃；存储温度</w:t>
            </w:r>
            <w:r w:rsidRPr="00867F0E">
              <w:rPr>
                <w:rFonts w:ascii="宋体" w:hAnsi="宋体" w:cs="宋体"/>
                <w:szCs w:val="21"/>
              </w:rPr>
              <w:t xml:space="preserve"> </w:t>
            </w:r>
            <w:r w:rsidRPr="00867F0E">
              <w:rPr>
                <w:rFonts w:ascii="Cambria Math" w:hAnsi="Cambria Math" w:cs="Cambria Math"/>
                <w:szCs w:val="21"/>
              </w:rPr>
              <w:t>−</w:t>
            </w:r>
            <w:r w:rsidRPr="00867F0E">
              <w:rPr>
                <w:rFonts w:ascii="宋体" w:hAnsi="宋体" w:cs="宋体"/>
                <w:szCs w:val="21"/>
              </w:rPr>
              <w:t>30</w:t>
            </w:r>
            <w:r w:rsidRPr="00867F0E">
              <w:rPr>
                <w:rFonts w:ascii="宋体" w:hAnsi="宋体" w:cs="宋体" w:hint="eastAsia"/>
                <w:szCs w:val="21"/>
              </w:rPr>
              <w:t>℃～</w:t>
            </w:r>
            <w:r w:rsidRPr="00867F0E">
              <w:rPr>
                <w:rFonts w:ascii="宋体" w:hAnsi="宋体" w:cs="宋体"/>
                <w:szCs w:val="21"/>
              </w:rPr>
              <w:t>+80</w:t>
            </w:r>
            <w:r w:rsidRPr="00867F0E">
              <w:rPr>
                <w:rFonts w:ascii="宋体" w:hAnsi="宋体" w:cs="宋体" w:hint="eastAsia"/>
                <w:szCs w:val="21"/>
              </w:rPr>
              <w:t>℃。</w:t>
            </w:r>
          </w:p>
          <w:p w14:paraId="4CFDA90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2.1.13 GPIO：≥6 路 I/O（含隔离输入/输出）。</w:t>
            </w:r>
          </w:p>
          <w:p w14:paraId="3A4B796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2.1.14 通讯协议：兼容 GigE Vision、GenICam 标准。</w:t>
            </w:r>
          </w:p>
          <w:p w14:paraId="7C7DEDF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2.1.15 成像类型：黑白。</w:t>
            </w:r>
          </w:p>
          <w:p w14:paraId="061EEC6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 线扫镜头</w:t>
            </w:r>
          </w:p>
          <w:p w14:paraId="6B5F225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2.2.1 焦距：40 mm，允许偏差 ±5%。</w:t>
            </w:r>
          </w:p>
          <w:p w14:paraId="3BB68E3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2.2.2 工作距离：1000 mm、400 mm、260 mm（三级），允许偏差 ±5%。</w:t>
            </w:r>
          </w:p>
          <w:p w14:paraId="657BEAE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2.2.3 光圈范围：F4.0～F22。</w:t>
            </w:r>
          </w:p>
          <w:p w14:paraId="5DEFFFA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2.2.4 放大倍率：0.04×～0.16×，允许偏差 ±5%。</w:t>
            </w:r>
          </w:p>
          <w:p w14:paraId="5B2F920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2.2.5 靶面直径：30 mm，允许偏差 ±5%。</w:t>
            </w:r>
          </w:p>
          <w:p w14:paraId="4B028AC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2.2.6 畸变：≤0.5%，允许偏差 ±5%。</w:t>
            </w:r>
          </w:p>
          <w:p w14:paraId="3B9406B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2.2.7 法兰距：12 mm，允许偏差 ±5%。</w:t>
            </w:r>
          </w:p>
          <w:p w14:paraId="38D3247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2.2.8 接口：M42。</w:t>
            </w:r>
          </w:p>
          <w:p w14:paraId="172B2F6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2.2.9 滤镜螺纹：M37.5×0.5。</w:t>
            </w:r>
          </w:p>
          <w:p w14:paraId="6EC6E03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 高亮线形光源</w:t>
            </w:r>
          </w:p>
          <w:p w14:paraId="5E941DE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2.3.1 发光颜色：白光。</w:t>
            </w:r>
          </w:p>
          <w:p w14:paraId="734C203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2.3.2 功率：约 67 W@24 VDC，允许偏差 ±5%。</w:t>
            </w:r>
          </w:p>
          <w:p w14:paraId="4A7D2DD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2.3.3 发光面长度：170 mm，允许偏差 ±5%。</w:t>
            </w:r>
          </w:p>
          <w:p w14:paraId="3F54196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2.3.4 外壳长度：188 mm，允许偏差 ±5%。</w:t>
            </w:r>
          </w:p>
          <w:p w14:paraId="1860244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2.3.5 光照均匀度：≥90%。</w:t>
            </w:r>
          </w:p>
          <w:p w14:paraId="3B5D25D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2.3.6 驱动方式：恒流，支持常亮与频闪。</w:t>
            </w:r>
          </w:p>
          <w:p w14:paraId="7F8185B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2.3.7装有散热风扇</w:t>
            </w:r>
          </w:p>
          <w:p w14:paraId="26F3AAC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lastRenderedPageBreak/>
              <w:t>2.4 光源控制器</w:t>
            </w:r>
          </w:p>
          <w:p w14:paraId="6CEC54E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2.4.1 输入电压：5～24 V；增亮频闪最高至 48 V。</w:t>
            </w:r>
          </w:p>
          <w:p w14:paraId="418251B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2.4.2 最大输出电流：6 A，允许偏差 ±5%。</w:t>
            </w:r>
          </w:p>
          <w:p w14:paraId="3F851EF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2.4.3 发光模式：常亮/频闪。</w:t>
            </w:r>
          </w:p>
          <w:p w14:paraId="7101A28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2.4.4 自动检测额定电流：200 mA～6 A（适配 5～24 V 光源）。</w:t>
            </w:r>
          </w:p>
          <w:p w14:paraId="66C4E2B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2.4.5 手动最大输出电流：25 mA～6 A 可设。</w:t>
            </w:r>
          </w:p>
          <w:p w14:paraId="2A3B7AC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2.4.6 亮度调节：256 级，步进精度 ≥1%。</w:t>
            </w:r>
          </w:p>
          <w:p w14:paraId="46E2D3E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2.4.7 触发方式及能力：电平触发、响应时间 ≤10 μs；频率 ≤40 kHz。</w:t>
            </w:r>
          </w:p>
          <w:p w14:paraId="06E81F0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2.4.8 输出通道：2 通道；输出功率 144 W/CH，允许偏差 ±5%。</w:t>
            </w:r>
          </w:p>
          <w:p w14:paraId="11FC49A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2.4.9 通讯方式：RS232/以太网。</w:t>
            </w:r>
          </w:p>
          <w:p w14:paraId="16A194C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2.4.10 保护功能：短路/过流/过载保护。</w:t>
            </w:r>
          </w:p>
          <w:p w14:paraId="4FD4A633" w14:textId="77777777" w:rsidR="00867F0E" w:rsidRPr="00867F0E" w:rsidRDefault="00867F0E" w:rsidP="00867F0E">
            <w:pPr>
              <w:jc w:val="left"/>
              <w:rPr>
                <w:rFonts w:ascii="宋体" w:hAnsi="宋体" w:cs="宋体" w:hint="eastAsia"/>
                <w:szCs w:val="21"/>
              </w:rPr>
            </w:pPr>
            <w:r w:rsidRPr="00867F0E">
              <w:rPr>
                <w:rFonts w:ascii="宋体" w:hAnsi="宋体" w:cs="宋体"/>
                <w:szCs w:val="21"/>
              </w:rPr>
              <w:t xml:space="preserve">2.4.11 </w:t>
            </w:r>
            <w:r w:rsidRPr="00867F0E">
              <w:rPr>
                <w:rFonts w:ascii="宋体" w:hAnsi="宋体" w:cs="宋体" w:hint="eastAsia"/>
                <w:szCs w:val="21"/>
              </w:rPr>
              <w:t>工作温度：</w:t>
            </w:r>
            <w:r w:rsidRPr="00867F0E">
              <w:rPr>
                <w:rFonts w:ascii="Cambria Math" w:hAnsi="Cambria Math" w:cs="Cambria Math"/>
                <w:szCs w:val="21"/>
              </w:rPr>
              <w:t>−</w:t>
            </w:r>
            <w:r w:rsidRPr="00867F0E">
              <w:rPr>
                <w:rFonts w:ascii="宋体" w:hAnsi="宋体" w:cs="宋体"/>
                <w:szCs w:val="21"/>
              </w:rPr>
              <w:t>5</w:t>
            </w:r>
            <w:r w:rsidRPr="00867F0E">
              <w:rPr>
                <w:rFonts w:ascii="宋体" w:hAnsi="宋体" w:cs="宋体" w:hint="eastAsia"/>
                <w:szCs w:val="21"/>
              </w:rPr>
              <w:t>℃～</w:t>
            </w:r>
            <w:r w:rsidRPr="00867F0E">
              <w:rPr>
                <w:rFonts w:ascii="宋体" w:hAnsi="宋体" w:cs="宋体"/>
                <w:szCs w:val="21"/>
              </w:rPr>
              <w:t>+50</w:t>
            </w:r>
            <w:r w:rsidRPr="00867F0E">
              <w:rPr>
                <w:rFonts w:ascii="宋体" w:hAnsi="宋体" w:cs="宋体" w:hint="eastAsia"/>
                <w:szCs w:val="21"/>
              </w:rPr>
              <w:t>℃。</w:t>
            </w:r>
          </w:p>
          <w:p w14:paraId="2BF8D68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 面阵相机（黑白）</w:t>
            </w:r>
          </w:p>
          <w:p w14:paraId="044BF23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2.5.1 分辨率：2448×2048 像素，允许偏差 ±5%。</w:t>
            </w:r>
          </w:p>
          <w:p w14:paraId="7098A9C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2.5.2 像元尺寸：3.4×3.4 μm，允许偏差 ±5%。</w:t>
            </w:r>
          </w:p>
          <w:p w14:paraId="2BB7450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2.5.3 传感器：CMOS 帧曝光；快门：全局。</w:t>
            </w:r>
          </w:p>
          <w:p w14:paraId="30DF63A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2.5.4 帧率：≥23 fps，允许偏差 ±5%。</w:t>
            </w:r>
          </w:p>
          <w:p w14:paraId="04FDBB4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2.5.5 芯片尺寸：2/3″。</w:t>
            </w:r>
          </w:p>
          <w:p w14:paraId="1507726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2.5.6 数据接口：GigE PoE；光学接口：C-Mount。</w:t>
            </w:r>
          </w:p>
          <w:p w14:paraId="59BDD0A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2.5.7 曝光：1 μs～1 s 可调。</w:t>
            </w:r>
          </w:p>
          <w:p w14:paraId="61FAB00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2.5.8 图像格式：Mono 8/10/12/10Packed/12Packed。</w:t>
            </w:r>
          </w:p>
          <w:p w14:paraId="69408F3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2.5.9 增益范围：1～16 dB，允许偏差 ±5%。</w:t>
            </w:r>
          </w:p>
          <w:p w14:paraId="6CC3A03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2.5.10 动态范围：68.8 dB，允许偏差 ±5%。</w:t>
            </w:r>
          </w:p>
          <w:p w14:paraId="27E6AA1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2.5.11 供电：PoE 或 9～24 V DC；功耗 ≤3 W（±5%）。</w:t>
            </w:r>
          </w:p>
          <w:p w14:paraId="5717DFB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2.5.12 工作温度：0℃～+50℃。</w:t>
            </w:r>
          </w:p>
          <w:p w14:paraId="49EF360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2.5.13 协议：GigE Vision 2.0、GenICam。</w:t>
            </w:r>
          </w:p>
          <w:p w14:paraId="78F827E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2.5.14 成像类型：黑白。</w:t>
            </w:r>
          </w:p>
          <w:p w14:paraId="632054D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 面阵相机（彩色）</w:t>
            </w:r>
          </w:p>
          <w:p w14:paraId="6A646AB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lastRenderedPageBreak/>
              <w:t>2.6.1 分辨率：2448×2048 像素，允许偏差 ±5%。</w:t>
            </w:r>
          </w:p>
          <w:p w14:paraId="295FC74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2.6.2 像元尺寸：3.4×3.4 μm，允许偏差 ±5%。</w:t>
            </w:r>
          </w:p>
          <w:p w14:paraId="5A6DAB5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2.6.3 传感器：CMOS 帧曝光；快门：全局。</w:t>
            </w:r>
          </w:p>
          <w:p w14:paraId="3C53F92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2.6.4 帧率：≥23 fps，允许偏差 ±5%。</w:t>
            </w:r>
          </w:p>
          <w:p w14:paraId="7C8B573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2.6.5 芯片尺寸：2/3″。</w:t>
            </w:r>
          </w:p>
          <w:p w14:paraId="089DBC5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2.6.6 数据接口：GigE PoE；光学接口：C-Mount。</w:t>
            </w:r>
          </w:p>
          <w:p w14:paraId="264F03B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2.6.7 曝光：6 μs～4 s 可调。</w:t>
            </w:r>
          </w:p>
          <w:p w14:paraId="404D459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2.6.8 图像格式：支持 Mono、Bayer、YUV、RGB/BGR 等多格式。</w:t>
            </w:r>
          </w:p>
          <w:p w14:paraId="6F74673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2.6.9 增益范围：1～16 dB，允许偏差 ±5%。</w:t>
            </w:r>
          </w:p>
          <w:p w14:paraId="5FA9426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2.6.10 动态范围：68.8 dB，允许偏差 ±5%。</w:t>
            </w:r>
          </w:p>
          <w:p w14:paraId="7B65994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2.6.11 供电：PoE 或 9～24 V DC；功耗 ≤3.6 W（±5%）。</w:t>
            </w:r>
          </w:p>
          <w:p w14:paraId="03B5F83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2.6.12 工作温度：0℃～+50℃。</w:t>
            </w:r>
          </w:p>
          <w:p w14:paraId="76FEF05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2.6.13 协议：GigE Vision 2.0、GenICam。</w:t>
            </w:r>
          </w:p>
          <w:p w14:paraId="2D56846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2.6.14 成像类型：彩色。</w:t>
            </w:r>
          </w:p>
          <w:p w14:paraId="6B22651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2.7 定焦镜头</w:t>
            </w:r>
          </w:p>
          <w:p w14:paraId="218E19D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2.7.1 焦距：16 mm，允许偏差 ±5%。</w:t>
            </w:r>
          </w:p>
          <w:p w14:paraId="63826DA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2.7.2 工作距离：150 mm～∞。</w:t>
            </w:r>
          </w:p>
          <w:p w14:paraId="1DB6698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2.7.3 光圈范围：F1.8～F16。</w:t>
            </w:r>
          </w:p>
          <w:p w14:paraId="79FA43A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2.7.4 适配靶面：1/3″～2/3″；成像圆直径 11 mm。</w:t>
            </w:r>
          </w:p>
          <w:p w14:paraId="1102CDB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2.7.5 畸变：&lt;0.2%，允许偏差 ±5%。</w:t>
            </w:r>
          </w:p>
          <w:p w14:paraId="339BA49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2.7.6 接口：C-Mount；滤镜螺纹：M30.5×0.5。</w:t>
            </w:r>
          </w:p>
          <w:p w14:paraId="750672B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2.8 定焦镜头（25 mm）</w:t>
            </w:r>
          </w:p>
          <w:p w14:paraId="136C07B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2.8.1 焦距：25 mm，允许偏差 ±5%。</w:t>
            </w:r>
          </w:p>
          <w:p w14:paraId="326FB4B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2.8.2 工作距离：200 mm～∞。</w:t>
            </w:r>
          </w:p>
          <w:p w14:paraId="0275B3A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2.8.3 光圈范围：F1.4～F16。</w:t>
            </w:r>
          </w:p>
          <w:p w14:paraId="7879738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2.8.4 适配靶面：1/3″～2/3″；成像圆直径 11 mm。</w:t>
            </w:r>
          </w:p>
          <w:p w14:paraId="6651801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2.8.5 畸变：&lt;0.3%，允许偏差 ±5%。</w:t>
            </w:r>
          </w:p>
          <w:p w14:paraId="5FAC144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2.8.6 接口：C-Mount；滤镜螺纹：M30.5×0.5。</w:t>
            </w:r>
          </w:p>
          <w:p w14:paraId="6792AF6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2.9 定焦镜头（35 mm）</w:t>
            </w:r>
          </w:p>
          <w:p w14:paraId="0160B4F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2.9.1 焦距：35 mm，允许偏差 ±5%。</w:t>
            </w:r>
          </w:p>
          <w:p w14:paraId="760AABA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2.9.2 工作距离：390 mm～∞。</w:t>
            </w:r>
          </w:p>
          <w:p w14:paraId="1267727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lastRenderedPageBreak/>
              <w:t>2.9.3 光圈范围：F1.4～F16。</w:t>
            </w:r>
          </w:p>
          <w:p w14:paraId="25A02EE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2.9.4 适配靶面：2/3″（成像圆 11 mm），兼容 1/3″～1/1.8″。</w:t>
            </w:r>
          </w:p>
          <w:p w14:paraId="0D3439A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2.9.5 畸变：&lt;0.1%，允许偏差 ±5%。</w:t>
            </w:r>
          </w:p>
          <w:p w14:paraId="2795489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2.9.6 接口：C-Mount；滤镜螺纹：M30.5×0.5。</w:t>
            </w:r>
          </w:p>
          <w:p w14:paraId="250E78D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 远心镜头</w:t>
            </w:r>
          </w:p>
          <w:p w14:paraId="373D80A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2.10.1 工作距离：110 mm，允许偏差 ±5%。</w:t>
            </w:r>
          </w:p>
          <w:p w14:paraId="4D7C7BC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2.10.2 光圈：F6.5，允许偏差 ±5%。</w:t>
            </w:r>
          </w:p>
          <w:p w14:paraId="3BA457B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2.10.3 放大倍率：0.3×，允许偏差 ±5%。</w:t>
            </w:r>
          </w:p>
          <w:p w14:paraId="2AC678C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2.10.4 靶面直径：11 mm（2/3″），允许偏差 ±5%。</w:t>
            </w:r>
          </w:p>
          <w:p w14:paraId="1B13331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2.10.5 畸变：&lt;0.1%，允许偏差 ±5%。</w:t>
            </w:r>
          </w:p>
          <w:p w14:paraId="4A9BF54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2.10.6 景深：约 6 mm，允许偏差 ±5%。</w:t>
            </w:r>
          </w:p>
          <w:p w14:paraId="5C1DDBF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2.10.7 远心度：≤0.1°。</w:t>
            </w:r>
          </w:p>
          <w:p w14:paraId="008D7D6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 环形光源</w:t>
            </w:r>
          </w:p>
          <w:p w14:paraId="4F0FF7D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2.11.1 发光颜色：白光。</w:t>
            </w:r>
          </w:p>
          <w:p w14:paraId="32A3A16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2.11.2 入射角：45°。</w:t>
            </w:r>
          </w:p>
          <w:p w14:paraId="4A74283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2.11.3 功率：约 11.3 W@24 V，允许偏差 ±5%。</w:t>
            </w:r>
          </w:p>
          <w:p w14:paraId="65369A9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2.11.4 外径尺寸：120 mm，允许偏差 ±5%。</w:t>
            </w:r>
          </w:p>
          <w:p w14:paraId="7AD68FC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2.12 环形光源</w:t>
            </w:r>
          </w:p>
          <w:p w14:paraId="145723E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2.12.1 发光颜色：白光。</w:t>
            </w:r>
          </w:p>
          <w:p w14:paraId="6E0947E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2.12.2 入射角：0°。</w:t>
            </w:r>
          </w:p>
          <w:p w14:paraId="75196EB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2.12.3 功率：约 9.1 W@24 V，允许偏差 ±5%。</w:t>
            </w:r>
          </w:p>
          <w:p w14:paraId="6BB8789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2.12.4 通道：单通道。</w:t>
            </w:r>
          </w:p>
          <w:p w14:paraId="1EF7B95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2.12.5 外径尺寸：120 mm，允许偏差 ±5%。</w:t>
            </w:r>
          </w:p>
          <w:p w14:paraId="208DE8C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2.13 底部背光源</w:t>
            </w:r>
          </w:p>
          <w:p w14:paraId="7F28715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2.13.1 发光颜色：蓝光。</w:t>
            </w:r>
          </w:p>
          <w:p w14:paraId="4D90D5E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2.13.2 功率：约 5.3 W@24 V，允许偏差 ±5%。</w:t>
            </w:r>
          </w:p>
          <w:p w14:paraId="486B84F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2.13.3 外形长度：70 mm；发光面长度：58 mm（均允许偏差 ±5%）。</w:t>
            </w:r>
          </w:p>
          <w:p w14:paraId="5FD7F2F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2.13.4 通道：单通道。</w:t>
            </w:r>
          </w:p>
          <w:p w14:paraId="7A907FE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2.14 高指向面光源</w:t>
            </w:r>
          </w:p>
          <w:p w14:paraId="1488F95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2.14.1 发光颜色：蓝光。</w:t>
            </w:r>
          </w:p>
          <w:p w14:paraId="65D2992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2.14.2 功率：约 26.2 W@24 V，允许偏差 ±5%。</w:t>
            </w:r>
          </w:p>
          <w:p w14:paraId="5B4B6F5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2.14.3 外形长度：200 mm；发光面长度：</w:t>
            </w:r>
            <w:r w:rsidRPr="00867F0E">
              <w:rPr>
                <w:rFonts w:ascii="宋体" w:hAnsi="宋体" w:cs="宋体" w:hint="eastAsia"/>
                <w:szCs w:val="21"/>
              </w:rPr>
              <w:lastRenderedPageBreak/>
              <w:t>188 mm（均允许偏差 ±5%）。</w:t>
            </w:r>
          </w:p>
          <w:p w14:paraId="77FB89E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2.14.4装有增光膜和扩散板，可抑制特定方向扩散光。</w:t>
            </w:r>
          </w:p>
          <w:p w14:paraId="07E6B50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2.14.5能通过软件控制光源亮灭和亮度等级。</w:t>
            </w:r>
          </w:p>
          <w:p w14:paraId="38BB409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 光源控制器</w:t>
            </w:r>
          </w:p>
          <w:p w14:paraId="02A95DB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2.15.1 输入电压：AC 100～240 V，50/60 Hz。</w:t>
            </w:r>
          </w:p>
          <w:p w14:paraId="367CD0D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2.15.2 输出能力：单通道 10 mA～2 A（24 V 光源），允许偏差 ±5%。</w:t>
            </w:r>
          </w:p>
          <w:p w14:paraId="6D643A5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2.15.3 发光模式：常亮/频闪；亮度 256 级可设。</w:t>
            </w:r>
          </w:p>
          <w:p w14:paraId="391E3C7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2.15.4 触发能力：响应时间 ≤30 μs；频率 ≤10 kHz。</w:t>
            </w:r>
          </w:p>
          <w:p w14:paraId="5801C78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2.15.5 保护与安规：短路/过流保护；耐压 AC1500 V/1 min，绝缘电阻 ≥20 MΩ（DC500 V）；待机功耗 ≤3.2 W。</w:t>
            </w:r>
          </w:p>
          <w:p w14:paraId="5750E91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2.15.6 输出功率：48 W/CH，允许偏差 ±5%（总功率不低于 48 W）。</w:t>
            </w:r>
          </w:p>
          <w:p w14:paraId="560A65F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2.15.7 触发模式：支持可编程流程（≥64 组），亮度/脉宽/触发源可设。</w:t>
            </w:r>
          </w:p>
          <w:p w14:paraId="67F70D1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2.15.8 通讯：至少1路以太网和1路RS232。</w:t>
            </w:r>
          </w:p>
          <w:p w14:paraId="0BBF4E48" w14:textId="77777777" w:rsidR="00867F0E" w:rsidRPr="00867F0E" w:rsidRDefault="00867F0E" w:rsidP="00867F0E">
            <w:pPr>
              <w:jc w:val="left"/>
              <w:rPr>
                <w:rFonts w:ascii="宋体" w:hAnsi="宋体" w:cs="宋体" w:hint="eastAsia"/>
                <w:szCs w:val="21"/>
              </w:rPr>
            </w:pPr>
            <w:r w:rsidRPr="00867F0E">
              <w:rPr>
                <w:rFonts w:ascii="宋体" w:hAnsi="宋体" w:cs="宋体"/>
                <w:szCs w:val="21"/>
              </w:rPr>
              <w:t xml:space="preserve">2.15.9 </w:t>
            </w:r>
            <w:r w:rsidRPr="00867F0E">
              <w:rPr>
                <w:rFonts w:ascii="宋体" w:hAnsi="宋体" w:cs="宋体" w:hint="eastAsia"/>
                <w:szCs w:val="21"/>
              </w:rPr>
              <w:t>工作温度：</w:t>
            </w:r>
            <w:r w:rsidRPr="00867F0E">
              <w:rPr>
                <w:rFonts w:ascii="Cambria Math" w:hAnsi="Cambria Math" w:cs="Cambria Math"/>
                <w:szCs w:val="21"/>
              </w:rPr>
              <w:t>−</w:t>
            </w:r>
            <w:r w:rsidRPr="00867F0E">
              <w:rPr>
                <w:rFonts w:ascii="宋体" w:hAnsi="宋体" w:cs="宋体"/>
                <w:szCs w:val="21"/>
              </w:rPr>
              <w:t>5</w:t>
            </w:r>
            <w:r w:rsidRPr="00867F0E">
              <w:rPr>
                <w:rFonts w:ascii="宋体" w:hAnsi="宋体" w:cs="宋体" w:hint="eastAsia"/>
                <w:szCs w:val="21"/>
              </w:rPr>
              <w:t>℃～</w:t>
            </w:r>
            <w:r w:rsidRPr="00867F0E">
              <w:rPr>
                <w:rFonts w:ascii="宋体" w:hAnsi="宋体" w:cs="宋体"/>
                <w:szCs w:val="21"/>
              </w:rPr>
              <w:t>+50</w:t>
            </w:r>
            <w:r w:rsidRPr="00867F0E">
              <w:rPr>
                <w:rFonts w:ascii="宋体" w:hAnsi="宋体" w:cs="宋体" w:hint="eastAsia"/>
                <w:szCs w:val="21"/>
              </w:rPr>
              <w:t>℃。</w:t>
            </w:r>
          </w:p>
          <w:p w14:paraId="452AE8D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2.15.10可编程控制，提供SDK。</w:t>
            </w:r>
          </w:p>
          <w:p w14:paraId="1A333AE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2.16 综合要求</w:t>
            </w:r>
          </w:p>
          <w:p w14:paraId="3A68602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2.16.1 各模块接口标准统一，可互换连接。</w:t>
            </w:r>
          </w:p>
          <w:p w14:paraId="513C972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2.16.2 系统支持统一软件平台采集与控制。</w:t>
            </w:r>
          </w:p>
          <w:p w14:paraId="1C7F596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2.16.3 电气性能符合国家及行业标准。</w:t>
            </w:r>
          </w:p>
          <w:p w14:paraId="5C94D08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2.16.4 连续稳定运行时间≥24小时，允许偏差±5%。</w:t>
            </w:r>
          </w:p>
          <w:p w14:paraId="540FBEC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3机械与运动单元</w:t>
            </w:r>
          </w:p>
          <w:p w14:paraId="7B16B0E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3.1视觉支架</w:t>
            </w:r>
          </w:p>
          <w:p w14:paraId="308E961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3.1.1材质：铝合金型材/不锈钢</w:t>
            </w:r>
          </w:p>
          <w:p w14:paraId="6920E57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3.1.2高度调节：最大高度≥350mm，调节精度≤1mm。</w:t>
            </w:r>
          </w:p>
          <w:p w14:paraId="2E1002C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3.1.3相机夹：适配C-Mount接口相机，角度调节范围360°（水平）×180°（垂直）。</w:t>
            </w:r>
          </w:p>
          <w:p w14:paraId="3746C85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3.1.4光源夹：适配200mm-240mm尺寸光源，夹紧力≥5N且无滑动。</w:t>
            </w:r>
          </w:p>
          <w:p w14:paraId="3180486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3.1.5万向夹：支持多维度（X/Y/Z轴）调</w:t>
            </w:r>
            <w:r w:rsidRPr="00867F0E">
              <w:rPr>
                <w:rFonts w:ascii="宋体" w:hAnsi="宋体" w:cs="宋体" w:hint="eastAsia"/>
                <w:szCs w:val="21"/>
              </w:rPr>
              <w:lastRenderedPageBreak/>
              <w:t>节，重复定位精度≤0.1mm。</w:t>
            </w:r>
          </w:p>
          <w:p w14:paraId="2165B9D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3.1.6承重：整体承重≥5kg，确保相机、镜头、光源同时安装时稳定。</w:t>
            </w:r>
          </w:p>
          <w:p w14:paraId="5696FF3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3.2机械臂</w:t>
            </w:r>
          </w:p>
          <w:p w14:paraId="79CA9F5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3.2.1机械臂类型： SCARA结构（水平多关节式）</w:t>
            </w:r>
          </w:p>
          <w:p w14:paraId="6D50118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3.2.2工作范围：工作半径≥400mm。</w:t>
            </w:r>
          </w:p>
          <w:p w14:paraId="33BCDC4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3.2.3负载能力：最大负载≥3kg，可抓取实验样品中最大重量物体。</w:t>
            </w:r>
          </w:p>
          <w:p w14:paraId="6F5B7C3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3.2.4精度：重复定位精度±0.05mm，确保物料分拣、放置的位置精度。</w:t>
            </w:r>
          </w:p>
          <w:p w14:paraId="23B91D7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3.2.5编程方式：</w:t>
            </w:r>
          </w:p>
          <w:p w14:paraId="0FABAC1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3.2.5.1图形化编程：支持拖拽式流程图编程，无需代码基础，便于教学。</w:t>
            </w:r>
          </w:p>
          <w:p w14:paraId="47F64DC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3.2.5.2示教编程：配备示教器或软件示教功能。</w:t>
            </w:r>
          </w:p>
          <w:p w14:paraId="4F13313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3.2.5.3二次开发：兼容Python、C++等语言SDK，支持与视觉系统、PLC联动开发。</w:t>
            </w:r>
          </w:p>
          <w:p w14:paraId="2E55292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3.2.6通信接口：支持RS485、以太网（PROFINET兼容）等，实现与外部设备的联动控制。</w:t>
            </w:r>
          </w:p>
          <w:p w14:paraId="1419CE1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3.3小型流水线本体</w:t>
            </w:r>
          </w:p>
          <w:p w14:paraId="3D04E07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3.3.1结构：铝合金框架+同步带传动（或链传动）。</w:t>
            </w:r>
          </w:p>
          <w:p w14:paraId="7F23017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3.3.2有效传输尺寸：传输宽度≥150mm，长度≥1000mm，满足多物料同时传输。</w:t>
            </w:r>
          </w:p>
          <w:p w14:paraId="7CFC888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3.3.3协作能力：可与伺服系统、PLC、机械臂联动，实现“物料传输-视觉检测-机械臂分拣”全流程。</w:t>
            </w:r>
          </w:p>
          <w:p w14:paraId="7F0E696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3.3.4速度调节：支持0-3m/min无级调速，定位精度≤0.5mm（通过伺服或变频器控制）。</w:t>
            </w:r>
          </w:p>
          <w:p w14:paraId="66EE5D7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3.4分拣转盘</w:t>
            </w:r>
          </w:p>
          <w:p w14:paraId="6184C8B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3.4.1尺寸：直径350mm±10mm，提供足够的物料放置面积。</w:t>
            </w:r>
          </w:p>
          <w:p w14:paraId="3E14110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3.4.2转速控制：自定义旋转速度（0-60rpm可调），支持PLC或上位机编程控制。</w:t>
            </w:r>
          </w:p>
          <w:p w14:paraId="22DF2F5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3.4.3稳定性：旋转时离心力优化设计，确保重量≤500g的物料不会飞出。</w:t>
            </w:r>
          </w:p>
          <w:p w14:paraId="6728BE2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3.4.4定位精度：重复定位精度≤0.2mm，配合机械臂实现精准抓取。</w:t>
            </w:r>
          </w:p>
          <w:p w14:paraId="2112CC6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4控制单元</w:t>
            </w:r>
          </w:p>
          <w:p w14:paraId="69398CF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4.1PLC主机</w:t>
            </w:r>
          </w:p>
          <w:p w14:paraId="5FE3083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lastRenderedPageBreak/>
              <w:t>4.1.1程序容量：≥150KB，满足复杂控制逻辑编程。</w:t>
            </w:r>
          </w:p>
          <w:p w14:paraId="23BE662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4.1.2数字IO：14路数字输入（DI）、10路数字输出（DO）。</w:t>
            </w:r>
          </w:p>
          <w:p w14:paraId="5A61563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4.1.3通信功能：</w:t>
            </w:r>
          </w:p>
          <w:p w14:paraId="6335150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4.1.3.1工业以太网：支持PROFINET协议，实现与伺服、变频器、视觉系统的高速通信。</w:t>
            </w:r>
          </w:p>
          <w:p w14:paraId="0673BAD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4.1.3.2扩展兼容性：兼容西门子S7-1200系列扩展模块，可扩展模拟量、高速计数、通信模块等。</w:t>
            </w:r>
          </w:p>
          <w:p w14:paraId="20D32D5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4.1.4编程环境：支持Step7或兼容编程软件，支持梯形图（LAD）、功能块（FBD）、语句表（STL）编程，提供教学版授权。</w:t>
            </w:r>
          </w:p>
          <w:p w14:paraId="607EF94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4.2调速电机</w:t>
            </w:r>
          </w:p>
          <w:p w14:paraId="022F26F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4.2.1功率：≥90W，适配流水线传动。</w:t>
            </w:r>
          </w:p>
          <w:p w14:paraId="65F68E5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4.2.2电源：单相220VAC。</w:t>
            </w:r>
          </w:p>
          <w:p w14:paraId="3EBFC42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5.3伺服电机</w:t>
            </w:r>
          </w:p>
          <w:p w14:paraId="5DD4D22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5.3.1功率：≥200W。</w:t>
            </w:r>
          </w:p>
          <w:p w14:paraId="488EEEA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5.3.2额定转速：3000±50rpm。</w:t>
            </w:r>
          </w:p>
          <w:p w14:paraId="2E67016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5.3.3编码器：2500线高分辨率增量式编码器，确保速度与位置控制精度。</w:t>
            </w:r>
          </w:p>
          <w:p w14:paraId="40AE43E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5.3.4控制模式：支持位置模式、速度模式、扭矩模式三种模式切换。</w:t>
            </w:r>
          </w:p>
          <w:p w14:paraId="786FF38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5.3.5通信与响应：支持PROFINET工业以太网及Modbus协议，位置控制响应频率≥1kHz，实现高速精准控制。</w:t>
            </w:r>
          </w:p>
          <w:p w14:paraId="79DF1AA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6辅助与配套单元</w:t>
            </w:r>
          </w:p>
          <w:p w14:paraId="7F0E359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6.1实训操作台</w:t>
            </w:r>
          </w:p>
          <w:p w14:paraId="5F2A88E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6.1.1结构：包含大理石台面厚度≥12cm，平面度≤0.05mm/m²，具备高平整度与稳定性，防止振动干扰检测精度。</w:t>
            </w:r>
          </w:p>
          <w:p w14:paraId="7DD2851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6.1.2布局：集成设备安装区、接线区、操作区，满足设备集成与实训操作需求。</w:t>
            </w:r>
          </w:p>
          <w:p w14:paraId="1048C3A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6.2棋盘格标定板</w:t>
            </w:r>
          </w:p>
          <w:p w14:paraId="5285F67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6.2.1阵列规格：9×9阵列。</w:t>
            </w:r>
          </w:p>
          <w:p w14:paraId="784E150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6.2.2单格尺寸：6mm。</w:t>
            </w:r>
          </w:p>
          <w:p w14:paraId="668A159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6.2.3精度：精度≤0.05mm，满足视觉系统高精度标定需求。</w:t>
            </w:r>
          </w:p>
          <w:p w14:paraId="5A6B56E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6.3实训样品</w:t>
            </w:r>
          </w:p>
          <w:p w14:paraId="62F1272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6.3.1 包含但不限于以下实训样品（每类样品数量≥3）：锂电池极片（毛刺检测）、手机显示屏（屏幕缺陷检测）、冲</w:t>
            </w:r>
            <w:r w:rsidRPr="00867F0E">
              <w:rPr>
                <w:rFonts w:ascii="宋体" w:hAnsi="宋体" w:cs="宋体" w:hint="eastAsia"/>
                <w:szCs w:val="21"/>
              </w:rPr>
              <w:lastRenderedPageBreak/>
              <w:t>压件（尺寸精度检测）、多码识别工件（含 QR 码、DM 码、PDF417、条形码）、OCR 字符识别工件、RJ45 接口件（尺寸精度检测）、光伏硅片（尺寸精度检测）、五金零件物料（物流分拣）等，用于视觉检测、识别与算法训练实验。</w:t>
            </w:r>
          </w:p>
          <w:p w14:paraId="58787B4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6.4工具箱</w:t>
            </w:r>
          </w:p>
          <w:p w14:paraId="211D564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6.4.1外壳：铝合金外壳，具备抗冲击、防腐蚀特性。</w:t>
            </w:r>
          </w:p>
          <w:p w14:paraId="7D83268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6.4.2配套工具：包含六角扳手等常用安装、调试工具，满足平台运维需求。</w:t>
            </w:r>
          </w:p>
          <w:p w14:paraId="2B69C8E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7.3D视觉检测单元</w:t>
            </w:r>
          </w:p>
          <w:p w14:paraId="144C56A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7.1整体设计</w:t>
            </w:r>
          </w:p>
          <w:p w14:paraId="4FA5024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7.1.1采用一体化设计，无需外部控制器，集成核心检测与控制模块，简化系统部署。</w:t>
            </w:r>
          </w:p>
          <w:p w14:paraId="085483A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7.2点云采集性能</w:t>
            </w:r>
          </w:p>
          <w:p w14:paraId="2D4B8A2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7.2.1支持点云数据高速采集和输出，满足实时检测与分析需求。</w:t>
            </w:r>
          </w:p>
          <w:p w14:paraId="460047B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7.3工作距离与量程</w:t>
            </w:r>
          </w:p>
          <w:p w14:paraId="13CB5AB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7.3.1工作距离：≥180mm。</w:t>
            </w:r>
          </w:p>
          <w:p w14:paraId="7B6423A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7.3.2Z轴量程：≥86mm。</w:t>
            </w:r>
          </w:p>
          <w:p w14:paraId="4BB7A8B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7.3.3X轴宽度：近端≥80mm，远端≥116mm。</w:t>
            </w:r>
          </w:p>
          <w:p w14:paraId="5FD0240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7.4精度指标</w:t>
            </w:r>
          </w:p>
          <w:p w14:paraId="4F043A6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7.4.1 Z轴重复精度：≤0.5μm。</w:t>
            </w:r>
          </w:p>
          <w:p w14:paraId="70414AE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7.4.2 X轴重复精度：≤10μm。</w:t>
            </w:r>
          </w:p>
          <w:p w14:paraId="13E420D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7.5扫描性能</w:t>
            </w:r>
          </w:p>
          <w:p w14:paraId="31CCC18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7.5.1X轴数据间隔：35μm。</w:t>
            </w:r>
          </w:p>
          <w:p w14:paraId="172947B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7.5.2X轴轮廓点数：3200点。</w:t>
            </w:r>
          </w:p>
          <w:p w14:paraId="25AFF72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7.5.3扫描速度：3000-18000Hz，支持速度可调适配不同场景。</w:t>
            </w:r>
          </w:p>
          <w:p w14:paraId="6AA8EF8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7.6激光参数</w:t>
            </w:r>
          </w:p>
          <w:p w14:paraId="6DF8F00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7.6.1Z轴线性度：±0.02%*FS（满量程）。</w:t>
            </w:r>
          </w:p>
          <w:p w14:paraId="021CC69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7.6.2激光波长：405nm。</w:t>
            </w:r>
          </w:p>
          <w:p w14:paraId="24FB292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7.6.3激光器输出功率：6mW，符合激光安全等级要求。</w:t>
            </w:r>
          </w:p>
          <w:p w14:paraId="5266B40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7.7电源要求</w:t>
            </w:r>
          </w:p>
          <w:p w14:paraId="49147E5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7.7.1供电方式：24VDC供电，支持宽电压波动适应性（±10%）。</w:t>
            </w:r>
          </w:p>
          <w:p w14:paraId="3240236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7.8接口配置</w:t>
            </w:r>
          </w:p>
          <w:p w14:paraId="619BF98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7.8.1I/O接口：≥2个光耦输入，≥3个光耦输出，支持外部设备联动控制。</w:t>
            </w:r>
          </w:p>
          <w:p w14:paraId="37C1276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lastRenderedPageBreak/>
              <w:t>7.9防护等级</w:t>
            </w:r>
          </w:p>
          <w:p w14:paraId="0810A4E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7.9.1外壳防护等级：IP55，具备防尘、防低压喷水能力，适应工业现场环境。</w:t>
            </w:r>
          </w:p>
          <w:p w14:paraId="01941F7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7.10二次开发支持</w:t>
            </w:r>
          </w:p>
          <w:p w14:paraId="2A89073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7.10.1系统兼容性：支持Linux/Windows操作系统，提供对应开发环境的SDK及API接口。</w:t>
            </w:r>
          </w:p>
          <w:p w14:paraId="65E72FD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7.10.2开发工具：支持C/C++、Python等主流编程语言，提供示例代码与技术文档。</w:t>
            </w:r>
          </w:p>
          <w:p w14:paraId="7122FC1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8一体化工业仿真平台</w:t>
            </w:r>
          </w:p>
          <w:p w14:paraId="662D201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 多场景一体化仿真</w:t>
            </w:r>
          </w:p>
          <w:p w14:paraId="6C3525B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8.1.1 支持多场景工业视觉仿真功能，覆盖目标识别、缺陷检测、视觉定位、分拣追踪及自动化协同作业等典型应用场景，实现基于视觉驱动的检测、识别与控制过程的多向协同仿真。</w:t>
            </w:r>
          </w:p>
          <w:p w14:paraId="4DF5A88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8.2 内嵌组件库</w:t>
            </w:r>
          </w:p>
          <w:p w14:paraId="644E964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8.2.1 内置组件库包含国内外知名品牌设备或工业机器人的参数化模型，数量不低于2000个。</w:t>
            </w:r>
          </w:p>
          <w:p w14:paraId="35E9440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8.2.2 组件库涵盖工业机器人成熟动态模型、工厂常见应用组件、各大品牌商的工业机器人、工装夹具、产线设备组件及自动化常用组件。</w:t>
            </w:r>
          </w:p>
          <w:p w14:paraId="50E430B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8.3 模型导入与导出</w:t>
            </w:r>
          </w:p>
          <w:p w14:paraId="5D2CAFD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8.3.1 支持导入3Dmax、AutoCAD、CATIA、Pro/E、SolidWorks、UG/NX等主流CAD软件模型。</w:t>
            </w:r>
          </w:p>
          <w:p w14:paraId="1662DE7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8.3.2 支持主流中间格式模型的导入与导出，包括IGES、JT、Parasolid(x_t)、STEP/STP等。</w:t>
            </w:r>
          </w:p>
          <w:p w14:paraId="69FE464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8.4 非标设备开发与组件库管理</w:t>
            </w:r>
          </w:p>
          <w:p w14:paraId="5ADA64E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8.4.1 支持非标设备组件开发，可快速配置参数化尺寸、颜色等静态属性，定义运行逻辑、运动规则等动态属性。</w:t>
            </w:r>
          </w:p>
          <w:p w14:paraId="075E200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8.4.2 支持建立公有云、私有云或本地化组件库，支持项目成员按权限访问。</w:t>
            </w:r>
          </w:p>
          <w:p w14:paraId="410071A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8.4.3 允许客户自主构建数字化工厂和知识库，实现资产与知识的沉淀管理。</w:t>
            </w:r>
          </w:p>
          <w:p w14:paraId="4915193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8.5 现场设备数据交互与虚拟调试</w:t>
            </w:r>
          </w:p>
          <w:p w14:paraId="49743A8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8.5.1 支持通过OPCUA协议和西门子S7协议与现场设备进行数据交互及虚拟调试。</w:t>
            </w:r>
          </w:p>
          <w:p w14:paraId="0AF5283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8.5.2 支持对现场PLC控制器数据点进行</w:t>
            </w:r>
            <w:r w:rsidRPr="00867F0E">
              <w:rPr>
                <w:rFonts w:ascii="宋体" w:hAnsi="宋体" w:cs="宋体" w:hint="eastAsia"/>
                <w:szCs w:val="21"/>
              </w:rPr>
              <w:lastRenderedPageBreak/>
              <w:t>读模式、订阅模式和写模式操作，实现数字孪生功能。</w:t>
            </w:r>
          </w:p>
          <w:p w14:paraId="7A14155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8.5.3 可在仿真环境中监视现场设备状态、运动情况，并能下发控制命令（如产线启动、停止）。</w:t>
            </w:r>
          </w:p>
          <w:p w14:paraId="6F83FBF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8.6 工业机器人离线编程与调试</w:t>
            </w:r>
          </w:p>
          <w:p w14:paraId="3565ACF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8.6.1 支持主流工业机器人品牌的轨迹规划离线编程、碰撞检测、可达性分析及代码导出。</w:t>
            </w:r>
          </w:p>
          <w:p w14:paraId="18A933C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8.6.2 内置工业机器人组件和主流工业机器人协议，支持图形化示教，可快速设计工业机器人姿态、检查运动路径干涉及姿态合理性。</w:t>
            </w:r>
          </w:p>
          <w:p w14:paraId="2E3548E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8.6.3 支持工业机器人姿态和轨迹的离线编程、虚拟调试，以及与现场设备的实时联机。</w:t>
            </w:r>
          </w:p>
          <w:p w14:paraId="4D3A319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8.7 装配过程仿真与工艺验证</w:t>
            </w:r>
          </w:p>
          <w:p w14:paraId="4C8E254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8.7.1 支持装配顺序规划，可预仿真装配过程与路径，优化装配流程并避免干涉。</w:t>
            </w:r>
          </w:p>
          <w:p w14:paraId="04382AE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8.7.2 支持动态装配安全距离分析，包括装配顺序验证、结构干涉检查、间隙检查及运动过程仿真。</w:t>
            </w:r>
          </w:p>
          <w:p w14:paraId="79D3605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8.7.3 可利用设计模型数据开展工艺虚拟验证（如虚拟装配、运动仿真），解决产品装配干涉、间隙问题及产线整体运动模拟等工艺验证问题。</w:t>
            </w:r>
          </w:p>
          <w:p w14:paraId="3D2319A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8.8 产线分析与优化</w:t>
            </w:r>
          </w:p>
          <w:p w14:paraId="069C233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8.8.1 支持分析装配线的产能、瓶颈、缓存区利用率、设备利用率、人力资源利用率、工时平衡、物料配送策略等。</w:t>
            </w:r>
          </w:p>
          <w:p w14:paraId="2EFFBF0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8.8.2 可对产线、设备、物流、库存、节拍、瓶颈、人员及利用率等进行全面评估、分析与优化。</w:t>
            </w:r>
          </w:p>
          <w:p w14:paraId="244F9B40"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8.8.3 支持输出折线图、饼图、柱状图等自定义报表，支持设备头顶实时显示运行参数及3D化组态看板。</w:t>
            </w:r>
          </w:p>
          <w:p w14:paraId="1D03B2D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8.8.4 所有分析数据可导出为Excel表格，供第三方使用。</w:t>
            </w:r>
          </w:p>
          <w:p w14:paraId="31F03AE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8.9 人机工程学分析</w:t>
            </w:r>
          </w:p>
          <w:p w14:paraId="6811234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8.9.1 支持人机工程学可达性、可视性、间隙检查等评估。</w:t>
            </w:r>
          </w:p>
          <w:p w14:paraId="7483802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8.9.2 提供人体姿态调整及运动序列定义功能，系统可自动根据任务和工件位置分解人体动作。</w:t>
            </w:r>
          </w:p>
          <w:p w14:paraId="73D87A2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lastRenderedPageBreak/>
              <w:t>8.9.3 支持评估装配和维修的复杂人体姿态，包含疲劳强度分析、工作姿态分析，可实时评估人体疲劳状态。</w:t>
            </w:r>
          </w:p>
          <w:p w14:paraId="52D36C0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8.9.4 支持工时分析，统计人员利用率。</w:t>
            </w:r>
          </w:p>
          <w:p w14:paraId="13E35EF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8.10 物理行为与柔性体仿真</w:t>
            </w:r>
          </w:p>
          <w:p w14:paraId="14BF2C8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8.10.1 支持惯性、碰撞、重力、摩擦等物理行为仿真。</w:t>
            </w:r>
          </w:p>
          <w:p w14:paraId="051D22F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8.10.2 支持柔性线束电缆仿真，模拟线缆运动过程中的形态变化。</w:t>
            </w:r>
          </w:p>
          <w:p w14:paraId="49D366B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8.11 工业机器人虚拟教学</w:t>
            </w:r>
          </w:p>
          <w:p w14:paraId="4E17BC5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8.11.1 提供工业机器人虚拟教学功能，支持通过编程对工业机器人进行示教及程序代码自动运行。</w:t>
            </w:r>
          </w:p>
          <w:p w14:paraId="7FA225B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8.12 VR虚拟现实交互</w:t>
            </w:r>
          </w:p>
          <w:p w14:paraId="0A8E70F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8.12.1 支持VR设备实时交互，基于VR实现工业仿真展示，沉浸式动态展示生产装配过程。</w:t>
            </w:r>
          </w:p>
          <w:p w14:paraId="1591961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8.12.2 支持VR虚拟产线互动，可像游戏一样操作产线设备、控制工厂运行。</w:t>
            </w:r>
          </w:p>
          <w:p w14:paraId="0D36E33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8.13 逻辑编程支持</w:t>
            </w:r>
          </w:p>
          <w:p w14:paraId="0DB6A08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8.13.1 复杂的物流逻辑、设备逻辑支持使用Python等高级语言编写，不支持软件自定义语言。</w:t>
            </w:r>
          </w:p>
          <w:p w14:paraId="3239FB3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8.14 二次开发与优化工具</w:t>
            </w:r>
          </w:p>
          <w:p w14:paraId="75675D7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8.14.1 具备二次开发能力，支持.net等通用语言开发。</w:t>
            </w:r>
          </w:p>
          <w:p w14:paraId="1978D0E8"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8.14.2 提供多种仿真优化工具，可指导产品设计与研发，缩短研发周期、降低成本。</w:t>
            </w:r>
          </w:p>
          <w:p w14:paraId="4AF31CB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8.15 工业应用成熟度与参数修改</w:t>
            </w:r>
          </w:p>
          <w:p w14:paraId="6BA24AEF"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8.15.1 系统为工业现场成熟应用系统，需提供不少于10个典型工业应用案例（智能制造或智能检测类生产线）。</w:t>
            </w:r>
          </w:p>
          <w:p w14:paraId="4C21AF9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8.15.2 针对智能制造类生产线，支持快速修改组件相关参数（如尺寸参数等）。</w:t>
            </w:r>
          </w:p>
          <w:p w14:paraId="4359AB3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8.16 虚实结合与统一控制</w:t>
            </w:r>
          </w:p>
          <w:p w14:paraId="620B214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8.16.1 实现虚拟产线场景的智能装配等工艺流程与现场实训系统工控面板、智控面板上的传感器等硬件及机器人的数据采集与流程管理。</w:t>
            </w:r>
          </w:p>
          <w:p w14:paraId="6008334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8.16.2 支持通过发布流程协调各场景，实现统一控制。</w:t>
            </w:r>
          </w:p>
          <w:p w14:paraId="35A4E5A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8.17 1:1场景模型与AI联调</w:t>
            </w:r>
          </w:p>
          <w:p w14:paraId="51239D6B" w14:textId="120AA829" w:rsidR="003A3E3F" w:rsidRPr="00867F0E" w:rsidRDefault="00867F0E" w:rsidP="00867F0E">
            <w:pPr>
              <w:jc w:val="left"/>
              <w:rPr>
                <w:rFonts w:ascii="宋体" w:hAnsi="宋体" w:cs="宋体" w:hint="eastAsia"/>
                <w:szCs w:val="21"/>
              </w:rPr>
            </w:pPr>
            <w:r w:rsidRPr="00867F0E">
              <w:rPr>
                <w:rFonts w:ascii="宋体" w:hAnsi="宋体" w:cs="宋体" w:hint="eastAsia"/>
                <w:szCs w:val="21"/>
              </w:rPr>
              <w:t>8.17.1 系统带有应用场景1:1模型，可对</w:t>
            </w:r>
            <w:r w:rsidRPr="00867F0E">
              <w:rPr>
                <w:rFonts w:ascii="宋体" w:hAnsi="宋体" w:cs="宋体" w:hint="eastAsia"/>
                <w:szCs w:val="21"/>
              </w:rPr>
              <w:lastRenderedPageBreak/>
              <w:t>工业视觉检测综合应用场景进行AI语言与实际联调技术控制。</w:t>
            </w:r>
          </w:p>
        </w:tc>
        <w:tc>
          <w:tcPr>
            <w:tcW w:w="259" w:type="pct"/>
            <w:tcBorders>
              <w:top w:val="single" w:sz="4" w:space="0" w:color="auto"/>
              <w:left w:val="single" w:sz="4" w:space="0" w:color="auto"/>
              <w:bottom w:val="single" w:sz="4" w:space="0" w:color="auto"/>
              <w:right w:val="single" w:sz="4" w:space="0" w:color="auto"/>
            </w:tcBorders>
            <w:vAlign w:val="center"/>
          </w:tcPr>
          <w:p w14:paraId="38129B51" w14:textId="1254520D" w:rsidR="003A3E3F" w:rsidRPr="00705375" w:rsidRDefault="003A3E3F" w:rsidP="003A3E3F">
            <w:pPr>
              <w:widowControl/>
              <w:jc w:val="center"/>
              <w:rPr>
                <w:rFonts w:ascii="华文仿宋" w:eastAsia="华文仿宋" w:hAnsi="华文仿宋" w:hint="eastAsia"/>
                <w:sz w:val="20"/>
                <w:szCs w:val="20"/>
              </w:rPr>
            </w:pPr>
            <w:r w:rsidRPr="00705375">
              <w:rPr>
                <w:rFonts w:ascii="宋体" w:hAnsi="宋体" w:cs="仿宋" w:hint="eastAsia"/>
                <w:sz w:val="20"/>
                <w:szCs w:val="20"/>
              </w:rPr>
              <w:lastRenderedPageBreak/>
              <w:t>中国机械总院</w:t>
            </w:r>
          </w:p>
        </w:tc>
        <w:tc>
          <w:tcPr>
            <w:tcW w:w="260" w:type="pct"/>
            <w:tcBorders>
              <w:top w:val="nil"/>
              <w:left w:val="single" w:sz="4" w:space="0" w:color="auto"/>
              <w:bottom w:val="single" w:sz="4" w:space="0" w:color="auto"/>
              <w:right w:val="single" w:sz="4" w:space="0" w:color="auto"/>
            </w:tcBorders>
            <w:vAlign w:val="center"/>
          </w:tcPr>
          <w:p w14:paraId="5921ECBF" w14:textId="4A5304AC" w:rsidR="003A3E3F" w:rsidRPr="00867F0E" w:rsidRDefault="003A3E3F" w:rsidP="003A3E3F">
            <w:pPr>
              <w:jc w:val="center"/>
              <w:rPr>
                <w:rFonts w:ascii="华文仿宋" w:eastAsia="华文仿宋" w:hAnsi="华文仿宋" w:hint="eastAsia"/>
                <w:color w:val="000000"/>
                <w:szCs w:val="21"/>
              </w:rPr>
            </w:pPr>
            <w:r w:rsidRPr="00867F0E">
              <w:rPr>
                <w:rFonts w:ascii="宋体" w:hAnsi="宋体" w:cs="宋体" w:hint="eastAsia"/>
                <w:szCs w:val="21"/>
              </w:rPr>
              <w:t>2</w:t>
            </w:r>
          </w:p>
        </w:tc>
        <w:tc>
          <w:tcPr>
            <w:tcW w:w="259" w:type="pct"/>
            <w:tcBorders>
              <w:top w:val="nil"/>
              <w:left w:val="nil"/>
              <w:bottom w:val="single" w:sz="4" w:space="0" w:color="auto"/>
              <w:right w:val="single" w:sz="4" w:space="0" w:color="auto"/>
            </w:tcBorders>
            <w:vAlign w:val="center"/>
          </w:tcPr>
          <w:p w14:paraId="00950F1C" w14:textId="0A3AAD4D" w:rsidR="003A3E3F" w:rsidRPr="00867F0E" w:rsidRDefault="003A3E3F" w:rsidP="003A3E3F">
            <w:pPr>
              <w:jc w:val="center"/>
              <w:rPr>
                <w:rFonts w:ascii="华文仿宋" w:eastAsia="华文仿宋" w:hAnsi="华文仿宋" w:hint="eastAsia"/>
                <w:color w:val="000000"/>
                <w:szCs w:val="21"/>
              </w:rPr>
            </w:pPr>
            <w:r w:rsidRPr="00867F0E">
              <w:rPr>
                <w:rFonts w:ascii="宋体" w:hAnsi="宋体" w:cs="宋体" w:hint="eastAsia"/>
                <w:szCs w:val="21"/>
              </w:rPr>
              <w:t>套</w:t>
            </w:r>
          </w:p>
        </w:tc>
        <w:tc>
          <w:tcPr>
            <w:tcW w:w="519" w:type="pct"/>
            <w:tcBorders>
              <w:top w:val="nil"/>
              <w:left w:val="single" w:sz="4" w:space="0" w:color="auto"/>
              <w:bottom w:val="single" w:sz="4" w:space="0" w:color="auto"/>
              <w:right w:val="single" w:sz="4" w:space="0" w:color="auto"/>
            </w:tcBorders>
            <w:vAlign w:val="center"/>
          </w:tcPr>
          <w:p w14:paraId="112B802B" w14:textId="1F93F99C" w:rsidR="003A3E3F" w:rsidRPr="00705375" w:rsidRDefault="003A3E3F" w:rsidP="003A3E3F">
            <w:pPr>
              <w:jc w:val="center"/>
              <w:rPr>
                <w:rFonts w:ascii="仿宋" w:eastAsia="仿宋" w:hAnsi="仿宋" w:hint="eastAsia"/>
                <w:color w:val="000000"/>
                <w:sz w:val="20"/>
                <w:szCs w:val="20"/>
              </w:rPr>
            </w:pPr>
            <w:r w:rsidRPr="00705375">
              <w:rPr>
                <w:rFonts w:ascii="宋体" w:hAnsi="宋体" w:cs="仿宋" w:hint="eastAsia"/>
                <w:sz w:val="20"/>
                <w:szCs w:val="20"/>
              </w:rPr>
              <w:t>187900</w:t>
            </w:r>
          </w:p>
        </w:tc>
        <w:tc>
          <w:tcPr>
            <w:tcW w:w="507" w:type="pct"/>
            <w:tcBorders>
              <w:top w:val="nil"/>
              <w:left w:val="nil"/>
              <w:bottom w:val="single" w:sz="4" w:space="0" w:color="auto"/>
              <w:right w:val="single" w:sz="4" w:space="0" w:color="auto"/>
            </w:tcBorders>
            <w:vAlign w:val="center"/>
          </w:tcPr>
          <w:p w14:paraId="724CFDEA" w14:textId="0ADB9391" w:rsidR="003A3E3F" w:rsidRPr="00705375" w:rsidRDefault="003A3E3F" w:rsidP="003A3E3F">
            <w:pPr>
              <w:jc w:val="center"/>
              <w:rPr>
                <w:rFonts w:ascii="华文仿宋" w:eastAsia="华文仿宋" w:hAnsi="华文仿宋" w:hint="eastAsia"/>
                <w:color w:val="000000"/>
                <w:sz w:val="20"/>
                <w:szCs w:val="20"/>
              </w:rPr>
            </w:pPr>
            <w:r w:rsidRPr="00705375">
              <w:rPr>
                <w:rFonts w:ascii="宋体" w:hAnsi="宋体" w:cs="仿宋"/>
                <w:sz w:val="20"/>
                <w:szCs w:val="20"/>
              </w:rPr>
              <w:t>375800</w:t>
            </w:r>
          </w:p>
        </w:tc>
      </w:tr>
      <w:tr w:rsidR="003A3E3F" w:rsidRPr="00867F0E" w14:paraId="7C123F72" w14:textId="77777777" w:rsidTr="00705375">
        <w:trPr>
          <w:trHeight w:val="454"/>
          <w:jc w:val="center"/>
        </w:trPr>
        <w:tc>
          <w:tcPr>
            <w:tcW w:w="260" w:type="pct"/>
            <w:tcBorders>
              <w:top w:val="nil"/>
              <w:left w:val="single" w:sz="4" w:space="0" w:color="auto"/>
              <w:bottom w:val="single" w:sz="4" w:space="0" w:color="auto"/>
              <w:right w:val="single" w:sz="4" w:space="0" w:color="auto"/>
            </w:tcBorders>
            <w:vAlign w:val="center"/>
          </w:tcPr>
          <w:p w14:paraId="2CBF36D4" w14:textId="6D136813" w:rsidR="003A3E3F" w:rsidRPr="00867F0E" w:rsidRDefault="003A3E3F" w:rsidP="003A3E3F">
            <w:pPr>
              <w:jc w:val="center"/>
              <w:rPr>
                <w:rFonts w:ascii="宋体" w:hAnsi="宋体" w:hint="eastAsia"/>
                <w:color w:val="000000"/>
                <w:szCs w:val="21"/>
              </w:rPr>
            </w:pPr>
            <w:r w:rsidRPr="00867F0E">
              <w:rPr>
                <w:rFonts w:ascii="宋体" w:hAnsi="宋体" w:cs="仿宋" w:hint="eastAsia"/>
                <w:sz w:val="24"/>
              </w:rPr>
              <w:lastRenderedPageBreak/>
              <w:t>3</w:t>
            </w:r>
          </w:p>
        </w:tc>
        <w:tc>
          <w:tcPr>
            <w:tcW w:w="428" w:type="pct"/>
            <w:tcBorders>
              <w:top w:val="nil"/>
              <w:left w:val="nil"/>
              <w:bottom w:val="single" w:sz="4" w:space="0" w:color="auto"/>
              <w:right w:val="single" w:sz="4" w:space="0" w:color="auto"/>
            </w:tcBorders>
            <w:vAlign w:val="center"/>
          </w:tcPr>
          <w:p w14:paraId="0345A8D5" w14:textId="17669387" w:rsidR="003A3E3F" w:rsidRPr="00867F0E" w:rsidRDefault="003A3E3F" w:rsidP="003A3E3F">
            <w:pPr>
              <w:jc w:val="center"/>
              <w:rPr>
                <w:rFonts w:ascii="华文仿宋" w:eastAsia="华文仿宋" w:hAnsi="华文仿宋" w:hint="eastAsia"/>
                <w:color w:val="000000"/>
                <w:szCs w:val="21"/>
              </w:rPr>
            </w:pPr>
            <w:r w:rsidRPr="00867F0E">
              <w:rPr>
                <w:rFonts w:hAnsi="宋体" w:cs="宋体" w:hint="eastAsia"/>
                <w:szCs w:val="21"/>
              </w:rPr>
              <w:t>2D&amp;3D&amp;AI</w:t>
            </w:r>
            <w:r w:rsidRPr="00867F0E">
              <w:rPr>
                <w:rFonts w:hAnsi="宋体" w:cs="宋体" w:hint="eastAsia"/>
                <w:szCs w:val="21"/>
              </w:rPr>
              <w:t>图像处理系统</w:t>
            </w:r>
          </w:p>
        </w:tc>
        <w:tc>
          <w:tcPr>
            <w:tcW w:w="2507" w:type="pct"/>
            <w:tcBorders>
              <w:left w:val="single" w:sz="4" w:space="0" w:color="auto"/>
              <w:right w:val="single" w:sz="4" w:space="0" w:color="auto"/>
            </w:tcBorders>
            <w:vAlign w:val="center"/>
          </w:tcPr>
          <w:p w14:paraId="5D6F478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1、2D功能模块：</w:t>
            </w:r>
          </w:p>
          <w:p w14:paraId="1117969B"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1.1、该系统至少包含以下快捷标定方式：多点标定、旋转中心标定、透视标定、定长标定、畸变标定、光源标定、标定板标定、机械臂位姿转换、三维图像标定、手眼标定等；其中机械臂位姿转换功能至少包括：可选择手眼类型、机械臂旋转方式、旋转角顺序、引用机械臂修正模板等，实现对机械臂位姿态的坐标、角度的转换；</w:t>
            </w:r>
          </w:p>
          <w:p w14:paraId="50F9714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1.2、系统贴合功能支持单相机和双相机两种模式，单相机支持贴合类型：相机在机械手上-放置、相机在机械手上-抓取、相机不在机械手上-放置、相机不在机械手上-抓取；双相机支持贴合类型：上相机不在机械手上-放置、上相机在机械手上-放置等；</w:t>
            </w:r>
          </w:p>
          <w:p w14:paraId="0C7AA64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1.3、系统中包含数据类型转换算子工具，可以支持应用工具将点数组与轮廓数组，数值数组与矩阵、图像类型、图形图像、图形轮廓之间进行互转，减少了复杂的脚本转换赋值流程；</w:t>
            </w:r>
          </w:p>
          <w:p w14:paraId="5848C4B5"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1.4、支持深度学习标注功能，可以手动标记并保存原图与标注后的结果图片和标注信息到指定的文件夹，文件夹内图片可以直接用于深度学习，不用重新标记；</w:t>
            </w:r>
          </w:p>
          <w:p w14:paraId="7AAF3D53"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1.5、支持硬件管理功能，可配置光源控制器、相机参数以及串口、TCP/IP、ModBus、PLC等通讯参数配置，进入界面会自动扫描并连接扫描到的相机和控制器；</w:t>
            </w:r>
          </w:p>
          <w:p w14:paraId="2FD096BC"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1.6、支持方案对比管理功能：至少可支持展开到算子块、展开到算子、全部展开、全部折叠、比较全部、比较差异、刷新对比、导出CSV、比较流程、比较变量、比较UI脚本、比较UI控件、比较事件等功能。可支持通过选择两个不同的方案进行对比，可显示两个方案的差异处；可显示两个方案的相似度，相似度百分比至少精确到小数点后一位。</w:t>
            </w:r>
          </w:p>
          <w:p w14:paraId="70336E41"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2、3D功能模块：</w:t>
            </w:r>
          </w:p>
          <w:p w14:paraId="0019AA27"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2.1、支持三维轮廓检测功能：包含单轮</w:t>
            </w:r>
            <w:r w:rsidRPr="00867F0E">
              <w:rPr>
                <w:rFonts w:ascii="宋体" w:hAnsi="宋体" w:cs="宋体" w:hint="eastAsia"/>
                <w:szCs w:val="21"/>
              </w:rPr>
              <w:lastRenderedPageBreak/>
              <w:t>廓、多轮廓两种功能类型。可通过设置轮廓投影宽度、轮廓计算方法、设置检测内容（高度、位置、宽度、计数、高度差、中心位置、圆的半径、缺陷检测、与水平的夹角、两直线夹角、两点间的距离、点到直线的距离等不少于12种检测内容）、检测对象、检测设置等参数，来定位计算获取图像中对象的边界特征；</w:t>
            </w:r>
          </w:p>
          <w:p w14:paraId="73A15B6D"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2.2、支持三维缺陷检测功能：可通过设置拟合方式（多项式拟合、高斯拟合、三维采样等不少于3种方式）、拟合参数、检测设置、检测内容（包括体积、表面面积、最大高度、最小高度、平均高度、高度标准差、有效像素、外矩位置、外矩角度、矩形度、截面面积、截面周长、截面像素面积等不少于13种检测内容）、凹筛选、凸筛选等参数，来获取图像的缺陷特征；</w:t>
            </w:r>
          </w:p>
          <w:p w14:paraId="103D6CD2"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2.3、支持三维特征匹配功能：可通过设置三维匹配模板、匹配模式、搜索特征点范围、特征点个数、参与匹配点数、匹配数目、最小得分、重叠率、点对距离、点对角度等参数，对图像进行计算特征并实现图像匹配。</w:t>
            </w:r>
          </w:p>
          <w:p w14:paraId="1F847E19"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3、深度学习模块：</w:t>
            </w:r>
          </w:p>
          <w:p w14:paraId="38E63556"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3.1、包含数据标注，训练，预测于一体，支持缺陷检测（语义分割），目标检测，图像分类，字符识别四大任务类型的数据标注和建模；</w:t>
            </w:r>
          </w:p>
          <w:p w14:paraId="7298FD2E"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3.2、系统无编程界面，支持多种标注方式，模型毫秒级响应，适用于各类复杂应用场景，具有强大的兼容性和自学习功能；</w:t>
            </w:r>
          </w:p>
          <w:p w14:paraId="7235BEDA"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3.3、开启系统后至少支持八种深度学习案例项目：齿轮异物检测、药片缺陷检测、芯片字符识别-带角度、芯片字符识别-无角度、芯片字符识别-文本行、工件类型检测-带角度、工件类型检测-不带角度、芦荟胶异物检测等。每个案例项目内须包含完整的图片集，并要求完成对应的数据标注，有完整的训练模型可直接应用；</w:t>
            </w:r>
          </w:p>
          <w:p w14:paraId="12E795D4" w14:textId="77777777" w:rsidR="00867F0E" w:rsidRPr="00867F0E" w:rsidRDefault="00867F0E" w:rsidP="00867F0E">
            <w:pPr>
              <w:jc w:val="left"/>
              <w:rPr>
                <w:rFonts w:ascii="宋体" w:hAnsi="宋体" w:cs="宋体" w:hint="eastAsia"/>
                <w:szCs w:val="21"/>
              </w:rPr>
            </w:pPr>
            <w:r w:rsidRPr="00867F0E">
              <w:rPr>
                <w:rFonts w:ascii="宋体" w:hAnsi="宋体" w:cs="宋体" w:hint="eastAsia"/>
                <w:szCs w:val="21"/>
              </w:rPr>
              <w:t>3.4、训练功能除传统深度训练功能外，支持继续训练、训练过程可视化以及在线部署功能，可实现一边收集数据，一边完善</w:t>
            </w:r>
            <w:r w:rsidRPr="00867F0E">
              <w:rPr>
                <w:rFonts w:ascii="宋体" w:hAnsi="宋体" w:cs="宋体" w:hint="eastAsia"/>
                <w:szCs w:val="21"/>
              </w:rPr>
              <w:lastRenderedPageBreak/>
              <w:t>训练模型。训练过程可视化包括训练过程中评价指标的变化曲线显示和训练日志可视化。评价指标分为损失函数和准确率。评价指标的可视化可通过左侧曲线查看，损失函数--迭代步数曲线（Loss-epoch，Le）和准确率--迭代步数曲线（Acc-epoch，Ae）。在线部署功能以扩展库形式嵌入图像处理软件，实现深度学习的在线部署。图像处理软件端通过深度学习软件训练得到scidl文件，应用端通过图像处理软件调用扩展库，在扩展库中加载模型文件执行，实现在线部署。支持自由的设置参数、支持不均衡样本设置、同步显示训练的精度；</w:t>
            </w:r>
          </w:p>
          <w:p w14:paraId="7A222E38" w14:textId="596B9764" w:rsidR="003A3E3F" w:rsidRPr="00867F0E" w:rsidRDefault="00867F0E" w:rsidP="00867F0E">
            <w:pPr>
              <w:jc w:val="left"/>
              <w:rPr>
                <w:rFonts w:ascii="宋体" w:hAnsi="宋体" w:cs="宋体" w:hint="eastAsia"/>
                <w:szCs w:val="21"/>
              </w:rPr>
            </w:pPr>
            <w:r w:rsidRPr="00867F0E">
              <w:rPr>
                <w:rFonts w:ascii="宋体" w:hAnsi="宋体" w:cs="宋体" w:hint="eastAsia"/>
                <w:szCs w:val="21"/>
              </w:rPr>
              <w:t>3.5、评估功能支持过程可视化和结果可视化。过程可视化体现在评估过程中打印日志（图片地址以及单张评估的时间）的实时刷新变化。结果可视化体现在评估完成之后，可点击缩略图中的测试数据集，可单张查看预测结果显示。支持数量与时间统计。</w:t>
            </w:r>
          </w:p>
        </w:tc>
        <w:tc>
          <w:tcPr>
            <w:tcW w:w="259" w:type="pct"/>
            <w:tcBorders>
              <w:top w:val="single" w:sz="4" w:space="0" w:color="auto"/>
              <w:left w:val="single" w:sz="4" w:space="0" w:color="auto"/>
              <w:bottom w:val="single" w:sz="4" w:space="0" w:color="auto"/>
              <w:right w:val="single" w:sz="4" w:space="0" w:color="auto"/>
            </w:tcBorders>
            <w:vAlign w:val="center"/>
          </w:tcPr>
          <w:p w14:paraId="4D9A8BFB" w14:textId="47DC7DD6" w:rsidR="003A3E3F" w:rsidRPr="00705375" w:rsidRDefault="003A3E3F" w:rsidP="003A3E3F">
            <w:pPr>
              <w:widowControl/>
              <w:jc w:val="center"/>
              <w:rPr>
                <w:rFonts w:ascii="华文仿宋" w:eastAsia="华文仿宋" w:hAnsi="华文仿宋" w:hint="eastAsia"/>
                <w:sz w:val="20"/>
                <w:szCs w:val="20"/>
              </w:rPr>
            </w:pPr>
            <w:r w:rsidRPr="00705375">
              <w:rPr>
                <w:rFonts w:ascii="宋体" w:hAnsi="宋体" w:cs="仿宋" w:hint="eastAsia"/>
                <w:sz w:val="20"/>
                <w:szCs w:val="20"/>
              </w:rPr>
              <w:lastRenderedPageBreak/>
              <w:t>中国机械总院</w:t>
            </w:r>
          </w:p>
        </w:tc>
        <w:tc>
          <w:tcPr>
            <w:tcW w:w="260" w:type="pct"/>
            <w:tcBorders>
              <w:top w:val="nil"/>
              <w:left w:val="single" w:sz="4" w:space="0" w:color="auto"/>
              <w:bottom w:val="single" w:sz="4" w:space="0" w:color="auto"/>
              <w:right w:val="single" w:sz="4" w:space="0" w:color="auto"/>
            </w:tcBorders>
            <w:vAlign w:val="center"/>
          </w:tcPr>
          <w:p w14:paraId="7DB91F1F" w14:textId="6DE707A8" w:rsidR="003A3E3F" w:rsidRPr="00867F0E" w:rsidRDefault="003A3E3F" w:rsidP="003A3E3F">
            <w:pPr>
              <w:jc w:val="center"/>
              <w:rPr>
                <w:rFonts w:ascii="华文仿宋" w:eastAsia="华文仿宋" w:hAnsi="华文仿宋" w:hint="eastAsia"/>
                <w:color w:val="000000"/>
                <w:szCs w:val="21"/>
              </w:rPr>
            </w:pPr>
            <w:r w:rsidRPr="00867F0E">
              <w:rPr>
                <w:rFonts w:ascii="宋体" w:hAnsi="宋体" w:cs="宋体" w:hint="eastAsia"/>
                <w:sz w:val="24"/>
                <w:szCs w:val="20"/>
              </w:rPr>
              <w:t>10</w:t>
            </w:r>
          </w:p>
        </w:tc>
        <w:tc>
          <w:tcPr>
            <w:tcW w:w="259" w:type="pct"/>
            <w:tcBorders>
              <w:top w:val="nil"/>
              <w:left w:val="nil"/>
              <w:bottom w:val="single" w:sz="4" w:space="0" w:color="auto"/>
              <w:right w:val="single" w:sz="4" w:space="0" w:color="auto"/>
            </w:tcBorders>
            <w:vAlign w:val="center"/>
          </w:tcPr>
          <w:p w14:paraId="7763D691" w14:textId="081713FB" w:rsidR="003A3E3F" w:rsidRPr="00867F0E" w:rsidRDefault="003A3E3F" w:rsidP="003A3E3F">
            <w:pPr>
              <w:jc w:val="center"/>
              <w:rPr>
                <w:rFonts w:ascii="华文仿宋" w:eastAsia="华文仿宋" w:hAnsi="华文仿宋" w:hint="eastAsia"/>
                <w:color w:val="000000"/>
                <w:szCs w:val="21"/>
              </w:rPr>
            </w:pPr>
            <w:r w:rsidRPr="00867F0E">
              <w:rPr>
                <w:rFonts w:ascii="宋体" w:hAnsi="宋体" w:cs="宋体" w:hint="eastAsia"/>
                <w:sz w:val="24"/>
                <w:szCs w:val="20"/>
              </w:rPr>
              <w:t>套</w:t>
            </w:r>
          </w:p>
        </w:tc>
        <w:tc>
          <w:tcPr>
            <w:tcW w:w="519" w:type="pct"/>
            <w:tcBorders>
              <w:top w:val="nil"/>
              <w:left w:val="single" w:sz="4" w:space="0" w:color="auto"/>
              <w:bottom w:val="single" w:sz="4" w:space="0" w:color="auto"/>
              <w:right w:val="single" w:sz="4" w:space="0" w:color="auto"/>
            </w:tcBorders>
            <w:vAlign w:val="center"/>
          </w:tcPr>
          <w:p w14:paraId="12F7EB69" w14:textId="24B8D681" w:rsidR="003A3E3F" w:rsidRPr="00705375" w:rsidRDefault="003A3E3F" w:rsidP="003A3E3F">
            <w:pPr>
              <w:jc w:val="center"/>
              <w:rPr>
                <w:rFonts w:ascii="仿宋" w:eastAsia="仿宋" w:hAnsi="仿宋" w:hint="eastAsia"/>
                <w:color w:val="000000"/>
                <w:sz w:val="20"/>
                <w:szCs w:val="20"/>
              </w:rPr>
            </w:pPr>
            <w:r w:rsidRPr="00705375">
              <w:rPr>
                <w:rFonts w:ascii="宋体" w:hAnsi="宋体" w:cs="仿宋" w:hint="eastAsia"/>
                <w:sz w:val="20"/>
                <w:szCs w:val="20"/>
              </w:rPr>
              <w:t>8800</w:t>
            </w:r>
          </w:p>
        </w:tc>
        <w:tc>
          <w:tcPr>
            <w:tcW w:w="507" w:type="pct"/>
            <w:tcBorders>
              <w:top w:val="nil"/>
              <w:left w:val="nil"/>
              <w:bottom w:val="single" w:sz="4" w:space="0" w:color="auto"/>
              <w:right w:val="single" w:sz="4" w:space="0" w:color="auto"/>
            </w:tcBorders>
            <w:vAlign w:val="center"/>
          </w:tcPr>
          <w:p w14:paraId="25D5AD8E" w14:textId="6209C883" w:rsidR="003A3E3F" w:rsidRPr="00705375" w:rsidRDefault="003A3E3F" w:rsidP="003A3E3F">
            <w:pPr>
              <w:jc w:val="center"/>
              <w:rPr>
                <w:rFonts w:ascii="华文仿宋" w:eastAsia="华文仿宋" w:hAnsi="华文仿宋" w:hint="eastAsia"/>
                <w:color w:val="000000"/>
                <w:sz w:val="20"/>
                <w:szCs w:val="20"/>
              </w:rPr>
            </w:pPr>
            <w:r w:rsidRPr="00705375">
              <w:rPr>
                <w:rFonts w:ascii="宋体" w:hAnsi="宋体" w:cs="仿宋" w:hint="eastAsia"/>
                <w:sz w:val="20"/>
                <w:szCs w:val="20"/>
              </w:rPr>
              <w:t>88000</w:t>
            </w:r>
          </w:p>
        </w:tc>
      </w:tr>
      <w:tr w:rsidR="003A3E3F" w:rsidRPr="00867F0E" w14:paraId="6843596E" w14:textId="77777777" w:rsidTr="00705375">
        <w:trPr>
          <w:trHeight w:val="454"/>
          <w:jc w:val="center"/>
        </w:trPr>
        <w:tc>
          <w:tcPr>
            <w:tcW w:w="260" w:type="pct"/>
            <w:tcBorders>
              <w:top w:val="nil"/>
              <w:left w:val="single" w:sz="4" w:space="0" w:color="auto"/>
              <w:bottom w:val="single" w:sz="4" w:space="0" w:color="auto"/>
              <w:right w:val="single" w:sz="4" w:space="0" w:color="auto"/>
            </w:tcBorders>
            <w:vAlign w:val="center"/>
          </w:tcPr>
          <w:p w14:paraId="711CAD18" w14:textId="1C8C8D67" w:rsidR="003A3E3F" w:rsidRPr="00867F0E" w:rsidRDefault="003A3E3F" w:rsidP="003A3E3F">
            <w:pPr>
              <w:jc w:val="center"/>
              <w:rPr>
                <w:rFonts w:ascii="宋体" w:hAnsi="宋体" w:hint="eastAsia"/>
                <w:color w:val="000000"/>
                <w:szCs w:val="21"/>
              </w:rPr>
            </w:pPr>
            <w:r w:rsidRPr="00867F0E">
              <w:rPr>
                <w:rFonts w:ascii="宋体" w:hAnsi="宋体" w:cs="仿宋" w:hint="eastAsia"/>
                <w:sz w:val="24"/>
              </w:rPr>
              <w:lastRenderedPageBreak/>
              <w:t>4</w:t>
            </w:r>
          </w:p>
        </w:tc>
        <w:tc>
          <w:tcPr>
            <w:tcW w:w="428" w:type="pct"/>
            <w:tcBorders>
              <w:top w:val="nil"/>
              <w:left w:val="nil"/>
              <w:bottom w:val="single" w:sz="4" w:space="0" w:color="auto"/>
              <w:right w:val="single" w:sz="4" w:space="0" w:color="auto"/>
            </w:tcBorders>
            <w:vAlign w:val="center"/>
          </w:tcPr>
          <w:p w14:paraId="2063AAC0" w14:textId="55366E52" w:rsidR="003A3E3F" w:rsidRPr="00867F0E" w:rsidRDefault="003A3E3F" w:rsidP="003A3E3F">
            <w:pPr>
              <w:jc w:val="center"/>
              <w:rPr>
                <w:rFonts w:ascii="华文仿宋" w:eastAsia="华文仿宋" w:hAnsi="华文仿宋" w:hint="eastAsia"/>
                <w:color w:val="000000"/>
                <w:szCs w:val="21"/>
              </w:rPr>
            </w:pPr>
            <w:r w:rsidRPr="00867F0E">
              <w:rPr>
                <w:rFonts w:hAnsi="宋体" w:cs="宋体" w:hint="eastAsia"/>
                <w:szCs w:val="21"/>
              </w:rPr>
              <w:t>2D</w:t>
            </w:r>
            <w:r w:rsidRPr="00867F0E">
              <w:rPr>
                <w:rFonts w:hAnsi="宋体" w:cs="宋体" w:hint="eastAsia"/>
                <w:szCs w:val="21"/>
              </w:rPr>
              <w:t>图像处理系统</w:t>
            </w:r>
          </w:p>
        </w:tc>
        <w:tc>
          <w:tcPr>
            <w:tcW w:w="2507" w:type="pct"/>
            <w:tcBorders>
              <w:left w:val="single" w:sz="4" w:space="0" w:color="auto"/>
              <w:bottom w:val="single" w:sz="4" w:space="0" w:color="auto"/>
              <w:right w:val="single" w:sz="4" w:space="0" w:color="auto"/>
            </w:tcBorders>
            <w:vAlign w:val="center"/>
          </w:tcPr>
          <w:p w14:paraId="5CB86AE2"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1、开启2D图像处理系统时支持自动弹出多种示例工程项目案例，示例工程项目案例可以直接使用，至少包括：螺丝定位锁紧、屏幕尺寸测量、二维码分类识别、极片外观检测、手机边框3D测量、芯片字符检测、芦荟胶异物检测等多种项目案例，每个项目案例至少包含完整的项目主流程、子流程、UI界面（包括显示窗口、按钮、图标等UI控件）、全局变量与工程图片，支持在示例工程项目基础上快速完成新项目流程编写。</w:t>
            </w:r>
          </w:p>
          <w:p w14:paraId="29E935BF"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2、要求至少提供以下算子工具：</w:t>
            </w:r>
          </w:p>
          <w:p w14:paraId="72BFAB7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2.1、提供图像工具≥9个，包含采集设置、图像采集、导入图像、图像缓存、导出图像、标定、坐标系转换、自动标定、光源标定；</w:t>
            </w:r>
          </w:p>
          <w:p w14:paraId="3E21CE38"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2.2、提供图像增强工具≥15个，包含预处理、滤波、二值化、缩放、通道提取、形态学、灰度操作、旋转、镜像、LUT、图像拼接、图像操作、图像裁剪、直方图均衡化、光度立体技术；</w:t>
            </w:r>
          </w:p>
          <w:p w14:paraId="31F11A07"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2.3、提供图像定位工具≥11个，包含找点、找边、找圆、灰度匹配、特征匹配、</w:t>
            </w:r>
            <w:r w:rsidRPr="00867F0E">
              <w:rPr>
                <w:rFonts w:ascii="宋体" w:hAnsi="宋体" w:cs="宋体" w:hint="eastAsia"/>
                <w:szCs w:val="21"/>
              </w:rPr>
              <w:lastRenderedPageBreak/>
              <w:t>轮廓匹配、ROI校正基准设置、生成ROI、霍夫找圆、角点检测、贴合；</w:t>
            </w:r>
          </w:p>
          <w:p w14:paraId="098056AA"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2.4、提供图像测量工具≥4个，包含卡尺测量、间隙测量、几何关系、颜色测量；</w:t>
            </w:r>
          </w:p>
          <w:p w14:paraId="1B895C40"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2.5、提供图像检测工具≥9个，包含B1ob分析、划痕检测、轮廓提取、轮廓处理、轮廓度、轮廓对比、变量模型、数据转换、崩边检测；</w:t>
            </w:r>
          </w:p>
          <w:p w14:paraId="7FA4C855"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2.6、提供图像识别工具≥4个，包含0CR、条码、二维码、分类器；</w:t>
            </w:r>
          </w:p>
          <w:p w14:paraId="6FA650D9"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2.7、提供通讯工具≥5个，包含TCP、串口、通用IO、Modbus、PLC；</w:t>
            </w:r>
          </w:p>
          <w:p w14:paraId="5A788B4B"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2.8、提供控制工具≥11个，包含逻辑运算、Scriptor、变量赋值、变量读写、延时、交互对话框、算法扩展、CSV记录、0verlay、数据库操作、点数组转换；</w:t>
            </w:r>
          </w:p>
          <w:p w14:paraId="5D849CD4"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3、支持多种匹配功能：包括灰度匹配、特征匹配、轮廓匹配、尺度匹配、以及多模板匹配等算子工具，其中多模板匹配功能可支持通过物体轮廓和灰度信息进行匹配，匹配的模板至少支持10个、且可通过设置金字塔分解层数、角度范围、匹配数目、重合度、最小得分等参数来完成对模板的匹配检测。</w:t>
            </w:r>
          </w:p>
          <w:p w14:paraId="43815006" w14:textId="77777777" w:rsidR="00867F0E" w:rsidRPr="00867F0E" w:rsidRDefault="00867F0E" w:rsidP="00867F0E">
            <w:pPr>
              <w:widowControl/>
              <w:jc w:val="left"/>
              <w:rPr>
                <w:rFonts w:ascii="宋体" w:hAnsi="宋体" w:cs="宋体" w:hint="eastAsia"/>
                <w:szCs w:val="21"/>
              </w:rPr>
            </w:pPr>
            <w:r w:rsidRPr="00867F0E">
              <w:rPr>
                <w:rFonts w:ascii="宋体" w:hAnsi="宋体" w:cs="宋体" w:hint="eastAsia"/>
                <w:szCs w:val="21"/>
              </w:rPr>
              <w:t>4、支持光源标定功能：可以利用光源照射标定球，获取球心以及高光中心的像素坐标，计出光源单位向量。</w:t>
            </w:r>
          </w:p>
          <w:p w14:paraId="118F2775" w14:textId="52E7DC4E" w:rsidR="003A3E3F" w:rsidRPr="00867F0E" w:rsidRDefault="00867F0E" w:rsidP="00867F0E">
            <w:pPr>
              <w:widowControl/>
              <w:jc w:val="left"/>
              <w:rPr>
                <w:rFonts w:ascii="宋体" w:hAnsi="宋体" w:cs="宋体" w:hint="eastAsia"/>
                <w:szCs w:val="21"/>
              </w:rPr>
            </w:pPr>
            <w:r w:rsidRPr="00867F0E">
              <w:rPr>
                <w:rFonts w:ascii="宋体" w:hAnsi="宋体" w:cs="宋体" w:hint="eastAsia"/>
                <w:szCs w:val="21"/>
              </w:rPr>
              <w:t>5、支持方案安全管理功能，要求至少可支持方案绑定工控机、方案绑定密码、流程图算子块隐藏、显示算子块密码、软件无操作隐藏时间等，以保护视觉方案的安全性。</w:t>
            </w:r>
          </w:p>
        </w:tc>
        <w:tc>
          <w:tcPr>
            <w:tcW w:w="259" w:type="pct"/>
            <w:tcBorders>
              <w:top w:val="single" w:sz="4" w:space="0" w:color="auto"/>
              <w:left w:val="single" w:sz="4" w:space="0" w:color="auto"/>
              <w:bottom w:val="single" w:sz="4" w:space="0" w:color="auto"/>
              <w:right w:val="single" w:sz="4" w:space="0" w:color="auto"/>
            </w:tcBorders>
            <w:vAlign w:val="center"/>
          </w:tcPr>
          <w:p w14:paraId="7BAC3CBE" w14:textId="70D44EA9" w:rsidR="003A3E3F" w:rsidRPr="00705375" w:rsidRDefault="003A3E3F" w:rsidP="003A3E3F">
            <w:pPr>
              <w:widowControl/>
              <w:jc w:val="center"/>
              <w:rPr>
                <w:rFonts w:ascii="华文仿宋" w:eastAsia="华文仿宋" w:hAnsi="华文仿宋" w:hint="eastAsia"/>
                <w:sz w:val="20"/>
                <w:szCs w:val="20"/>
              </w:rPr>
            </w:pPr>
            <w:r w:rsidRPr="00705375">
              <w:rPr>
                <w:rFonts w:ascii="宋体" w:hAnsi="宋体" w:cs="仿宋" w:hint="eastAsia"/>
                <w:sz w:val="20"/>
                <w:szCs w:val="20"/>
              </w:rPr>
              <w:lastRenderedPageBreak/>
              <w:t>中国机械总院</w:t>
            </w:r>
          </w:p>
        </w:tc>
        <w:tc>
          <w:tcPr>
            <w:tcW w:w="260" w:type="pct"/>
            <w:tcBorders>
              <w:top w:val="nil"/>
              <w:left w:val="single" w:sz="4" w:space="0" w:color="auto"/>
              <w:bottom w:val="single" w:sz="4" w:space="0" w:color="auto"/>
              <w:right w:val="single" w:sz="4" w:space="0" w:color="auto"/>
            </w:tcBorders>
            <w:vAlign w:val="center"/>
          </w:tcPr>
          <w:p w14:paraId="5E1389CE" w14:textId="531DBBAE" w:rsidR="003A3E3F" w:rsidRPr="00867F0E" w:rsidRDefault="003A3E3F" w:rsidP="003A3E3F">
            <w:pPr>
              <w:jc w:val="center"/>
              <w:rPr>
                <w:rFonts w:ascii="华文仿宋" w:eastAsia="华文仿宋" w:hAnsi="华文仿宋" w:hint="eastAsia"/>
                <w:color w:val="000000"/>
                <w:szCs w:val="21"/>
              </w:rPr>
            </w:pPr>
            <w:r w:rsidRPr="00867F0E">
              <w:rPr>
                <w:rFonts w:ascii="宋体" w:hAnsi="宋体" w:cs="宋体" w:hint="eastAsia"/>
                <w:sz w:val="24"/>
                <w:szCs w:val="20"/>
              </w:rPr>
              <w:t>51</w:t>
            </w:r>
          </w:p>
        </w:tc>
        <w:tc>
          <w:tcPr>
            <w:tcW w:w="259" w:type="pct"/>
            <w:tcBorders>
              <w:top w:val="nil"/>
              <w:left w:val="nil"/>
              <w:bottom w:val="single" w:sz="4" w:space="0" w:color="auto"/>
              <w:right w:val="single" w:sz="4" w:space="0" w:color="auto"/>
            </w:tcBorders>
            <w:vAlign w:val="center"/>
          </w:tcPr>
          <w:p w14:paraId="4F40E97A" w14:textId="78662FB7" w:rsidR="003A3E3F" w:rsidRPr="00867F0E" w:rsidRDefault="003A3E3F" w:rsidP="003A3E3F">
            <w:pPr>
              <w:jc w:val="center"/>
              <w:rPr>
                <w:rFonts w:ascii="华文仿宋" w:eastAsia="华文仿宋" w:hAnsi="华文仿宋" w:hint="eastAsia"/>
                <w:color w:val="000000"/>
                <w:szCs w:val="21"/>
              </w:rPr>
            </w:pPr>
            <w:r w:rsidRPr="00867F0E">
              <w:rPr>
                <w:rFonts w:ascii="宋体" w:hAnsi="宋体" w:cs="宋体" w:hint="eastAsia"/>
                <w:szCs w:val="21"/>
              </w:rPr>
              <w:t>套</w:t>
            </w:r>
          </w:p>
        </w:tc>
        <w:tc>
          <w:tcPr>
            <w:tcW w:w="519" w:type="pct"/>
            <w:tcBorders>
              <w:top w:val="nil"/>
              <w:left w:val="single" w:sz="4" w:space="0" w:color="auto"/>
              <w:bottom w:val="single" w:sz="4" w:space="0" w:color="auto"/>
              <w:right w:val="single" w:sz="4" w:space="0" w:color="auto"/>
            </w:tcBorders>
            <w:vAlign w:val="center"/>
          </w:tcPr>
          <w:p w14:paraId="2157DD57" w14:textId="2C5E2587" w:rsidR="003A3E3F" w:rsidRPr="00705375" w:rsidRDefault="003A3E3F" w:rsidP="003A3E3F">
            <w:pPr>
              <w:jc w:val="center"/>
              <w:rPr>
                <w:rFonts w:ascii="仿宋" w:eastAsia="仿宋" w:hAnsi="仿宋" w:hint="eastAsia"/>
                <w:color w:val="000000"/>
                <w:sz w:val="20"/>
                <w:szCs w:val="20"/>
              </w:rPr>
            </w:pPr>
            <w:r w:rsidRPr="00705375">
              <w:rPr>
                <w:rFonts w:ascii="宋体" w:hAnsi="宋体" w:cs="仿宋" w:hint="eastAsia"/>
                <w:sz w:val="20"/>
                <w:szCs w:val="20"/>
              </w:rPr>
              <w:t>3000</w:t>
            </w:r>
          </w:p>
        </w:tc>
        <w:tc>
          <w:tcPr>
            <w:tcW w:w="507" w:type="pct"/>
            <w:tcBorders>
              <w:top w:val="nil"/>
              <w:left w:val="nil"/>
              <w:bottom w:val="single" w:sz="4" w:space="0" w:color="auto"/>
              <w:right w:val="single" w:sz="4" w:space="0" w:color="auto"/>
            </w:tcBorders>
            <w:vAlign w:val="center"/>
          </w:tcPr>
          <w:p w14:paraId="6457CF56" w14:textId="32D28103" w:rsidR="003A3E3F" w:rsidRPr="00705375" w:rsidRDefault="003A3E3F" w:rsidP="003A3E3F">
            <w:pPr>
              <w:jc w:val="center"/>
              <w:rPr>
                <w:rFonts w:ascii="华文仿宋" w:eastAsia="华文仿宋" w:hAnsi="华文仿宋" w:hint="eastAsia"/>
                <w:color w:val="000000"/>
                <w:sz w:val="20"/>
                <w:szCs w:val="20"/>
              </w:rPr>
            </w:pPr>
            <w:r w:rsidRPr="00705375">
              <w:rPr>
                <w:rFonts w:ascii="宋体" w:hAnsi="宋体" w:cs="仿宋" w:hint="eastAsia"/>
                <w:sz w:val="20"/>
                <w:szCs w:val="20"/>
              </w:rPr>
              <w:t>153000</w:t>
            </w:r>
          </w:p>
        </w:tc>
      </w:tr>
      <w:tr w:rsidR="00523523" w14:paraId="57DADA0E" w14:textId="77777777" w:rsidTr="00705375">
        <w:trPr>
          <w:trHeight w:val="802"/>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6BA686A2" w14:textId="6D81516E" w:rsidR="00D326F9" w:rsidRPr="00705375" w:rsidRDefault="00000000" w:rsidP="001B3120">
            <w:pPr>
              <w:ind w:rightChars="-51" w:right="-107"/>
              <w:jc w:val="center"/>
              <w:rPr>
                <w:rFonts w:ascii="宋体" w:hAnsi="宋体" w:hint="eastAsia"/>
                <w:b/>
                <w:sz w:val="20"/>
                <w:szCs w:val="20"/>
              </w:rPr>
            </w:pPr>
            <w:r w:rsidRPr="00705375">
              <w:rPr>
                <w:rFonts w:ascii="宋体" w:hAnsi="宋体"/>
                <w:b/>
                <w:sz w:val="20"/>
                <w:szCs w:val="20"/>
              </w:rPr>
              <w:t>合计金额</w:t>
            </w:r>
            <w:r w:rsidRPr="00705375">
              <w:rPr>
                <w:rFonts w:ascii="宋体" w:hAnsi="宋体" w:hint="eastAsia"/>
                <w:b/>
                <w:sz w:val="20"/>
                <w:szCs w:val="20"/>
              </w:rPr>
              <w:t>：</w:t>
            </w:r>
            <w:r w:rsidRPr="00705375">
              <w:rPr>
                <w:rFonts w:ascii="宋体" w:hAnsi="宋体"/>
                <w:b/>
                <w:sz w:val="20"/>
                <w:szCs w:val="20"/>
              </w:rPr>
              <w:t>小写</w:t>
            </w:r>
            <w:r w:rsidRPr="00705375">
              <w:rPr>
                <w:rFonts w:ascii="宋体" w:hAnsi="宋体" w:hint="eastAsia"/>
                <w:b/>
                <w:sz w:val="20"/>
                <w:szCs w:val="20"/>
                <w:u w:val="single"/>
              </w:rPr>
              <w:t xml:space="preserve">  </w:t>
            </w:r>
            <w:r w:rsidRPr="00705375">
              <w:rPr>
                <w:rFonts w:ascii="宋体" w:hAnsi="宋体"/>
                <w:b/>
                <w:sz w:val="20"/>
                <w:szCs w:val="20"/>
                <w:u w:val="single"/>
              </w:rPr>
              <w:t xml:space="preserve"> </w:t>
            </w:r>
            <w:r w:rsidR="003A3E3F" w:rsidRPr="00705375">
              <w:rPr>
                <w:rFonts w:ascii="宋体" w:hAnsi="宋体" w:cs="仿宋" w:hint="eastAsia"/>
                <w:sz w:val="20"/>
                <w:szCs w:val="20"/>
                <w:u w:val="single"/>
              </w:rPr>
              <w:fldChar w:fldCharType="begin"/>
            </w:r>
            <w:r w:rsidR="003A3E3F" w:rsidRPr="00705375">
              <w:rPr>
                <w:rFonts w:ascii="宋体" w:hAnsi="宋体" w:cs="仿宋" w:hint="eastAsia"/>
                <w:sz w:val="20"/>
                <w:szCs w:val="20"/>
                <w:u w:val="single"/>
              </w:rPr>
              <w:instrText xml:space="preserve"> =SUM(ABOVE) </w:instrText>
            </w:r>
            <w:r w:rsidR="003A3E3F" w:rsidRPr="00705375">
              <w:rPr>
                <w:rFonts w:ascii="宋体" w:hAnsi="宋体" w:cs="仿宋" w:hint="eastAsia"/>
                <w:sz w:val="20"/>
                <w:szCs w:val="20"/>
                <w:u w:val="single"/>
              </w:rPr>
              <w:fldChar w:fldCharType="separate"/>
            </w:r>
            <w:r w:rsidR="003A3E3F" w:rsidRPr="00705375">
              <w:rPr>
                <w:rFonts w:ascii="宋体" w:hAnsi="宋体" w:cs="仿宋" w:hint="eastAsia"/>
                <w:noProof/>
                <w:sz w:val="20"/>
                <w:szCs w:val="20"/>
                <w:u w:val="single"/>
              </w:rPr>
              <w:t>1477800</w:t>
            </w:r>
            <w:r w:rsidR="003A3E3F" w:rsidRPr="00705375">
              <w:rPr>
                <w:rFonts w:ascii="宋体" w:hAnsi="宋体" w:cs="仿宋" w:hint="eastAsia"/>
                <w:sz w:val="20"/>
                <w:szCs w:val="20"/>
                <w:u w:val="single"/>
              </w:rPr>
              <w:fldChar w:fldCharType="end"/>
            </w:r>
            <w:r w:rsidRPr="00705375">
              <w:rPr>
                <w:rFonts w:ascii="宋体" w:hAnsi="宋体"/>
                <w:b/>
                <w:sz w:val="20"/>
                <w:szCs w:val="20"/>
                <w:u w:val="single"/>
              </w:rPr>
              <w:t xml:space="preserve">   </w:t>
            </w:r>
            <w:r w:rsidRPr="00705375">
              <w:rPr>
                <w:rFonts w:ascii="宋体" w:hAnsi="宋体" w:hint="eastAsia"/>
                <w:b/>
                <w:sz w:val="20"/>
                <w:szCs w:val="20"/>
              </w:rPr>
              <w:t>元</w:t>
            </w:r>
            <w:r w:rsidR="00D326F9" w:rsidRPr="00705375">
              <w:rPr>
                <w:rFonts w:ascii="宋体" w:hAnsi="宋体" w:hint="eastAsia"/>
                <w:b/>
                <w:sz w:val="20"/>
                <w:szCs w:val="20"/>
              </w:rPr>
              <w:t xml:space="preserve">  大写：</w:t>
            </w:r>
            <w:r w:rsidR="001B3120" w:rsidRPr="00705375">
              <w:rPr>
                <w:rFonts w:ascii="宋体" w:hAnsi="宋体" w:hint="eastAsia"/>
                <w:b/>
                <w:sz w:val="20"/>
                <w:szCs w:val="20"/>
              </w:rPr>
              <w:t>壹佰肆拾柒万柒仟捌佰</w:t>
            </w:r>
            <w:r w:rsidR="00D326F9" w:rsidRPr="00705375">
              <w:rPr>
                <w:rFonts w:ascii="宋体" w:hAnsi="宋体" w:hint="eastAsia"/>
                <w:b/>
                <w:sz w:val="20"/>
                <w:szCs w:val="20"/>
              </w:rPr>
              <w:t>元整</w:t>
            </w:r>
          </w:p>
        </w:tc>
      </w:tr>
    </w:tbl>
    <w:p w14:paraId="37D751A8" w14:textId="77777777" w:rsidR="00523523" w:rsidRDefault="00000000">
      <w:pPr>
        <w:pStyle w:val="a4"/>
        <w:spacing w:line="360" w:lineRule="exact"/>
        <w:ind w:firstLine="440"/>
        <w:rPr>
          <w:rFonts w:eastAsia="宋体" w:hAnsi="宋体" w:cs="仿宋" w:hint="eastAsia"/>
          <w:color w:val="000000"/>
          <w:sz w:val="24"/>
          <w:szCs w:val="24"/>
        </w:rPr>
      </w:pPr>
      <w:r>
        <w:rPr>
          <w:rFonts w:eastAsia="宋体" w:hAnsi="宋体" w:cs="仿宋" w:hint="eastAsia"/>
          <w:color w:val="000000"/>
          <w:sz w:val="24"/>
          <w:szCs w:val="24"/>
        </w:rPr>
        <w:t>注：本项目为固定总价合同，应包括招标文件所确定的采购范围相应货物和服务的供货、包装、运输、保险、辅助设备、安装调试、管理、维护（包括质保期内的一切维修、保养、更换零部件、人工等）、劳务、培训、验收、办公设备、设备、拆除旧设备、运输（包括但不限于旧设备的交通运输费）、工具、耗材、运送工具及耗材、利润、风险、税金及政策性文件规定等各项应有费用，以及为完成该项货物或者服务项目所涉及到的一切相关费用，甲方不再支付其他任何费用。</w:t>
      </w:r>
    </w:p>
    <w:p w14:paraId="72FADE0C" w14:textId="77777777" w:rsidR="00523523" w:rsidRDefault="00000000">
      <w:pPr>
        <w:pStyle w:val="a4"/>
        <w:spacing w:line="360" w:lineRule="auto"/>
        <w:ind w:firstLine="442"/>
        <w:rPr>
          <w:rFonts w:eastAsia="宋体" w:hAnsi="宋体" w:cs="仿宋" w:hint="eastAsia"/>
          <w:b/>
          <w:sz w:val="24"/>
          <w:szCs w:val="24"/>
        </w:rPr>
      </w:pPr>
      <w:r>
        <w:rPr>
          <w:rFonts w:eastAsia="宋体" w:hAnsi="宋体" w:cs="仿宋" w:hint="eastAsia"/>
          <w:b/>
          <w:sz w:val="24"/>
          <w:szCs w:val="24"/>
        </w:rPr>
        <w:t xml:space="preserve">二、合同标的技术要求 </w:t>
      </w:r>
    </w:p>
    <w:p w14:paraId="1994334D"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lastRenderedPageBreak/>
        <w:t>1.技术质量要求：详见招标文件第五章采购需求；</w:t>
      </w:r>
    </w:p>
    <w:p w14:paraId="712530F3"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t>2.下列文件是构成合同不可分割的部分，并与本合同具有同等法律效力，</w:t>
      </w:r>
      <w:r>
        <w:rPr>
          <w:rFonts w:ascii="宋体" w:hAnsi="宋体" w:cs="仿宋" w:hint="eastAsia"/>
          <w:bCs/>
          <w:sz w:val="24"/>
        </w:rPr>
        <w:t>这些文件包括但不限于：</w:t>
      </w:r>
    </w:p>
    <w:p w14:paraId="0E6CA90C" w14:textId="16998497" w:rsidR="00523523" w:rsidRDefault="00000000">
      <w:pPr>
        <w:numPr>
          <w:ilvl w:val="255"/>
          <w:numId w:val="0"/>
        </w:numPr>
        <w:spacing w:line="360" w:lineRule="auto"/>
        <w:ind w:left="420"/>
        <w:jc w:val="left"/>
        <w:rPr>
          <w:rFonts w:ascii="宋体" w:hAnsi="宋体" w:cs="仿宋" w:hint="eastAsia"/>
          <w:sz w:val="24"/>
        </w:rPr>
      </w:pPr>
      <w:r>
        <w:rPr>
          <w:rFonts w:ascii="宋体" w:hAnsi="宋体" w:cs="仿宋" w:hint="eastAsia"/>
          <w:sz w:val="24"/>
        </w:rPr>
        <w:t>（1）</w:t>
      </w:r>
      <w:r>
        <w:rPr>
          <w:rFonts w:ascii="宋体" w:hAnsi="宋体" w:cs="仿宋" w:hint="eastAsia"/>
          <w:color w:val="000000" w:themeColor="text1"/>
          <w:sz w:val="24"/>
          <w:u w:val="single"/>
        </w:rPr>
        <w:t xml:space="preserve"> </w:t>
      </w:r>
      <w:r w:rsidR="00FC3459" w:rsidRPr="00FC3459">
        <w:rPr>
          <w:rFonts w:ascii="宋体" w:hAnsi="宋体" w:cs="仿宋"/>
          <w:color w:val="000000" w:themeColor="text1"/>
          <w:sz w:val="24"/>
          <w:u w:val="single"/>
        </w:rPr>
        <w:t>JSZC-320400-JSCW-G2025-0109</w:t>
      </w:r>
      <w:r>
        <w:rPr>
          <w:rFonts w:ascii="宋体" w:hAnsi="宋体" w:cs="仿宋" w:hint="eastAsia"/>
          <w:color w:val="000000" w:themeColor="text1"/>
          <w:sz w:val="24"/>
          <w:u w:val="single"/>
        </w:rPr>
        <w:t xml:space="preserve"> </w:t>
      </w:r>
      <w:r>
        <w:rPr>
          <w:rFonts w:ascii="宋体" w:hAnsi="宋体" w:cs="仿宋" w:hint="eastAsia"/>
          <w:sz w:val="24"/>
        </w:rPr>
        <w:t>号招标文件。</w:t>
      </w:r>
    </w:p>
    <w:p w14:paraId="09A45EED"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t>（2）乙方提交的投标文件。</w:t>
      </w:r>
    </w:p>
    <w:p w14:paraId="32511FC9"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t>（3）招标文件及相关的资料。</w:t>
      </w:r>
    </w:p>
    <w:p w14:paraId="4D66904A"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t>（4）乙方投标的其他资料及承诺。</w:t>
      </w:r>
    </w:p>
    <w:p w14:paraId="06968125"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t>（5）经甲、乙、双方确认的其他补充协议及相关资料。</w:t>
      </w:r>
    </w:p>
    <w:p w14:paraId="73D9D40D" w14:textId="77777777" w:rsidR="00523523" w:rsidRDefault="00000000">
      <w:pPr>
        <w:pStyle w:val="a4"/>
        <w:spacing w:line="360" w:lineRule="auto"/>
        <w:ind w:firstLine="442"/>
        <w:rPr>
          <w:rFonts w:eastAsia="宋体" w:hAnsi="宋体" w:cs="仿宋" w:hint="eastAsia"/>
          <w:b/>
          <w:sz w:val="24"/>
          <w:szCs w:val="24"/>
        </w:rPr>
      </w:pPr>
      <w:bookmarkStart w:id="0" w:name="_Toc154830750"/>
      <w:bookmarkStart w:id="1" w:name="_Toc471819251"/>
      <w:bookmarkStart w:id="2" w:name="_Toc430158359"/>
      <w:bookmarkStart w:id="3" w:name="_Toc251500492"/>
      <w:r>
        <w:rPr>
          <w:rFonts w:eastAsia="宋体" w:hAnsi="宋体" w:cs="仿宋" w:hint="eastAsia"/>
          <w:b/>
          <w:sz w:val="24"/>
          <w:szCs w:val="24"/>
        </w:rPr>
        <w:t>三、交货与运输</w:t>
      </w:r>
      <w:bookmarkEnd w:id="0"/>
      <w:bookmarkEnd w:id="1"/>
      <w:bookmarkEnd w:id="2"/>
      <w:bookmarkEnd w:id="3"/>
    </w:p>
    <w:p w14:paraId="0299D627" w14:textId="56102916" w:rsidR="00523523" w:rsidRDefault="00000000">
      <w:pPr>
        <w:spacing w:line="360" w:lineRule="auto"/>
        <w:ind w:firstLine="440"/>
        <w:rPr>
          <w:rFonts w:ascii="宋体" w:hAnsi="宋体" w:cs="仿宋" w:hint="eastAsia"/>
          <w:sz w:val="24"/>
        </w:rPr>
      </w:pPr>
      <w:bookmarkStart w:id="4" w:name="_Toc154830751"/>
      <w:bookmarkStart w:id="5" w:name="_Toc430158360"/>
      <w:bookmarkStart w:id="6" w:name="_Toc471819252"/>
      <w:bookmarkStart w:id="7" w:name="_Toc251500493"/>
      <w:r>
        <w:rPr>
          <w:rFonts w:ascii="宋体" w:hAnsi="宋体" w:cs="仿宋" w:hint="eastAsia"/>
          <w:sz w:val="24"/>
        </w:rPr>
        <w:t>1．</w:t>
      </w:r>
      <w:bookmarkEnd w:id="4"/>
      <w:bookmarkEnd w:id="5"/>
      <w:bookmarkEnd w:id="6"/>
      <w:bookmarkEnd w:id="7"/>
      <w:r w:rsidR="0042671B" w:rsidRPr="0042671B">
        <w:rPr>
          <w:rFonts w:ascii="宋体" w:hAnsi="宋体" w:cs="仿宋" w:hint="eastAsia"/>
          <w:sz w:val="24"/>
        </w:rPr>
        <w:t>交货日期：合同签订之日起30天内交付调试完成并验收合格。</w:t>
      </w:r>
      <w:r w:rsidR="0042671B">
        <w:rPr>
          <w:rFonts w:ascii="宋体" w:hAnsi="宋体" w:cs="仿宋" w:hint="eastAsia"/>
          <w:sz w:val="24"/>
        </w:rPr>
        <w:t>如遇甲方寒假假期，</w:t>
      </w:r>
      <w:r w:rsidR="0042671B" w:rsidRPr="0042671B">
        <w:rPr>
          <w:rFonts w:ascii="宋体" w:hAnsi="宋体" w:cs="仿宋" w:hint="eastAsia"/>
          <w:sz w:val="24"/>
        </w:rPr>
        <w:t>交货日期</w:t>
      </w:r>
      <w:r w:rsidR="0042671B">
        <w:rPr>
          <w:rFonts w:ascii="宋体" w:hAnsi="宋体" w:cs="仿宋" w:hint="eastAsia"/>
          <w:sz w:val="24"/>
        </w:rPr>
        <w:t>顺延。</w:t>
      </w:r>
    </w:p>
    <w:p w14:paraId="68939C65" w14:textId="77777777" w:rsidR="00523523" w:rsidRDefault="00000000">
      <w:pPr>
        <w:spacing w:line="360" w:lineRule="auto"/>
        <w:ind w:firstLine="365"/>
        <w:rPr>
          <w:rFonts w:ascii="宋体" w:hAnsi="宋体" w:cs="仿宋" w:hint="eastAsia"/>
          <w:sz w:val="24"/>
        </w:rPr>
      </w:pPr>
      <w:r>
        <w:rPr>
          <w:rFonts w:ascii="宋体" w:hAnsi="宋体" w:cs="仿宋" w:hint="eastAsia"/>
          <w:sz w:val="24"/>
        </w:rPr>
        <w:t>2．资料交付</w:t>
      </w:r>
    </w:p>
    <w:p w14:paraId="02A281F9" w14:textId="77777777" w:rsidR="00523523" w:rsidRDefault="00000000">
      <w:pPr>
        <w:spacing w:line="360" w:lineRule="auto"/>
        <w:ind w:firstLine="365"/>
        <w:rPr>
          <w:rFonts w:ascii="宋体" w:hAnsi="宋体" w:cs="仿宋" w:hint="eastAsia"/>
          <w:sz w:val="24"/>
        </w:rPr>
      </w:pPr>
      <w:r>
        <w:rPr>
          <w:rFonts w:ascii="宋体" w:hAnsi="宋体" w:cs="仿宋" w:hint="eastAsia"/>
          <w:sz w:val="24"/>
        </w:rPr>
        <w:t>乙方应在交付货物的同时向甲方提供全套随机文件（含产品合格证书、使用维护说明书、验收报告书）壹套。</w:t>
      </w:r>
    </w:p>
    <w:p w14:paraId="690A5AB9" w14:textId="77777777" w:rsidR="00523523" w:rsidRDefault="00000000">
      <w:pPr>
        <w:spacing w:line="360" w:lineRule="auto"/>
        <w:rPr>
          <w:rFonts w:ascii="宋体" w:hAnsi="宋体" w:cs="仿宋" w:hint="eastAsia"/>
          <w:sz w:val="24"/>
          <w:u w:val="single"/>
        </w:rPr>
      </w:pPr>
      <w:r>
        <w:rPr>
          <w:rFonts w:ascii="宋体" w:hAnsi="宋体" w:cs="仿宋" w:hint="eastAsia"/>
          <w:sz w:val="24"/>
        </w:rPr>
        <w:t xml:space="preserve">   3．交货地点：乙方应将货物运到甲方指定的地点。货物现场交付，甲方检验无误，签署收货通知单后，货物所有权转移给甲方。</w:t>
      </w:r>
    </w:p>
    <w:p w14:paraId="3B82E8F5" w14:textId="77777777" w:rsidR="00523523" w:rsidRDefault="00000000">
      <w:pPr>
        <w:pStyle w:val="a4"/>
        <w:spacing w:line="360" w:lineRule="auto"/>
        <w:ind w:firstLine="442"/>
        <w:rPr>
          <w:rFonts w:eastAsia="宋体" w:hAnsi="宋体" w:cs="仿宋" w:hint="eastAsia"/>
          <w:sz w:val="24"/>
          <w:szCs w:val="24"/>
        </w:rPr>
      </w:pPr>
      <w:bookmarkStart w:id="8" w:name="_Toc154830755"/>
      <w:bookmarkStart w:id="9" w:name="_Toc471819255"/>
      <w:bookmarkStart w:id="10" w:name="_Toc430158363"/>
      <w:bookmarkStart w:id="11" w:name="_Toc251500496"/>
      <w:r>
        <w:rPr>
          <w:rFonts w:eastAsia="宋体" w:hAnsi="宋体" w:cs="仿宋" w:hint="eastAsia"/>
          <w:b/>
          <w:sz w:val="24"/>
          <w:szCs w:val="24"/>
        </w:rPr>
        <w:t>四、</w:t>
      </w:r>
      <w:bookmarkEnd w:id="8"/>
      <w:bookmarkEnd w:id="9"/>
      <w:bookmarkEnd w:id="10"/>
      <w:bookmarkEnd w:id="11"/>
      <w:r>
        <w:rPr>
          <w:rFonts w:eastAsia="宋体" w:hAnsi="宋体" w:cs="仿宋" w:hint="eastAsia"/>
          <w:b/>
          <w:sz w:val="24"/>
          <w:szCs w:val="24"/>
        </w:rPr>
        <w:t>检验与验收</w:t>
      </w:r>
    </w:p>
    <w:p w14:paraId="13A1F16F" w14:textId="77777777" w:rsidR="00523523" w:rsidRDefault="00000000">
      <w:pPr>
        <w:pStyle w:val="a4"/>
        <w:spacing w:line="360" w:lineRule="auto"/>
        <w:ind w:firstLineChars="200" w:firstLine="480"/>
        <w:contextualSpacing/>
        <w:rPr>
          <w:rFonts w:eastAsia="宋体" w:hAnsi="宋体" w:cs="Times New Roman" w:hint="eastAsia"/>
          <w:snapToGrid w:val="0"/>
          <w:color w:val="000000" w:themeColor="text1"/>
          <w:sz w:val="24"/>
          <w:szCs w:val="24"/>
        </w:rPr>
      </w:pPr>
      <w:bookmarkStart w:id="12" w:name="_Toc154830756"/>
      <w:bookmarkStart w:id="13" w:name="_Toc471819256"/>
      <w:bookmarkStart w:id="14" w:name="_Toc251500497"/>
      <w:bookmarkStart w:id="15" w:name="_Toc430158364"/>
      <w:r>
        <w:rPr>
          <w:rFonts w:eastAsia="宋体" w:hAnsi="宋体" w:cs="Times New Roman" w:hint="eastAsia"/>
          <w:snapToGrid w:val="0"/>
          <w:color w:val="000000" w:themeColor="text1"/>
          <w:sz w:val="24"/>
          <w:szCs w:val="24"/>
        </w:rPr>
        <w:t>乙方提供的所有货物在交接过程中都须进行严格的检验和试验。</w:t>
      </w:r>
    </w:p>
    <w:p w14:paraId="37E07E0B" w14:textId="77777777" w:rsidR="0022097C" w:rsidRPr="0022097C" w:rsidRDefault="0022097C" w:rsidP="0022097C">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22097C">
        <w:rPr>
          <w:rFonts w:eastAsia="宋体" w:hAnsi="宋体" w:cs="Times New Roman" w:hint="eastAsia"/>
          <w:snapToGrid w:val="0"/>
          <w:color w:val="000000" w:themeColor="text1"/>
          <w:sz w:val="24"/>
          <w:szCs w:val="24"/>
        </w:rPr>
        <w:t>工业产品视觉智能检测实训室项目采购项目包含以下部分：</w:t>
      </w:r>
    </w:p>
    <w:p w14:paraId="3A50501A" w14:textId="77777777" w:rsidR="0022097C" w:rsidRPr="0022097C" w:rsidRDefault="0022097C" w:rsidP="0022097C">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22097C">
        <w:rPr>
          <w:rFonts w:eastAsia="宋体" w:hAnsi="宋体" w:cs="Times New Roman" w:hint="eastAsia"/>
          <w:snapToGrid w:val="0"/>
          <w:color w:val="000000" w:themeColor="text1"/>
          <w:sz w:val="24"/>
          <w:szCs w:val="24"/>
        </w:rPr>
        <w:t>1.6套2D工业视觉智能检测实训平台</w:t>
      </w:r>
    </w:p>
    <w:p w14:paraId="361DC2B3" w14:textId="77777777" w:rsidR="0022097C" w:rsidRPr="0022097C" w:rsidRDefault="0022097C" w:rsidP="0022097C">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22097C">
        <w:rPr>
          <w:rFonts w:eastAsia="宋体" w:hAnsi="宋体" w:cs="Times New Roman" w:hint="eastAsia"/>
          <w:snapToGrid w:val="0"/>
          <w:color w:val="000000" w:themeColor="text1"/>
          <w:sz w:val="24"/>
          <w:szCs w:val="24"/>
        </w:rPr>
        <w:t>2.2套3D工业视觉智能检测实训平台</w:t>
      </w:r>
    </w:p>
    <w:p w14:paraId="2EC30AEB" w14:textId="77777777" w:rsidR="0022097C" w:rsidRPr="0022097C" w:rsidRDefault="0022097C" w:rsidP="0022097C">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22097C">
        <w:rPr>
          <w:rFonts w:eastAsia="宋体" w:hAnsi="宋体" w:cs="Times New Roman" w:hint="eastAsia"/>
          <w:snapToGrid w:val="0"/>
          <w:color w:val="000000" w:themeColor="text1"/>
          <w:sz w:val="24"/>
          <w:szCs w:val="24"/>
        </w:rPr>
        <w:t>3.10套2D&amp;3D&amp;AI图像处理系统</w:t>
      </w:r>
    </w:p>
    <w:p w14:paraId="3E827331" w14:textId="0B86B490" w:rsidR="0022097C" w:rsidRDefault="0022097C" w:rsidP="0022097C">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22097C">
        <w:rPr>
          <w:rFonts w:eastAsia="宋体" w:hAnsi="宋体" w:cs="Times New Roman" w:hint="eastAsia"/>
          <w:snapToGrid w:val="0"/>
          <w:color w:val="000000" w:themeColor="text1"/>
          <w:sz w:val="24"/>
          <w:szCs w:val="24"/>
        </w:rPr>
        <w:t>4.51套的2D图像处理系统</w:t>
      </w:r>
    </w:p>
    <w:p w14:paraId="474231EC" w14:textId="31F050FB" w:rsidR="00522707" w:rsidRPr="00522707" w:rsidRDefault="00522707" w:rsidP="00522707">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522707">
        <w:rPr>
          <w:rFonts w:eastAsia="宋体" w:hAnsi="宋体" w:cs="Times New Roman" w:hint="eastAsia"/>
          <w:snapToGrid w:val="0"/>
          <w:color w:val="000000" w:themeColor="text1"/>
          <w:sz w:val="24"/>
          <w:szCs w:val="24"/>
        </w:rPr>
        <w:t>以上内容分别进行验收，其中实训平台验收标准如下：</w:t>
      </w:r>
    </w:p>
    <w:p w14:paraId="24F45DAC" w14:textId="77777777" w:rsidR="00523523" w:rsidRDefault="00000000">
      <w:pPr>
        <w:pStyle w:val="a4"/>
        <w:spacing w:line="360" w:lineRule="auto"/>
        <w:ind w:firstLineChars="200" w:firstLine="480"/>
        <w:contextualSpacing/>
        <w:rPr>
          <w:rFonts w:eastAsia="宋体" w:hAnsi="宋体" w:cs="Times New Roman" w:hint="eastAsia"/>
          <w:snapToGrid w:val="0"/>
          <w:color w:val="000000" w:themeColor="text1"/>
          <w:sz w:val="24"/>
          <w:szCs w:val="24"/>
        </w:rPr>
      </w:pPr>
      <w:r>
        <w:rPr>
          <w:rFonts w:eastAsia="宋体" w:hAnsi="宋体" w:cs="Times New Roman" w:hint="eastAsia"/>
          <w:snapToGrid w:val="0"/>
          <w:color w:val="000000" w:themeColor="text1"/>
          <w:sz w:val="24"/>
          <w:szCs w:val="24"/>
        </w:rPr>
        <w:t>1．出厂检验：乙方提供货物的产品合格证。</w:t>
      </w:r>
    </w:p>
    <w:p w14:paraId="5BA07783" w14:textId="77777777" w:rsidR="00523523" w:rsidRDefault="00000000">
      <w:pPr>
        <w:pStyle w:val="a4"/>
        <w:spacing w:line="360" w:lineRule="auto"/>
        <w:ind w:firstLineChars="200" w:firstLine="480"/>
        <w:contextualSpacing/>
        <w:rPr>
          <w:rFonts w:eastAsia="宋体" w:hAnsi="宋体" w:cs="Times New Roman" w:hint="eastAsia"/>
          <w:snapToGrid w:val="0"/>
          <w:color w:val="000000" w:themeColor="text1"/>
          <w:sz w:val="24"/>
          <w:szCs w:val="24"/>
        </w:rPr>
      </w:pPr>
      <w:r>
        <w:rPr>
          <w:rFonts w:eastAsia="宋体" w:hAnsi="宋体" w:cs="Times New Roman" w:hint="eastAsia"/>
          <w:snapToGrid w:val="0"/>
          <w:color w:val="000000" w:themeColor="text1"/>
          <w:sz w:val="24"/>
          <w:szCs w:val="24"/>
        </w:rPr>
        <w:t>2．到货检验：货物运达目的地后，甲方通知乙方派员及验收部门赴现场共同清验交收，并形成记录材料。清验中，若发现货物由于非甲方原因（包括运输）发生任何损坏、缺陷、缺少或与合同规定的质量标准和规范不符，应做好记录，并由双方代表签字，各执一份，作为甲方向乙方提出修理、更换、索赔的依据。</w:t>
      </w:r>
      <w:r>
        <w:rPr>
          <w:rFonts w:eastAsia="宋体" w:hAnsi="宋体" w:cs="Times New Roman" w:hint="eastAsia"/>
          <w:snapToGrid w:val="0"/>
          <w:color w:val="000000" w:themeColor="text1"/>
          <w:sz w:val="24"/>
          <w:szCs w:val="24"/>
        </w:rPr>
        <w:lastRenderedPageBreak/>
        <w:t>若乙方代表未按约定时间赴现场参加验收，甲方有权自行开箱清点检验，其检验结果和记录对双方同样有效，并作为甲方向乙方索赔的有效证据。</w:t>
      </w:r>
    </w:p>
    <w:p w14:paraId="739CAD04" w14:textId="4612B2EE" w:rsidR="00523523" w:rsidRDefault="00000000">
      <w:pPr>
        <w:pStyle w:val="a4"/>
        <w:spacing w:line="360" w:lineRule="auto"/>
        <w:ind w:firstLineChars="200" w:firstLine="480"/>
        <w:contextualSpacing/>
        <w:rPr>
          <w:rFonts w:eastAsia="宋体" w:hAnsi="宋体" w:cs="Times New Roman" w:hint="eastAsia"/>
          <w:snapToGrid w:val="0"/>
          <w:color w:val="000000" w:themeColor="text1"/>
          <w:sz w:val="24"/>
          <w:szCs w:val="24"/>
        </w:rPr>
      </w:pPr>
      <w:r>
        <w:rPr>
          <w:rFonts w:eastAsia="宋体" w:hAnsi="宋体" w:cs="Times New Roman" w:hint="eastAsia"/>
          <w:snapToGrid w:val="0"/>
          <w:color w:val="000000" w:themeColor="text1"/>
          <w:sz w:val="24"/>
          <w:szCs w:val="24"/>
        </w:rPr>
        <w:t>3.安装调试检验：货物安装调整后进行试运行，试用期</w:t>
      </w:r>
      <w:r w:rsidR="00522707">
        <w:rPr>
          <w:rFonts w:eastAsia="宋体" w:hAnsi="宋体" w:cs="Times New Roman" w:hint="eastAsia"/>
          <w:snapToGrid w:val="0"/>
          <w:color w:val="000000" w:themeColor="text1"/>
          <w:sz w:val="24"/>
          <w:szCs w:val="24"/>
          <w:u w:val="single"/>
        </w:rPr>
        <w:t>1</w:t>
      </w:r>
      <w:r>
        <w:rPr>
          <w:rFonts w:eastAsia="宋体" w:hAnsi="宋体" w:cs="Times New Roman" w:hint="eastAsia"/>
          <w:snapToGrid w:val="0"/>
          <w:color w:val="000000" w:themeColor="text1"/>
          <w:sz w:val="24"/>
          <w:szCs w:val="24"/>
        </w:rPr>
        <w:t>个月，结束后由甲方组织相关部门进行验收，并出具验收结果。若对验收结果有异议，可由双方委托权威的第三方检验机构进行检验。检验结果对双方都有约束力，检验费用由责任方负担。</w:t>
      </w:r>
    </w:p>
    <w:p w14:paraId="0F0AD56B" w14:textId="77777777" w:rsidR="00523523" w:rsidRDefault="00000000">
      <w:pPr>
        <w:pStyle w:val="a4"/>
        <w:spacing w:line="360" w:lineRule="auto"/>
        <w:ind w:firstLineChars="200" w:firstLine="480"/>
        <w:contextualSpacing/>
        <w:rPr>
          <w:rFonts w:eastAsia="宋体" w:hAnsi="宋体" w:cs="Times New Roman" w:hint="eastAsia"/>
          <w:snapToGrid w:val="0"/>
          <w:color w:val="000000" w:themeColor="text1"/>
          <w:sz w:val="24"/>
          <w:szCs w:val="24"/>
        </w:rPr>
      </w:pPr>
      <w:r>
        <w:rPr>
          <w:rFonts w:eastAsia="宋体" w:hAnsi="宋体" w:cs="Times New Roman" w:hint="eastAsia"/>
          <w:snapToGrid w:val="0"/>
          <w:color w:val="000000" w:themeColor="text1"/>
          <w:sz w:val="24"/>
          <w:szCs w:val="24"/>
        </w:rPr>
        <w:t>4．配套服务检验：乙方必须提供货物的现场安装、启动、调试、监督等服务；提供标的物组装和一般维修所必须的工具；提供在合同规定的期限内对所提供货物实行运行监督、维修服务的前提条件是该服务并不能免除供应商在质量保证期内所承担的义务；</w:t>
      </w:r>
    </w:p>
    <w:p w14:paraId="38902C36" w14:textId="77777777" w:rsidR="00523523" w:rsidRDefault="00000000">
      <w:pPr>
        <w:pStyle w:val="a4"/>
        <w:spacing w:line="360" w:lineRule="auto"/>
        <w:ind w:firstLineChars="200" w:firstLine="480"/>
        <w:contextualSpacing/>
        <w:rPr>
          <w:rFonts w:eastAsia="宋体" w:hAnsi="宋体" w:hint="eastAsia"/>
          <w:snapToGrid w:val="0"/>
          <w:color w:val="000000" w:themeColor="text1"/>
          <w:sz w:val="24"/>
          <w:szCs w:val="24"/>
        </w:rPr>
      </w:pPr>
      <w:r>
        <w:rPr>
          <w:rFonts w:eastAsia="宋体" w:hAnsi="宋体" w:cs="Times New Roman" w:hint="eastAsia"/>
          <w:snapToGrid w:val="0"/>
          <w:color w:val="000000" w:themeColor="text1"/>
          <w:sz w:val="24"/>
          <w:szCs w:val="24"/>
        </w:rPr>
        <w:t>5．提出异议的时间和办法：如有任何货物经检验和试验不符合技术规范的要求，甲方可以拒收。乙方应更换被拒收的货物，使之符合技术规范书的要求，乙方承担由此发生的一切费用。乙方如对甲方提出的修理、更换、索赔要求有异议，应在接到甲方书面通知后 3 天内提出，并在该时间内自费派代表赴现场同甲方代表共同复验。乙方在接到甲方按本合同规定提出的索赔通知后，应尽快修理、更换或补发短缺部分，由此产生的制造、修理和运费及保险费均由乙方负担。上述索赔，甲方从付款中扣</w:t>
      </w:r>
      <w:r>
        <w:rPr>
          <w:rFonts w:eastAsia="宋体" w:hAnsi="宋体" w:hint="eastAsia"/>
          <w:snapToGrid w:val="0"/>
          <w:color w:val="000000" w:themeColor="text1"/>
          <w:sz w:val="24"/>
          <w:szCs w:val="24"/>
        </w:rPr>
        <w:t>除。</w:t>
      </w:r>
    </w:p>
    <w:p w14:paraId="22B9438D" w14:textId="477F0E17" w:rsidR="0022097C" w:rsidRPr="00584553" w:rsidRDefault="00584553" w:rsidP="00584553">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584553">
        <w:rPr>
          <w:rFonts w:eastAsia="宋体" w:hAnsi="宋体" w:cs="Times New Roman" w:hint="eastAsia"/>
          <w:snapToGrid w:val="0"/>
          <w:color w:val="000000" w:themeColor="text1"/>
          <w:sz w:val="24"/>
          <w:szCs w:val="24"/>
        </w:rPr>
        <w:t>其中图像处理系统验收标准如下：</w:t>
      </w:r>
    </w:p>
    <w:p w14:paraId="1AA69984" w14:textId="77777777" w:rsidR="00584553" w:rsidRPr="00584553" w:rsidRDefault="00584553" w:rsidP="00584553">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584553">
        <w:rPr>
          <w:rFonts w:eastAsia="宋体" w:hAnsi="宋体" w:cs="Times New Roman" w:hint="eastAsia"/>
          <w:snapToGrid w:val="0"/>
          <w:color w:val="000000" w:themeColor="text1"/>
          <w:sz w:val="24"/>
          <w:szCs w:val="24"/>
        </w:rPr>
        <w:t>1．到货检验：系统软件及相关配套物资准备好后，甲方通知乙方派员及验收部门赴现场共同清验交收，核对软件安装介质、授权文件、技术文档等物资的数量、型号、版本是否与约定一致，并形成记录材料。清验中，若发现系统软件由于非甲方原因（包括运输）发生任何损坏、缺陷、缺少或与合同规定的质量标准和规范不符，应做好记录，并由双方代表签字，各执一份，作为甲方向乙方提出修理、更换、索赔的依据。若乙方代表未按约定时间赴现场参加验收，甲方有权自行清点检验，其检验结果和记录对双方同样有效，并作为甲方向乙方索赔的有效证据。</w:t>
      </w:r>
    </w:p>
    <w:p w14:paraId="045C1514" w14:textId="77777777" w:rsidR="00584553" w:rsidRPr="00584553" w:rsidRDefault="00584553" w:rsidP="00584553">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584553">
        <w:rPr>
          <w:rFonts w:eastAsia="宋体" w:hAnsi="宋体" w:cs="Times New Roman" w:hint="eastAsia"/>
          <w:snapToGrid w:val="0"/>
          <w:color w:val="000000" w:themeColor="text1"/>
          <w:sz w:val="24"/>
          <w:szCs w:val="24"/>
        </w:rPr>
        <w:t>2.安装调试检验：供应商技术人员主导完成软件部署与环境配置，系统安装调整后进行试运行，结束后由甲方组织相关部门进行验收，并出具验收结果，重点检验软件是否能在指定终端设备上正常安装、启动无报错，核心功能是否符合</w:t>
      </w:r>
      <w:r w:rsidRPr="00584553">
        <w:rPr>
          <w:rFonts w:eastAsia="宋体" w:hAnsi="宋体" w:cs="Times New Roman" w:hint="eastAsia"/>
          <w:snapToGrid w:val="0"/>
          <w:color w:val="000000" w:themeColor="text1"/>
          <w:sz w:val="24"/>
          <w:szCs w:val="24"/>
        </w:rPr>
        <w:lastRenderedPageBreak/>
        <w:t>需求规格说明书要求，同时测试软件与现有系统的接口兼容性、数据交互准确性及运行稳定性。若对验收结果有异议，可由双方委托权威的第三方检验机构进行检验。检验结果对双方都有约束力，检验费用由责任方负担。</w:t>
      </w:r>
    </w:p>
    <w:p w14:paraId="5BA1559D" w14:textId="77777777" w:rsidR="00584553" w:rsidRPr="00584553" w:rsidRDefault="00584553" w:rsidP="00584553">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584553">
        <w:rPr>
          <w:rFonts w:eastAsia="宋体" w:hAnsi="宋体" w:cs="Times New Roman" w:hint="eastAsia"/>
          <w:snapToGrid w:val="0"/>
          <w:color w:val="000000" w:themeColor="text1"/>
          <w:sz w:val="24"/>
          <w:szCs w:val="24"/>
        </w:rPr>
        <w:t>3．配套服务检验：乙方必须提供系统的现场安装、启动、调试、监督等服务；提供标的物安装和一般配置所必须的工具；提供在合同规定的期限内对所提供系统实行运行监督、维修服务的前提条件是该服务并不能免除乙方在质量保证期内所承担的义务；</w:t>
      </w:r>
    </w:p>
    <w:p w14:paraId="575E4E76" w14:textId="77777777" w:rsidR="00584553" w:rsidRPr="00584553" w:rsidRDefault="00584553" w:rsidP="00584553">
      <w:pPr>
        <w:pStyle w:val="a4"/>
        <w:spacing w:line="360" w:lineRule="auto"/>
        <w:ind w:firstLineChars="200" w:firstLine="480"/>
        <w:contextualSpacing/>
        <w:rPr>
          <w:rFonts w:eastAsia="宋体" w:hAnsi="宋体" w:cs="Times New Roman" w:hint="eastAsia"/>
          <w:snapToGrid w:val="0"/>
          <w:color w:val="000000" w:themeColor="text1"/>
          <w:sz w:val="24"/>
          <w:szCs w:val="24"/>
        </w:rPr>
      </w:pPr>
      <w:r w:rsidRPr="00584553">
        <w:rPr>
          <w:rFonts w:eastAsia="宋体" w:hAnsi="宋体" w:cs="Times New Roman" w:hint="eastAsia"/>
          <w:snapToGrid w:val="0"/>
          <w:color w:val="000000" w:themeColor="text1"/>
          <w:sz w:val="24"/>
          <w:szCs w:val="24"/>
        </w:rPr>
        <w:t>4．提出异议的时间和办法：如有任何软件系统、配套物资或服务经检验和试验不符合技术规范的要求，甲方可以拒收。乙方应更换被拒收的软件系统、配套物资等，使之符合技术规范书的要求，乙方承担由此发生的一切费用。乙方如对甲方提出的修理、更换、索赔要求有异议，应在接到甲方书面通知后3天内提出，并在该时间内自费派代表赴现场同甲方代表共同复验。乙方在接到甲方按本合同规定提出的索赔通知后，应尽快修理、更换或补发短缺部分，由此产生的制造、修理和运费及保险费均由乙方负担。上述索赔，甲方从付款中扣除。</w:t>
      </w:r>
    </w:p>
    <w:p w14:paraId="3277BDDA" w14:textId="77777777" w:rsidR="00523523" w:rsidRDefault="00000000">
      <w:pPr>
        <w:pStyle w:val="a4"/>
        <w:spacing w:line="360" w:lineRule="auto"/>
        <w:ind w:firstLine="442"/>
        <w:rPr>
          <w:rFonts w:eastAsia="宋体" w:hAnsi="宋体" w:cs="仿宋" w:hint="eastAsia"/>
          <w:b/>
          <w:sz w:val="24"/>
          <w:szCs w:val="24"/>
        </w:rPr>
      </w:pPr>
      <w:r>
        <w:rPr>
          <w:rFonts w:eastAsia="宋体" w:hAnsi="宋体" w:cs="仿宋" w:hint="eastAsia"/>
          <w:b/>
          <w:sz w:val="24"/>
          <w:szCs w:val="24"/>
        </w:rPr>
        <w:t>五、</w:t>
      </w:r>
      <w:bookmarkStart w:id="16" w:name="_Hlk514702285"/>
      <w:bookmarkStart w:id="17" w:name="_Toc471819258"/>
      <w:bookmarkStart w:id="18" w:name="_Toc251500498"/>
      <w:bookmarkStart w:id="19" w:name="_Toc154830757"/>
      <w:bookmarkStart w:id="20" w:name="_Toc430158366"/>
      <w:bookmarkEnd w:id="12"/>
      <w:bookmarkEnd w:id="13"/>
      <w:bookmarkEnd w:id="14"/>
      <w:bookmarkEnd w:id="15"/>
      <w:r>
        <w:rPr>
          <w:rFonts w:eastAsia="宋体" w:hAnsi="宋体" w:cs="仿宋" w:hint="eastAsia"/>
          <w:b/>
          <w:sz w:val="24"/>
          <w:szCs w:val="24"/>
        </w:rPr>
        <w:t>履约保证金：</w:t>
      </w:r>
      <w:bookmarkStart w:id="21" w:name="_Hlk514701096"/>
      <w:bookmarkEnd w:id="16"/>
    </w:p>
    <w:p w14:paraId="77E3DB10" w14:textId="379D7E32" w:rsidR="00523523" w:rsidRDefault="00000000">
      <w:pPr>
        <w:spacing w:line="360" w:lineRule="auto"/>
        <w:ind w:firstLine="442"/>
        <w:rPr>
          <w:rFonts w:ascii="宋体" w:hAnsi="宋体" w:cs="仿宋" w:hint="eastAsia"/>
          <w:sz w:val="24"/>
        </w:rPr>
      </w:pPr>
      <w:r>
        <w:rPr>
          <w:rFonts w:ascii="宋体" w:hAnsi="宋体" w:cs="仿宋" w:hint="eastAsia"/>
          <w:sz w:val="24"/>
        </w:rPr>
        <w:t>为保障合同的有效履行，签订合同前，乙方应先缴纳合同总额的5%</w:t>
      </w:r>
      <w:r w:rsidR="00F935A4">
        <w:rPr>
          <w:rFonts w:ascii="宋体" w:hAnsi="宋体" w:cs="仿宋" w:hint="eastAsia"/>
          <w:sz w:val="24"/>
        </w:rPr>
        <w:t>，即73890元</w:t>
      </w:r>
      <w:r>
        <w:rPr>
          <w:rFonts w:ascii="宋体" w:hAnsi="宋体" w:cs="仿宋" w:hint="eastAsia"/>
          <w:sz w:val="24"/>
        </w:rPr>
        <w:t>作为履约保证金，承诺的质保期满后15个工作日内退还履约保证金。（不计息）</w:t>
      </w:r>
    </w:p>
    <w:p w14:paraId="785810FB" w14:textId="77777777" w:rsidR="00523523" w:rsidRDefault="00000000">
      <w:pPr>
        <w:spacing w:line="360" w:lineRule="auto"/>
        <w:ind w:firstLine="442"/>
        <w:rPr>
          <w:rFonts w:ascii="宋体" w:hAnsi="宋体" w:cs="仿宋" w:hint="eastAsia"/>
          <w:b/>
          <w:sz w:val="24"/>
        </w:rPr>
      </w:pPr>
      <w:r>
        <w:rPr>
          <w:rFonts w:ascii="宋体" w:hAnsi="宋体" w:cs="仿宋" w:hint="eastAsia"/>
          <w:b/>
          <w:sz w:val="24"/>
        </w:rPr>
        <w:t>六、付款方式：</w:t>
      </w:r>
      <w:bookmarkEnd w:id="21"/>
    </w:p>
    <w:p w14:paraId="3F411D81" w14:textId="77777777" w:rsidR="00523523" w:rsidRDefault="00000000">
      <w:pPr>
        <w:spacing w:line="360" w:lineRule="auto"/>
        <w:ind w:firstLine="420"/>
        <w:rPr>
          <w:rFonts w:ascii="宋体" w:hAnsi="宋体" w:cs="仿宋" w:hint="eastAsia"/>
          <w:sz w:val="24"/>
        </w:rPr>
      </w:pPr>
      <w:r>
        <w:rPr>
          <w:rFonts w:ascii="宋体" w:hAnsi="宋体" w:cs="仿宋" w:hint="eastAsia"/>
          <w:sz w:val="24"/>
        </w:rPr>
        <w:t>（1）合同签订后15个工作日内甲方支付给乙方合同总额的 35</w:t>
      </w:r>
      <w:r>
        <w:rPr>
          <w:rFonts w:ascii="宋体" w:hAnsi="宋体" w:cs="仿宋"/>
          <w:sz w:val="24"/>
        </w:rPr>
        <w:t xml:space="preserve"> </w:t>
      </w:r>
      <w:r>
        <w:rPr>
          <w:rFonts w:ascii="宋体" w:hAnsi="宋体" w:cs="仿宋" w:hint="eastAsia"/>
          <w:sz w:val="24"/>
        </w:rPr>
        <w:t>%作为预付款；</w:t>
      </w:r>
    </w:p>
    <w:p w14:paraId="0FEBF4BC" w14:textId="75A7AEEC" w:rsidR="00523523" w:rsidRDefault="00000000">
      <w:pPr>
        <w:spacing w:line="360" w:lineRule="auto"/>
        <w:ind w:firstLine="420"/>
        <w:rPr>
          <w:rFonts w:ascii="宋体" w:hAnsi="宋体" w:cs="仿宋" w:hint="eastAsia"/>
          <w:sz w:val="24"/>
        </w:rPr>
      </w:pPr>
      <w:r>
        <w:rPr>
          <w:rFonts w:ascii="宋体" w:hAnsi="宋体" w:cs="仿宋" w:hint="eastAsia"/>
          <w:sz w:val="24"/>
        </w:rPr>
        <w:t>（2）按验收标准验收合格并稳定</w:t>
      </w:r>
      <w:r w:rsidR="00234883">
        <w:rPr>
          <w:rFonts w:ascii="宋体" w:hAnsi="宋体" w:cs="仿宋" w:hint="eastAsia"/>
          <w:sz w:val="24"/>
        </w:rPr>
        <w:t>试</w:t>
      </w:r>
      <w:r>
        <w:rPr>
          <w:rFonts w:ascii="宋体" w:hAnsi="宋体" w:cs="仿宋" w:hint="eastAsia"/>
          <w:sz w:val="24"/>
        </w:rPr>
        <w:t>运行</w:t>
      </w:r>
      <w:r w:rsidR="00271D50">
        <w:rPr>
          <w:rFonts w:ascii="宋体" w:hAnsi="宋体" w:cs="仿宋" w:hint="eastAsia"/>
          <w:sz w:val="24"/>
        </w:rPr>
        <w:t>后</w:t>
      </w:r>
      <w:r w:rsidR="00234883">
        <w:rPr>
          <w:rFonts w:ascii="宋体" w:hAnsi="宋体" w:cs="仿宋" w:hint="eastAsia"/>
          <w:sz w:val="24"/>
        </w:rPr>
        <w:t>30天</w:t>
      </w:r>
      <w:r>
        <w:rPr>
          <w:rFonts w:ascii="宋体" w:hAnsi="宋体" w:cs="仿宋" w:hint="eastAsia"/>
          <w:sz w:val="24"/>
        </w:rPr>
        <w:t>内甲方支付乙方合同总额的65%。</w:t>
      </w:r>
    </w:p>
    <w:p w14:paraId="2F9951FB" w14:textId="77777777" w:rsidR="00523523" w:rsidRDefault="00000000">
      <w:pPr>
        <w:spacing w:line="360" w:lineRule="auto"/>
        <w:ind w:firstLine="480"/>
        <w:rPr>
          <w:rFonts w:ascii="宋体" w:hAnsi="宋体" w:hint="eastAsia"/>
          <w:sz w:val="24"/>
        </w:rPr>
      </w:pPr>
      <w:r>
        <w:rPr>
          <w:rFonts w:ascii="宋体" w:hAnsi="宋体" w:hint="eastAsia"/>
          <w:sz w:val="24"/>
        </w:rPr>
        <w:t>注：须提供符合国家财税规定并满足甲方财务要求的税务发票，甲方见票办理付款。</w:t>
      </w:r>
    </w:p>
    <w:p w14:paraId="2B1D9240" w14:textId="77777777" w:rsidR="00523523" w:rsidRDefault="00000000">
      <w:pPr>
        <w:spacing w:line="360" w:lineRule="auto"/>
        <w:ind w:firstLine="442"/>
        <w:rPr>
          <w:rFonts w:ascii="宋体" w:hAnsi="宋体" w:cs="仿宋" w:hint="eastAsia"/>
          <w:b/>
          <w:bCs/>
          <w:sz w:val="24"/>
        </w:rPr>
      </w:pPr>
      <w:r>
        <w:rPr>
          <w:rFonts w:ascii="宋体" w:hAnsi="宋体" w:cs="仿宋" w:hint="eastAsia"/>
          <w:b/>
          <w:bCs/>
          <w:sz w:val="24"/>
        </w:rPr>
        <w:t>七、质保期与售后服务</w:t>
      </w:r>
      <w:bookmarkEnd w:id="17"/>
      <w:bookmarkEnd w:id="18"/>
      <w:bookmarkEnd w:id="19"/>
      <w:bookmarkEnd w:id="20"/>
    </w:p>
    <w:p w14:paraId="5308A01A" w14:textId="77777777" w:rsidR="00523523" w:rsidRDefault="00000000">
      <w:pPr>
        <w:spacing w:line="360" w:lineRule="auto"/>
        <w:rPr>
          <w:rFonts w:ascii="宋体" w:hAnsi="宋体" w:cs="仿宋" w:hint="eastAsia"/>
          <w:sz w:val="24"/>
        </w:rPr>
      </w:pPr>
      <w:r>
        <w:rPr>
          <w:rFonts w:ascii="宋体" w:hAnsi="宋体" w:cs="仿宋" w:hint="eastAsia"/>
          <w:sz w:val="24"/>
        </w:rPr>
        <w:t xml:space="preserve">    1.</w:t>
      </w:r>
      <w:r>
        <w:rPr>
          <w:rFonts w:hint="eastAsia"/>
        </w:rPr>
        <w:t xml:space="preserve"> </w:t>
      </w:r>
      <w:r>
        <w:rPr>
          <w:rFonts w:ascii="宋体" w:hAnsi="宋体" w:cs="仿宋" w:hint="eastAsia"/>
          <w:sz w:val="24"/>
        </w:rPr>
        <w:t>壹年，自甲方代表在验收单上签字之日起计算。(若国家或生产厂家对本项目所涉及货物的质保期的规定高于本项目的要求，应按国家或生产厂家的规定执行)。</w:t>
      </w:r>
    </w:p>
    <w:p w14:paraId="0DE664C7" w14:textId="77777777" w:rsidR="00523523" w:rsidRDefault="00000000">
      <w:pPr>
        <w:spacing w:line="360" w:lineRule="auto"/>
        <w:ind w:firstLine="440"/>
        <w:rPr>
          <w:rFonts w:ascii="宋体" w:hAnsi="宋体" w:cs="仿宋" w:hint="eastAsia"/>
          <w:sz w:val="24"/>
        </w:rPr>
      </w:pPr>
      <w:r>
        <w:rPr>
          <w:rFonts w:ascii="宋体" w:hAnsi="宋体" w:cs="仿宋" w:hint="eastAsia"/>
          <w:sz w:val="24"/>
        </w:rPr>
        <w:lastRenderedPageBreak/>
        <w:t>2.乙方应保证所供物资设备在安装调试合同货物时，免费派出技术人员赴甲方现场技术指导。对甲方人员进行培训，主要培训内容为：货物的功能、基本结构、性能、主要部件的构造及处理，日常使用操作、保养与管理、常见故障的排除、紧急情况的处理等，并按要求做好记录，双方签字确认。</w:t>
      </w:r>
    </w:p>
    <w:p w14:paraId="1E060ABC" w14:textId="77777777" w:rsidR="00523523" w:rsidRDefault="00000000">
      <w:pPr>
        <w:spacing w:line="360" w:lineRule="auto"/>
        <w:ind w:firstLine="440"/>
        <w:rPr>
          <w:rFonts w:ascii="宋体" w:hAnsi="宋体" w:cs="仿宋" w:hint="eastAsia"/>
          <w:sz w:val="24"/>
        </w:rPr>
      </w:pPr>
      <w:r>
        <w:rPr>
          <w:rFonts w:ascii="宋体" w:hAnsi="宋体" w:cs="仿宋" w:hint="eastAsia"/>
          <w:sz w:val="24"/>
        </w:rPr>
        <w:t>3.质保期内免费更换零配件（人为损坏除外），质保期满后实行终身有偿维修保养。乙方接到用户报修电话后白天</w:t>
      </w:r>
      <w:r>
        <w:rPr>
          <w:rFonts w:ascii="宋体" w:hAnsi="宋体" w:cs="仿宋" w:hint="eastAsia"/>
          <w:color w:val="000000" w:themeColor="text1"/>
          <w:sz w:val="24"/>
          <w:u w:val="single"/>
        </w:rPr>
        <w:t xml:space="preserve">  4   </w:t>
      </w:r>
      <w:r>
        <w:rPr>
          <w:rFonts w:ascii="宋体" w:hAnsi="宋体" w:cs="仿宋" w:hint="eastAsia"/>
          <w:sz w:val="24"/>
        </w:rPr>
        <w:t>小时、夜间</w:t>
      </w:r>
      <w:r>
        <w:rPr>
          <w:rFonts w:ascii="宋体" w:hAnsi="宋体" w:cs="仿宋" w:hint="eastAsia"/>
          <w:color w:val="000000" w:themeColor="text1"/>
          <w:sz w:val="24"/>
          <w:u w:val="single"/>
        </w:rPr>
        <w:t xml:space="preserve"> 12 </w:t>
      </w:r>
      <w:r>
        <w:rPr>
          <w:rFonts w:ascii="宋体" w:hAnsi="宋体" w:cs="仿宋" w:hint="eastAsia"/>
          <w:sz w:val="24"/>
        </w:rPr>
        <w:t>小时内维修人员赶到现场检修处理。</w:t>
      </w:r>
    </w:p>
    <w:p w14:paraId="52214268" w14:textId="6E525A63" w:rsidR="00523523" w:rsidRDefault="00000000">
      <w:pPr>
        <w:pStyle w:val="a4"/>
        <w:spacing w:line="360" w:lineRule="auto"/>
        <w:ind w:firstLine="440"/>
        <w:rPr>
          <w:rFonts w:eastAsia="宋体" w:hAnsi="宋体" w:cs="仿宋" w:hint="eastAsia"/>
          <w:sz w:val="24"/>
          <w:szCs w:val="24"/>
        </w:rPr>
      </w:pPr>
      <w:r>
        <w:rPr>
          <w:rFonts w:eastAsia="宋体" w:hAnsi="宋体" w:cs="仿宋" w:hint="eastAsia"/>
          <w:sz w:val="24"/>
          <w:szCs w:val="24"/>
        </w:rPr>
        <w:t>4.质保期结束，不能视为乙方对合同货物中存在的可能引起货物损坏的潜在缺陷所应负责任的解除。潜在缺陷指货物在制造过程中未被发现的隐患，乙方对纠正潜在缺陷应负责任。当发现这类潜在缺陷时（经双方确认），乙方应立即予以无偿修复或更换。</w:t>
      </w:r>
    </w:p>
    <w:p w14:paraId="7E52D389" w14:textId="77777777" w:rsidR="00523523" w:rsidRDefault="00000000">
      <w:pPr>
        <w:spacing w:line="360" w:lineRule="auto"/>
        <w:ind w:firstLine="442"/>
        <w:rPr>
          <w:rFonts w:ascii="宋体" w:hAnsi="宋体" w:cs="仿宋" w:hint="eastAsia"/>
          <w:sz w:val="24"/>
        </w:rPr>
      </w:pPr>
      <w:bookmarkStart w:id="22" w:name="_Toc154830758"/>
      <w:bookmarkStart w:id="23" w:name="_Toc471819259"/>
      <w:bookmarkStart w:id="24" w:name="_Toc251500499"/>
      <w:bookmarkStart w:id="25" w:name="_Toc430158367"/>
      <w:r>
        <w:rPr>
          <w:rFonts w:ascii="宋体" w:hAnsi="宋体" w:cs="仿宋" w:hint="eastAsia"/>
          <w:b/>
          <w:bCs/>
          <w:sz w:val="24"/>
        </w:rPr>
        <w:t>八、违约责任</w:t>
      </w:r>
      <w:bookmarkEnd w:id="22"/>
      <w:bookmarkEnd w:id="23"/>
      <w:bookmarkEnd w:id="24"/>
      <w:bookmarkEnd w:id="25"/>
    </w:p>
    <w:p w14:paraId="059EAC61" w14:textId="77777777" w:rsidR="00523523" w:rsidRDefault="00000000">
      <w:pPr>
        <w:pStyle w:val="a4"/>
        <w:spacing w:line="360" w:lineRule="auto"/>
        <w:ind w:firstLine="330"/>
        <w:rPr>
          <w:rFonts w:eastAsia="宋体" w:hAnsi="宋体" w:cs="仿宋" w:hint="eastAsia"/>
          <w:sz w:val="24"/>
          <w:szCs w:val="24"/>
        </w:rPr>
      </w:pPr>
      <w:r>
        <w:rPr>
          <w:rFonts w:eastAsia="宋体" w:hAnsi="宋体" w:cs="仿宋" w:hint="eastAsia"/>
          <w:sz w:val="24"/>
          <w:szCs w:val="24"/>
        </w:rPr>
        <w:t>1、乙方不履行或未按约定要求完全履行合同，甲方有权扣除履约保证金作为违约金。</w:t>
      </w:r>
    </w:p>
    <w:p w14:paraId="7E608803" w14:textId="77777777" w:rsidR="00523523" w:rsidRDefault="00000000">
      <w:pPr>
        <w:pStyle w:val="a4"/>
        <w:spacing w:line="360" w:lineRule="auto"/>
        <w:ind w:firstLine="330"/>
        <w:rPr>
          <w:rFonts w:eastAsia="宋体" w:hAnsi="宋体" w:cs="仿宋" w:hint="eastAsia"/>
          <w:sz w:val="24"/>
          <w:szCs w:val="24"/>
        </w:rPr>
      </w:pPr>
      <w:r>
        <w:rPr>
          <w:rFonts w:eastAsia="宋体" w:hAnsi="宋体" w:cs="仿宋" w:hint="eastAsia"/>
          <w:sz w:val="24"/>
          <w:szCs w:val="24"/>
        </w:rPr>
        <w:t>2、乙方逾期交货或者甲方逾期付款,应向对方支付违约金,迟延履行违约金以逾期部分价款总额每日千分之</w:t>
      </w:r>
      <w:r>
        <w:rPr>
          <w:rFonts w:eastAsia="宋体" w:hAnsi="宋体" w:cs="仿宋" w:hint="eastAsia"/>
          <w:sz w:val="24"/>
          <w:szCs w:val="24"/>
          <w:u w:val="single"/>
        </w:rPr>
        <w:t xml:space="preserve"> 八  </w:t>
      </w:r>
      <w:r>
        <w:rPr>
          <w:rFonts w:eastAsia="宋体" w:hAnsi="宋体" w:cs="仿宋" w:hint="eastAsia"/>
          <w:sz w:val="24"/>
          <w:szCs w:val="24"/>
        </w:rPr>
        <w:t>计算。任何一方逾期履行超过</w:t>
      </w:r>
      <w:r>
        <w:rPr>
          <w:rFonts w:eastAsia="宋体" w:hAnsi="宋体" w:cs="仿宋" w:hint="eastAsia"/>
          <w:sz w:val="24"/>
          <w:szCs w:val="24"/>
          <w:u w:val="single"/>
        </w:rPr>
        <w:t xml:space="preserve"> 十  </w:t>
      </w:r>
      <w:r>
        <w:rPr>
          <w:rFonts w:eastAsia="宋体" w:hAnsi="宋体" w:cs="仿宋" w:hint="eastAsia"/>
          <w:sz w:val="24"/>
          <w:szCs w:val="24"/>
        </w:rPr>
        <w:t>天，应当以逾期部分价款总额5％向对方支付违约金，守约方有权解除合同或要求继续履行合同。</w:t>
      </w:r>
    </w:p>
    <w:p w14:paraId="4E291572" w14:textId="77777777" w:rsidR="00523523" w:rsidRDefault="00000000">
      <w:pPr>
        <w:pStyle w:val="a4"/>
        <w:spacing w:line="360" w:lineRule="auto"/>
        <w:ind w:firstLine="330"/>
        <w:rPr>
          <w:rFonts w:eastAsia="宋体" w:hAnsi="宋体" w:cs="仿宋" w:hint="eastAsia"/>
          <w:sz w:val="24"/>
          <w:szCs w:val="24"/>
        </w:rPr>
      </w:pPr>
      <w:r>
        <w:rPr>
          <w:rFonts w:eastAsia="宋体" w:hAnsi="宋体" w:cs="仿宋" w:hint="eastAsia"/>
          <w:sz w:val="24"/>
          <w:szCs w:val="24"/>
        </w:rPr>
        <w:t>3、提供的部件不符合招标文件的技术要求，必须按要求进行修复、拆除或重新采购；若乙方拒不按要求更正的，将对乙方处以不低于5倍的罚款（按不合格部件价值计算），且乙方应承担由此发生的一切费用，延误的工期不予顺延。</w:t>
      </w:r>
    </w:p>
    <w:p w14:paraId="25FEEE09" w14:textId="42A8C59A" w:rsidR="0044193F" w:rsidRPr="0044193F" w:rsidRDefault="0044193F" w:rsidP="0044193F">
      <w:pPr>
        <w:pStyle w:val="a4"/>
        <w:spacing w:line="360" w:lineRule="auto"/>
        <w:ind w:firstLine="330"/>
        <w:rPr>
          <w:rFonts w:eastAsia="宋体" w:hAnsi="宋体" w:cs="仿宋" w:hint="eastAsia"/>
          <w:sz w:val="24"/>
          <w:szCs w:val="24"/>
        </w:rPr>
      </w:pPr>
      <w:r w:rsidRPr="0044193F">
        <w:rPr>
          <w:rFonts w:eastAsia="宋体" w:hAnsi="宋体" w:cs="仿宋" w:hint="eastAsia"/>
          <w:sz w:val="24"/>
          <w:szCs w:val="24"/>
        </w:rPr>
        <w:t>4、验收不合格甲方可以解除合同，乙方全额退还预付款，并按照合同总额20%支付违约金</w:t>
      </w:r>
      <w:r>
        <w:rPr>
          <w:rFonts w:eastAsia="宋体" w:hAnsi="宋体" w:cs="仿宋" w:hint="eastAsia"/>
          <w:sz w:val="24"/>
          <w:szCs w:val="24"/>
        </w:rPr>
        <w:t>。</w:t>
      </w:r>
    </w:p>
    <w:p w14:paraId="4E1684C4" w14:textId="77777777" w:rsidR="00523523" w:rsidRDefault="00000000">
      <w:pPr>
        <w:spacing w:line="360" w:lineRule="auto"/>
        <w:ind w:firstLine="442"/>
        <w:rPr>
          <w:rFonts w:ascii="宋体" w:hAnsi="宋体" w:cs="仿宋" w:hint="eastAsia"/>
          <w:b/>
          <w:sz w:val="24"/>
        </w:rPr>
      </w:pPr>
      <w:r>
        <w:rPr>
          <w:rFonts w:ascii="宋体" w:hAnsi="宋体" w:cs="仿宋" w:hint="eastAsia"/>
          <w:b/>
          <w:sz w:val="24"/>
        </w:rPr>
        <w:t>九、不可抗力</w:t>
      </w:r>
    </w:p>
    <w:p w14:paraId="3614F4CA"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t>1.本合同所称不可抗力，是指不能预见、不能避免并不能克服的客观情况。</w:t>
      </w:r>
    </w:p>
    <w:p w14:paraId="43017280"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t>2.由于不可抗力事件，致使一方在履行其本合同项下的义务过程中遇到的障碍或延误，不能按规定的条款全部或部分履行其义务的，遇到不可抗力事件的一方（受阻方），不应视为违反本合同。</w:t>
      </w:r>
    </w:p>
    <w:p w14:paraId="6AB194F7" w14:textId="77777777" w:rsidR="00523523" w:rsidRDefault="00000000">
      <w:pPr>
        <w:spacing w:line="360" w:lineRule="auto"/>
        <w:ind w:firstLine="440"/>
        <w:jc w:val="left"/>
        <w:rPr>
          <w:rFonts w:ascii="宋体" w:hAnsi="宋体" w:cs="仿宋" w:hint="eastAsia"/>
          <w:sz w:val="24"/>
        </w:rPr>
      </w:pPr>
      <w:r>
        <w:rPr>
          <w:rFonts w:ascii="宋体" w:hAnsi="宋体" w:cs="仿宋" w:hint="eastAsia"/>
          <w:sz w:val="24"/>
        </w:rPr>
        <w:lastRenderedPageBreak/>
        <w:t>3.不可抗力事件终止或被排除后，受阻方应继续履行本合同，并应立即通知另一方。受阻方可以延长履行义务的时间，延长期应相当于不可抗力事件实际造成延误的时间。</w:t>
      </w:r>
    </w:p>
    <w:p w14:paraId="7D435645" w14:textId="77777777" w:rsidR="00523523" w:rsidRDefault="00000000">
      <w:pPr>
        <w:spacing w:line="360" w:lineRule="auto"/>
        <w:ind w:firstLine="442"/>
        <w:jc w:val="left"/>
        <w:rPr>
          <w:rFonts w:ascii="宋体" w:hAnsi="宋体" w:cs="仿宋" w:hint="eastAsia"/>
          <w:b/>
          <w:sz w:val="24"/>
        </w:rPr>
      </w:pPr>
      <w:r>
        <w:rPr>
          <w:rFonts w:ascii="宋体" w:hAnsi="宋体" w:cs="仿宋" w:hint="eastAsia"/>
          <w:b/>
          <w:sz w:val="24"/>
        </w:rPr>
        <w:t>十、合同纠纷处理</w:t>
      </w:r>
    </w:p>
    <w:p w14:paraId="03AED728" w14:textId="5D545782" w:rsidR="00523523" w:rsidRDefault="00000000">
      <w:pPr>
        <w:spacing w:line="360" w:lineRule="auto"/>
        <w:ind w:firstLine="440"/>
        <w:jc w:val="left"/>
        <w:rPr>
          <w:rFonts w:ascii="宋体" w:hAnsi="宋体" w:cs="仿宋" w:hint="eastAsia"/>
          <w:sz w:val="24"/>
        </w:rPr>
      </w:pPr>
      <w:r>
        <w:rPr>
          <w:rFonts w:ascii="宋体" w:hAnsi="宋体" w:cs="仿宋" w:hint="eastAsia"/>
          <w:sz w:val="24"/>
        </w:rPr>
        <w:t>因履行本合同发生争议，由双方协商解决，解决不成则提交常州仲裁委员会仲裁。</w:t>
      </w:r>
    </w:p>
    <w:p w14:paraId="071AADE8" w14:textId="77777777" w:rsidR="00523523" w:rsidRDefault="00000000">
      <w:pPr>
        <w:pStyle w:val="a4"/>
        <w:ind w:firstLine="442"/>
        <w:rPr>
          <w:rFonts w:eastAsia="宋体" w:hAnsi="宋体" w:cs="仿宋" w:hint="eastAsia"/>
          <w:b/>
          <w:sz w:val="24"/>
          <w:szCs w:val="24"/>
        </w:rPr>
      </w:pPr>
      <w:r>
        <w:rPr>
          <w:rFonts w:eastAsia="宋体" w:hAnsi="宋体" w:cs="仿宋" w:hint="eastAsia"/>
          <w:b/>
          <w:sz w:val="24"/>
          <w:szCs w:val="24"/>
        </w:rPr>
        <w:t>十一、生效</w:t>
      </w:r>
    </w:p>
    <w:p w14:paraId="1272AAD8" w14:textId="77777777" w:rsidR="00523523" w:rsidRDefault="00000000">
      <w:pPr>
        <w:pStyle w:val="a4"/>
        <w:ind w:firstLine="440"/>
        <w:rPr>
          <w:rFonts w:eastAsia="宋体" w:hAnsi="宋体" w:cs="仿宋" w:hint="eastAsia"/>
          <w:sz w:val="24"/>
          <w:szCs w:val="24"/>
        </w:rPr>
      </w:pPr>
      <w:r>
        <w:rPr>
          <w:rFonts w:eastAsia="宋体" w:hAnsi="宋体" w:cs="仿宋" w:hint="eastAsia"/>
          <w:sz w:val="24"/>
          <w:szCs w:val="24"/>
        </w:rPr>
        <w:t>本合同自双方签字盖章之日起生效。</w:t>
      </w:r>
    </w:p>
    <w:p w14:paraId="5DE20B01" w14:textId="77777777" w:rsidR="00523523" w:rsidRDefault="00000000">
      <w:pPr>
        <w:pStyle w:val="a4"/>
        <w:spacing w:line="360" w:lineRule="auto"/>
        <w:ind w:firstLine="442"/>
        <w:rPr>
          <w:rFonts w:eastAsia="宋体" w:hAnsi="宋体" w:cs="仿宋" w:hint="eastAsia"/>
          <w:b/>
          <w:sz w:val="24"/>
          <w:szCs w:val="24"/>
        </w:rPr>
      </w:pPr>
      <w:r>
        <w:rPr>
          <w:rFonts w:eastAsia="宋体" w:hAnsi="宋体" w:cs="仿宋" w:hint="eastAsia"/>
          <w:b/>
          <w:sz w:val="24"/>
          <w:szCs w:val="24"/>
        </w:rPr>
        <w:t>十二、合同份数</w:t>
      </w:r>
    </w:p>
    <w:p w14:paraId="0C473B0B" w14:textId="77777777" w:rsidR="00523523" w:rsidRDefault="00000000">
      <w:pPr>
        <w:pStyle w:val="a4"/>
        <w:spacing w:line="360" w:lineRule="auto"/>
        <w:ind w:firstLine="440"/>
        <w:rPr>
          <w:rFonts w:eastAsia="宋体" w:hAnsi="宋体" w:cs="仿宋" w:hint="eastAsia"/>
          <w:sz w:val="24"/>
          <w:szCs w:val="24"/>
        </w:rPr>
      </w:pPr>
      <w:r>
        <w:rPr>
          <w:rFonts w:eastAsia="宋体" w:hAnsi="宋体" w:cs="仿宋" w:hint="eastAsia"/>
          <w:sz w:val="24"/>
          <w:szCs w:val="24"/>
        </w:rPr>
        <w:t>本合同一式伍份。甲方叁份、乙方贰份。</w:t>
      </w:r>
    </w:p>
    <w:p w14:paraId="7359D979" w14:textId="77777777" w:rsidR="00523523" w:rsidRDefault="00523523">
      <w:pPr>
        <w:spacing w:line="360" w:lineRule="auto"/>
        <w:outlineLvl w:val="0"/>
        <w:rPr>
          <w:rFonts w:ascii="宋体" w:hAnsi="宋体" w:cs="仿宋" w:hint="eastAsia"/>
          <w:sz w:val="24"/>
        </w:rPr>
      </w:pPr>
    </w:p>
    <w:p w14:paraId="637B84BA" w14:textId="01128D37" w:rsidR="00523523" w:rsidRDefault="00000000" w:rsidP="00FE1F2A">
      <w:pPr>
        <w:spacing w:line="360" w:lineRule="auto"/>
        <w:ind w:left="5520" w:hangingChars="2300" w:hanging="5520"/>
        <w:outlineLvl w:val="0"/>
        <w:rPr>
          <w:rFonts w:ascii="宋体" w:hAnsi="宋体" w:cs="仿宋" w:hint="eastAsia"/>
          <w:sz w:val="24"/>
        </w:rPr>
      </w:pPr>
      <w:r>
        <w:rPr>
          <w:rFonts w:ascii="宋体" w:hAnsi="宋体" w:cs="仿宋" w:hint="eastAsia"/>
          <w:sz w:val="24"/>
        </w:rPr>
        <w:t xml:space="preserve">甲方：    </w:t>
      </w:r>
      <w:r w:rsidR="00F935A4">
        <w:rPr>
          <w:rFonts w:ascii="宋体" w:hAnsi="宋体" w:cs="仿宋" w:hint="eastAsia"/>
          <w:sz w:val="24"/>
        </w:rPr>
        <w:t xml:space="preserve">       </w:t>
      </w:r>
      <w:r w:rsidR="0045036A">
        <w:rPr>
          <w:rFonts w:ascii="宋体" w:hAnsi="宋体" w:cs="仿宋" w:hint="eastAsia"/>
          <w:sz w:val="24"/>
        </w:rPr>
        <w:t xml:space="preserve">                     </w:t>
      </w:r>
      <w:r>
        <w:rPr>
          <w:rFonts w:ascii="宋体" w:hAnsi="宋体" w:cs="仿宋" w:hint="eastAsia"/>
          <w:sz w:val="24"/>
        </w:rPr>
        <w:t xml:space="preserve"> 乙方：</w:t>
      </w:r>
      <w:r w:rsidR="0045036A">
        <w:rPr>
          <w:rFonts w:ascii="宋体" w:hAnsi="宋体" w:cs="仿宋" w:hint="eastAsia"/>
          <w:sz w:val="24"/>
        </w:rPr>
        <w:t xml:space="preserve"> </w:t>
      </w:r>
    </w:p>
    <w:p w14:paraId="66FCAB3B" w14:textId="19411803" w:rsidR="00523523" w:rsidRDefault="00000000" w:rsidP="0045036A">
      <w:pPr>
        <w:spacing w:line="360" w:lineRule="auto"/>
        <w:ind w:left="6000" w:hangingChars="2500" w:hanging="6000"/>
        <w:outlineLvl w:val="0"/>
        <w:rPr>
          <w:rFonts w:ascii="宋体" w:hAnsi="宋体" w:cs="仿宋" w:hint="eastAsia"/>
          <w:sz w:val="24"/>
        </w:rPr>
      </w:pPr>
      <w:r>
        <w:rPr>
          <w:rFonts w:ascii="宋体" w:hAnsi="宋体" w:cs="仿宋" w:hint="eastAsia"/>
          <w:sz w:val="24"/>
        </w:rPr>
        <w:t>单位名称（章）：</w:t>
      </w:r>
      <w:r w:rsidR="0045036A" w:rsidRPr="0045036A">
        <w:rPr>
          <w:rFonts w:ascii="宋体" w:hAnsi="宋体" w:cs="仿宋" w:hint="eastAsia"/>
          <w:sz w:val="24"/>
          <w:u w:val="single"/>
        </w:rPr>
        <w:t>常州机电职业技术学院</w:t>
      </w:r>
      <w:r>
        <w:rPr>
          <w:rFonts w:ascii="宋体" w:hAnsi="宋体" w:cs="仿宋" w:hint="eastAsia"/>
          <w:sz w:val="24"/>
          <w:u w:val="single"/>
        </w:rPr>
        <w:t xml:space="preserve"> </w:t>
      </w:r>
      <w:r>
        <w:rPr>
          <w:rFonts w:ascii="宋体" w:hAnsi="宋体" w:cs="仿宋" w:hint="eastAsia"/>
          <w:sz w:val="24"/>
        </w:rPr>
        <w:t xml:space="preserve">  单位名称（章）：</w:t>
      </w:r>
      <w:r>
        <w:rPr>
          <w:rFonts w:ascii="宋体" w:hAnsi="宋体" w:cs="仿宋" w:hint="eastAsia"/>
          <w:sz w:val="24"/>
          <w:u w:val="single"/>
        </w:rPr>
        <w:t xml:space="preserve"> </w:t>
      </w:r>
      <w:r w:rsidR="0045036A" w:rsidRPr="0045036A">
        <w:rPr>
          <w:rFonts w:ascii="宋体" w:hAnsi="宋体" w:cs="仿宋" w:hint="eastAsia"/>
          <w:sz w:val="24"/>
          <w:u w:val="single"/>
        </w:rPr>
        <w:t>中国机械总院集团江苏分院有限公司</w:t>
      </w:r>
      <w:r>
        <w:rPr>
          <w:rFonts w:ascii="宋体" w:hAnsi="宋体" w:cs="仿宋" w:hint="eastAsia"/>
          <w:sz w:val="24"/>
          <w:u w:val="single"/>
        </w:rPr>
        <w:t xml:space="preserve"> </w:t>
      </w:r>
    </w:p>
    <w:p w14:paraId="65F8EB1C" w14:textId="073397E8" w:rsidR="00523523" w:rsidRDefault="00000000" w:rsidP="00FE1F2A">
      <w:pPr>
        <w:spacing w:line="360" w:lineRule="auto"/>
        <w:ind w:left="5760" w:hangingChars="2400" w:hanging="5760"/>
        <w:rPr>
          <w:rFonts w:ascii="宋体" w:hAnsi="宋体" w:cs="仿宋" w:hint="eastAsia"/>
          <w:sz w:val="24"/>
          <w:u w:val="single"/>
        </w:rPr>
      </w:pPr>
      <w:r>
        <w:rPr>
          <w:rFonts w:ascii="宋体" w:hAnsi="宋体" w:cs="仿宋" w:hint="eastAsia"/>
          <w:sz w:val="24"/>
        </w:rPr>
        <w:t>单位地址：</w:t>
      </w:r>
      <w:r w:rsidRPr="0045036A">
        <w:rPr>
          <w:rFonts w:ascii="宋体" w:hAnsi="宋体" w:cs="仿宋" w:hint="eastAsia"/>
          <w:sz w:val="24"/>
          <w:u w:val="single"/>
        </w:rPr>
        <w:t>常州市武进区鸣新中路26号</w:t>
      </w:r>
      <w:r>
        <w:rPr>
          <w:rFonts w:ascii="宋体" w:hAnsi="宋体" w:cs="仿宋" w:hint="eastAsia"/>
          <w:sz w:val="24"/>
        </w:rPr>
        <w:t xml:space="preserve">    单位地址：</w:t>
      </w:r>
      <w:r w:rsidR="00FE1F2A" w:rsidRPr="0045036A">
        <w:rPr>
          <w:rFonts w:ascii="宋体" w:hAnsi="宋体" w:cs="仿宋" w:hint="eastAsia"/>
          <w:sz w:val="24"/>
          <w:u w:val="single"/>
        </w:rPr>
        <w:t>江苏省常州市武进区科教城天鸿科技大厦C座</w:t>
      </w:r>
      <w:r w:rsidRPr="0045036A">
        <w:rPr>
          <w:rFonts w:ascii="宋体" w:hAnsi="宋体" w:cs="仿宋" w:hint="eastAsia"/>
          <w:sz w:val="24"/>
          <w:u w:val="single"/>
        </w:rPr>
        <w:t xml:space="preserve"> </w:t>
      </w:r>
    </w:p>
    <w:p w14:paraId="73D00B43" w14:textId="05787259" w:rsidR="00523523" w:rsidRDefault="00000000">
      <w:pPr>
        <w:spacing w:line="360" w:lineRule="auto"/>
        <w:rPr>
          <w:rFonts w:ascii="宋体" w:hAnsi="宋体" w:cs="仿宋" w:hint="eastAsia"/>
          <w:sz w:val="24"/>
        </w:rPr>
      </w:pPr>
      <w:r>
        <w:rPr>
          <w:rFonts w:ascii="宋体" w:hAnsi="宋体" w:cs="仿宋" w:hint="eastAsia"/>
          <w:sz w:val="24"/>
        </w:rPr>
        <w:t>法定代表人：                            法定代表人：</w:t>
      </w:r>
    </w:p>
    <w:p w14:paraId="74042D5A" w14:textId="77777777" w:rsidR="00523523" w:rsidRDefault="00000000">
      <w:pPr>
        <w:spacing w:line="360" w:lineRule="auto"/>
        <w:rPr>
          <w:rFonts w:ascii="宋体" w:hAnsi="宋体" w:cs="仿宋" w:hint="eastAsia"/>
          <w:sz w:val="24"/>
        </w:rPr>
      </w:pPr>
      <w:r>
        <w:rPr>
          <w:rFonts w:ascii="宋体" w:hAnsi="宋体" w:cs="仿宋" w:hint="eastAsia"/>
          <w:sz w:val="24"/>
        </w:rPr>
        <w:t xml:space="preserve">委托代理人：                                </w:t>
      </w:r>
    </w:p>
    <w:p w14:paraId="784F3D7A" w14:textId="2D9A9EDD" w:rsidR="00523523" w:rsidRDefault="00000000">
      <w:pPr>
        <w:spacing w:line="360" w:lineRule="auto"/>
        <w:rPr>
          <w:rFonts w:ascii="宋体" w:hAnsi="宋体" w:cs="仿宋" w:hint="eastAsia"/>
          <w:sz w:val="24"/>
        </w:rPr>
      </w:pPr>
      <w:r>
        <w:rPr>
          <w:rFonts w:ascii="宋体" w:hAnsi="宋体" w:cs="仿宋" w:hint="eastAsia"/>
          <w:sz w:val="24"/>
        </w:rPr>
        <w:t>项目负责人：                            委托代理人：</w:t>
      </w:r>
    </w:p>
    <w:p w14:paraId="3855562E" w14:textId="539DCA52" w:rsidR="00523523" w:rsidRDefault="00000000" w:rsidP="00FE1F2A">
      <w:pPr>
        <w:spacing w:line="360" w:lineRule="auto"/>
        <w:ind w:left="6000" w:hangingChars="2500" w:hanging="6000"/>
        <w:rPr>
          <w:rFonts w:ascii="宋体" w:hAnsi="宋体" w:cs="仿宋" w:hint="eastAsia"/>
          <w:sz w:val="24"/>
        </w:rPr>
      </w:pPr>
      <w:r>
        <w:rPr>
          <w:rFonts w:ascii="宋体" w:hAnsi="宋体" w:cs="仿宋" w:hint="eastAsia"/>
          <w:sz w:val="24"/>
        </w:rPr>
        <w:t xml:space="preserve">开户银行： </w:t>
      </w:r>
      <w:r w:rsidR="0045036A">
        <w:rPr>
          <w:rFonts w:ascii="宋体" w:hAnsi="宋体" w:cs="仿宋" w:hint="eastAsia"/>
          <w:sz w:val="24"/>
        </w:rPr>
        <w:t xml:space="preserve">农业银行常州聚湖路支行 </w:t>
      </w:r>
      <w:r>
        <w:rPr>
          <w:rFonts w:ascii="宋体" w:hAnsi="宋体" w:cs="仿宋" w:hint="eastAsia"/>
          <w:sz w:val="24"/>
        </w:rPr>
        <w:t xml:space="preserve">      开户银行：</w:t>
      </w:r>
      <w:r w:rsidR="00FE1F2A" w:rsidRPr="00FE1F2A">
        <w:rPr>
          <w:rFonts w:ascii="宋体" w:hAnsi="宋体" w:cs="仿宋" w:hint="eastAsia"/>
          <w:sz w:val="24"/>
        </w:rPr>
        <w:t>中国工商银行常州科教城支行</w:t>
      </w:r>
    </w:p>
    <w:p w14:paraId="43C98AEC" w14:textId="61661221" w:rsidR="00523523" w:rsidRDefault="00000000">
      <w:pPr>
        <w:spacing w:line="360" w:lineRule="auto"/>
        <w:rPr>
          <w:rFonts w:ascii="宋体" w:hAnsi="宋体" w:cs="仿宋" w:hint="eastAsia"/>
          <w:sz w:val="24"/>
        </w:rPr>
      </w:pPr>
      <w:r>
        <w:rPr>
          <w:rFonts w:ascii="宋体" w:hAnsi="宋体" w:cs="仿宋" w:hint="eastAsia"/>
          <w:sz w:val="24"/>
        </w:rPr>
        <w:t>账    号： 10-605701040004030           帐号：</w:t>
      </w:r>
      <w:r w:rsidR="00FE1F2A" w:rsidRPr="00FE1F2A">
        <w:rPr>
          <w:rFonts w:ascii="宋体" w:hAnsi="宋体" w:cs="仿宋"/>
          <w:sz w:val="24"/>
        </w:rPr>
        <w:t>1105039809000021632</w:t>
      </w:r>
    </w:p>
    <w:p w14:paraId="173DF5C2" w14:textId="00BF9F9C" w:rsidR="00523523" w:rsidRDefault="00000000">
      <w:pPr>
        <w:spacing w:line="360" w:lineRule="auto"/>
        <w:rPr>
          <w:rFonts w:ascii="宋体" w:hAnsi="宋体" w:cs="仿宋" w:hint="eastAsia"/>
          <w:sz w:val="24"/>
        </w:rPr>
      </w:pPr>
      <w:r>
        <w:rPr>
          <w:rFonts w:ascii="宋体" w:hAnsi="宋体" w:cs="仿宋" w:hint="eastAsia"/>
          <w:sz w:val="24"/>
        </w:rPr>
        <w:t>税    号： 123200004660069658           税号：</w:t>
      </w:r>
      <w:r w:rsidR="00FE1F2A" w:rsidRPr="00FE1F2A">
        <w:rPr>
          <w:rFonts w:ascii="宋体" w:hAnsi="宋体" w:cs="仿宋"/>
          <w:sz w:val="24"/>
        </w:rPr>
        <w:t>91320412053542209F</w:t>
      </w:r>
    </w:p>
    <w:p w14:paraId="51A32EEE" w14:textId="457697D4" w:rsidR="00523523" w:rsidRDefault="00000000">
      <w:r>
        <w:rPr>
          <w:rFonts w:ascii="宋体" w:hAnsi="宋体" w:cs="仿宋" w:hint="eastAsia"/>
          <w:sz w:val="24"/>
        </w:rPr>
        <w:t>电    话：</w:t>
      </w:r>
      <w:r w:rsidR="0045036A">
        <w:rPr>
          <w:rFonts w:ascii="宋体" w:hAnsi="宋体" w:cs="仿宋" w:hint="eastAsia"/>
          <w:sz w:val="24"/>
        </w:rPr>
        <w:t xml:space="preserve"> 0519-86331888   </w:t>
      </w:r>
      <w:r>
        <w:rPr>
          <w:rFonts w:ascii="宋体" w:hAnsi="宋体" w:cs="仿宋" w:hint="eastAsia"/>
          <w:sz w:val="24"/>
        </w:rPr>
        <w:t xml:space="preserve">             电  话：</w:t>
      </w:r>
      <w:r w:rsidR="00FE1F2A" w:rsidRPr="00FE1F2A">
        <w:rPr>
          <w:rFonts w:ascii="宋体" w:hAnsi="宋体" w:cs="仿宋"/>
          <w:sz w:val="24"/>
        </w:rPr>
        <w:t>0519-89197562</w:t>
      </w:r>
    </w:p>
    <w:sectPr w:rsidR="0052352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D5DB3" w14:textId="77777777" w:rsidR="00483195" w:rsidRDefault="00483195" w:rsidP="008E1793">
      <w:r>
        <w:separator/>
      </w:r>
    </w:p>
  </w:endnote>
  <w:endnote w:type="continuationSeparator" w:id="0">
    <w:p w14:paraId="69891BEB" w14:textId="77777777" w:rsidR="00483195" w:rsidRDefault="00483195" w:rsidP="008E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303844"/>
      <w:docPartObj>
        <w:docPartGallery w:val="Page Numbers (Bottom of Page)"/>
        <w:docPartUnique/>
      </w:docPartObj>
    </w:sdtPr>
    <w:sdtContent>
      <w:p w14:paraId="27DE97B1" w14:textId="1AC05E32" w:rsidR="00705375" w:rsidRDefault="00705375">
        <w:pPr>
          <w:pStyle w:val="a8"/>
          <w:jc w:val="center"/>
        </w:pPr>
        <w:r>
          <w:fldChar w:fldCharType="begin"/>
        </w:r>
        <w:r>
          <w:instrText>PAGE   \* MERGEFORMAT</w:instrText>
        </w:r>
        <w:r>
          <w:fldChar w:fldCharType="separate"/>
        </w:r>
        <w:r>
          <w:rPr>
            <w:lang w:val="zh-CN"/>
          </w:rPr>
          <w:t>2</w:t>
        </w:r>
        <w:r>
          <w:fldChar w:fldCharType="end"/>
        </w:r>
      </w:p>
    </w:sdtContent>
  </w:sdt>
  <w:p w14:paraId="4A8E8B71" w14:textId="77777777" w:rsidR="00705375" w:rsidRDefault="0070537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78E1D" w14:textId="77777777" w:rsidR="00483195" w:rsidRDefault="00483195" w:rsidP="008E1793">
      <w:r>
        <w:separator/>
      </w:r>
    </w:p>
  </w:footnote>
  <w:footnote w:type="continuationSeparator" w:id="0">
    <w:p w14:paraId="754A8BAD" w14:textId="77777777" w:rsidR="00483195" w:rsidRDefault="00483195" w:rsidP="008E17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52A95"/>
    <w:rsid w:val="000A6A90"/>
    <w:rsid w:val="001B3120"/>
    <w:rsid w:val="0022097C"/>
    <w:rsid w:val="00234883"/>
    <w:rsid w:val="00271D50"/>
    <w:rsid w:val="002D63E2"/>
    <w:rsid w:val="0036564F"/>
    <w:rsid w:val="003A3E3F"/>
    <w:rsid w:val="00420F87"/>
    <w:rsid w:val="0042671B"/>
    <w:rsid w:val="0044193F"/>
    <w:rsid w:val="0045036A"/>
    <w:rsid w:val="00483195"/>
    <w:rsid w:val="00522707"/>
    <w:rsid w:val="00523523"/>
    <w:rsid w:val="00584553"/>
    <w:rsid w:val="00705375"/>
    <w:rsid w:val="007118EC"/>
    <w:rsid w:val="00741207"/>
    <w:rsid w:val="00841311"/>
    <w:rsid w:val="00864628"/>
    <w:rsid w:val="00867F0E"/>
    <w:rsid w:val="008E1793"/>
    <w:rsid w:val="009B564D"/>
    <w:rsid w:val="009D49C5"/>
    <w:rsid w:val="00A7233B"/>
    <w:rsid w:val="00AB3B88"/>
    <w:rsid w:val="00B37791"/>
    <w:rsid w:val="00B9101E"/>
    <w:rsid w:val="00D326F9"/>
    <w:rsid w:val="00D73AAA"/>
    <w:rsid w:val="00ED4A6A"/>
    <w:rsid w:val="00F935A4"/>
    <w:rsid w:val="00FC3459"/>
    <w:rsid w:val="00FE1F2A"/>
    <w:rsid w:val="6C852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143E7"/>
  <w15:docId w15:val="{B6ABCC01-A2E1-490D-9B2D-84ECAA97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1"/>
    <w:qFormat/>
    <w:pPr>
      <w:widowControl w:val="0"/>
      <w:jc w:val="both"/>
    </w:pPr>
    <w:rPr>
      <w:rFonts w:ascii="Times New Roman" w:eastAsia="宋体" w:hAnsi="Times New Roman"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正文首行缩进 21"/>
    <w:basedOn w:val="11"/>
    <w:next w:val="a"/>
    <w:qFormat/>
    <w:pPr>
      <w:spacing w:after="120" w:line="480" w:lineRule="exact"/>
      <w:ind w:left="420" w:firstLine="420"/>
    </w:pPr>
  </w:style>
  <w:style w:type="paragraph" w:customStyle="1" w:styleId="11">
    <w:name w:val="正文文本缩进11"/>
    <w:basedOn w:val="a"/>
    <w:uiPriority w:val="99"/>
    <w:qFormat/>
    <w:pPr>
      <w:spacing w:line="360" w:lineRule="auto"/>
      <w:ind w:firstLine="570"/>
    </w:pPr>
    <w:rPr>
      <w:sz w:val="24"/>
    </w:rPr>
  </w:style>
  <w:style w:type="paragraph" w:styleId="a3">
    <w:name w:val="Normal Indent"/>
    <w:basedOn w:val="a"/>
    <w:next w:val="a"/>
    <w:uiPriority w:val="99"/>
    <w:qFormat/>
    <w:pPr>
      <w:ind w:firstLine="420"/>
    </w:pPr>
    <w:rPr>
      <w:rFonts w:ascii="宋体"/>
      <w:sz w:val="24"/>
      <w:szCs w:val="20"/>
    </w:rPr>
  </w:style>
  <w:style w:type="paragraph" w:styleId="a4">
    <w:name w:val="Plain Text"/>
    <w:basedOn w:val="a"/>
    <w:next w:val="a3"/>
    <w:link w:val="a5"/>
    <w:uiPriority w:val="99"/>
    <w:qFormat/>
    <w:rPr>
      <w:rFonts w:ascii="宋体" w:eastAsiaTheme="minorEastAsia" w:hAnsi="Courier New" w:cstheme="minorBidi"/>
      <w:szCs w:val="22"/>
    </w:rPr>
  </w:style>
  <w:style w:type="paragraph" w:styleId="a6">
    <w:name w:val="header"/>
    <w:basedOn w:val="a"/>
    <w:link w:val="a7"/>
    <w:rsid w:val="008E1793"/>
    <w:pPr>
      <w:tabs>
        <w:tab w:val="center" w:pos="4153"/>
        <w:tab w:val="right" w:pos="8306"/>
      </w:tabs>
      <w:snapToGrid w:val="0"/>
      <w:jc w:val="center"/>
    </w:pPr>
    <w:rPr>
      <w:sz w:val="18"/>
      <w:szCs w:val="18"/>
    </w:rPr>
  </w:style>
  <w:style w:type="character" w:customStyle="1" w:styleId="a7">
    <w:name w:val="页眉 字符"/>
    <w:basedOn w:val="a0"/>
    <w:link w:val="a6"/>
    <w:rsid w:val="008E1793"/>
    <w:rPr>
      <w:rFonts w:ascii="Times New Roman" w:eastAsia="宋体" w:hAnsi="Times New Roman" w:cs="Times New Roman"/>
      <w:sz w:val="18"/>
      <w:szCs w:val="18"/>
    </w:rPr>
  </w:style>
  <w:style w:type="paragraph" w:styleId="a8">
    <w:name w:val="footer"/>
    <w:basedOn w:val="a"/>
    <w:link w:val="a9"/>
    <w:uiPriority w:val="99"/>
    <w:rsid w:val="008E1793"/>
    <w:pPr>
      <w:tabs>
        <w:tab w:val="center" w:pos="4153"/>
        <w:tab w:val="right" w:pos="8306"/>
      </w:tabs>
      <w:snapToGrid w:val="0"/>
      <w:jc w:val="left"/>
    </w:pPr>
    <w:rPr>
      <w:sz w:val="18"/>
      <w:szCs w:val="18"/>
    </w:rPr>
  </w:style>
  <w:style w:type="character" w:customStyle="1" w:styleId="a9">
    <w:name w:val="页脚 字符"/>
    <w:basedOn w:val="a0"/>
    <w:link w:val="a8"/>
    <w:uiPriority w:val="99"/>
    <w:rsid w:val="008E1793"/>
    <w:rPr>
      <w:rFonts w:ascii="Times New Roman" w:eastAsia="宋体" w:hAnsi="Times New Roman" w:cs="Times New Roman"/>
      <w:sz w:val="18"/>
      <w:szCs w:val="18"/>
    </w:rPr>
  </w:style>
  <w:style w:type="character" w:customStyle="1" w:styleId="a5">
    <w:name w:val="纯文本 字符"/>
    <w:basedOn w:val="a0"/>
    <w:link w:val="a4"/>
    <w:uiPriority w:val="99"/>
    <w:qFormat/>
    <w:rsid w:val="00584553"/>
    <w:rPr>
      <w:rFonts w:ascii="宋体" w:hAnsi="Courier New"/>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32</Pages>
  <Words>3572</Words>
  <Characters>20364</Characters>
  <Application>Microsoft Office Word</Application>
  <DocSecurity>0</DocSecurity>
  <Lines>169</Lines>
  <Paragraphs>47</Paragraphs>
  <ScaleCrop>false</ScaleCrop>
  <Company/>
  <LinksUpToDate>false</LinksUpToDate>
  <CharactersWithSpaces>23889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四菜一汤</dc:creator>
  <cp:lastModifiedBy>管理员</cp:lastModifiedBy>
  <cp:revision>13</cp:revision>
  <dcterms:created xsi:type="dcterms:W3CDTF">2025-12-27T12:33:00Z</dcterms:created>
  <dcterms:modified xsi:type="dcterms:W3CDTF">2026-01-09T08:39:00Z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6BA6968D560147BBABA8B01A2B12DD67_11</vt:lpwstr>
  </property>
  <property fmtid="{D5CDD505-2E9C-101B-9397-08002B2CF9AE}" pid="4" name="KSOTemplateDocerSaveRecord">
    <vt:lpwstr>eyJoZGlkIjoiNzVhMDgwM2MyYzRlNDIzYWY0YTBkZGY5YWJiNDFkZjciLCJ1c2VySWQiOiI1OTY5MDA3NTQifQ==</vt:lpwstr>
  </property>
</Properties>
</file>