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JSZC-321000-JCEC-G2024-0247号</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4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u w:val="none"/>
        </w:rPr>
        <w:t xml:space="preserve">扬州市环境卫生管理处</w:t>
      </w:r>
      <w:r>
        <w:rPr>
          <w:rFonts w:ascii="FangSong" w:hAnsi="FangSong" w:eastAsia="FangSong" w:cs="FangSong"/>
          <w:b/>
          <w:color w:val="000000"/>
          <w:sz w:val="32"/>
        </w:rPr>
        <w:t xml:space="preserve">基于垃圾分类的扬州城市生态修复路径与对策研究项目</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u w:val="none"/>
        </w:rPr>
        <w:t xml:space="preserve">公开招标文件</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6"/>
        </w:rPr>
        <w:t xml:space="preserve"> </w:t>
      </w:r>
      <w:r/>
    </w:p>
    <w:p>
      <w:pPr>
        <w:ind w:left="420" w:right="0" w:firstLine="0"/>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6"/>
        </w:rPr>
        <w:t xml:space="preserve"> </w:t>
      </w:r>
      <w:r/>
    </w:p>
    <w:p>
      <w:pPr>
        <w:ind w:left="0" w:right="12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 </w:t>
      </w:r>
      <w:r/>
    </w:p>
    <w:p>
      <w:pPr>
        <w:ind w:left="0" w:right="0" w:firstLine="140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采购人：扬州市环境卫生管理处</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采购代理机构：江苏省设备成套股份有限公司</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发放 日 期：</w:t>
      </w:r>
      <w:r>
        <w:rPr>
          <w:rFonts w:ascii="FangSong" w:hAnsi="FangSong" w:eastAsia="FangSong" w:cs="FangSong"/>
          <w:color w:val="000000"/>
          <w:sz w:val="28"/>
          <w:u w:val="none"/>
        </w:rPr>
        <w:t xml:space="preserve">2024年0</w:t>
      </w:r>
      <w:r>
        <w:rPr>
          <w:rFonts w:ascii="FangSong" w:hAnsi="FangSong" w:eastAsia="FangSong" w:cs="FangSong"/>
          <w:color w:val="000000"/>
          <w:sz w:val="28"/>
        </w:rPr>
        <w:t xml:space="preserve">7月09日</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目录</w:t>
      </w:r>
      <w:r/>
    </w:p>
    <w:p>
      <w:pPr>
        <w:ind w:left="0" w:right="0" w:firstLine="0"/>
        <w:spacing w:before="240" w:after="240" w:line="113" w:lineRule="atLeast"/>
        <w:pBdr>
          <w:top w:val="none" w:color="000000" w:sz="4" w:space="0"/>
          <w:left w:val="none" w:color="000000" w:sz="4" w:space="0"/>
          <w:bottom w:val="none" w:color="000000" w:sz="4" w:space="0"/>
          <w:right w:val="none" w:color="000000" w:sz="4" w:space="0"/>
        </w:pBdr>
      </w:pPr>
      <w:r/>
      <w:hyperlink r:id="rId11" w:tooltip="http://jszfcg.jscz.gov.cn/jszc/onlyoffice/7.2.1-34/web-apps/apps/documenteditor/main/index_loader.html?_dc=7.2.1-34&amp;lang=zh&amp;customer=%20&amp;logo=%20&amp;headerlogo=%2Ffavicon.ico&amp;frameEditorId=iframePage&amp;compact=true&amp;parentOrigin=http://jszfcg.jscz.gov.cn#_Toc22742" w:history="1">
        <w:r>
          <w:rPr>
            <w:rStyle w:val="840"/>
            <w:rFonts w:ascii="FangSong" w:hAnsi="FangSong" w:eastAsia="FangSong" w:cs="FangSong"/>
            <w:color w:val="0000ee"/>
            <w:sz w:val="24"/>
            <w:u w:val="single"/>
          </w:rPr>
          <w:t xml:space="preserve">第一章</w:t>
        </w:r>
        <w:r>
          <w:rPr>
            <w:rStyle w:val="840"/>
            <w:rFonts w:ascii="FangSong" w:hAnsi="FangSong" w:eastAsia="FangSong" w:cs="FangSong"/>
            <w:color w:val="0000ee"/>
            <w:sz w:val="24"/>
            <w:u w:val="none"/>
          </w:rPr>
          <w:t xml:space="preserve"> </w:t>
        </w:r>
        <w:r>
          <w:rPr>
            <w:rStyle w:val="840"/>
            <w:rFonts w:ascii="FangSong" w:hAnsi="FangSong" w:eastAsia="FangSong" w:cs="FangSong"/>
            <w:color w:val="0000ee"/>
            <w:sz w:val="24"/>
            <w:u w:val="single"/>
          </w:rPr>
          <w:t xml:space="preserve">招标公告</w:t>
        </w:r>
      </w:hyperlink>
      <w:r/>
      <w:r/>
    </w:p>
    <w:p>
      <w:pPr>
        <w:ind w:left="0" w:right="0" w:firstLine="0"/>
        <w:spacing w:before="240" w:after="240" w:line="113" w:lineRule="atLeast"/>
        <w:pBdr>
          <w:top w:val="none" w:color="000000" w:sz="4" w:space="0"/>
          <w:left w:val="none" w:color="000000" w:sz="4" w:space="0"/>
          <w:bottom w:val="none" w:color="000000" w:sz="4" w:space="0"/>
          <w:right w:val="none" w:color="000000" w:sz="4" w:space="0"/>
        </w:pBdr>
      </w:pPr>
      <w:r/>
      <w:hyperlink r:id="rId12" w:tooltip="http://jszfcg.jscz.gov.cn/jszc/onlyoffice/7.2.1-34/web-apps/apps/documenteditor/main/index_loader.html?_dc=7.2.1-34&amp;lang=zh&amp;customer=%20&amp;logo=%20&amp;headerlogo=%2Ffavicon.ico&amp;frameEditorId=iframePage&amp;compact=true&amp;parentOrigin=http://jszfcg.jscz.gov.cn#_Toc17633" w:history="1">
        <w:r>
          <w:rPr>
            <w:rStyle w:val="840"/>
            <w:rFonts w:ascii="FangSong" w:hAnsi="FangSong" w:eastAsia="FangSong" w:cs="FangSong"/>
            <w:color w:val="0000ee"/>
            <w:sz w:val="24"/>
            <w:u w:val="single"/>
          </w:rPr>
          <w:t xml:space="preserve">第二章</w:t>
        </w:r>
        <w:r>
          <w:rPr>
            <w:rStyle w:val="840"/>
            <w:rFonts w:ascii="FangSong" w:hAnsi="FangSong" w:eastAsia="FangSong" w:cs="FangSong"/>
            <w:color w:val="0000ee"/>
            <w:sz w:val="24"/>
            <w:u w:val="none"/>
          </w:rPr>
          <w:t xml:space="preserve"> </w:t>
        </w:r>
        <w:r>
          <w:rPr>
            <w:rStyle w:val="840"/>
            <w:rFonts w:ascii="FangSong" w:hAnsi="FangSong" w:eastAsia="FangSong" w:cs="FangSong"/>
            <w:color w:val="0000ee"/>
            <w:sz w:val="24"/>
            <w:u w:val="single"/>
          </w:rPr>
          <w:t xml:space="preserve">投标人须知</w:t>
        </w:r>
      </w:hyperlink>
      <w:r/>
      <w:r/>
    </w:p>
    <w:p>
      <w:pPr>
        <w:ind w:left="0" w:right="0" w:firstLine="0"/>
        <w:spacing w:before="240" w:after="240" w:line="113" w:lineRule="atLeast"/>
        <w:pBdr>
          <w:top w:val="none" w:color="000000" w:sz="4" w:space="0"/>
          <w:left w:val="none" w:color="000000" w:sz="4" w:space="0"/>
          <w:bottom w:val="none" w:color="000000" w:sz="4" w:space="0"/>
          <w:right w:val="none" w:color="000000" w:sz="4" w:space="0"/>
        </w:pBdr>
      </w:pPr>
      <w:r/>
      <w:hyperlink r:id="rId13" w:tooltip="http://jszfcg.jscz.gov.cn/jszc/onlyoffice/7.2.1-34/web-apps/apps/documenteditor/main/index_loader.html?_dc=7.2.1-34&amp;lang=zh&amp;customer=%20&amp;logo=%20&amp;headerlogo=%2Ffavicon.ico&amp;frameEditorId=iframePage&amp;compact=true&amp;parentOrigin=http://jszfcg.jscz.gov.cn#_Toc6407" w:history="1">
        <w:r>
          <w:rPr>
            <w:rStyle w:val="840"/>
            <w:rFonts w:ascii="FangSong" w:hAnsi="FangSong" w:eastAsia="FangSong" w:cs="FangSong"/>
            <w:color w:val="0000ee"/>
            <w:sz w:val="24"/>
            <w:u w:val="single"/>
          </w:rPr>
          <w:t xml:space="preserve">第三章</w:t>
        </w:r>
        <w:r>
          <w:rPr>
            <w:rStyle w:val="840"/>
            <w:rFonts w:ascii="FangSong" w:hAnsi="FangSong" w:eastAsia="FangSong" w:cs="FangSong"/>
            <w:color w:val="0000ee"/>
            <w:sz w:val="24"/>
            <w:u w:val="none"/>
          </w:rPr>
          <w:t xml:space="preserve"> </w:t>
        </w:r>
        <w:r>
          <w:rPr>
            <w:rStyle w:val="840"/>
            <w:rFonts w:ascii="FangSong" w:hAnsi="FangSong" w:eastAsia="FangSong" w:cs="FangSong"/>
            <w:color w:val="0000ee"/>
            <w:sz w:val="24"/>
            <w:u w:val="single"/>
          </w:rPr>
          <w:t xml:space="preserve">合同条款及格式</w:t>
        </w:r>
      </w:hyperlink>
      <w:r/>
      <w:r/>
    </w:p>
    <w:p>
      <w:pPr>
        <w:ind w:left="0" w:right="0" w:firstLine="0"/>
        <w:spacing w:before="240" w:after="240" w:line="113" w:lineRule="atLeast"/>
        <w:pBdr>
          <w:top w:val="none" w:color="000000" w:sz="4" w:space="0"/>
          <w:left w:val="none" w:color="000000" w:sz="4" w:space="0"/>
          <w:bottom w:val="none" w:color="000000" w:sz="4" w:space="0"/>
          <w:right w:val="none" w:color="000000" w:sz="4" w:space="0"/>
        </w:pBdr>
      </w:pPr>
      <w:r/>
      <w:hyperlink r:id="rId14" w:tooltip="http://jszfcg.jscz.gov.cn/jszc/onlyoffice/7.2.1-34/web-apps/apps/documenteditor/main/index_loader.html?_dc=7.2.1-34&amp;lang=zh&amp;customer=%20&amp;logo=%20&amp;headerlogo=%2Ffavicon.ico&amp;frameEditorId=iframePage&amp;compact=true&amp;parentOrigin=http://jszfcg.jscz.gov.cn#_Toc8881" w:history="1">
        <w:r>
          <w:rPr>
            <w:rStyle w:val="840"/>
            <w:rFonts w:ascii="FangSong" w:hAnsi="FangSong" w:eastAsia="FangSong" w:cs="FangSong"/>
            <w:color w:val="0000ee"/>
            <w:sz w:val="24"/>
            <w:u w:val="single"/>
          </w:rPr>
          <w:t xml:space="preserve">第四章</w:t>
        </w:r>
        <w:r>
          <w:rPr>
            <w:rStyle w:val="840"/>
            <w:rFonts w:ascii="FangSong" w:hAnsi="FangSong" w:eastAsia="FangSong" w:cs="FangSong"/>
            <w:color w:val="0000ee"/>
            <w:sz w:val="24"/>
            <w:u w:val="none"/>
          </w:rPr>
          <w:t xml:space="preserve"> </w:t>
        </w:r>
        <w:r>
          <w:rPr>
            <w:rStyle w:val="840"/>
            <w:rFonts w:ascii="FangSong" w:hAnsi="FangSong" w:eastAsia="FangSong" w:cs="FangSong"/>
            <w:color w:val="0000ee"/>
            <w:sz w:val="24"/>
            <w:u w:val="single"/>
          </w:rPr>
          <w:t xml:space="preserve">项目需求</w:t>
        </w:r>
      </w:hyperlink>
      <w:r/>
      <w:r/>
    </w:p>
    <w:p>
      <w:pPr>
        <w:ind w:left="0" w:right="0" w:firstLine="0"/>
        <w:spacing w:before="240" w:after="240" w:line="113" w:lineRule="atLeast"/>
        <w:pBdr>
          <w:top w:val="none" w:color="000000" w:sz="4" w:space="0"/>
          <w:left w:val="none" w:color="000000" w:sz="4" w:space="0"/>
          <w:bottom w:val="none" w:color="000000" w:sz="4" w:space="0"/>
          <w:right w:val="none" w:color="000000" w:sz="4" w:space="0"/>
        </w:pBdr>
      </w:pPr>
      <w:r/>
      <w:hyperlink r:id="rId15" w:tooltip="http://jszfcg.jscz.gov.cn/jszc/onlyoffice/7.2.1-34/web-apps/apps/documenteditor/main/index_loader.html?_dc=7.2.1-34&amp;lang=zh&amp;customer=%20&amp;logo=%20&amp;headerlogo=%2Ffavicon.ico&amp;frameEditorId=iframePage&amp;compact=true&amp;parentOrigin=http://jszfcg.jscz.gov.cn#_Toc18067" w:history="1">
        <w:r>
          <w:rPr>
            <w:rStyle w:val="840"/>
            <w:rFonts w:ascii="FangSong" w:hAnsi="FangSong" w:eastAsia="FangSong" w:cs="FangSong"/>
            <w:color w:val="0000ee"/>
            <w:sz w:val="24"/>
            <w:u w:val="single"/>
          </w:rPr>
          <w:t xml:space="preserve">第五章</w:t>
        </w:r>
        <w:r>
          <w:rPr>
            <w:rStyle w:val="840"/>
            <w:rFonts w:ascii="FangSong" w:hAnsi="FangSong" w:eastAsia="FangSong" w:cs="FangSong"/>
            <w:color w:val="0000ee"/>
            <w:sz w:val="24"/>
            <w:u w:val="none"/>
          </w:rPr>
          <w:t xml:space="preserve"> </w:t>
        </w:r>
        <w:r>
          <w:rPr>
            <w:rStyle w:val="840"/>
            <w:rFonts w:ascii="FangSong" w:hAnsi="FangSong" w:eastAsia="FangSong" w:cs="FangSong"/>
            <w:color w:val="0000ee"/>
            <w:sz w:val="24"/>
            <w:u w:val="single"/>
          </w:rPr>
          <w:t xml:space="preserve">评审方法与评审标准</w:t>
        </w:r>
      </w:hyperlink>
      <w:r/>
      <w:r/>
    </w:p>
    <w:p>
      <w:pPr>
        <w:ind w:left="0" w:right="0" w:firstLine="0"/>
        <w:spacing w:before="240" w:after="240" w:line="113" w:lineRule="atLeast"/>
        <w:pBdr>
          <w:top w:val="none" w:color="000000" w:sz="4" w:space="0"/>
          <w:left w:val="none" w:color="000000" w:sz="4" w:space="0"/>
          <w:bottom w:val="none" w:color="000000" w:sz="4" w:space="0"/>
          <w:right w:val="none" w:color="000000" w:sz="4" w:space="0"/>
        </w:pBdr>
      </w:pPr>
      <w:r/>
      <w:hyperlink r:id="rId16" w:tooltip="http://jszfcg.jscz.gov.cn/jszc/onlyoffice/7.2.1-34/web-apps/apps/documenteditor/main/index_loader.html?_dc=7.2.1-34&amp;lang=zh&amp;customer=%20&amp;logo=%20&amp;headerlogo=%2Ffavicon.ico&amp;frameEditorId=iframePage&amp;compact=true&amp;parentOrigin=http://jszfcg.jscz.gov.cn#_Toc24256" w:history="1">
        <w:r>
          <w:rPr>
            <w:rStyle w:val="840"/>
            <w:rFonts w:ascii="FangSong" w:hAnsi="FangSong" w:eastAsia="FangSong" w:cs="FangSong"/>
            <w:color w:val="0000ee"/>
            <w:sz w:val="24"/>
            <w:u w:val="single"/>
          </w:rPr>
          <w:t xml:space="preserve">第六章</w:t>
        </w:r>
        <w:r>
          <w:rPr>
            <w:rStyle w:val="840"/>
            <w:rFonts w:ascii="FangSong" w:hAnsi="FangSong" w:eastAsia="FangSong" w:cs="FangSong"/>
            <w:color w:val="0000ee"/>
            <w:sz w:val="24"/>
            <w:u w:val="none"/>
          </w:rPr>
          <w:t xml:space="preserve"> </w:t>
        </w:r>
        <w:r>
          <w:rPr>
            <w:rStyle w:val="840"/>
            <w:rFonts w:ascii="FangSong" w:hAnsi="FangSong" w:eastAsia="FangSong" w:cs="FangSong"/>
            <w:color w:val="0000ee"/>
            <w:sz w:val="24"/>
            <w:u w:val="single"/>
          </w:rPr>
          <w:t xml:space="preserve">投标文件格式</w:t>
        </w:r>
      </w:hyperlink>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pStyle w:val="686"/>
        <w:ind w:left="0" w:right="0" w:firstLine="0"/>
        <w:jc w:val="both"/>
        <w:spacing w:before="280" w:after="290" w:line="436" w:lineRule="atLeast"/>
        <w:pBdr>
          <w:top w:val="none" w:color="000000" w:sz="4" w:space="0"/>
          <w:left w:val="none" w:color="000000" w:sz="4" w:space="0"/>
          <w:bottom w:val="none" w:color="000000" w:sz="4" w:space="0"/>
          <w:right w:val="none" w:color="000000" w:sz="4" w:space="0"/>
        </w:pBdr>
      </w:pPr>
      <w:r>
        <w:rPr>
          <w:rFonts w:ascii="Cambria" w:hAnsi="Cambria" w:eastAsia="Cambria" w:cs="Cambria"/>
          <w:b/>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p>
      <w:pPr>
        <w:numPr>
          <w:ilvl w:val="0"/>
          <w:numId w:val="9"/>
        </w:numPr>
        <w:jc w:val="center"/>
        <w:spacing w:before="0" w:after="0"/>
        <w:pBdr>
          <w:top w:val="none" w:color="000000" w:sz="4" w:space="0"/>
          <w:left w:val="none" w:color="000000" w:sz="4" w:space="0"/>
          <w:bottom w:val="none" w:color="000000" w:sz="4" w:space="0"/>
          <w:right w:val="none" w:color="000000" w:sz="4" w:space="0"/>
        </w:pBdr>
      </w:pPr>
      <w:r>
        <w:br w:type="page" w:clear="all"/>
      </w:r>
      <w:r/>
    </w:p>
    <w:p>
      <w:pPr>
        <w:numPr>
          <w:ilvl w:val="0"/>
          <w:numId w:val="9"/>
        </w:numPr>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44"/>
        </w:rPr>
        <w:t xml:space="preserve"> </w:t>
      </w:r>
      <w:r>
        <w:rPr>
          <w:rFonts w:ascii="FangSong" w:hAnsi="FangSong" w:eastAsia="FangSong" w:cs="FangSong"/>
          <w:b/>
          <w:color w:val="000000"/>
          <w:sz w:val="44"/>
          <w:u w:val="none"/>
        </w:rPr>
        <w:t xml:space="preserve">招标公告</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受</w:t>
      </w:r>
      <w:r>
        <w:rPr>
          <w:rFonts w:ascii="FangSong" w:hAnsi="FangSong" w:eastAsia="FangSong" w:cs="FangSong"/>
          <w:color w:val="000000"/>
          <w:sz w:val="24"/>
          <w:u w:val="single"/>
        </w:rPr>
        <w:t xml:space="preserve">扬州市环境卫生管理处</w:t>
      </w:r>
      <w:r>
        <w:rPr>
          <w:rFonts w:ascii="FangSong" w:hAnsi="FangSong" w:eastAsia="FangSong" w:cs="FangSong"/>
          <w:color w:val="000000"/>
          <w:sz w:val="24"/>
        </w:rPr>
        <w:t xml:space="preserve">的委托，</w:t>
      </w:r>
      <w:r>
        <w:rPr>
          <w:rFonts w:ascii="FangSong" w:hAnsi="FangSong" w:eastAsia="FangSong" w:cs="FangSong"/>
          <w:color w:val="000000"/>
          <w:sz w:val="24"/>
          <w:u w:val="single"/>
        </w:rPr>
        <w:t xml:space="preserve">江苏省设备成套股份有限公司</w:t>
      </w:r>
      <w:r>
        <w:rPr>
          <w:rFonts w:ascii="FangSong" w:hAnsi="FangSong" w:eastAsia="FangSong" w:cs="FangSong"/>
          <w:color w:val="000000"/>
          <w:sz w:val="24"/>
        </w:rPr>
        <w:t xml:space="preserve">就基于垃圾分类的扬州城市生态修复路径与对策研究项目</w:t>
      </w:r>
      <w:r>
        <w:rPr>
          <w:rFonts w:ascii="FangSong" w:hAnsi="FangSong" w:eastAsia="FangSong" w:cs="FangSong"/>
          <w:color w:val="000000"/>
          <w:sz w:val="24"/>
          <w:u w:val="single"/>
        </w:rPr>
        <w:t xml:space="preserve">（JSZC-321000-JCEC-G2024-0247号）</w:t>
      </w:r>
      <w:r>
        <w:rPr>
          <w:rFonts w:ascii="FangSong" w:hAnsi="FangSong" w:eastAsia="FangSong" w:cs="FangSong"/>
          <w:color w:val="000000"/>
          <w:sz w:val="24"/>
        </w:rPr>
        <w:t xml:space="preserve">实施政府采购，本次采购采用公开招标方式，欢迎符合条件的供应商参加投标。</w:t>
      </w:r>
      <w:r/>
    </w:p>
    <w:p>
      <w:pPr>
        <w:ind w:left="0" w:right="0" w:firstLine="422"/>
        <w:jc w:val="both"/>
        <w:spacing w:before="0" w:after="0" w:line="85" w:lineRule="atLeast"/>
        <w:pBdr>
          <w:top w:val="single" w:color="000000" w:sz="4" w:space="0"/>
          <w:left w:val="single" w:color="000000" w:sz="4" w:space="0"/>
          <w:bottom w:val="single" w:color="000000" w:sz="4" w:space="0"/>
          <w:right w:val="single" w:color="000000" w:sz="4" w:space="0"/>
        </w:pBdr>
      </w:pPr>
      <w:r>
        <w:rPr>
          <w:rFonts w:ascii="FangSong" w:hAnsi="FangSong" w:eastAsia="FangSong" w:cs="FangSong"/>
          <w:b/>
          <w:color w:val="000000"/>
          <w:sz w:val="24"/>
          <w:u w:val="none"/>
        </w:rPr>
        <w:t xml:space="preserve">项目概况：</w:t>
      </w:r>
      <w:r/>
    </w:p>
    <w:p>
      <w:pPr>
        <w:ind w:left="0" w:right="0" w:firstLine="420"/>
        <w:jc w:val="both"/>
        <w:spacing w:before="0" w:after="0" w:line="85" w:lineRule="atLeast"/>
        <w:pBdr>
          <w:top w:val="single" w:color="000000" w:sz="4" w:space="0"/>
          <w:left w:val="single" w:color="000000" w:sz="4" w:space="0"/>
          <w:bottom w:val="single" w:color="000000" w:sz="4" w:space="0"/>
          <w:right w:val="single" w:color="000000" w:sz="4" w:space="0"/>
        </w:pBdr>
      </w:pPr>
      <w:r>
        <w:rPr>
          <w:rFonts w:ascii="FangSong" w:hAnsi="FangSong" w:eastAsia="FangSong" w:cs="FangSong"/>
          <w:color w:val="000000"/>
          <w:sz w:val="24"/>
          <w:u w:val="single"/>
        </w:rPr>
        <w:t xml:space="preserve">基于垃圾分类的扬州城市生态修复路径与对策研究项目</w:t>
      </w:r>
      <w:r>
        <w:rPr>
          <w:rFonts w:ascii="FangSong" w:hAnsi="FangSong" w:eastAsia="FangSong" w:cs="FangSong"/>
          <w:color w:val="000000"/>
          <w:sz w:val="24"/>
        </w:rPr>
        <w:t xml:space="preserve">的潜在供应商应在</w:t>
      </w:r>
      <w:r>
        <w:rPr>
          <w:rFonts w:ascii="FangSong" w:hAnsi="FangSong" w:eastAsia="FangSong" w:cs="FangSong"/>
          <w:color w:val="000000"/>
          <w:sz w:val="24"/>
          <w:u w:val="single"/>
        </w:rPr>
        <w:t xml:space="preserve">“扬州市政府采购网”、“江苏省政府采购网”、“中国政府采购网”</w:t>
      </w:r>
      <w:r>
        <w:rPr>
          <w:rFonts w:ascii="FangSong" w:hAnsi="FangSong" w:eastAsia="FangSong" w:cs="FangSong"/>
          <w:color w:val="000000"/>
          <w:sz w:val="24"/>
        </w:rPr>
        <w:t xml:space="preserve">获取采购文件，并于</w:t>
      </w:r>
      <w:r>
        <w:rPr>
          <w:rFonts w:ascii="FangSong" w:hAnsi="FangSong" w:eastAsia="FangSong" w:cs="FangSong"/>
          <w:color w:val="000000"/>
          <w:sz w:val="24"/>
          <w:u w:val="single"/>
        </w:rPr>
        <w:t xml:space="preserve">2024年07月30日15点00分</w:t>
      </w:r>
      <w:r>
        <w:rPr>
          <w:rFonts w:ascii="FangSong" w:hAnsi="FangSong" w:eastAsia="FangSong" w:cs="FangSong"/>
          <w:color w:val="000000"/>
          <w:sz w:val="24"/>
        </w:rPr>
        <w:t xml:space="preserve">（北京时间）前递交投标文件。</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一、项目基本情况</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1、项目编号：JSZC-321000-JCEC-G2024-0247号</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2、项目名称：基于垃圾分类的扬州城市生态修复路径与对策研究项目</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u w:val="none"/>
        </w:rPr>
        <w:t xml:space="preserve">3、采购方式：公开招标</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4、预算金额：80万元</w:t>
      </w:r>
      <w:r/>
    </w:p>
    <w:p>
      <w:pPr>
        <w:ind w:left="0" w:right="0" w:firstLine="448"/>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pacing w:val="-8"/>
          <w:sz w:val="24"/>
        </w:rPr>
        <w:t xml:space="preserve">5、本项目</w:t>
      </w:r>
      <w:r>
        <w:rPr>
          <w:rFonts w:ascii="FangSong" w:hAnsi="FangSong" w:eastAsia="FangSong" w:cs="FangSong"/>
          <w:color w:val="000000"/>
          <w:spacing w:val="-8"/>
          <w:sz w:val="24"/>
          <w:u w:val="single"/>
        </w:rPr>
        <w:t xml:space="preserve">设定</w:t>
      </w:r>
      <w:r>
        <w:rPr>
          <w:rFonts w:ascii="FangSong" w:hAnsi="FangSong" w:eastAsia="FangSong" w:cs="FangSong"/>
          <w:color w:val="000000"/>
          <w:spacing w:val="-8"/>
          <w:sz w:val="24"/>
        </w:rPr>
        <w:t xml:space="preserve">最高限价，</w:t>
      </w:r>
      <w:r>
        <w:rPr>
          <w:rFonts w:ascii="FangSong" w:hAnsi="FangSong" w:eastAsia="FangSong" w:cs="FangSong"/>
          <w:color w:val="000000"/>
          <w:sz w:val="24"/>
        </w:rPr>
        <w:t xml:space="preserve">最高限价：80万元，最后报价超过最高限价的做无效响应处理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6、采购需求：见招标文件第四章</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7、合同履行期限：6个月。</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u w:val="none"/>
        </w:rPr>
        <w:t xml:space="preserve">8、本项目</w:t>
      </w:r>
      <w:r>
        <w:rPr>
          <w:rFonts w:ascii="FangSong" w:hAnsi="FangSong" w:eastAsia="FangSong" w:cs="FangSong"/>
          <w:color w:val="000000"/>
          <w:sz w:val="24"/>
          <w:u w:val="single"/>
        </w:rPr>
        <w:t xml:space="preserve"> 不接受 </w:t>
      </w:r>
      <w:r>
        <w:rPr>
          <w:rFonts w:ascii="FangSong" w:hAnsi="FangSong" w:eastAsia="FangSong" w:cs="FangSong"/>
          <w:color w:val="000000"/>
          <w:sz w:val="24"/>
        </w:rPr>
        <w:t xml:space="preserve">联合体投标。</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9、本项目</w:t>
      </w:r>
      <w:r>
        <w:rPr>
          <w:rFonts w:ascii="FangSong" w:hAnsi="FangSong" w:eastAsia="FangSong" w:cs="FangSong"/>
          <w:color w:val="000000"/>
          <w:sz w:val="24"/>
          <w:u w:val="single"/>
        </w:rPr>
        <w:t xml:space="preserve"> 不接受 </w:t>
      </w:r>
      <w:r>
        <w:rPr>
          <w:rFonts w:ascii="FangSong" w:hAnsi="FangSong" w:eastAsia="FangSong" w:cs="FangSong"/>
          <w:color w:val="000000"/>
          <w:sz w:val="24"/>
        </w:rPr>
        <w:t xml:space="preserve">进口产品投标。</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二、申请人的资格要求：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（一）满足《中华人民共和国政府采购法》第二十二条规定；</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i/>
          <w:color w:val="000000"/>
          <w:sz w:val="24"/>
          <w:u w:val="single"/>
        </w:rPr>
        <w:t xml:space="preserve">1.1法人或者其他组织的营业执照等证明文件，自然人的身份证明</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i/>
          <w:color w:val="000000"/>
          <w:sz w:val="24"/>
          <w:u w:val="single"/>
        </w:rPr>
        <w:t xml:space="preserve">1.2 依法缴纳职工社会保障资金的证明材料</w:t>
      </w:r>
      <w:r>
        <w:rPr>
          <w:rFonts w:ascii="FangSong" w:hAnsi="FangSong" w:eastAsia="FangSong" w:cs="FangSong"/>
          <w:b/>
          <w:i/>
          <w:color w:val="000000"/>
          <w:sz w:val="24"/>
          <w:u w:val="single"/>
        </w:rPr>
        <w:t xml:space="preserve">(税务、银行或社会保险基金管理部门出具的近三个月内任意一个月缴纳职工社会保障资金的缴款凭证或缴款证明)（供应商依法享受缓缴、免缴的提供证明材料）</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i/>
          <w:color w:val="000000"/>
          <w:sz w:val="24"/>
          <w:u w:val="single"/>
        </w:rPr>
        <w:t xml:space="preserve">1.3 供应商近三个月内任意一份依法纳税的缴款凭证</w:t>
      </w:r>
      <w:r>
        <w:rPr>
          <w:rFonts w:ascii="FangSong" w:hAnsi="FangSong" w:eastAsia="FangSong" w:cs="FangSong"/>
          <w:b/>
          <w:i/>
          <w:color w:val="000000"/>
          <w:sz w:val="24"/>
          <w:u w:val="single"/>
        </w:rPr>
        <w:t xml:space="preserve">（供应商依法享受缓缴、免缴的提供证明材料）</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i/>
          <w:color w:val="000000"/>
          <w:sz w:val="24"/>
          <w:u w:val="single"/>
        </w:rPr>
        <w:t xml:space="preserve">1.4 上一年度的财务报告情况</w:t>
      </w:r>
      <w:r>
        <w:rPr>
          <w:rFonts w:ascii="FangSong" w:hAnsi="FangSong" w:eastAsia="FangSong" w:cs="FangSong"/>
          <w:b/>
          <w:i/>
          <w:color w:val="000000"/>
          <w:sz w:val="24"/>
          <w:u w:val="single"/>
        </w:rPr>
        <w:t xml:space="preserve">（成立不满一年不需提供）</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i/>
          <w:color w:val="000000"/>
          <w:sz w:val="24"/>
          <w:u w:val="single"/>
        </w:rPr>
        <w:t xml:space="preserve">1.5 具备履行合同所必需的设备和专业技术能力的证明材料</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i/>
          <w:color w:val="000000"/>
          <w:sz w:val="24"/>
          <w:u w:val="single"/>
        </w:rPr>
        <w:t xml:space="preserve">1.6 参加本次政府采购活动前3年内在经营活动中没有重大违法记录的书面声明</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i/>
          <w:color w:val="000000"/>
          <w:sz w:val="24"/>
          <w:u w:val="single"/>
        </w:rPr>
        <w:t xml:space="preserve">1.7未被“信用中国”网站（www.creditchina.gov.cn）、“中国政府采购网"(www.ccgp.gov.cn)列入失信被执行人、重大税收违法案件当事人名单、政府采购严重违法失信行为记录名单</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i/>
          <w:color w:val="000000"/>
          <w:sz w:val="24"/>
          <w:u w:val="single"/>
        </w:rPr>
        <w:t xml:space="preserve">1.8供应商信用承诺函</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（二）落实政府采购政策需满足的资格要求：</w:t>
      </w:r>
      <w:r>
        <w:rPr>
          <w:rFonts w:ascii="FangSong" w:hAnsi="FangSong" w:eastAsia="FangSong" w:cs="FangSong"/>
          <w:color w:val="000000"/>
          <w:sz w:val="24"/>
          <w:u w:val="single"/>
        </w:rPr>
        <w:t xml:space="preserve">无</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（三）本项目的特定资格要求：</w:t>
      </w:r>
      <w:r>
        <w:rPr>
          <w:rFonts w:ascii="FangSong" w:hAnsi="FangSong" w:eastAsia="FangSong" w:cs="FangSong"/>
          <w:color w:val="000000"/>
          <w:sz w:val="24"/>
          <w:u w:val="single"/>
        </w:rPr>
        <w:t xml:space="preserve">无</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三、获取招标文件</w:t>
      </w:r>
      <w:r/>
    </w:p>
    <w:p>
      <w:pPr>
        <w:ind w:left="0" w:right="0" w:firstLine="397"/>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u w:val="none"/>
        </w:rPr>
        <w:t xml:space="preserve">1.时间：自招标公告发布之日起5个工作日。5个工作日后仍可下载采购文件，但不作为供应商权益受到损害的证明材料和依据。</w:t>
      </w:r>
      <w:r/>
    </w:p>
    <w:p>
      <w:pPr>
        <w:ind w:left="0" w:right="0" w:firstLine="397"/>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2.方式：</w:t>
      </w:r>
      <w:r>
        <w:rPr>
          <w:rFonts w:ascii="FangSong" w:hAnsi="FangSong" w:eastAsia="FangSong" w:cs="FangSong"/>
          <w:b/>
          <w:color w:val="000000"/>
          <w:sz w:val="24"/>
        </w:rPr>
        <w:t xml:space="preserve">本项目采用网上注册登记方式。</w:t>
      </w:r>
      <w:r/>
    </w:p>
    <w:p>
      <w:pPr>
        <w:ind w:left="0" w:right="0" w:firstLine="397"/>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3.潜在供应商访问政府采购管理交易系统（苏采云）的网络地址和方法：</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（2）“CA数字证书”的获取：供应商需办理CA锁，“苏采云”系统目前仅支持“苏采云”系统下的政务CA，省内各地区办理的“苏采云”系统下的政务CA全省通用。</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（3）“CA数字证书”的办理材料以及供应商操作手册详见：http://zfcg.yangzhou.gov.cn/zfcg/xzzx/202309/4d7de1f7865f4a2894fc22bc452f94d8.shtml。</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（4）潜在供应商访问“苏采云”系统的网络地址和方法：“苏采云”系统的网址：http://jszfcg.jsczt.cn/。</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（5）采购文件（后缀名为“.kedt”）、供应商操作手册及政府采购客户端工具也可通过“苏采云”系统--已报名项目--报名详情页面内相应链接进行下载。</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（6）招标代理机构（采购代理机构）将数据电文形式的采购文件加载至“苏采云”系统，供潜在供应商下载或者查阅。     </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（7）苏采云系统使用谷歌浏览器参与不见面开标。</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u w:val="none"/>
        </w:rPr>
        <w:t xml:space="preserve">四、投标文件提交</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截止时间：</w:t>
      </w:r>
      <w:r>
        <w:rPr>
          <w:rFonts w:ascii="FangSong" w:hAnsi="FangSong" w:eastAsia="FangSong" w:cs="FangSong"/>
          <w:color w:val="000000"/>
          <w:sz w:val="24"/>
          <w:u w:val="single"/>
        </w:rPr>
        <w:t xml:space="preserve">2024年07月30日15点00分</w:t>
      </w:r>
      <w:r>
        <w:rPr>
          <w:rFonts w:ascii="FangSong" w:hAnsi="FangSong" w:eastAsia="FangSong" w:cs="FangSong"/>
          <w:color w:val="000000"/>
          <w:sz w:val="24"/>
        </w:rPr>
        <w:t xml:space="preserve">（北京时间）</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投标地点：“苏采云”系统（网址： http://jszfcg.jsczt.cn/）</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五、开启</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时间</w:t>
      </w:r>
      <w:r>
        <w:rPr>
          <w:rFonts w:ascii="FangSong" w:hAnsi="FangSong" w:eastAsia="FangSong" w:cs="FangSong"/>
          <w:color w:val="000000"/>
          <w:sz w:val="24"/>
          <w:u w:val="none"/>
        </w:rPr>
        <w:t xml:space="preserve">：</w:t>
      </w:r>
      <w:r>
        <w:rPr>
          <w:rFonts w:ascii="FangSong" w:hAnsi="FangSong" w:eastAsia="FangSong" w:cs="FangSong"/>
          <w:color w:val="000000"/>
          <w:sz w:val="24"/>
          <w:u w:val="single"/>
        </w:rPr>
        <w:t xml:space="preserve">2024年07月30日15点00分</w:t>
      </w:r>
      <w:r>
        <w:rPr>
          <w:rFonts w:ascii="FangSong" w:hAnsi="FangSong" w:eastAsia="FangSong" w:cs="FangSong"/>
          <w:color w:val="000000"/>
          <w:sz w:val="24"/>
        </w:rPr>
        <w:t xml:space="preserve">（北京时间）</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开标地点：“苏采云”系统（网址： http://jszfcg.jsczt.cn/）“开标大厅”</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六、公告期限</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u w:val="none"/>
        </w:rPr>
        <w:t xml:space="preserve">招标公告及招标文件公告期限为自本公告发布之日起5个工作日。</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七、其他补充事宜：无</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八、本次招标联系方式</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1.采购人信息</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名称：扬州市环境卫生管理处</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地址：江苏省扬州市广陵区观潮路709 号</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联系人：吴晨星</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u w:val="none"/>
        </w:rPr>
        <w:t xml:space="preserve">2.</w:t>
      </w:r>
      <w:r>
        <w:rPr>
          <w:rFonts w:ascii="FangSong" w:hAnsi="FangSong" w:eastAsia="FangSong" w:cs="FangSong"/>
          <w:color w:val="000000"/>
          <w:sz w:val="24"/>
        </w:rPr>
        <w:t xml:space="preserve">代理机构信息</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名称：江苏省设备成套股份有限公司</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地　址：扬州市文昌西路525号报业传媒集团8楼</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联系人：谷非吾</w:t>
      </w:r>
      <w:r/>
    </w:p>
    <w:p>
      <w:pPr>
        <w:numPr>
          <w:ilvl w:val="0"/>
          <w:numId w:val="10"/>
        </w:numPr>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项目联系方式</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项目联系人及电话：谷非吾、18550700008</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九、为提升政府采购供应商的融资可得性，解决中小企业融资难问题，中国人民银行、市财政局、市公共资源交易中心推出了政府采购线上应收账款融资模式。各供应商如果有融资需求，可以凭借政府采购中标（成交）通知书或政府采购合同，通过中国人民银行征信中心“中征应收账款融资服务平台（https://www.crcrfsp.com）”向参与政府采购融资业务的金融机构申请线上融资，相关事宜可向市人民银行咨询，联系电话：0514-87936653。成交供应商可凭政府采购合同办理融资贷款，详见江苏政府采购网“政采贷”专栏。</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十、其他</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1、本次采购采用“政府采购管理交易系统（苏采云）”，招标、投标、评标和成交结果发布全程电子化，开标方式为不见面开标。供应商应当按照《政府采购管理交易系统（苏采云）供应商操作手册》参加投标活动。如供应商未按要求操作，由此所产生的风险由供应商自行承担。</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2、供应商如确定参加投标，可自行下载采购文件及有关资料，按照《操作手册》进行注册，领取CA和办理电子签章，并按《操作手册》要求制作、上传电子投标文件，技术支持联系方式：13813140731。</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3、严格执行政府采购关于支持节能产品、环境标志产品的相关政策规定。如本次采购的产品属于财政部、国家发展改革委、生态环境部、市场监管总局等部门发布的节能产品、环境标志产品品目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  </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4、供应商对于投标产品的包装应按照“财办库[2020]123号《关于印发《商品包装政府采购需求标准（试行）》、《快递包装政府采购需求标准（试行）的通知》”执行。</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5、潜在供应商对采购文件项目需求部分的询问、质疑请向采购人提出，由采购人负责答复。</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6、本次采购不收取保证金。</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7、有关本次采购的事项若存在变动或修改，敬请及时关注“扬州市政府采购网”、“江苏省政府采购网”、“中国政府采购网”发布的信息。</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i/>
          <w:color w:val="000000"/>
          <w:sz w:val="24"/>
          <w:u w:val="single"/>
        </w:rPr>
        <w:t xml:space="preserve">8、本项目采购文件中所有斜体下划线部分为实质性条款，如不满足，则为无效响应。</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p>
      <w:pPr>
        <w:pStyle w:val="680"/>
        <w:ind w:left="0" w:right="0" w:firstLine="0"/>
        <w:jc w:val="center"/>
        <w:spacing w:before="340" w:after="330" w:line="6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44"/>
          <w:u w:val="none"/>
        </w:rPr>
        <w:t xml:space="preserve">第二章投标人须知</w:t>
      </w:r>
      <w:r/>
    </w:p>
    <w:p>
      <w:pPr>
        <w:ind w:left="0" w:right="0" w:firstLine="422"/>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rPr>
        <w:t xml:space="preserve">1、招标方式</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1.1 本次招标采取公开招标方式，本招标文件仅适用于JSZC-321000-JCEC-G2024-0247号项目。</w:t>
      </w:r>
      <w:r/>
    </w:p>
    <w:p>
      <w:pPr>
        <w:ind w:left="0" w:right="0" w:firstLine="422"/>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rPr>
        <w:t xml:space="preserve">2、投标人</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2.1 本招标文件中“供应商”，即“投标人”，是指参加投标竞争，并符合招标文件规定资格条件的法人、其他组织或者自然人。</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2.2合格的投标人</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2.2.1 满足招标公告中供应商的资格条件要求的规定。</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2.2.2 满足本文件实质性条款的规定。</w:t>
      </w:r>
      <w:r/>
    </w:p>
    <w:p>
      <w:pPr>
        <w:ind w:left="0" w:right="0" w:firstLine="422"/>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rPr>
        <w:t xml:space="preserve">3、适用法律</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3.1 本次招标及由此产生的合同受中华人民共和国有关的法律法规制约和保护。</w:t>
      </w:r>
      <w:r/>
    </w:p>
    <w:p>
      <w:pPr>
        <w:ind w:left="0" w:right="0" w:firstLine="422"/>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rPr>
        <w:t xml:space="preserve">4、投标费用</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4.1 投标人应自行承担所有与参加投标有关的费用，无论投标过程中的做法和结果如 何，代理机构在任何情况下均无义务和责任承担这些费用。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4.2本次采购由成交单位在领取成交通知书前按照国家计委印发的《招标代理服务收费管理暂行办法》(计价格【2002】1980号文服务类的标准一次性支付给招标代理机构代理服务费：</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（1）代理服务费以人民币支付； </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（2）代理服务费一次性以电汇、转账等非现金形式支付； </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（3）招标代理服务费不在投标报价中单列，包含在投标总价中，由中标单位支付给代理机构。 </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代理服务费开户银行：中国工商银行南京城北支行</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开户名称：江苏省设备成套股份有限公司</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开户帐号：4301010919100367140</w:t>
      </w:r>
      <w:r/>
    </w:p>
    <w:p>
      <w:pPr>
        <w:ind w:left="0" w:right="0" w:firstLine="422"/>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rPr>
        <w:t xml:space="preserve">5、招标文件的约束力</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5.1 投标人一旦参加本项目采购活动，即被认为接受了本招标文件的规定和约束。</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rPr>
        <w:t xml:space="preserve">6、招标文件构成</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6.1 招标文件有以下部分组成：</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（1）招标公告</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（2）投标人须知</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（3）合同条款及格式</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（4）项目需求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（5）评标方法与评标标准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（6）投标文件格式</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请仔细检查招标文件是否齐全，如有缺漏请立即与代理机构联系解决。</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6.2 招标的最小单位是包。招标服务数量及技术要求中未分包的，供应商对要求提供的服务不得部分投标；招标服务数量及技术要求中已经分包的，应当以包为单位投标。</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6.3 招标文件如果要求供应商提交备选投标方案的，供应商可以提交备选方案；否则，备选方案将被拒绝。</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6.4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rPr>
        <w:t xml:space="preserve">7、招标文件的澄清</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7.1 任何要求对招标文件进行澄清的投标人，应在投标截止日期的十日前按招标公告中的通讯地址，以书面形式通知代理机构。</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rPr>
        <w:t xml:space="preserve">8、招标文件的修改</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8.1 在投标截止时间前，代理机构可以对招标文件进行修改。</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8.2代理机构在招标文件要求提交投标文件截止时间前，有权按照法定要求推迟投标截止时间和开标时间。</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8.3招标文件的修改将在“扬州市政府采购网”、“江苏省政府采购网”、“中国政府采购网”公布，补充文件将作为招标文件的组成部分，并对投标人具有约束力。</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rPr>
        <w:t xml:space="preserve">9、投标文件的语言、度量衡单位、货币</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9.1投标人提交的投标文件以及投标人与代理机构就有关投标的所有来往通知、函件和文件均应使用简体中文。</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9.2 除技术性能另有规定外，投标文件所使用的度量衡单位，均须采用国家法定计量单位。</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9.3投标人应使用人民币报价。</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rPr>
        <w:t xml:space="preserve">10、投标文件构成</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10.1投标文件由以下部分组成</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（1）资格审查响应对照表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（2）符合性审查响应对照表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（3）非实质性响应对照表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（4）开标一览表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（5）分项报价表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（6）技术参数响应及偏离表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（7）商务条款响应及偏离表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（8）其他 （投标人认为有必要提供的声明和文件，如有自拟并自行添加）</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10.2投标人应当根据招标文件要求编制投标文件，投标文件应对招标文件提出的要求和条件作出响应，并在相应的投标文件中逐条标明满足与否。</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rPr>
        <w:t xml:space="preserve">11、证明投标人资格及符合招标文件规定的文件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11.1投标人应按要求提交资格证明文件及符合招标文件规定的文件。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11.2投标人应提交证明其有资格参加投标和中标后有能力独立履行合同的文件。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11.3投标人除必须具有履行合同所需提供的产品或服务的能力外，还必须具备相应的财务、技术方面的能力。</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11.4投标人应提交根据合同要求提供的证明服务质量合格以及符合招标文件规定的证明文件。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11.5证明投标人所提供服务与招标文件的要求相一致的文件可以是手册、图纸、文字资料和数据。</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rPr>
        <w:t xml:space="preserve">12、分项报价表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12.1 投标人应按照招标文件规定格式填报分项报价表，每项服务只允许有一个报价，任何有选择的报价将不予接受。</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12.2 标的物</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采购人需求的服务供应、安装，调试及有关技术服务等。</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12.3其它费用处理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招标文件未列明，而投标人认为必需的费用也需列入报价。</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12.4投标货币</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投标文件中的服务单价和总价无特殊规定的采用人民币报价，以元为单位标注。招标文件中另有规定的按规定执行。</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rPr>
        <w:t xml:space="preserve">13、技术参数响应及偏离表、商务条款响应及偏离表及投标服务说明</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13.1 对招标文件中的技术与商务条款要求逐项作出响应或偏离，并说明原因；</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13.2 提供参加本项目类似案例简介；</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13.3 详细阐述所投服务的主要组成部分、功能设计、实现思路及关键技术；</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13.4 投标人认为需要的其他技术文件或说明。</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rPr>
        <w:t xml:space="preserve">14、服务承诺及售后服务机构、人员的情况介绍</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14.1投标人的服务承诺应按不低于招标文件中商务要求的标准。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14.2提供投标人有关售后服务的管理制度、售后服务机构的分布情况、售后服务人员的数量、素质、技术水平及售后服务的反应能力。</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rPr>
        <w:t xml:space="preserve">15、投标函和开标一览表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15.1 投标人应按照招标文件中提供的格式完整、正确填写投标函、开标一览表。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15.2 开标一览表中的价格应与投标文件中分项报价表中的价格一致，如不一致，不作为无效投标处理，但评标时按开标一览表中价格为准。</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rPr>
        <w:t xml:space="preserve">16、投标有效期</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16.1 投标有效期为开标之日起六十（60）天。投标有效期比规定短的将被视为非响应性投标而予以拒绝。</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16.2 在特殊情况下，代理机构于原投标有效期满之前，可向投标人提出延长投标有效期的要求。这种要求与答复均应采用书面形式。投标人可以拒绝代理机构的这一要求而放弃投标；同意延长投标有效期的投标人既不能要求也不允许修改其投标文件。本招标文件受投标有效期约束的所有权利与义务均延长至新的有效期。</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u w:val="none"/>
        </w:rPr>
        <w:t xml:space="preserve">17、投标文件</w:t>
      </w:r>
      <w:r>
        <w:rPr>
          <w:rFonts w:ascii="FangSong" w:hAnsi="FangSong" w:eastAsia="FangSong" w:cs="FangSong"/>
          <w:b/>
          <w:color w:val="000000"/>
          <w:sz w:val="21"/>
        </w:rPr>
        <w:t xml:space="preserve">的递交</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17.1 电子投标文件的递交投标人应当按照《操作手册》规定，在投标截止时间前制作并上传电子投标文件。</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rPr>
        <w:t xml:space="preserve">17.2政府采购管理交易系统（苏采云）相关要求是本招标文件的组成部分。</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rPr>
        <w:t xml:space="preserve">17.3投标人应对 CA 证书妥善保管，如被他人盗用投标，因此带来的结果均由投标人自行承担。</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rPr>
        <w:t xml:space="preserve">17.4投标人应当对招标文件提出的要求和条件作出实质性响应，并在电子投标系统逐条应答。</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rPr>
        <w:t xml:space="preserve">17.5投标人应对要求提供的资格证明文件（如资质证书、资格证书）、技术资料（如白皮书、彩页、手册、检测报告等）扫描上传至投标系统。</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rPr>
        <w:t xml:space="preserve">17.6投标人应当在招标文件要求提交投标文件的截止时间前，将投标文件提交至“苏采云”系统，逾期提交的投标文件，“苏采云”系统将自动拒收。</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rPr>
        <w:t xml:space="preserve">17.7各投标人应在规定时间内凭CA证书进行网上解密。</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rPr>
        <w:t xml:space="preserve">18、投标截止日期</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i/>
          <w:color w:val="000000"/>
          <w:sz w:val="21"/>
          <w:u w:val="single"/>
        </w:rPr>
        <w:t xml:space="preserve">18.1 投标人上传电子投标文件的时间不得迟于招标公告中规定的投标截止时间。</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投标人应充分考虑到网络环境、网络带宽等风险因素，如因投标人自身原因造成的电子投标文件上传不成功由投标人自行承担全部责任。</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18.2 代理机构可以按照规定，通过修改招标文件延长投标截止日期，在此情况下，投标人的所有权利和义务以及投标人受制的截止日期均应以延长后新的截止日期为准。</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u w:val="none"/>
        </w:rPr>
        <w:t xml:space="preserve">19、投标文件</w:t>
      </w:r>
      <w:r>
        <w:rPr>
          <w:rFonts w:ascii="FangSong" w:hAnsi="FangSong" w:eastAsia="FangSong" w:cs="FangSong"/>
          <w:b/>
          <w:color w:val="000000"/>
          <w:sz w:val="21"/>
        </w:rPr>
        <w:t xml:space="preserve">的拒收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19.1代理机构拒绝接收在其规定的投标截止时间后上传的任何投标文件。</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u w:val="none"/>
        </w:rPr>
        <w:t xml:space="preserve">20、投标文件的撤回和修改</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20.1 投标文件的撤回</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20.1.1 电子投标文件的撤回</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投标人可在投标截止时间前，撤回其电子投标文件，具体操作方法见《操作手册》。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20.1.2 投标人撤回电子投标文件，则认为其不再参与本项目投标活动。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20.2 投标文件的修改</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投标人可在投标截止时间前，对其电子投标文件进行修改，具体操作方法见《操作手册》。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20.3 在投标截止时间之后，投标人不得对其电子投标文件作任何修改。</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20.4 在投标截止时间至招标文件中规定的投标有效期满之间的这段时间内，投标人不得撤回其投标。</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rPr>
        <w:t xml:space="preserve">21、开标</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21.1 代理机构将在招标公告中规定的时间和地点组织公开开标。投标人应当按照《操作手册》规定，参加开标活动。投标人未参加开标的，视同认可开标结果。</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21.2投标人不足3家的，不得开标。</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rPr>
          <w:rFonts w:ascii="FangSong" w:hAnsi="FangSong" w:eastAsia="FangSong" w:cs="FangSong"/>
          <w:b/>
          <w:color w:val="000000"/>
          <w:sz w:val="21"/>
        </w:rPr>
        <w:t xml:space="preserve">21.3开标仪式由代理机构主持。“政府采购管理交易系统（苏采云）”将自动对项目进行开标，并宣读各投标人的《开标一览表》。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21.4投标人在开标过程中涉及到的投标文件解密、开标结果确认等工作，应按照《操作手册》规定执行。</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rPr>
        <w:t xml:space="preserve">22、评标委员会</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22.1 开标后，代理机构将立即组织评标委员会（以下简称评委会）进行评标。</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22.2 评委会由采购人代表和有关技术、经济等方面的专家组成，且人员构成符合政府采购有关规定。</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22.3评委会独立工作，负责评审所有投标文件并确定中标候选人。</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rPr>
        <w:t xml:space="preserve">23、评标过程的保密与公正</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23.1公开开标后，直至签订合同之日止，凡是与审查、澄清、评价和比较投标的有关资料以及授标建议等，采购人、评委、代理机构工作人员均不得向投标人或与评标无关的其他人员透露。</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23.2在评标过程中，投标人不得以任何行为影响评标过程，否则其投标文件将被作为无效投标文件。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23.3 在评标期间，代理机构将设专门工作人员与投标人联系。</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23.4 代理机构和评委会不向未中标的投标人解释未中标原因，也不公布评标过程中的相关细节。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23.5 采用综合评分法的项目，未中标的投标人可于中标结果公告期限届满之日起通过“政府采购管理交易系统（苏采云）”查看自己的评审得分及排序情况。</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rPr>
        <w:t xml:space="preserve">24、投标的澄清</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24.1评标期间，为有助于对投标文件的审查、评价和比较，评委会有权以电子函件形式要求投标人对其投标文件进行澄清，但并非对每个投标人都作澄清要求。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24.2接到评委会澄清要求的投标人应派人按评委会规定的时间和格式在“政府采购管理交易系统（苏采云）”中做出澄清，澄清的内容作为投标文件的补充部分，但投标的价格和实质性的内容不得做任何更改。具体操作方式见《操作手册》。</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24.3 接到评委会澄清要求的投标人如未按规定做出澄清，其风险由投标人自行承担。</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rPr>
        <w:t xml:space="preserve">25、对投标文件的初审</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25.1投标文件初审分为资格审查和符合性审查。</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25.1.1资格审查：依据法律法规和招标文件的规定，由采购人对投标文件中的资格证明文件进行审查。并将审查结论以书面形式向评委会反馈。</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采购人在进行资格性审查的同时，将在“信用中国”网站（www.creditchina.gov.cn）、“中国政府采购网"(www.ccgp.gov.cn)对投标人是否被列入失信被执行人、重大税收违法案件当事人名单、政府采购严重失信行为记录名单情况进行查询，以确定投标人是否具备投标资格。查询结果将以网页打印的形式留存并归档。</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若接受联合体投标的项目，两个以上的自然人、法人或者其他组织组成一个联合体，以一个供应商的身份共同参加政府采购活动的,联合体成员存在不良信用记录的，视同联合体存在不良信用记录。</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25.1.2符合性检查：依据招标文件的规定，由评委会从投标文件的有效性、完整性和对招标文件的响应程度进行审查，以确定是否对招标文件的实质性要求作出响应。</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25.1.3 未通过资格审查或符合性审查的投标人，代理机构将在“政府采购管理交易系统（苏采云）”中告知未通过资格审查或符合性审查的原因，评审结束后，代理机构将不再告知未通过资格审查或符合性审查的原因。</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所谓重大偏离或保留是指与招标文件规定的实质性要求存在负偏离，或者在实质上与招标文件不一致，而且限制了合同中买方（采购人）和见证方（代理机构）的权利或投标人的义务，纠正这些偏离或保留将会对其他实质性响应要求的投标人的竞争地位产生不公正的影响。是否属于重大偏离由评委会按照少数服从多数的原则作出结论。评委决定投标文件的响应性只根据投标文件本身的内容，而不寻求外部的证据。</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25.3如果投标文件实质上没有响应招标文件的要求，评委会将予以拒绝，投标人不得通过修改或撤销不合要求的偏离或保留而使其投标成为实质性响应的投标。</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25.4评委会将对确定为实质性响应的投标进行进一步审核，看其是否有计算上或累加上的算术错误，修正错误的原则如下：</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（1）投标文件中开标一览表内容与投标文件中相应内容不一致的，以开标一览表为准。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（2）大写金额与小写金额不一致的，以大写金额为准。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（3）单价金额小数点或者百分比有明显错位的，以开标一览表的总价为准，并修改单价。</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（4）总价金额与按单价汇总金额不一致的，以单价金额计算结果为准。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同时出现两种以上错误的，按照前款规定的顺序修正。</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25.5评委会将按上述修正错误的方法调整投标文件中的投标报价，并通过“政府采购管理交易系统（苏采云）”告知投标人，调整后的价格应对投标人具有约束力。如果投标人不接受修正后的价格，则其投标将被拒绝。</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25.6评委会将允许修正投标文件中不构成重大偏离的、微小的、非正规的、不一致的或不规则的地方，但这些修改不能影响任何投标人相应的名次排列。</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25.7 投标人在开、评标全过程中应保持通讯畅通，并安排专人与代理机构及评委会联系。</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rPr>
        <w:t xml:space="preserve">26、无效投标、废标及投标人不足三家的处理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26.1无效投标条款</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26.1.1 投标人未成功解密电子投标文件的。</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26.1.2 投标人未按照招标文件要求上传电子投标文件的。</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26.1.3投标人在报价时采用选择性报价的。</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26.1.4投标人不具备招标文件中规定资格要求的。</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26.1.5投标人的报价超过了采购预算或最高限价的。</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26.1.6未通过符合性审查的。</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26.1.7不符合招标文件中规定的其他实质性要求和条件的（</w:t>
      </w:r>
      <w:r>
        <w:rPr>
          <w:rFonts w:ascii="FangSong" w:hAnsi="FangSong" w:eastAsia="FangSong" w:cs="FangSong"/>
          <w:i/>
          <w:color w:val="000000"/>
          <w:sz w:val="21"/>
          <w:u w:val="single"/>
        </w:rPr>
        <w:t xml:space="preserve">本招标文件中斜体且有下划线部分为实质性要求和条件</w:t>
      </w:r>
      <w:r>
        <w:rPr>
          <w:rFonts w:ascii="FangSong" w:hAnsi="FangSong" w:eastAsia="FangSong" w:cs="FangSong"/>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26.1.8 投标人被 “信用中国”网站（www.creditchina.gov.cn）、“中国政府采购网"(www.ccgp.gov.cn)列入失信被执行人或重大税收违法案件当事人名单或政府采购严重失信行为记录名单。若接受联合体的项目，两个以上的自然人、法人或者其他组织组成一个联合体，以一个供应商的身份共同参加政府采购活动的，联合体成员存在不良信用记录的，视同联合体存在不良应用记录。</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26.1.9  投标文件含有采购人不能接受的附加条件的。</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26.1.10 评委会认为投标人的报价明显低于其他通过符合性审查投标人的报价，有可能影响产品质量或者不能诚信履约的，将通过“政府采购管理交易系统（苏采云）”要求其在合理的时间内提供说明，必要时提交相关证明材料；投标人不能证明其报价合理性的，评委会应当将其作为无效投标处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26.1.11 本项目采购产品被财政部、国家发改委、生态环境部等列入“节能产品品目清单”、“环境标志产品品目清单”强制采购范围，而投标人所投标产品不在强制采购范围内的。</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26.1.12 投标文件未按照招标文件要求加盖电子签章。</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26.1.13其他法律、法规及本招标文件规定的属无效投标的情形。</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26.2废标条款：</w:t>
      </w:r>
      <w:r/>
    </w:p>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26.2.1符合专业条件的供应商或者对招标文件作实质响应的供应商不足三家的。26.2.2出现影响采购公正的违法、违规行为的。</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26.2.3因重大变故，采购任务取消的。</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26.2.4评委会认定招标文件存在歧义、重大缺陷导致评审工作无法进行。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26.3 投标截止时间结束后参加投标的供应商不足三家的处理：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26.3.1如出现投标截止时间结束后参加投标的供应商或者在评标期间对招标文件做出实质性响应的供应商不足三家情况，按政府采购相关规定执行。</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rPr>
        <w:t xml:space="preserve">27、确定中标单位</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27.1评委会根据本招标文件规定评标方法与评标标准向采购人推荐出中标候选人。</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27.2 采购人应根据评委会推荐的中标候选人确定中标人。</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27.3代理机构将在“扬州市政府采购网”、“江苏省政府采购网”、“中国政府采购网”发布中标公告，公告期限为1个工作日。</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27.4若有充分证据证明，中标人出现下列情况之一的，一经查实，将被取消中标资格：</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27.4.1提供虚假材料谋取中标的；</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27.4.2向采购人、代理机构行贿或者提供其他不正当利益的；</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27.4.3恶意竞争，投标总报价明显低于其自身合理成本且又无法提供证明的；</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27.4.4属于本文件规定的无效条件，但在评标过程中又未被评委会发现的；</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27.4.5与采购人或者其他投标人恶意串通的；</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27.4.6采取不正当手段诋毁、排挤其他供应商的；</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27.4.7不符合法律、法规的规定的。</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27.5. 有下列情形之一的，视为投标人串通投标，投标无效：</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27.5.1不同投标人的投标文件由同一单位或者个人编制。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27.5.2不同投标人委托同一单位或者个人办理投标事宜。</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27.5.3 不同投标人的投标文件载明的项目管理成员或者联系人员为同一人。</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27.5.4不同投标人的投标文件异常一致或者投标报价呈规律性差异。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27.5.5不同投标人的投标文件相互混装。</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rPr>
        <w:t xml:space="preserve">28、质疑处理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28.1提出质疑的供应商应当是参与所质疑项目采购活动的供应商。潜在供应商依法获取其可质疑的采购文件的，可以对采购文件提出质疑。</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对项目需求部分的质疑，潜在供应商应向采购人提出，由采购人负责答复。</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28.2投标人认为采购文件、采购过程和中标或成交结果使自己的权益受到损害的，可以在知道或应知其权益受到损害之日起7个工作日内，以书面形式向采购人或代理机构提出质疑。</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28.2.1对采购文件提出质疑的，应当在获取采购文件之日或者采购文件公告期限届满之日起7个工作日内提出。</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28.2.2对采购过程提出质疑的，为各采购程序环节结束之日起7个工作日内提出。</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28.2.3对中标结果提出质疑的，为中标结果公告期限届满之日起7个工作日内提出。</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28.3供应商应在法定质疑期内一次性提出针对同一采购程序环节的质疑。供应商如在法定期限内对同一采购程序环节提出多次质疑的，代理机构、采购人将只对供应商第一次质疑作出答复。</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28.4质疑函必须按照《质疑函范本》及《授权委托书》要求的格式和内容进行填写，格式见网址：http://zfcg.yangzhou.gov.cn。供应商如组成联合体参加投标，则《质疑函范本》及《授权委托书》中要求签字、盖章、加盖公章之处，联合体各方均须按要求签字、盖章、加盖公章。</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28.5 代理机构及采购人只接收以纸质原件形式送达的质疑。</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采购人质疑接收人及联系方式见招标文件第一章。</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28.6代理机构收到质疑申请后，将对质疑的形式和内容进行审查，如质疑内容、格式不符合规定，代理机构将告知质疑人进行补正。</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28.7质疑人应当在法定质疑期限内进行补正并重新提交质疑函。</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28.8 以下情形的质疑不予受理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28.8.1 内容不符合《政府采购质疑和投诉办法》第十二条规定的质疑。</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28.8.2 超出政府采购法定期限的质疑。</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28.8.3 以传真、电子邮件等方式递交的非原件形式的质疑。</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28.8.4 未参加投标活动的供应商或在投标活动中自身权益未受到损害的供应商所提出的质疑。</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28.8.5供应商组成联合体参加投标，联合体中任何一方或多方未按要求签字、盖章、加盖公章的质疑。</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28.9 供应商提出书面质疑必须有理、有据，不得捏造事实、提供虚假材料进行恶意质疑。否则，一经查实，代理机构有权依据政府采购的有关规定，报请政府采购监管部门对该供应商进行相应的行政处罚和记录该供应商的失信信息。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28.10代理机构应当在收到供应商的书面质疑后7个工作日内作出答复，并以书面形式通知质疑供应商和其他有关供应商，但答复的内容不得涉及商业秘密。</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rPr>
        <w:t xml:space="preserve">29、中标通知书</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29.l 中标结果确定后，代理机构将向中标人发出中标通知书。</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29.2 中标人可在“政府采购管理交易系统（苏采云）”中标通知书下载模块中自行下载中标通知书。</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29.3中标通知书将是合同的一个组成部分。对采购人和中标人均具有法律效力。中标通知书发出后，采购人改变中标结果的，或者中标人放弃中标项目的，应当依法承担法律责任。</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rPr>
        <w:t xml:space="preserve">30、 签订合同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30.l中标人应在中标通知书发出之日起三十日内，按照招标文件确定的事项与采购人签订政府采购合同。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30.2 招标文件、中标人的投标文件及招标过程中有关澄清、承诺文件均应作为合同附件。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30.3 合同在“政府采购管理交易系统（苏采云）”中签订，签订合同后，</w:t>
      </w:r>
      <w:r>
        <w:rPr>
          <w:rFonts w:ascii="FangSong" w:hAnsi="FangSong" w:eastAsia="FangSong" w:cs="FangSong"/>
          <w:i/>
          <w:color w:val="000000"/>
          <w:sz w:val="21"/>
          <w:u w:val="single"/>
        </w:rPr>
        <w:t xml:space="preserve">中标人不得将货物或服务及其他服务进行转包</w:t>
      </w:r>
      <w:r>
        <w:rPr>
          <w:rFonts w:ascii="FangSong" w:hAnsi="FangSong" w:eastAsia="FangSong" w:cs="FangSong"/>
          <w:color w:val="000000"/>
          <w:sz w:val="21"/>
        </w:rPr>
        <w:t xml:space="preserve">。未经采购人同意，中标人也不得采用分包的形式履行合同，否则采购人有权终止合同，中标人的履约保证金将不予退还。转包或分包造成采购人损失的，中标人应承担赔偿责任。</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30.4采购人不得向中标人提出任何不合理的要求作为签订合同的条件，不得与中标人私下订立背离合同实质性内容的协议。所签订的合同不得对招标文件确定事项和中标人投标文件作实质性修改。</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rPr>
        <w:t xml:space="preserve">31、其他</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31.1 依据《政府采购促进中小企业发展管理办法》享受扶持政策获得政府采购合同的，小微企业不得将合同分包给大中型企业，中型企业不得将合同分包给大型企业。</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p>
      <w:pPr>
        <w:pStyle w:val="680"/>
        <w:ind w:left="0" w:right="0" w:firstLine="0"/>
        <w:jc w:val="center"/>
        <w:spacing w:before="340" w:after="330" w:line="6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44"/>
        </w:rPr>
        <w:t xml:space="preserve">第三章 合同条款及格式</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u w:val="none"/>
        </w:rPr>
        <w:t xml:space="preserve">以下为成交后签定本项目合同的通用条款，成交供应商不得提出实质性的修改。关于专用条款将由采购人与成交供应商结合本项目具体情况协商后补充，但补充内容对招标文件和响应文件以及通用条款，不得作实质性修改。</w:t>
      </w:r>
      <w:r/>
    </w:p>
    <w:p>
      <w:pPr>
        <w:ind w:left="0" w:right="0" w:firstLine="0"/>
        <w:jc w:val="center"/>
        <w:spacing w:before="156" w:after="156"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政府采购合同</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项目名称：基于垃圾分类的扬州城市生态修复路径与对策研究项目</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项目编号：JSZC-321000-JCEC-G2024-0247号</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甲方（采购人/买方）：扬州市环境卫生管理处</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乙方（供应商/卖方）：</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见证方：江苏省设备成套股份有限公司</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根据《中华人民共和国政府采购法》、《中华人民共和国民法典》等法律法规的规定，甲乙双方按照</w:t>
      </w:r>
      <w:r>
        <w:rPr>
          <w:rFonts w:ascii="FangSong" w:hAnsi="FangSong" w:eastAsia="FangSong" w:cs="FangSong"/>
          <w:color w:val="000000"/>
          <w:sz w:val="24"/>
          <w:u w:val="single"/>
        </w:rPr>
        <w:t xml:space="preserve">江苏省设备成套股份有限公司</w:t>
      </w:r>
      <w:r>
        <w:rPr>
          <w:rFonts w:ascii="FangSong" w:hAnsi="FangSong" w:eastAsia="FangSong" w:cs="FangSong"/>
          <w:color w:val="000000"/>
          <w:sz w:val="24"/>
        </w:rPr>
        <w:t xml:space="preserve">关于本项目公开招标的结果签订本合同。</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1、合同标的</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乙方根据甲方需求，提供下列服务：</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（一）服务项目</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基于垃圾分类的扬州城市生态修复路径与对策研究项目</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（二）工作目标</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通过实施基于垃圾分类的扬州城市生态修复路径与对策研究项目，确保扬州市顺利通过2025年底联合国环境规划署对“全球城市生态修复模范市”建设工作复审，积极争取联合国环境规划署与世界银行“领航城市”计划支持，助力优化扬州市营商环境，促进扬州市产业升级、经济发展，实现生态效益、经济效益和社会效益多赢。</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（三）服务内容</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1、基于扬州城乡生活垃圾分类管理现状，在联合国环境署城市“基于自然解决方案”的总体技术要求下，开展城市生态修复路径与对策研究，提出有机废弃物循环利用路径。</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2、开展有机废弃物循环利用技术示范验证，提炼扬州市生态修复的技术模式和管理创新案例。</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编制《扬州城市有机废弃物利用与生态修复路径研究报告》、《基于自然解决方案的城市生态修复技术指南》等文件，同联合国环境署世界保护监测中心等机构合作，通过联合国环境署平台发布推广，协助扬州市在COP16等重要国际会议中展示和交流项目成果。</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2、合同总金额</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2.1 本合同金额为（大写）：______________元人民币（¥_____元）。</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2.2 本合同总金额包括乙方提供的服务及其他有关的为完成本项目发生的所有费用，招标文件中另有规定的除外。</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2.3 在招标文件未列明，而乙方认为履行本合同必需的费用也包含在合同总金额中。</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2.4 本合同总金额还包含乙方提供的伴随服务/售后服务费用。</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2.5 本合同签订后：甲方需追加与合同标的相同的服务，在不改变合同其他条款的前提下，可以与乙方协商签订补充合同，但所有补充合同的增加的金额不超过原合同金额的10%；甲方若由于各种客观原因，必须对采购项目所牵涉的服务进行适当的减少时，在与乙方协商一致后，可以按照招标采购时的价格水平做相应的调减，并据此签订补充合同；除上述情况外，本合同执行期间合同总金额不变。</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3、组成本合同的有关文件</w:t>
      </w:r>
      <w:r/>
    </w:p>
    <w:p>
      <w:pPr>
        <w:ind w:left="315" w:right="0" w:firstLine="120"/>
        <w:jc w:val="both"/>
        <w:spacing w:before="120" w:after="12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3.1乙方应按招标文件规定的时间向甲方提供服务的有关技术资料。</w:t>
      </w:r>
      <w:r/>
    </w:p>
    <w:p>
      <w:pPr>
        <w:ind w:left="0" w:right="0" w:firstLine="480"/>
        <w:jc w:val="both"/>
        <w:spacing w:before="120" w:after="12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3.2 没有甲方事先书面同意，乙方不得将由甲方提供的有关合同或任何合同条文或资料提供给任何其他人。即使向履行本合同有关的人员提供，也应注意保密并限于履行合同的必需范围。</w:t>
      </w:r>
      <w:r/>
    </w:p>
    <w:p>
      <w:pPr>
        <w:ind w:left="315" w:right="0" w:firstLine="120"/>
        <w:jc w:val="both"/>
        <w:spacing w:before="120" w:after="12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3.3 关于本项目政府采购的招投标文件或与本次采购活动方式相适应的文件及有关附件是本合同不可分割的组成部分，这些文件包括但不限于：</w:t>
      </w:r>
      <w:r/>
    </w:p>
    <w:p>
      <w:pPr>
        <w:ind w:left="410" w:right="0" w:hanging="410"/>
        <w:jc w:val="both"/>
        <w:spacing w:before="120" w:after="12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（1）招标文件；                   （2）投标报价文件；</w:t>
      </w:r>
      <w:r/>
    </w:p>
    <w:p>
      <w:pPr>
        <w:ind w:left="410" w:right="0" w:hanging="410"/>
        <w:jc w:val="both"/>
        <w:spacing w:before="120" w:after="12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（3）项目组人员表                 （4）技术参数、商务条款响应及偏离表；</w:t>
      </w:r>
      <w:r/>
    </w:p>
    <w:p>
      <w:pPr>
        <w:ind w:left="410" w:right="0" w:hanging="410"/>
        <w:jc w:val="both"/>
        <w:spacing w:before="120" w:after="12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（5）服务承诺；                   （6）中标通知书；</w:t>
      </w:r>
      <w:r/>
    </w:p>
    <w:p>
      <w:pPr>
        <w:ind w:left="410" w:right="0" w:hanging="410"/>
        <w:jc w:val="both"/>
        <w:spacing w:before="120" w:after="12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（7）甲乙双方补充协议；           （8）乙方投标时提供的投标文件。</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4、知识产权保证</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乙方保证甲方在使用、接受本合同服务或其任何一部分时，不受第三方提出侵犯其专利权、版权、商标权和工业设计权等知识产权的起诉。一旦出现侵权，由乙方负全部责任。</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5、产权保证</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乙方保证所交付的服务和服务所涉及的物品所有权无任何抵押、查封等权利瑕疵。</w:t>
      </w:r>
      <w:r/>
    </w:p>
    <w:p>
      <w:pPr>
        <w:numPr>
          <w:ilvl w:val="0"/>
          <w:numId w:val="11"/>
        </w:numPr>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履约保证金</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无</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7、转包或分包</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7.1 本合同禁止转包，本合同范围的服务，应由乙方直接提供的，不得转让他人提供。</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7.2 经甲方同意，乙方可以依法采取分包方式履行合同，但是分包方式履行的，乙方应就采购项目向甲方负全责。</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8、服务期限</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8.1 服务期限：合同签订之日至2024年12月10日</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9、交付期、交付方式及交付地点</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9.1 交付期：</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（一）自合同签订之日起</w:t>
      </w:r>
      <w:r>
        <w:rPr>
          <w:rFonts w:ascii="FangSong" w:hAnsi="FangSong" w:eastAsia="FangSong" w:cs="FangSong"/>
          <w:color w:val="000000"/>
          <w:sz w:val="24"/>
          <w:u w:val="single"/>
        </w:rPr>
        <w:t xml:space="preserve">1</w:t>
      </w:r>
      <w:r>
        <w:rPr>
          <w:rFonts w:ascii="FangSong" w:hAnsi="FangSong" w:eastAsia="FangSong" w:cs="FangSong"/>
          <w:color w:val="000000"/>
          <w:sz w:val="24"/>
        </w:rPr>
        <w:t xml:space="preserve">个月内应组织相关专家调研组，赴扬州开展前期实地调研工作，完成扬州城乡生活垃圾分类管理现状调研与资料收集梳理工作，系统性探索“基于自然解决方案”的城市生态修复路径技术模式，结合省市相关规划及社会经济发展需求，针对扬州市生态修复中存在的关键问题，构建扬州本土化生态修复技术方案，提出有机废弃物循环利用路径对策建议。</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（二）</w:t>
      </w:r>
      <w:r>
        <w:rPr>
          <w:rFonts w:ascii="FangSong" w:hAnsi="FangSong" w:eastAsia="FangSong" w:cs="FangSong"/>
          <w:color w:val="000000"/>
          <w:sz w:val="24"/>
          <w:u w:val="single"/>
        </w:rPr>
        <w:t xml:space="preserve">2024年9月30日</w:t>
      </w:r>
      <w:r>
        <w:rPr>
          <w:rFonts w:ascii="FangSong" w:hAnsi="FangSong" w:eastAsia="FangSong" w:cs="FangSong"/>
          <w:color w:val="000000"/>
          <w:sz w:val="24"/>
        </w:rPr>
        <w:t xml:space="preserve">前，开展扬州有机废弃物循环利用技术示范验证，提炼汇总扬州市生态修复的技术模式和管理创新案例。</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（三）</w:t>
      </w:r>
      <w:r>
        <w:rPr>
          <w:rFonts w:ascii="FangSong" w:hAnsi="FangSong" w:eastAsia="FangSong" w:cs="FangSong"/>
          <w:color w:val="000000"/>
          <w:sz w:val="24"/>
          <w:u w:val="single"/>
        </w:rPr>
        <w:t xml:space="preserve">2024年10月31日前</w:t>
      </w:r>
      <w:r>
        <w:rPr>
          <w:rFonts w:ascii="FangSong" w:hAnsi="FangSong" w:eastAsia="FangSong" w:cs="FangSong"/>
          <w:color w:val="000000"/>
          <w:sz w:val="24"/>
        </w:rPr>
        <w:t xml:space="preserve">，整理归纳收集的资料，完成《扬州城市有机废弃物利用与生态修复路径研究报告》，并通过专家审查验收。</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（四）</w:t>
      </w:r>
      <w:r>
        <w:rPr>
          <w:rFonts w:ascii="FangSong" w:hAnsi="FangSong" w:eastAsia="FangSong" w:cs="FangSong"/>
          <w:color w:val="000000"/>
          <w:sz w:val="24"/>
          <w:u w:val="single"/>
        </w:rPr>
        <w:t xml:space="preserve">2024年12月10日前</w:t>
      </w:r>
      <w:r>
        <w:rPr>
          <w:rFonts w:ascii="FangSong" w:hAnsi="FangSong" w:eastAsia="FangSong" w:cs="FangSong"/>
          <w:color w:val="000000"/>
          <w:sz w:val="24"/>
        </w:rPr>
        <w:t xml:space="preserve">，完成</w:t>
      </w:r>
      <w:r>
        <w:rPr>
          <w:rFonts w:ascii="FangSong" w:hAnsi="FangSong" w:eastAsia="FangSong" w:cs="FangSong"/>
          <w:color w:val="000000"/>
          <w:sz w:val="24"/>
          <w:u w:val="none"/>
        </w:rPr>
        <w:t xml:space="preserve">《基于自然解决方案的城市生态修复技术指南》</w:t>
      </w:r>
      <w:r>
        <w:rPr>
          <w:rFonts w:ascii="FangSong" w:hAnsi="FangSong" w:eastAsia="FangSong" w:cs="FangSong"/>
          <w:color w:val="000000"/>
          <w:sz w:val="24"/>
        </w:rPr>
        <w:t xml:space="preserve">，通过专家审查验收，并通过国际平台发布推广，为促进扬州市产业升级、经济发展，实现生态效益、经济效益和社会效益多赢提供科学决策依据。</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9.2 交付方式：</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（一）提交成果：《扬州城市有机废弃物利用与生态修复路径研究报告》《基于自然解决方案的城市生态修复技术指南》、其他相关调研报告等。</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二）成果交付及数量：乙方须向甲方提交报告成果纸质版一式四份（含报告、指南等文本、附图、附件）；报告、数据电子版成果资料一套。乙方应对提供的服务成果作出全面自查和整理，并列出清单，随提供的服务成果一并交付甲方。</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9.3 交付地点：江苏省扬州市</w:t>
      </w:r>
      <w:r/>
    </w:p>
    <w:p>
      <w:pPr>
        <w:ind w:left="0" w:right="0" w:firstLine="12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10、货款支付</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合同签订后，乙方向甲方开具合法有效的发票，甲方自收到发票之日起15个工作日内，支付合同总额30%的预付款。之后，甲方分两个服务期进行付款，即：</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二）第一个服务期（合同签订之日-2024年10月31日）：编制完成《扬州城市有机废弃物利用与生态修复路径研究报告》，并通过专家审查验收之后，乙方向甲方开具合法有效的发票，甲方自收到发票之日起15个工作日内支付合同总额的30%费用。</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三）第二个服务期（2024年11月1日-2024年12月10日）：编制完成《基于自然解决方案的城市生态修复技术指南》，并通过专家审查验收之后，乙方向甲方开具合法有效的发票，甲方自收到发票之日起15个工作日内支付合同总额的40%费用。</w:t>
      </w:r>
      <w:r/>
    </w:p>
    <w:p>
      <w:pPr>
        <w:ind w:left="0" w:right="0" w:firstLine="12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11、税费</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本合同执行中相关的一切税费均由乙方负担。</w:t>
      </w:r>
      <w:r/>
    </w:p>
    <w:p>
      <w:pPr>
        <w:ind w:left="0" w:right="0" w:firstLine="12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12、质量保证及售后服务</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12.1 乙方应按招标文件规定及响应文件承诺的技术性能、技术要求、质量标准向甲方提供服务；若无特殊说明，则按国家有关部门最新颁布的标准及规范为准。</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12.2乙方应保证其提供的服务是全面和规范的，并完全符合招投标文件。如因乙方提供的服务有瑕疵造成甲方损失的，所需费用由乙方承担。</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12.3 服务过程中，乙方应对所提供服务出现的质量及安全问题负责处理解决并承担一切费用。</w:t>
      </w:r>
      <w:r/>
    </w:p>
    <w:p>
      <w:pPr>
        <w:ind w:left="0" w:right="0" w:firstLine="12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13、交付和验收</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13.1 乙方应当在合同签订后</w:t>
      </w:r>
      <w:r>
        <w:rPr>
          <w:rFonts w:ascii="FangSong" w:hAnsi="FangSong" w:eastAsia="FangSong" w:cs="FangSong"/>
          <w:color w:val="000000"/>
          <w:sz w:val="24"/>
          <w:u w:val="single"/>
        </w:rPr>
        <w:t xml:space="preserve"> 180 </w:t>
      </w:r>
      <w:r>
        <w:rPr>
          <w:rFonts w:ascii="FangSong" w:hAnsi="FangSong" w:eastAsia="FangSong" w:cs="FangSong"/>
          <w:color w:val="000000"/>
          <w:sz w:val="24"/>
        </w:rPr>
        <w:t xml:space="preserve">天内完成服务事项，招标文件有约定的，从其约定。</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在交付前，乙方应作出全面检查和对验收文件进行整理，并列出清单，作为甲方初验收和使用的技术条件依据，检验的结果交甲方。</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13.2 验收标准：按乙方招标文件的承诺，并不低于国家相关标准。</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对于乙方要交付的服务，甲乙双方须在</w:t>
      </w:r>
      <w:r>
        <w:rPr>
          <w:rFonts w:ascii="FangSong" w:hAnsi="FangSong" w:eastAsia="FangSong" w:cs="FangSong"/>
          <w:color w:val="000000"/>
          <w:sz w:val="24"/>
          <w:u w:val="single"/>
        </w:rPr>
        <w:t xml:space="preserve"> 7 </w:t>
      </w:r>
      <w:r>
        <w:rPr>
          <w:rFonts w:ascii="FangSong" w:hAnsi="FangSong" w:eastAsia="FangSong" w:cs="FangSong"/>
          <w:color w:val="000000"/>
          <w:sz w:val="24"/>
        </w:rPr>
        <w:t xml:space="preserve">工作日内初验收，甲方对乙方提交的服务依据招标文件上的技术要求和国家有关质量标准进行现场初步验收，外观、说明书、包装符合招标文件技术要求的，给予签收，初步验收不合格的不予签收。</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13.3 乙方按照招标文件要求负责安装并培训甲方的使用操作人员，乙方在甲方使用前进行调试，调试直到符合技术要求的甲方才做最终验收。</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13.4 对技术复杂的服务内容，甲方可请国家认可的专业检测机构参与初步验收及最终验收，并由其出具质量检测报告。验收时乙方必须在现场，验收完毕后作出验收结果报告；若聘请第三方中立机构验收，验收费用由甲乙双方协商解决。</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13.5 甲乙双方关于调试和验收的其他约定：</w:t>
      </w:r>
      <w:r>
        <w:rPr>
          <w:rFonts w:ascii="FangSong" w:hAnsi="FangSong" w:eastAsia="FangSong" w:cs="FangSong"/>
          <w:color w:val="000000"/>
          <w:sz w:val="24"/>
          <w:u w:val="single"/>
        </w:rPr>
        <w:t xml:space="preserve">          无</w:t>
      </w:r>
      <w:r>
        <w:rPr>
          <w:rFonts w:ascii="FangSong" w:hAnsi="FangSong" w:eastAsia="FangSong" w:cs="FangSong"/>
          <w:color w:val="000000"/>
          <w:sz w:val="24"/>
        </w:rPr>
        <w:t xml:space="preserve">。</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14、包装、发运及运输</w:t>
      </w:r>
      <w:r/>
    </w:p>
    <w:p>
      <w:pPr>
        <w:ind w:left="0" w:right="0" w:firstLine="480"/>
        <w:jc w:val="both"/>
        <w:spacing w:before="0" w:after="0" w:line="4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14.1 乙方应对其提供的服务所涉及物品在发运前对其进行满足运输距离、防潮、防震、防锈和防破损装卸等要求包装，以保证安全运达甲方指定地点。</w:t>
      </w:r>
      <w:r/>
    </w:p>
    <w:p>
      <w:pPr>
        <w:ind w:left="0" w:right="0" w:firstLine="480"/>
        <w:jc w:val="both"/>
        <w:spacing w:before="0" w:after="0" w:line="4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14.2 乙方交付时，使用说明书、检验证明书、随配附件和工具以及清单一并附于内。</w:t>
      </w:r>
      <w:r/>
    </w:p>
    <w:p>
      <w:pPr>
        <w:ind w:left="0" w:right="0" w:firstLine="480"/>
        <w:jc w:val="both"/>
        <w:spacing w:before="0" w:after="0" w:line="4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14.3 乙方在提供的服务所涉及物品在货物发运手续办理完毕后24小时内或货到甲方48小时前通知甲方，以准备甲方接货。根据甲方通知的时间和指定的地点，乙方负责安排送货、装卸、清点、堆放，设备初验收合格前的保管工作由乙方负责，费用乙方承担。</w:t>
      </w:r>
      <w:r/>
    </w:p>
    <w:p>
      <w:pPr>
        <w:ind w:left="0" w:right="0" w:firstLine="480"/>
        <w:jc w:val="both"/>
        <w:spacing w:before="0" w:after="0" w:line="4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14.4 服务在交付甲方前发生的风险均由乙方负责。</w:t>
      </w:r>
      <w:r/>
    </w:p>
    <w:p>
      <w:pPr>
        <w:ind w:left="0" w:right="0" w:firstLine="480"/>
        <w:jc w:val="both"/>
        <w:spacing w:before="0" w:after="0" w:line="4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14.5 服务在规定的交付期限内由乙方送达甲方指定的地点。</w:t>
      </w:r>
      <w:r/>
    </w:p>
    <w:p>
      <w:pPr>
        <w:ind w:left="0" w:right="0" w:firstLine="0"/>
        <w:jc w:val="both"/>
        <w:spacing w:before="0" w:after="0" w:line="4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15、违约责任</w:t>
      </w:r>
      <w:r/>
    </w:p>
    <w:p>
      <w:pPr>
        <w:ind w:left="0" w:right="0" w:firstLine="480"/>
        <w:jc w:val="both"/>
        <w:spacing w:before="0" w:after="0" w:line="4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15.1 甲方无正当理由拒绝初验收和终验收服务项目的，甲方应按未付服务项目款金额每日万分之五向乙方支付违约金。</w:t>
      </w:r>
      <w:r/>
    </w:p>
    <w:p>
      <w:pPr>
        <w:ind w:left="0" w:right="0" w:firstLine="480"/>
        <w:jc w:val="both"/>
        <w:spacing w:before="0" w:after="0" w:line="4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15.2 甲方无故逾期验收和无故逾期办理款项支付手续的,甲方应按逾期付款金额每日万分之五向乙方支付违约金。</w:t>
      </w:r>
      <w:r/>
    </w:p>
    <w:p>
      <w:pPr>
        <w:ind w:left="0" w:right="0" w:firstLine="480"/>
        <w:jc w:val="both"/>
        <w:spacing w:before="0" w:after="0" w:line="4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15.3乙方违约，在消除违约情形前，应按本合同项目总额每日万分之五向甲方支付违约金，甲方可以从待付款项中扣除。</w:t>
      </w:r>
      <w:r/>
    </w:p>
    <w:p>
      <w:pPr>
        <w:ind w:left="0" w:right="0" w:firstLine="480"/>
        <w:jc w:val="both"/>
        <w:spacing w:before="0" w:after="0" w:line="4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15.4乙方因逾期交付服务项目或因其他违约行为，导致甲方解除合同的，乙方应向甲方支付合同总值5%的违约金，如造成甲方损失超过违约金的，超出部分由乙方继续承担赔偿责任。</w:t>
      </w:r>
      <w:r/>
    </w:p>
    <w:p>
      <w:pPr>
        <w:ind w:left="0" w:right="0" w:firstLine="480"/>
        <w:jc w:val="both"/>
        <w:spacing w:before="0" w:after="0" w:line="4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15.5 乙方所交的服务项目全部或部分品种、型号、规格、技术参数、质量不符合合同规定及招标文件规定标准的，乙方更换服务但逾期交付的（甲方拒绝接受的除外），按乙方逾期交付处理；乙方拒绝更换的，甲方可选择解除本合同或本合同的一部分，并可追究乙方的其他违约责任。</w:t>
      </w:r>
      <w:r/>
    </w:p>
    <w:p>
      <w:pPr>
        <w:ind w:left="0" w:right="0" w:firstLine="480"/>
        <w:jc w:val="both"/>
        <w:spacing w:before="0" w:after="0" w:line="4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15.6合同生效后，发现乙方投标属虚假承诺，或经权威部门监测提供的服务不能满足招标文件要求，造成合同无法继续履行的，乙方应向甲方支付不少于合同总价</w:t>
      </w:r>
      <w:r>
        <w:rPr>
          <w:rFonts w:ascii="FangSong" w:hAnsi="FangSong" w:eastAsia="FangSong" w:cs="FangSong"/>
          <w:color w:val="000000"/>
          <w:sz w:val="24"/>
          <w:u w:val="single"/>
        </w:rPr>
        <w:t xml:space="preserve"> 3 </w:t>
      </w:r>
      <w:r>
        <w:rPr>
          <w:rFonts w:ascii="FangSong" w:hAnsi="FangSong" w:eastAsia="FangSong" w:cs="FangSong"/>
          <w:color w:val="000000"/>
          <w:sz w:val="24"/>
        </w:rPr>
        <w:t xml:space="preserve">%赔偿金。</w:t>
      </w:r>
      <w:r/>
    </w:p>
    <w:p>
      <w:pPr>
        <w:ind w:left="0" w:right="0" w:firstLine="0"/>
        <w:jc w:val="both"/>
        <w:spacing w:before="0" w:after="0" w:line="4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16、不可抗力事件处理</w:t>
      </w:r>
      <w:r/>
    </w:p>
    <w:p>
      <w:pPr>
        <w:ind w:left="0" w:right="0" w:firstLine="480"/>
        <w:jc w:val="both"/>
        <w:spacing w:before="0" w:after="0" w:line="4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16.1 在合同有效期内，甲乙双方因不可抗力事件导致不能履行合同，则合同履行期可延长，其延长期与不可抗力影响期相同。不可抗力，是指不能预见、不能避免且不能克服的客观情况，例如战争、严重的地震、洪水等，但一方违约或疏忽导致合同不能履行的不属于不可抗力因素。</w:t>
      </w:r>
      <w:r/>
    </w:p>
    <w:p>
      <w:pPr>
        <w:ind w:left="0" w:right="0" w:firstLine="480"/>
        <w:jc w:val="both"/>
        <w:spacing w:before="0" w:after="0" w:line="4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16.2不可抗力事件发生后，应立即通知对方，并寄送有关权威机构出具的证明。除甲方书面另行要求外，乙方应尽实际可能继续履行合同义务，以及寻求采取合理的方案履行不受不可抗力影响的其他事项。若不可抗力事件延续120天以上，双方应通过友好协商，确定是否继续履行合同。</w:t>
      </w:r>
      <w:r/>
    </w:p>
    <w:p>
      <w:pPr>
        <w:ind w:left="0" w:right="0" w:firstLine="0"/>
        <w:jc w:val="both"/>
        <w:spacing w:before="0" w:after="0" w:line="4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17、争议解决</w:t>
      </w:r>
      <w:r/>
    </w:p>
    <w:p>
      <w:pPr>
        <w:ind w:left="0" w:right="0" w:firstLine="480"/>
        <w:jc w:val="both"/>
        <w:spacing w:before="0" w:after="0" w:line="4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17.1 因服务的品质质量问题发生争议的，可在国家认可的质量检测机构对服务内容质量进行鉴定。服务符合标准的，鉴定费由甲方承担；服务项目不符合质量标准的，鉴定费由乙方承担。</w:t>
      </w:r>
      <w:r/>
    </w:p>
    <w:p>
      <w:pPr>
        <w:ind w:left="0" w:right="0" w:firstLine="480"/>
        <w:jc w:val="both"/>
        <w:spacing w:before="0" w:after="0" w:line="4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17.2 因履行本合同引起的或与本合同有关的争议，甲、乙双方应首先通过友好协商解决；如果协商不能解决争议，甲乙双方同意采取下列两种方式的第</w:t>
      </w:r>
      <w:r>
        <w:rPr>
          <w:rFonts w:ascii="FangSong" w:hAnsi="FangSong" w:eastAsia="FangSong" w:cs="FangSong"/>
          <w:color w:val="000000"/>
          <w:sz w:val="24"/>
          <w:u w:val="single"/>
        </w:rPr>
        <w:t xml:space="preserve">（1）</w:t>
      </w:r>
      <w:r>
        <w:rPr>
          <w:rFonts w:ascii="FangSong" w:hAnsi="FangSong" w:eastAsia="FangSong" w:cs="FangSong"/>
          <w:color w:val="000000"/>
          <w:sz w:val="24"/>
        </w:rPr>
        <w:t xml:space="preserve">种方式解决争议：</w:t>
      </w:r>
      <w:r/>
    </w:p>
    <w:p>
      <w:pPr>
        <w:ind w:left="0" w:right="0" w:firstLine="480"/>
        <w:jc w:val="both"/>
        <w:spacing w:before="0" w:after="0" w:line="4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（1）向甲方所在地有管辖权的人民法院提起诉讼，适用中华人民共和国法律；</w:t>
      </w:r>
      <w:r/>
    </w:p>
    <w:p>
      <w:pPr>
        <w:ind w:left="0" w:right="0" w:firstLine="480"/>
        <w:jc w:val="both"/>
        <w:spacing w:before="0" w:after="0" w:line="4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（2）向扬州仲裁委员会按其仲裁规则申请仲裁。</w:t>
      </w:r>
      <w:r/>
    </w:p>
    <w:p>
      <w:pPr>
        <w:ind w:left="0" w:right="0" w:firstLine="480"/>
        <w:jc w:val="both"/>
        <w:spacing w:before="0" w:after="0" w:line="4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17.3 若甲乙双方任何一方都没有选择解除合同的，为避免扩大损失，在诉讼或仲裁期间，双方应继续履行。</w:t>
      </w:r>
      <w:r/>
    </w:p>
    <w:p>
      <w:pPr>
        <w:ind w:left="0" w:right="0" w:firstLine="0"/>
        <w:jc w:val="both"/>
        <w:spacing w:before="120" w:after="12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18、合同其它</w:t>
      </w:r>
      <w:r/>
    </w:p>
    <w:p>
      <w:pPr>
        <w:ind w:left="0" w:right="0" w:firstLine="480"/>
        <w:jc w:val="both"/>
        <w:spacing w:before="120" w:after="12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18.1 乙方应诚实信用，严格按照招标文件要求和响应文件承诺履行合同，不向甲方进行商业贿赂或者提供不正当利益。</w:t>
      </w:r>
      <w:r/>
    </w:p>
    <w:p>
      <w:pPr>
        <w:ind w:left="0" w:right="0" w:firstLine="480"/>
        <w:jc w:val="both"/>
        <w:spacing w:before="120" w:after="12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18.2 合同经双方法定代表人或授权代表签字并加盖单位公章，并经江苏省设备成套股份有限公司见证盖章后生效。</w:t>
      </w:r>
      <w:r/>
    </w:p>
    <w:p>
      <w:pPr>
        <w:ind w:left="0" w:right="0" w:firstLine="480"/>
        <w:jc w:val="both"/>
        <w:spacing w:before="120" w:after="12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18.3本合同未尽事宜，遵照《民法典》有关条文执行。</w:t>
      </w:r>
      <w:r/>
    </w:p>
    <w:p>
      <w:pPr>
        <w:ind w:left="0" w:right="0" w:firstLine="480"/>
        <w:jc w:val="both"/>
        <w:spacing w:before="120" w:after="12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18.4本合同正本一式陆份，具有同等法律效力，甲方、乙方各执贰份，见证方执贰份。</w:t>
      </w:r>
      <w:r/>
    </w:p>
    <w:p>
      <w:pPr>
        <w:ind w:left="480" w:right="0" w:hanging="480"/>
        <w:jc w:val="both"/>
        <w:spacing w:before="120" w:after="12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480" w:right="0" w:hanging="480"/>
        <w:jc w:val="both"/>
        <w:spacing w:before="120" w:after="12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甲方：                      乙方： </w:t>
      </w:r>
      <w:r/>
    </w:p>
    <w:p>
      <w:pPr>
        <w:ind w:left="0" w:right="0" w:firstLine="0"/>
        <w:jc w:val="both"/>
        <w:spacing w:before="120" w:after="12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地址：                        地址： </w:t>
      </w:r>
      <w:r/>
    </w:p>
    <w:p>
      <w:pPr>
        <w:ind w:left="0" w:right="0" w:firstLine="0"/>
        <w:jc w:val="both"/>
        <w:spacing w:before="120" w:after="12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法定代表人或授权代表：法定代表人或授权代表：</w:t>
      </w:r>
      <w:r/>
    </w:p>
    <w:p>
      <w:pPr>
        <w:ind w:left="0" w:right="0" w:firstLine="0"/>
        <w:jc w:val="both"/>
        <w:spacing w:before="120" w:after="12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联系电话：联系电话：</w:t>
      </w:r>
      <w:r/>
    </w:p>
    <w:p>
      <w:pPr>
        <w:ind w:left="0" w:right="0" w:firstLine="0"/>
        <w:jc w:val="both"/>
        <w:spacing w:before="120" w:after="12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日期：年月日收款人名称：</w:t>
      </w:r>
      <w:r/>
    </w:p>
    <w:p>
      <w:pPr>
        <w:ind w:left="0" w:right="0" w:firstLine="4920"/>
        <w:jc w:val="both"/>
        <w:spacing w:before="120" w:after="12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账号及开户行：</w:t>
      </w:r>
      <w:r/>
    </w:p>
    <w:p>
      <w:pPr>
        <w:ind w:left="0" w:right="0" w:firstLine="0"/>
        <w:jc w:val="both"/>
        <w:spacing w:before="120" w:after="12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日期：年月日</w:t>
      </w:r>
      <w:r/>
    </w:p>
    <w:p>
      <w:pPr>
        <w:ind w:left="0" w:right="0" w:firstLine="0"/>
        <w:jc w:val="both"/>
        <w:spacing w:before="120" w:after="12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jc w:val="both"/>
        <w:spacing w:before="120" w:after="12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见证方：江苏省设备成套股份有限公司</w:t>
      </w:r>
      <w:r/>
    </w:p>
    <w:p>
      <w:pPr>
        <w:ind w:left="0" w:right="0" w:firstLine="0"/>
        <w:jc w:val="both"/>
        <w:spacing w:before="120" w:after="12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项目经办人：</w:t>
      </w:r>
      <w:r/>
    </w:p>
    <w:p>
      <w:pPr>
        <w:ind w:left="0" w:right="0" w:firstLine="0"/>
        <w:jc w:val="both"/>
        <w:spacing w:before="120" w:after="12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日期：年月日</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pStyle w:val="680"/>
        <w:ind w:left="0" w:right="0" w:firstLine="0"/>
        <w:jc w:val="center"/>
        <w:spacing w:before="340" w:after="330" w:line="6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44"/>
          <w:u w:val="none"/>
        </w:rPr>
        <w:t xml:space="preserve">第四章项目需求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一、项目实施背景</w:t>
      </w:r>
      <w:r/>
    </w:p>
    <w:p>
      <w:pPr>
        <w:ind w:left="0" w:right="0" w:firstLine="480"/>
        <w:jc w:val="both"/>
        <w:spacing w:before="120" w:after="12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在市委、市政府的领导下，2023年12月我市荣获了联合国环境规划署“全球城市生态修复模范市”称号。为放大“全球城市生态修复模范市”金字招牌效应，持续推进我市城市治理和生态修复工作走深走实，在国际上展示好、推广好“好地方”生态文明建设“扬州范例”，根据联合国环境规划署有关工作要求，结合我市实际，拟开展基于垃圾分类的扬州城市生态修复路径与对策研究项目招标工作，服务周期为6个月。</w:t>
      </w:r>
      <w:r/>
    </w:p>
    <w:p>
      <w:pPr>
        <w:ind w:left="0" w:right="0" w:firstLine="480"/>
        <w:jc w:val="both"/>
        <w:spacing w:before="120" w:after="12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二、项目实施目的</w:t>
      </w:r>
      <w:r/>
    </w:p>
    <w:p>
      <w:pPr>
        <w:ind w:left="0" w:right="0" w:firstLine="480"/>
        <w:jc w:val="both"/>
        <w:spacing w:before="120" w:after="12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通过实施基于垃圾分类的扬州城市生态修复路径与对策研究项目，确保我市顺利通过2025年底联合国环境规划署对“全球城市生态修复模范市”建设工作复审，积极争取联合国环境规划署与世界银行“领航城市”计划支持，助力优化我市营商环境，促进我市产业升级、经济发展，实现生态效益、经济效益和社会效益多赢。</w:t>
      </w:r>
      <w:r/>
    </w:p>
    <w:p>
      <w:pPr>
        <w:ind w:left="0" w:right="0" w:firstLine="480"/>
        <w:jc w:val="both"/>
        <w:spacing w:before="120" w:after="12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三、项目服务内容</w:t>
      </w:r>
      <w:r/>
    </w:p>
    <w:p>
      <w:pPr>
        <w:ind w:left="0" w:right="0" w:firstLine="480"/>
        <w:jc w:val="both"/>
        <w:spacing w:before="120" w:after="12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1、基于我市城乡生活垃圾分类管理现状，在联合国环境署城市“基于自然解决方案”的总体技术要求下，开展城市生态修复路径与对策研究，提出有机废弃物循环利用路径。</w:t>
      </w:r>
      <w:r/>
    </w:p>
    <w:p>
      <w:pPr>
        <w:ind w:left="0" w:right="0" w:firstLine="480"/>
        <w:jc w:val="both"/>
        <w:spacing w:before="120" w:after="12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2、开展有机废弃物循环利用技术示范验证，提炼扬州市生态修复的技术模式和管理创新案例。</w:t>
      </w:r>
      <w:r/>
    </w:p>
    <w:p>
      <w:pPr>
        <w:ind w:left="0" w:right="0" w:firstLine="480"/>
        <w:jc w:val="both"/>
        <w:spacing w:before="120" w:after="12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编制《扬州城市有机废弃物利用与生态修复路径研究报告》、《基于自然解决方案的城市生态修复技术指南》等文件，同联合国环境署世界保护监测中心等机构合作，通过联合国环境署平台发布推广，协助扬州市在COP16等重要国际会议中展示和交流项目成果。</w:t>
      </w:r>
      <w:r/>
    </w:p>
    <w:p>
      <w:pPr>
        <w:ind w:left="0" w:right="0" w:firstLine="480"/>
        <w:jc w:val="both"/>
        <w:spacing w:before="120" w:after="12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四、工作完成时限</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1、开展城市生态修复路径与对策研究，提出有机废弃物循环利用路径：自合同签订之日起</w:t>
      </w:r>
      <w:r>
        <w:rPr>
          <w:rFonts w:ascii="FangSong" w:hAnsi="FangSong" w:eastAsia="FangSong" w:cs="FangSong"/>
          <w:color w:val="000000"/>
          <w:sz w:val="24"/>
          <w:u w:val="single"/>
        </w:rPr>
        <w:t xml:space="preserve">1</w:t>
      </w:r>
      <w:r>
        <w:rPr>
          <w:rFonts w:ascii="FangSong" w:hAnsi="FangSong" w:eastAsia="FangSong" w:cs="FangSong"/>
          <w:color w:val="000000"/>
          <w:sz w:val="24"/>
        </w:rPr>
        <w:t xml:space="preserve">个月内应组织相关专家调研组，赴扬州开展前期实地调研工作，完成扬州城乡生活垃圾分类管理现状调研与资料收集梳理工作，系统性探究“基于自然解决方案”的城市生态修复路径技术模式，结合省市相关规划及社会经济发展需求，针对扬州生态修复中存在的关键问题，构建扬州本土化生态修复技术方案，提出有机废弃物循环利用路径对策建议。</w:t>
      </w:r>
      <w:r/>
    </w:p>
    <w:p>
      <w:pPr>
        <w:ind w:left="0" w:right="0" w:firstLine="480"/>
        <w:jc w:val="both"/>
        <w:spacing w:before="120" w:after="12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2、开展有机废弃物循环利用技术示范验证，提炼扬州生态修复的技术模式和管理创新案例：2024年9月30日前内完成有机废弃物循环利用技术示范验证，提炼汇总扬州生态修复的技术模式和管理创新案例。</w:t>
      </w:r>
      <w:r/>
    </w:p>
    <w:p>
      <w:pPr>
        <w:ind w:left="0" w:right="0" w:firstLine="480"/>
        <w:jc w:val="both"/>
        <w:spacing w:before="120" w:after="12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编制《扬州城市有机废弃物利用与生态修复路径研究报告》、《基于自然解决方案的城市生态修复技术指南》等文件，并通过国际平台发布推广。2024年10月31日前，整理归纳收集的资料，完成《扬州城市有机废弃物利用与生态修复路径研究报告》编制并通过专家评审。2024年12月10日前，完成《基于自然解决方案的城市生态修复技术指南》（报批稿）并通过专家评审，同联合国环境署世界保护监测中心等国际机构合作，通过联合国环境署平台发布推广，协助扬州市在COP16等重要国际会议中展示和交流项目成果。</w:t>
      </w:r>
      <w:r/>
    </w:p>
    <w:p>
      <w:pPr>
        <w:ind w:left="0" w:right="0" w:firstLine="480"/>
        <w:jc w:val="both"/>
        <w:spacing w:before="120" w:after="12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五、项目实施成果</w:t>
      </w:r>
      <w:r/>
    </w:p>
    <w:p>
      <w:pPr>
        <w:ind w:left="0" w:right="0" w:firstLine="480"/>
        <w:jc w:val="both"/>
        <w:spacing w:before="120" w:after="12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项目实施后需按期提交以下成果报告：</w:t>
      </w:r>
      <w:r/>
    </w:p>
    <w:p>
      <w:pPr>
        <w:ind w:left="0" w:right="0" w:firstLine="480"/>
        <w:jc w:val="both"/>
        <w:spacing w:before="120" w:after="12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1.《扬州城市有机废弃物利用与生态修复路径研究报告》</w:t>
      </w:r>
      <w:r/>
    </w:p>
    <w:p>
      <w:pPr>
        <w:ind w:left="0" w:right="0" w:firstLine="480"/>
        <w:jc w:val="both"/>
        <w:spacing w:before="120" w:after="12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2.《基于自然解决方案的城市生态修复技术指南》</w:t>
      </w:r>
      <w:r/>
    </w:p>
    <w:p>
      <w:pPr>
        <w:ind w:left="0" w:right="0" w:firstLine="480"/>
        <w:jc w:val="both"/>
        <w:spacing w:before="120" w:after="12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3.其他相关调研报告等。</w:t>
      </w:r>
      <w:r/>
    </w:p>
    <w:p>
      <w:pPr>
        <w:ind w:left="0" w:right="0" w:firstLine="480"/>
        <w:jc w:val="both"/>
        <w:spacing w:before="120" w:after="12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六、商务要求（需在商务偏离表中进行响应）</w:t>
      </w:r>
      <w:r/>
    </w:p>
    <w:p>
      <w:pPr>
        <w:ind w:left="0" w:right="0" w:firstLine="480"/>
        <w:jc w:val="both"/>
        <w:spacing w:before="120" w:after="12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1.投标商有履行合同的能力，在以往的采购活动中没有违法、违规、违纪、违约行为。</w:t>
      </w:r>
      <w:r/>
    </w:p>
    <w:p>
      <w:pPr>
        <w:ind w:left="0" w:right="0" w:firstLine="480"/>
        <w:jc w:val="both"/>
        <w:spacing w:before="120" w:after="12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项目人员要求：本次招标要求投标人拟投入的项目负责人及项目组成员不能少于5人（项目负责人除外），项目负责人需具有与本项目相关的实施经验，并且能够在项目实施过程中，能够按照采购人要求，实时调配参与项目的人员数量。</w:t>
      </w:r>
      <w:r/>
    </w:p>
    <w:p>
      <w:pPr>
        <w:ind w:left="0" w:right="0" w:firstLine="0"/>
        <w:jc w:val="both"/>
        <w:spacing w:before="120" w:after="12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pStyle w:val="680"/>
        <w:ind w:left="0" w:right="0" w:firstLine="0"/>
        <w:jc w:val="center"/>
        <w:spacing w:before="340" w:after="330" w:line="660" w:lineRule="atLeast"/>
        <w:pBdr>
          <w:top w:val="none" w:color="000000" w:sz="4" w:space="0"/>
          <w:left w:val="none" w:color="000000" w:sz="4" w:space="0"/>
          <w:bottom w:val="none" w:color="000000" w:sz="4" w:space="0"/>
          <w:right w:val="none" w:color="000000" w:sz="4" w:space="0"/>
        </w:pBdr>
      </w:pPr>
      <w:r>
        <w:br w:type="page" w:clear="all"/>
      </w:r>
      <w:r/>
    </w:p>
    <w:p>
      <w:pPr>
        <w:pStyle w:val="680"/>
        <w:ind w:left="0" w:right="0" w:firstLine="0"/>
        <w:jc w:val="center"/>
        <w:spacing w:before="340" w:after="330" w:line="6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44"/>
          <w:u w:val="none"/>
        </w:rPr>
        <w:t xml:space="preserve">第五章评审方法与评审标准</w:t>
      </w:r>
      <w:r/>
    </w:p>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rPr>
        <w:t xml:space="preserve"> </w:t>
      </w:r>
      <w:r/>
    </w:p>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rPr>
        <w:t xml:space="preserve">一、评标方法</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本项目采用综合评分法，评委会将对确定为实质性响应招标文件要求的投标文件进行评价和比较。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u w:val="none"/>
        </w:rPr>
        <w:t xml:space="preserve">二、政府采购政策功能落实</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按照《政府采购促进中小企业发展管理办法》的规定，未预留份额专门面向中小企业采购的采购项目或分包，对符合条件的小微型企业、监狱和戒毒企业价格或残疾人福利单位所制造生产的货物或提供的服务进行价格扣除，具体如下：</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1、小微型企业价格扣除</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（1）本项目对小型和微型企业产品给予20%的扣除价格，用扣除后的价格参与评审。</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（2）供应商需按照采购文件的要求提供相应的《企业声明函》。</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2、残疾人福利单位价格扣除</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（1）本项目对残疾人福利性单位视同小型、微型企业，给予20%的价格扣除，用扣除后的价格参与评审。</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（2）残疾人福利单位需按照采购文件的要求提供《残疾人福利性单位声明函》。</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（3）残疾人福利单位标准请参照《关于促进残疾人就业政府采购政策的通知》（财库〔2017〕141号）。</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3、监狱和戒毒企业价格扣除</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（1）本项目对监狱和戒毒企业（简称监狱企业）视同小型、微型企业，给予20%的价格扣除，用扣除后的价格参与评审。</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（3）监狱企业标准请参照《关于政府采购支持监狱企业发展有关问题的通知》（财库[2014]68号）。</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4、残疾人福利单位、监狱企业属于小型、微型企业的，不重复享受政策。</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5、大中型企业和其他自然人、法人或者其他组织并与小型、微型企业（残疾人福利单位、监狱企业）组成联合体共同参加政府采购活动。联合协议中约定，小型、微型企业（残疾人福利单位、监狱企业）的协议合同金额占到联合体协议合同总金额30%以上的，给予联合体6%的价格扣除，用扣除后的价格参与评审。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6、联合体各方均为小型、微型企业（残疾人福利单位、监狱企业）的，联合体享受20%价格扣除，用扣除后的价格参与评审。</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rPr>
        <w:t xml:space="preserve">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rPr>
        <w:t xml:space="preserve">三、评审方法与评审标准</w:t>
      </w:r>
      <w:r/>
    </w:p>
    <w:tbl>
      <w:tblPr>
        <w:tblStyle w:val="71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06"/>
        <w:gridCol w:w="1308"/>
        <w:gridCol w:w="7641"/>
      </w:tblGrid>
      <w:tr>
        <w:trPr/>
        <w:tc>
          <w:tcPr>
            <w:gridSpan w:val="3"/>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rPr>
              <w:t xml:space="preserve">评审标准</w:t>
            </w:r>
            <w:r/>
          </w:p>
        </w:tc>
      </w:tr>
      <w:tr>
        <w:trPr>
          <w:trHeight w:val="2385"/>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1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rPr>
              <w:t xml:space="preserve">价格</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rPr>
              <w:t xml:space="preserve">（10分）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641" w:type="dxa"/>
            <w:vAlign w:val="center"/>
            <w:textDirection w:val="lrTb"/>
            <w:noWrap w:val="false"/>
          </w:tcPr>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采用低价优先法计算，以满足采购文件要求且投标价格最低的投标报价为评标基准价，其价格为满分10分。其他投标人的价格分统一按照下列公式计算：投标报价得分＝（评标基准价/投标报价）×10×100%。（保留两位小数）</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注：评标委员会认为投标人的报价明显低于其他通过符合性审查投标人的报价，有可能影响产品质量或者不能诚信履约的，且投标人不能在评标现场合理的时间内证明其报价合理性的，评标委员会有权将其作为无效投标处理。</w:t>
            </w:r>
            <w:r/>
          </w:p>
        </w:tc>
      </w:tr>
      <w:tr>
        <w:trPr>
          <w:trHeight w:val="23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6"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rPr>
              <w:t xml:space="preserve">技术标评分标准（40分）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8"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服务方案</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641"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rPr>
              <w:t xml:space="preserve">1、项目基本情况分析（5分）</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对本项目实施背景、工作目的、工作任务等相关资料掌握分析情况。由评委综合评定：</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（1）掌握情况完整、分析透彻和准确，5分；</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（2）掌握情况较完整、分析较透彻、较准确，得3分；</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（3）掌握情况不完整、分析不透彻、不准确，得1分。</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未提供的不得分。</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rPr>
              <w:t xml:space="preserve">2、项目工作内容（35分）</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基于扬州市城乡生活垃圾分类管理现状，在联合国环境署城市“基于自然解决方案”的总体技术要求下，开展城市生态修复路径与对策研究，提出有机废弃物循环利用路径，开展示范验证，提炼扬州市生态修复的技术模式和管理创新案例，编制有针对性、可操作性的《扬州城市有机废弃物利用与生态修复路径研究报告》《基于自然解决方案的城市生态修复技术指南》等成果，同联合国环境署世界保护监测中心等国际机构合作，通过联合国环境署平台发布推广，协助扬州市在COP16等重要国际会议中展示和交流项目成果。</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由评委综合评定：</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rPr>
              <w:t xml:space="preserve">（1）扬州城乡生活垃圾分类管理现状梳理（3分）：</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从准确性、客观性和翔实度判断。①描述清楚合理、完全满足需求，得3分；②描述清楚合理性、满足需求一般的得1分；③描述清楚合理性、满足需求差的不得分。</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rPr>
              <w:t xml:space="preserve">（2）城市生态修复路径与对策研究，提出有机废弃物循环利用路径（3分）</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①研究方案客观合理，有具体案例者，得3分；②研究方案客观合理，无具体案例者，得3分；③研究方案一般或不清，得1分。未提供的不得分。</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rPr>
              <w:t xml:space="preserve">（3）开展有机废弃物利用技术示范验证，提炼扬州市生态修复的技术模式和管理创新案例（4分）</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①技术案例分析客观合理，有具体案例者，得4分；②技术案例分析客观基本合理，或无具体案列者，得2分；③技术案例分析一般或不清，得1分。未提供的不得分。</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rPr>
              <w:t xml:space="preserve">（4）编制有针对性、可操作性的《扬州城市有机废弃物利用与生态修复路径研究报告》（5分）</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所编制的《扬州城市有机废弃物利用与生态修复路径研究报告》要结合扬州实际，具有科学性和合理性：①有机废弃物利用与生态修复路径科学合理，充分考虑了扬州实际情况，得5分；②有机废弃物利用与生态修复路径科学合理性一般，或未考虑扬州实际情况，得3分；③有机废弃物利用与生态修复路径科学合理程度一般，得1分。未提供的不得分。</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rPr>
              <w:t xml:space="preserve">（5）编制《基于自然解决方案的城市生态修复技术指南》（5分）</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①基于联合国环境署总体技术要求，清楚合理、完全满足需求，得5分；②清楚合理性、满足需求一般的得3分；③清楚合理性、满足需求差的得1分。未提供的不得分。</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rPr>
              <w:t xml:space="preserve">（6）通过联合国环境署平台发布推广（10分）</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①提供联合国环境署世界保护监测中心等机构合作协议，且提供平台发布推广和重要国际会议展示交流方案且切实可行的，得10分；②未提供联合国环境署世界保护监测中心等机构合作协议，或提供的联合国环境署平台发布推广和重要国际会议展示交流方案不可行的不得分。</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rPr>
              <w:t xml:space="preserve">（7）项目进度计划及保障实施（5分）</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项目需求响应方案工作进度计划及保障措施、服务承诺（调研、资料收集、报告编制计划及保障措施，提供的各项服务内容明确到位，承诺内容具体）等进行综合评分。由评委综合评定：</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①计划细致周密，工期服务承诺详细，各类保障措施详细、具体的得5分；②计划较细致周密，工期服务承诺较详细，各类保障措施较详细、具体的得3分；③计划不够细致周密，工期服务承诺不够详细，各类保障措施不够详细、具体的得1分。未提供的不得分。</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6" w:type="dxa"/>
            <w:vAlign w:val="center"/>
            <w:vMerge w:val="restart"/>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rPr>
              <w:t xml:space="preserve">商务标评分标准（45分）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8" w:type="dxa"/>
            <w:vAlign w:val="center"/>
            <w:textDirection w:val="lrTb"/>
            <w:noWrap w:val="false"/>
          </w:tcPr>
          <w:p>
            <w:pPr>
              <w:ind w:left="0" w:right="0" w:firstLine="0"/>
              <w:jc w:val="center"/>
              <w:spacing w:before="200" w:after="20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企业业绩（3分）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41"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投标人提供2018年至今作为承担方进行过生活垃圾分类、有机废弃物利用、固废资源化利用、生态修复等技术服务相关项目的，提供相应的证明文件</w:t>
            </w:r>
            <w:r>
              <w:rPr>
                <w:rFonts w:ascii="FangSong" w:hAnsi="FangSong" w:eastAsia="FangSong" w:cs="FangSong"/>
                <w:b/>
                <w:color w:val="000000"/>
                <w:sz w:val="21"/>
              </w:rPr>
              <w:t xml:space="preserve">（提供合同原件扫描上传，时间以合同签订时间为准）</w:t>
            </w:r>
            <w:r>
              <w:rPr>
                <w:rFonts w:ascii="FangSong" w:hAnsi="FangSong" w:eastAsia="FangSong" w:cs="FangSong"/>
                <w:color w:val="000000"/>
                <w:sz w:val="21"/>
              </w:rPr>
              <w:t xml:space="preserve">，每项1分，最高3分。</w:t>
            </w:r>
            <w:r/>
          </w:p>
        </w:tc>
      </w:tr>
      <w:tr>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8" w:type="dxa"/>
            <w:vAlign w:val="center"/>
            <w:textDirection w:val="lrTb"/>
            <w:noWrap w:val="false"/>
          </w:tcPr>
          <w:p>
            <w:pPr>
              <w:ind w:left="0" w:right="0" w:firstLine="0"/>
              <w:jc w:val="center"/>
              <w:spacing w:before="200" w:after="20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项目负责人业绩</w:t>
            </w:r>
            <w:r/>
          </w:p>
          <w:p>
            <w:pPr>
              <w:ind w:left="0" w:right="0" w:firstLine="0"/>
              <w:jc w:val="center"/>
              <w:spacing w:before="200" w:after="20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（3分）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41"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拟投入项目负责人负责过生活垃圾分类、有机废弃物利用、固废资源化利用、生态修复等技术服务项目的得1分，没有不得分；项目负责人承担过联合国环境规划署（UNEP）国际合作项目的得2分，没有不得分。</w:t>
            </w:r>
            <w:r>
              <w:rPr>
                <w:rFonts w:ascii="FangSong" w:hAnsi="FangSong" w:eastAsia="FangSong" w:cs="FangSong"/>
                <w:b/>
                <w:color w:val="000000"/>
                <w:sz w:val="21"/>
              </w:rPr>
              <w:t xml:space="preserve">（须同时提供服务合同、项目批准通知、项目负责人证明等对应原件的扫描件上传）</w:t>
            </w:r>
            <w:r>
              <w:rPr>
                <w:rFonts w:ascii="FangSong" w:hAnsi="FangSong" w:eastAsia="FangSong" w:cs="FangSong"/>
                <w:color w:val="000000"/>
                <w:sz w:val="21"/>
              </w:rPr>
              <w:t xml:space="preserve">。</w:t>
            </w:r>
            <w:r/>
          </w:p>
        </w:tc>
      </w:tr>
      <w:tr>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8" w:type="dxa"/>
            <w:vAlign w:val="center"/>
            <w:textDirection w:val="lrTb"/>
            <w:noWrap w:val="false"/>
          </w:tcPr>
          <w:p>
            <w:pPr>
              <w:ind w:left="0" w:right="0" w:firstLine="0"/>
              <w:jc w:val="center"/>
              <w:spacing w:before="200" w:after="20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项目人员（39分）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41"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拟投入项目负责人具有生态环境类（生态学类、环境工程类、环境科学类、环境规划类、环境管理类）专业正高职称证书或正高级岗位聘用证书的得10分，副高级职称证书或副高级岗位聘用证书的得3分，中级职称或中级岗位聘用证书的得1分。</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2、拟投入项目组成员不能少于5人（项目负责人除外），其中每一个具有生态环境类相关专业正高级职称证书或正高级岗位聘用证书的得5分，具有副高级职称证书或副高级岗位聘用证书的得2分，本项最高得25分。</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3、拟投入项目负责人主编过固废资源化领域的团体、行业或国家标准规范的得2分；获得固废资源化领域专利和软著授权的，每项得1分，最高得2分；本项总分4分。</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rPr>
              <w:t xml:space="preserve">（须提供职称证书或岗位聘用证书等证明材料及投标人近三个月任意一个月为其缴纳社保的证明，原件扫描上传。）</w:t>
            </w:r>
            <w:r/>
          </w:p>
        </w:tc>
      </w:tr>
      <w:tr>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8" w:type="dxa"/>
            <w:vAlign w:val="center"/>
            <w:textDirection w:val="lrTb"/>
            <w:noWrap w:val="false"/>
          </w:tcPr>
          <w:p>
            <w:pPr>
              <w:ind w:left="0" w:right="0" w:firstLine="0"/>
              <w:jc w:val="center"/>
              <w:spacing w:before="200" w:after="20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服务承诺（5分）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41"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供应商须对本项目提供服务承诺，评委根据供应商服务承诺进行综合评价：服务承诺优，有具体的实施方案及可行性强的5分；服务承诺较好，有具体的实施方案及可行性较强的2分；服务承诺一般，响应方案及可行性一般的1分；</w:t>
            </w:r>
            <w:r>
              <w:rPr>
                <w:rFonts w:ascii="FangSong" w:hAnsi="FangSong" w:eastAsia="FangSong" w:cs="FangSong"/>
                <w:b/>
                <w:color w:val="000000"/>
                <w:sz w:val="21"/>
              </w:rPr>
              <w:t xml:space="preserve">未提供的不得分。</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44"/>
        </w:rPr>
        <w:t xml:space="preserve"> </w:t>
      </w:r>
      <w:r/>
    </w:p>
    <w:p>
      <w:pPr>
        <w:pStyle w:val="680"/>
        <w:ind w:left="0" w:right="0" w:firstLine="0"/>
        <w:jc w:val="center"/>
        <w:spacing w:before="340" w:after="330" w:line="6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44"/>
        </w:rPr>
        <w:t xml:space="preserve">第六章 投标文件格式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4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72"/>
        </w:rPr>
        <w:t xml:space="preserve">投标文件</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7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7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6"/>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6"/>
        </w:rPr>
        <w:t xml:space="preserve"> </w:t>
      </w:r>
      <w:r/>
    </w:p>
    <w:p>
      <w:pPr>
        <w:ind w:left="0" w:right="0" w:firstLine="1084"/>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6"/>
        </w:rPr>
        <w:t xml:space="preserve">项 目 名 称：</w:t>
      </w:r>
      <w:r>
        <w:rPr>
          <w:rFonts w:ascii="FangSong" w:hAnsi="FangSong" w:eastAsia="FangSong" w:cs="FangSong"/>
          <w:b/>
          <w:color w:val="000000"/>
          <w:sz w:val="36"/>
          <w:u w:val="single"/>
        </w:rPr>
        <w:t xml:space="preserve">               </w:t>
      </w:r>
      <w:r/>
    </w:p>
    <w:p>
      <w:pPr>
        <w:ind w:left="0" w:right="0" w:firstLine="1084"/>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6"/>
        </w:rPr>
        <w:t xml:space="preserve">招 标 编 号：</w:t>
      </w:r>
      <w:r>
        <w:rPr>
          <w:rFonts w:ascii="FangSong" w:hAnsi="FangSong" w:eastAsia="FangSong" w:cs="FangSong"/>
          <w:b/>
          <w:color w:val="000000"/>
          <w:sz w:val="36"/>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6"/>
        </w:rPr>
        <w:t xml:space="preserve">      投标人名称 ：</w:t>
      </w:r>
      <w:r>
        <w:rPr>
          <w:rFonts w:ascii="FangSong" w:hAnsi="FangSong" w:eastAsia="FangSong" w:cs="FangSong"/>
          <w:b/>
          <w:color w:val="000000"/>
          <w:sz w:val="36"/>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6"/>
        </w:rPr>
        <w:t xml:space="preserve">      日期 ：</w:t>
      </w:r>
      <w:r>
        <w:rPr>
          <w:rFonts w:ascii="FangSong" w:hAnsi="FangSong" w:eastAsia="FangSong" w:cs="FangSong"/>
          <w:b/>
          <w:color w:val="000000"/>
          <w:sz w:val="36"/>
          <w:u w:val="single"/>
        </w:rPr>
        <w:t xml:space="preserve">               </w:t>
      </w:r>
      <w:r/>
    </w:p>
    <w:p>
      <w:pPr>
        <w:ind w:left="0" w:right="0" w:firstLine="1084"/>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6"/>
        </w:rPr>
        <w:t xml:space="preserve">投标人：</w:t>
      </w:r>
      <w:r>
        <w:rPr>
          <w:rFonts w:ascii="FangSong" w:hAnsi="FangSong" w:eastAsia="FangSong" w:cs="FangSong"/>
          <w:b/>
          <w:color w:val="000000"/>
          <w:sz w:val="36"/>
          <w:u w:val="single"/>
        </w:rPr>
        <w:t xml:space="preserve">         </w:t>
      </w:r>
      <w:r>
        <w:rPr>
          <w:rFonts w:ascii="FangSong" w:hAnsi="FangSong" w:eastAsia="FangSong" w:cs="FangSong"/>
          <w:b/>
          <w:color w:val="000000"/>
          <w:sz w:val="36"/>
        </w:rPr>
        <w:t xml:space="preserve">（电子签章）</w:t>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 </w:t>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 </w:t>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投标主要文件目录</w:t>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一、资格审查响应对照表</w:t>
      </w:r>
      <w:r/>
    </w:p>
    <w:p>
      <w:pPr>
        <w:ind w:left="48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二、符合性审查响应对照表</w:t>
      </w:r>
      <w:r/>
    </w:p>
    <w:p>
      <w:pPr>
        <w:ind w:left="48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三、非实质性响应对照表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四、</w:t>
      </w:r>
      <w:r>
        <w:rPr>
          <w:rFonts w:ascii="FangSong" w:hAnsi="FangSong" w:eastAsia="FangSong" w:cs="FangSong"/>
          <w:i/>
          <w:color w:val="000000"/>
          <w:sz w:val="24"/>
          <w:u w:val="single"/>
        </w:rPr>
        <w:t xml:space="preserve">开标一览表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五、分项报价表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六、技术参数响应及偏离表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七、商务条款响应及偏离表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八、其他 （投标人认为有必要提供的声明和文件，如有自拟并自行添加）</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72"/>
        </w:rPr>
        <w:t xml:space="preserve"> </w:t>
      </w:r>
      <w:r/>
    </w:p>
    <w:p>
      <w:pPr>
        <w:ind w:left="0" w:right="0" w:firstLine="0"/>
        <w:jc w:val="center"/>
        <w:spacing w:before="0" w:after="0" w:line="6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72"/>
        </w:rPr>
        <w:t xml:space="preserve"> </w:t>
      </w:r>
      <w:r/>
    </w:p>
    <w:p>
      <w:pPr>
        <w:ind w:left="0" w:right="0" w:firstLine="0"/>
        <w:jc w:val="center"/>
        <w:spacing w:before="0" w:after="0" w:line="6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72"/>
        </w:rPr>
        <w:t xml:space="preserve"> </w:t>
      </w:r>
      <w:r/>
    </w:p>
    <w:p>
      <w:pPr>
        <w:ind w:left="0" w:right="0" w:firstLine="0"/>
        <w:jc w:val="both"/>
        <w:spacing w:before="0" w:after="0" w:line="6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6"/>
        </w:rPr>
        <w:t xml:space="preserve"> </w:t>
      </w:r>
      <w:r/>
    </w:p>
    <w:p>
      <w:pPr>
        <w:ind w:left="0" w:right="0" w:firstLine="0"/>
        <w:jc w:val="both"/>
        <w:spacing w:before="0" w:after="0" w:line="6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6"/>
        </w:rPr>
        <w:t xml:space="preserve"> </w:t>
      </w:r>
      <w:r/>
    </w:p>
    <w:p>
      <w:pPr>
        <w:ind w:left="0" w:right="0" w:firstLine="0"/>
        <w:jc w:val="both"/>
        <w:spacing w:before="0" w:after="0" w:line="6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6"/>
        </w:rPr>
        <w:t xml:space="preserve"> </w:t>
      </w:r>
      <w:r/>
    </w:p>
    <w:p>
      <w:pPr>
        <w:ind w:left="0" w:right="0" w:firstLine="0"/>
        <w:jc w:val="both"/>
        <w:spacing w:before="0" w:after="0" w:line="6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6"/>
        </w:rPr>
        <w:t xml:space="preserve"> </w:t>
      </w:r>
      <w:r/>
    </w:p>
    <w:p>
      <w:pPr>
        <w:ind w:left="0" w:right="0" w:firstLine="0"/>
        <w:jc w:val="both"/>
        <w:spacing w:before="0" w:after="0" w:line="6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6"/>
        </w:rPr>
        <w:t xml:space="preserve"> </w:t>
      </w:r>
      <w:r/>
    </w:p>
    <w:p>
      <w:pPr>
        <w:ind w:left="0" w:right="0" w:firstLine="0"/>
        <w:jc w:val="both"/>
        <w:spacing w:before="0" w:after="0" w:line="6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6"/>
        </w:rPr>
        <w:t xml:space="preserve"> </w:t>
      </w:r>
      <w:r/>
    </w:p>
    <w:p>
      <w:pPr>
        <w:ind w:left="0" w:right="0" w:firstLine="0"/>
        <w:jc w:val="both"/>
        <w:spacing w:before="0" w:after="0" w:line="6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6"/>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 </w:t>
      </w:r>
      <w:r/>
    </w:p>
    <w:p>
      <w:pPr>
        <w:pStyle w:val="682"/>
        <w:ind w:left="851" w:right="0" w:hanging="567"/>
        <w:jc w:val="center"/>
        <w:spacing w:before="312" w:after="312"/>
        <w:pBdr>
          <w:top w:val="none" w:color="000000" w:sz="4" w:space="0"/>
          <w:left w:val="none" w:color="000000" w:sz="4" w:space="0"/>
          <w:bottom w:val="none" w:color="000000" w:sz="4" w:space="0"/>
          <w:right w:val="none" w:color="000000" w:sz="4" w:space="0"/>
        </w:pBdr>
      </w:pPr>
      <w:r>
        <w:br w:type="page" w:clear="all"/>
      </w:r>
      <w:r/>
    </w:p>
    <w:p>
      <w:pPr>
        <w:pStyle w:val="682"/>
        <w:ind w:left="851" w:right="0" w:hanging="567"/>
        <w:jc w:val="center"/>
        <w:spacing w:before="312" w:after="312"/>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一、资格审查响应对照表</w:t>
      </w:r>
      <w:r/>
    </w:p>
    <w:tbl>
      <w:tblPr>
        <w:tblStyle w:val="71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78"/>
        <w:gridCol w:w="5058"/>
        <w:gridCol w:w="1888"/>
      </w:tblGrid>
      <w:tr>
        <w:trPr>
          <w:trHeight w:val="64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78"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058"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rPr>
              <w:t xml:space="preserve">资格审查响应内容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88"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rPr>
              <w:t xml:space="preserve">是否响应</w:t>
            </w:r>
            <w:r/>
          </w:p>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rPr>
              <w:t xml:space="preserve">（填是或者否）</w:t>
            </w:r>
            <w:r/>
          </w:p>
        </w:tc>
      </w:tr>
      <w:tr>
        <w:trPr>
          <w:trHeight w:val="335"/>
        </w:trPr>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24"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rPr>
              <w:t xml:space="preserve">通用资格条件</w:t>
            </w:r>
            <w:r/>
          </w:p>
        </w:tc>
      </w:tr>
      <w:tr>
        <w:trPr>
          <w:trHeight w:val="76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058"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法人或者其他组织的营业执照等证明文件，自然人的身份证明（身份证为正、反面）</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8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rPr>
              <w:t xml:space="preserve"> </w:t>
            </w:r>
            <w:r/>
          </w:p>
        </w:tc>
      </w:tr>
      <w:tr>
        <w:trPr>
          <w:trHeight w:val="5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58"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依法缴纳职工社会保障资金的证明材料</w:t>
            </w:r>
            <w:r>
              <w:rPr>
                <w:rFonts w:ascii="FangSong" w:hAnsi="FangSong" w:eastAsia="FangSong" w:cs="FangSong"/>
                <w:b/>
                <w:color w:val="000000"/>
                <w:sz w:val="21"/>
              </w:rPr>
              <w:t xml:space="preserve">(税务、银行或社会保险基金管理部门出具的近三个月内任意一个份缴纳职工社会保障资金的缴款凭证或缴款证明)</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8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r>
      <w:tr>
        <w:trPr>
          <w:trHeight w:val="5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58"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投标人近三个月内任意一份依法纳税的缴款凭证</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8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r>
      <w:tr>
        <w:trPr>
          <w:trHeight w:val="41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58"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上一年度的财务状况情况</w:t>
            </w:r>
            <w:r>
              <w:rPr>
                <w:rFonts w:ascii="FangSong" w:hAnsi="FangSong" w:eastAsia="FangSong" w:cs="FangSong"/>
                <w:b/>
                <w:color w:val="000000"/>
                <w:sz w:val="21"/>
              </w:rPr>
              <w:t xml:space="preserve">（成立不满一年不需提供）</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8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r>
      <w:tr>
        <w:trPr>
          <w:trHeight w:val="7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58"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具备履行合同所必需的设备和专业技术能力的证明材料</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8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r>
      <w:tr>
        <w:trPr>
          <w:trHeight w:val="7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58"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参加本次政府采购活动前3年内在经营活动中没有重大违法记录的书面声明</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8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r>
      <w:tr>
        <w:trPr>
          <w:trHeight w:val="7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58"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未被“信用中国”网站（www.creditchina.gov.cn）、“中国政府采购网"(www.ccgp.gov.cn)列入失信被执行人、重大税收违法案.件当事人名单、政府采购严重违法失信行为记录名单</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8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r>
      <w:tr>
        <w:trPr>
          <w:trHeight w:val="7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58"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供应商信用承诺函</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8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r>
      <w:tr>
        <w:trPr>
          <w:trHeight w:val="90"/>
        </w:trPr>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24"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rPr>
              <w:t xml:space="preserve">落实政府采购政策需满足的资格要求</w:t>
            </w:r>
            <w:r/>
          </w:p>
        </w:tc>
      </w:tr>
      <w:tr>
        <w:trPr>
          <w:trHeight w:val="4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9</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058"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无</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8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r>
      <w:tr>
        <w:trPr>
          <w:trHeight w:val="383"/>
        </w:trPr>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24"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rPr>
              <w:t xml:space="preserve">特定资格条件</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10</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058"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无</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8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r>
      <w:tr>
        <w:trPr>
          <w:trHeight w:val="400"/>
        </w:trPr>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24"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rPr>
              <w:t xml:space="preserve">其他</w:t>
            </w:r>
            <w:r/>
          </w:p>
        </w:tc>
      </w:tr>
      <w:tr>
        <w:trPr>
          <w:trHeight w:val="4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12</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058"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投标函</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8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r>
      <w:tr>
        <w:trPr>
          <w:trHeight w:val="4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58"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法人授权书</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8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r>
    </w:tbl>
    <w:p>
      <w:pPr>
        <w:ind w:left="0" w:right="0" w:firstLine="1476"/>
        <w:jc w:val="both"/>
        <w:spacing w:before="156" w:after="156"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1476"/>
        <w:jc w:val="both"/>
        <w:spacing w:before="156" w:after="156"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rPr>
        <w:t xml:space="preserve">具备履行合同所必需的设备和专业技术能力的书面声明</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我单位郑重声明：我单位具备履行本项采购合同所必需的设备和专业技术能力，为履行本项采购合同我公司具备如下主要设备和主要专业技术能力：</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主要设备有：</w:t>
      </w:r>
      <w:r>
        <w:rPr>
          <w:rFonts w:ascii="FangSong" w:hAnsi="FangSong" w:eastAsia="FangSong" w:cs="FangSong"/>
          <w:color w:val="000000"/>
          <w:sz w:val="21"/>
          <w:u w:val="single"/>
        </w:rPr>
        <w:t xml:space="preserve">  </w:t>
      </w:r>
      <w:r>
        <w:rPr>
          <w:rFonts w:ascii="FangSong" w:hAnsi="FangSong" w:eastAsia="FangSong" w:cs="FangSong"/>
          <w:color w:val="000000"/>
          <w:sz w:val="21"/>
        </w:rPr>
        <w:t xml:space="preserve">。</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主要专业技术能力有：</w:t>
      </w:r>
      <w:r>
        <w:rPr>
          <w:rFonts w:ascii="FangSong" w:hAnsi="FangSong" w:eastAsia="FangSong" w:cs="FangSong"/>
          <w:color w:val="000000"/>
          <w:sz w:val="21"/>
          <w:u w:val="single"/>
        </w:rPr>
        <w:t xml:space="preserve">   </w:t>
      </w:r>
      <w:r>
        <w:rPr>
          <w:rFonts w:ascii="FangSong" w:hAnsi="FangSong" w:eastAsia="FangSong" w:cs="FangSong"/>
          <w:color w:val="000000"/>
          <w:sz w:val="21"/>
        </w:rPr>
        <w:t xml:space="preserve">。</w:t>
      </w:r>
      <w:r/>
    </w:p>
    <w:p>
      <w:pPr>
        <w:ind w:left="0" w:right="0" w:firstLine="0"/>
        <w:jc w:val="both"/>
        <w:spacing w:before="0" w:after="0" w:line="6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6"/>
        </w:rPr>
        <w:t xml:space="preserve"> </w:t>
      </w:r>
      <w:r/>
    </w:p>
    <w:p>
      <w:pPr>
        <w:ind w:left="0" w:right="0" w:firstLine="0"/>
        <w:jc w:val="both"/>
        <w:spacing w:before="0" w:after="0" w:line="6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6"/>
        </w:rPr>
        <w:t xml:space="preserve"> </w:t>
      </w:r>
      <w:r/>
    </w:p>
    <w:p>
      <w:pPr>
        <w:ind w:left="0" w:right="0" w:firstLine="0"/>
        <w:jc w:val="both"/>
        <w:spacing w:before="0" w:after="0" w:line="6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6"/>
        </w:rPr>
        <w:t xml:space="preserve"> </w:t>
      </w:r>
      <w:r/>
    </w:p>
    <w:p>
      <w:pPr>
        <w:ind w:left="0" w:right="0" w:firstLine="0"/>
        <w:jc w:val="both"/>
        <w:spacing w:before="0" w:after="0" w:line="6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6"/>
        </w:rPr>
        <w:t xml:space="preserve"> </w:t>
      </w:r>
      <w:r/>
    </w:p>
    <w:p>
      <w:pPr>
        <w:ind w:left="0" w:right="0" w:firstLine="0"/>
        <w:jc w:val="both"/>
        <w:spacing w:before="0" w:after="0" w:line="6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6"/>
        </w:rPr>
        <w:t xml:space="preserve"> </w:t>
      </w:r>
      <w:r/>
    </w:p>
    <w:p>
      <w:pPr>
        <w:ind w:left="0" w:right="0" w:firstLine="0"/>
        <w:jc w:val="both"/>
        <w:spacing w:before="0" w:after="0" w:line="6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6"/>
        </w:rPr>
        <w:t xml:space="preserve"> </w:t>
      </w:r>
      <w:r/>
    </w:p>
    <w:p>
      <w:pPr>
        <w:ind w:left="0" w:right="0" w:firstLine="0"/>
        <w:jc w:val="both"/>
        <w:spacing w:before="0" w:after="0" w:line="6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6"/>
        </w:rPr>
        <w:t xml:space="preserve"> </w:t>
      </w:r>
      <w:r/>
    </w:p>
    <w:p>
      <w:pPr>
        <w:ind w:left="0" w:right="0" w:firstLine="0"/>
        <w:jc w:val="both"/>
        <w:spacing w:before="0" w:after="0" w:line="6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6"/>
        </w:rPr>
        <w:t xml:space="preserve"> </w:t>
      </w:r>
      <w:r/>
    </w:p>
    <w:p>
      <w:pPr>
        <w:ind w:left="0" w:right="0" w:firstLine="0"/>
        <w:jc w:val="both"/>
        <w:spacing w:before="0" w:after="0" w:line="6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6"/>
        </w:rPr>
        <w:t xml:space="preserve"> </w:t>
      </w:r>
      <w:r/>
    </w:p>
    <w:p>
      <w:pPr>
        <w:ind w:left="0" w:right="0" w:firstLine="0"/>
        <w:jc w:val="both"/>
        <w:spacing w:before="0" w:after="0" w:line="6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6"/>
        </w:rPr>
        <w:t xml:space="preserve"> </w:t>
      </w:r>
      <w:r/>
    </w:p>
    <w:p>
      <w:pPr>
        <w:ind w:left="0" w:right="0" w:firstLine="0"/>
        <w:jc w:val="both"/>
        <w:spacing w:before="0" w:after="0" w:line="6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6"/>
        </w:rPr>
        <w:t xml:space="preserve"> </w:t>
      </w:r>
      <w:r/>
    </w:p>
    <w:p>
      <w:pPr>
        <w:ind w:left="0" w:right="0" w:firstLine="0"/>
        <w:jc w:val="both"/>
        <w:spacing w:before="0" w:after="0" w:line="6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6"/>
        </w:rPr>
        <w:t xml:space="preserve"> </w:t>
      </w:r>
      <w:r/>
    </w:p>
    <w:p>
      <w:pPr>
        <w:ind w:left="0" w:right="0" w:firstLine="0"/>
        <w:jc w:val="both"/>
        <w:spacing w:before="0" w:after="0" w:line="6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6"/>
        </w:rPr>
        <w:t xml:space="preserve"> </w:t>
      </w:r>
      <w:r/>
    </w:p>
    <w:p>
      <w:pPr>
        <w:ind w:left="0" w:right="0" w:firstLine="0"/>
        <w:jc w:val="both"/>
        <w:spacing w:before="0" w:after="0" w:line="6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6"/>
        </w:rPr>
        <w:t xml:space="preserve"> </w:t>
      </w:r>
      <w:r/>
    </w:p>
    <w:p>
      <w:pPr>
        <w:ind w:left="0" w:right="0" w:firstLine="0"/>
        <w:jc w:val="both"/>
        <w:spacing w:before="0" w:after="0" w:line="6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6"/>
        </w:rPr>
        <w:t xml:space="preserve"> </w:t>
      </w:r>
      <w:r/>
    </w:p>
    <w:p>
      <w:pPr>
        <w:ind w:left="0" w:right="0" w:firstLine="0"/>
        <w:jc w:val="both"/>
        <w:spacing w:before="0" w:after="0" w:line="6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6"/>
        </w:rPr>
        <w:t xml:space="preserve"> </w:t>
      </w:r>
      <w:r/>
    </w:p>
    <w:p>
      <w:pPr>
        <w:ind w:left="0" w:right="0" w:firstLine="0"/>
        <w:jc w:val="both"/>
        <w:spacing w:before="0" w:after="0" w:line="600"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rPr>
        <w:t xml:space="preserve">参加本次政府采购活动前 3 年内在经营活动中没有重大违法记录的书面声明</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p>
      <w:pPr>
        <w:ind w:left="0" w:right="0" w:firstLine="0"/>
        <w:jc w:val="center"/>
        <w:spacing w:before="0" w:after="312"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rPr>
        <w:t xml:space="preserve">声明</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rPr>
        <w:t xml:space="preserve">    </w:t>
      </w:r>
      <w:r>
        <w:rPr>
          <w:rFonts w:ascii="FangSong" w:hAnsi="FangSong" w:eastAsia="FangSong" w:cs="FangSong"/>
          <w:color w:val="000000"/>
          <w:sz w:val="21"/>
        </w:rPr>
        <w:t xml:space="preserve">我公司郑重声明：参加本次政府采购活动前 3 年内，我公司在经营活动中没有因违法经营受到刑事处罚或者责令停产停业、吊销许可证或者执照、较大数额罚款等行政处罚。</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供应商名称（公章）：</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法定代表人签章：_______________________</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日期：______年    月    日</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rPr>
        <w:t xml:space="preserve"> </w:t>
      </w:r>
      <w:r/>
    </w:p>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rPr>
        <w:t xml:space="preserve">供应商信用承诺书</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承诺主体名称：</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统一社会信用代码：</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为维护公平竞争、规范有序的市场秩序，营造诚实守信的信用环境，共同推进社会信用体系建设完善，树立企业诚信守法形象，本企业对________________________项目政府采购活动郑重承诺如下:</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一、对提供给注册登记部门、行业管理部门、司法部门、行业组织以及在政府采购活动中提交的所有资料的合法性、真实性、准确性和有效性负责；</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二、严格按照国家法律、法规和规章开展采购活动，全面履行应尽的责任和义务，全面做到履约守信，具备《中华人民共和国政府采购法》第二十二条第一款规定的条件;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三、严格依法开展生产经营活动，主动接受行业监管，自愿接受依法开展的日常检查；违法失信经营后将自愿接受约束和惩戒，并依法承担相应责任；</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四、自觉接受行政管理部门、行业组织、社会公众、新闻舆论的监督；</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五、自觉做到自我约束、自我管理，不制假售假、商标侵权、虚假宣传、违约毁约、恶意逃债、偷税漏税、垄断和不正当竞争，维护经营者、消费者的合法权益；</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六、提出政府采购质疑和投诉坚持依法依规、诚实信用原则，在全国范围12个月内没有三次以上查无实据的政府采购投诉；</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七、严格遵守信用信息公示相关规定，向社会公示信用信息；</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八、在“信用中国”和“中国政府采购网”网站中无违法违规、较重或严重失信记录；</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九、如违反承诺，自愿接受管理部门依法给予的行政处罚，同意将违反承诺的行为作为不良记录记入信用档案，依法依规进行信息公示，并承担所产生的一切法律责任和经济损失。</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十、本承诺书自签订之日起生效。</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（注：法定代表人或负责人、主体名称发生变更的应当重新做出承诺。）</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承诺单位（签章）：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法定代表人（负责人）：</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年    月    日</w:t>
      </w:r>
      <w:r/>
    </w:p>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rPr>
        <w:t xml:space="preserve">投标函格式</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致：江苏省设备成套股份有限公司</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根据贵方的 </w:t>
      </w:r>
      <w:r>
        <w:rPr>
          <w:rFonts w:ascii="FangSong" w:hAnsi="FangSong" w:eastAsia="FangSong" w:cs="FangSong"/>
          <w:color w:val="000000"/>
          <w:sz w:val="21"/>
          <w:u w:val="single"/>
        </w:rPr>
        <w:t xml:space="preserve">           </w:t>
      </w:r>
      <w:r>
        <w:rPr>
          <w:rFonts w:ascii="FangSong" w:hAnsi="FangSong" w:eastAsia="FangSong" w:cs="FangSong"/>
          <w:color w:val="000000"/>
          <w:sz w:val="21"/>
        </w:rPr>
        <w:t xml:space="preserve">号招标文件，正式授权下述签字人_________________(姓名)代表我方______________（投标人的名称），全权处理本次项目投标的有关事宜。</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据此函，__________签字人（姓名）兹宣布同意如下：</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1.按招标文件规定的各项要求，向买方提供所需货物与服务。</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2.我们完全理解贵方不一定将合同授予最低报价的投标人。</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3.我们已详细审核全部招标文件及其有效补充文件，我们知道必须放弃提出含糊不清或误解问题的权利。</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4.我们同意从规定的开标日期起遵循本投标文件，并在规定的投标有效期期满之前均具有约束力。</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5.同意向贵方提供贵方可能另外要求的与投标有关的任何证据或资料，并保证我方已提供和将要提供的文件是真实的、准确的。</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6.一旦我方中标,我方将根据招标文件的规定，严格履行合同的责任和义务,并保证在招标文件规定的时间完成项目，交付买方验收、使用。</w:t>
      </w:r>
      <w:r/>
    </w:p>
    <w:p>
      <w:pPr>
        <w:ind w:left="425" w:right="0" w:firstLine="105"/>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7.与本投标有关的正式通讯地址为：</w:t>
      </w:r>
      <w:r/>
    </w:p>
    <w:p>
      <w:pPr>
        <w:ind w:left="0" w:right="0" w:firstLine="478"/>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地 址：</w:t>
      </w:r>
      <w:r/>
    </w:p>
    <w:p>
      <w:pPr>
        <w:ind w:left="0" w:right="0" w:firstLine="478"/>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邮 编：</w:t>
      </w:r>
      <w:r/>
    </w:p>
    <w:p>
      <w:pPr>
        <w:ind w:left="0" w:right="0" w:firstLine="478"/>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电 话： </w:t>
      </w:r>
      <w:r/>
    </w:p>
    <w:p>
      <w:pPr>
        <w:ind w:left="0" w:right="0" w:firstLine="478"/>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传 真： </w:t>
      </w:r>
      <w:r/>
    </w:p>
    <w:p>
      <w:pPr>
        <w:ind w:left="0" w:right="0" w:firstLine="478"/>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投标人开户行：</w:t>
      </w:r>
      <w:r/>
    </w:p>
    <w:p>
      <w:pPr>
        <w:ind w:left="0" w:right="0" w:firstLine="478"/>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账 户： </w:t>
      </w:r>
      <w:r/>
    </w:p>
    <w:p>
      <w:pPr>
        <w:ind w:left="0" w:right="0" w:firstLine="478"/>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行 号：</w:t>
      </w:r>
      <w:r/>
    </w:p>
    <w:p>
      <w:pPr>
        <w:ind w:left="0" w:right="0" w:firstLine="478"/>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日 期：________年____月____日</w:t>
      </w:r>
      <w:r/>
    </w:p>
    <w:p>
      <w:pPr>
        <w:ind w:left="0" w:right="0" w:firstLine="0"/>
        <w:jc w:val="both"/>
        <w:spacing w:before="0" w:after="0" w:line="6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rPr>
        <w:t xml:space="preserve">法人授权书</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本授权书声明：________________（投标人名称）授权________________（被授权人的姓名）为我方就（项目编号）号（项目名称）项目采购活动的合法代理人，以本公司名义全权处理一切与该项目采购有关的事务。</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本授权书于______年____月____日起生效，特此声明。</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被授权人姓名：_______________________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联系电话（手机）：</w:t>
      </w:r>
      <w:r>
        <w:rPr>
          <w:rFonts w:ascii="FangSong" w:hAnsi="FangSong" w:eastAsia="FangSong" w:cs="FangSong"/>
          <w:color w:val="000000"/>
          <w:sz w:val="21"/>
          <w:u w:val="single"/>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单位名称：___________________________</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单位地址：</w:t>
      </w:r>
      <w:r>
        <w:rPr>
          <w:rFonts w:ascii="FangSong" w:hAnsi="FangSong" w:eastAsia="FangSong" w:cs="FangSong"/>
          <w:color w:val="000000"/>
          <w:sz w:val="21"/>
          <w:u w:val="single"/>
        </w:rPr>
        <w:t xml:space="preserve">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日期：</w:t>
      </w:r>
      <w:r>
        <w:rPr>
          <w:rFonts w:ascii="FangSong" w:hAnsi="FangSong" w:eastAsia="FangSong" w:cs="FangSong"/>
          <w:color w:val="000000"/>
          <w:sz w:val="21"/>
          <w:u w:val="single"/>
        </w:rPr>
        <w:t xml:space="preserve">                               </w:t>
      </w:r>
      <w:r>
        <w:rPr>
          <w:rFonts w:ascii="FangSong" w:hAnsi="FangSong" w:eastAsia="FangSong" w:cs="FangSong"/>
          <w:color w:val="000000"/>
          <w:sz w:val="21"/>
        </w:rPr>
        <w:t xml:space="preserve"> </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被授权人身份证复印</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pStyle w:val="682"/>
        <w:ind w:left="851" w:right="0" w:hanging="567"/>
        <w:jc w:val="center"/>
        <w:spacing w:before="260" w:after="260" w:line="98"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二、符合性审查响应对照表</w:t>
      </w:r>
      <w:r/>
    </w:p>
    <w:tbl>
      <w:tblPr>
        <w:tblStyle w:val="71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52"/>
        <w:gridCol w:w="4489"/>
        <w:gridCol w:w="1422"/>
        <w:gridCol w:w="1093"/>
      </w:tblGrid>
      <w:tr>
        <w:trPr>
          <w:trHeight w:val="882"/>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52"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489"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rPr>
              <w:t xml:space="preserve">符合性审查响应内容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22"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rPr>
              <w:t xml:space="preserve">是否响应</w:t>
            </w:r>
            <w:r/>
          </w:p>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rPr>
              <w:t xml:space="preserve">（填是或者否）</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93"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rPr>
              <w:t xml:space="preserve">响应情况</w:t>
            </w:r>
            <w:r/>
          </w:p>
        </w:tc>
      </w:tr>
      <w:tr>
        <w:trPr>
          <w:trHeight w:val="5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8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采购需求中必须满足的实质性要求（即加斜体下划线内容，每条详细列出）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2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9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rPr>
              <w:t xml:space="preserve"> </w:t>
            </w:r>
            <w:r/>
          </w:p>
        </w:tc>
      </w:tr>
      <w:tr>
        <w:trPr>
          <w:trHeight w:val="5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8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2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9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r>
      <w:tr>
        <w:trPr>
          <w:trHeight w:val="5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8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2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9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r>
      <w:tr>
        <w:trPr>
          <w:trHeight w:val="41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8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2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9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r>
      <w:tr>
        <w:trPr>
          <w:trHeight w:val="7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8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2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9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r>
    </w:tbl>
    <w:p>
      <w:pPr>
        <w:ind w:left="0" w:right="0" w:firstLine="0"/>
        <w:jc w:val="center"/>
        <w:spacing w:before="0" w:after="0" w:line="6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 </w:t>
      </w:r>
      <w:r/>
    </w:p>
    <w:p>
      <w:pPr>
        <w:ind w:left="0" w:right="0" w:firstLine="0"/>
        <w:jc w:val="center"/>
        <w:spacing w:before="0" w:after="0" w:line="6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 </w:t>
      </w:r>
      <w:r/>
    </w:p>
    <w:p>
      <w:pPr>
        <w:ind w:left="0" w:right="0" w:firstLine="0"/>
        <w:jc w:val="center"/>
        <w:spacing w:before="0" w:after="0" w:line="6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 </w:t>
      </w:r>
      <w:r/>
    </w:p>
    <w:p>
      <w:pPr>
        <w:ind w:left="0" w:right="0" w:firstLine="0"/>
        <w:jc w:val="center"/>
        <w:spacing w:before="0" w:after="0" w:line="6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 </w:t>
      </w:r>
      <w:r/>
    </w:p>
    <w:p>
      <w:pPr>
        <w:ind w:left="0" w:right="0" w:firstLine="0"/>
        <w:jc w:val="center"/>
        <w:spacing w:before="0" w:after="0" w:line="6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 </w:t>
      </w:r>
      <w:r/>
    </w:p>
    <w:p>
      <w:pPr>
        <w:ind w:left="0" w:right="0" w:firstLine="0"/>
        <w:jc w:val="center"/>
        <w:spacing w:before="0" w:after="0" w:line="6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 </w:t>
      </w:r>
      <w:r/>
    </w:p>
    <w:p>
      <w:pPr>
        <w:ind w:left="0" w:right="0" w:firstLine="0"/>
        <w:jc w:val="center"/>
        <w:spacing w:before="0" w:after="0" w:line="6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 </w:t>
      </w:r>
      <w:r/>
    </w:p>
    <w:p>
      <w:pPr>
        <w:ind w:left="0" w:right="0" w:firstLine="0"/>
        <w:jc w:val="center"/>
        <w:spacing w:before="0" w:after="0" w:line="6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 </w:t>
      </w:r>
      <w:r/>
    </w:p>
    <w:p>
      <w:pPr>
        <w:ind w:left="0" w:right="0" w:firstLine="0"/>
        <w:jc w:val="center"/>
        <w:spacing w:before="0" w:after="0" w:line="6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 </w:t>
      </w:r>
      <w:r/>
    </w:p>
    <w:p>
      <w:pPr>
        <w:ind w:left="0" w:right="0" w:firstLine="0"/>
        <w:jc w:val="center"/>
        <w:spacing w:before="0" w:after="0" w:line="6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 </w:t>
      </w:r>
      <w:r/>
    </w:p>
    <w:p>
      <w:pPr>
        <w:ind w:left="0" w:right="0" w:firstLine="0"/>
        <w:jc w:val="center"/>
        <w:spacing w:before="0" w:after="0" w:line="6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 </w:t>
      </w:r>
      <w:r/>
    </w:p>
    <w:p>
      <w:pPr>
        <w:ind w:left="0" w:right="0" w:firstLine="0"/>
        <w:jc w:val="center"/>
        <w:spacing w:before="0" w:after="0" w:line="6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 </w:t>
      </w:r>
      <w:r/>
    </w:p>
    <w:p>
      <w:pPr>
        <w:ind w:left="0" w:right="0" w:firstLine="0"/>
        <w:jc w:val="both"/>
        <w:spacing w:before="0" w:after="0" w:line="6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 </w:t>
      </w:r>
      <w:r/>
    </w:p>
    <w:p>
      <w:pPr>
        <w:pStyle w:val="682"/>
        <w:ind w:left="851" w:right="0" w:hanging="567"/>
        <w:jc w:val="center"/>
        <w:spacing w:before="260" w:after="260" w:line="98"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三、非实质性响应对照表</w:t>
      </w:r>
      <w:r/>
    </w:p>
    <w:tbl>
      <w:tblPr>
        <w:tblStyle w:val="71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52"/>
        <w:gridCol w:w="4489"/>
        <w:gridCol w:w="1422"/>
        <w:gridCol w:w="1093"/>
      </w:tblGrid>
      <w:tr>
        <w:trPr>
          <w:trHeight w:val="882"/>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52"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489"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rPr>
              <w:t xml:space="preserve">非实质性响应内容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22"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rPr>
              <w:t xml:space="preserve">是否响应</w:t>
            </w:r>
            <w:r/>
          </w:p>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rPr>
              <w:t xml:space="preserve">（填是或者否）</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93"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rPr>
              <w:t xml:space="preserve">响应情况</w:t>
            </w:r>
            <w:r/>
          </w:p>
        </w:tc>
      </w:tr>
      <w:tr>
        <w:trPr>
          <w:trHeight w:val="5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8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《企业声明函》</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2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9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rPr>
              <w:t xml:space="preserve"> </w:t>
            </w:r>
            <w:r/>
          </w:p>
        </w:tc>
      </w:tr>
      <w:tr>
        <w:trPr>
          <w:trHeight w:val="5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8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《残疾人福利性单位声明函》</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2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9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r>
      <w:tr>
        <w:trPr>
          <w:trHeight w:val="7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8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2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9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r>
    </w:tbl>
    <w:p>
      <w:pPr>
        <w:ind w:left="0" w:right="0" w:firstLine="0"/>
        <w:jc w:val="center"/>
        <w:spacing w:before="0" w:after="0" w:line="6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 </w:t>
      </w:r>
      <w:r/>
    </w:p>
    <w:p>
      <w:pPr>
        <w:ind w:left="0" w:right="0" w:firstLine="0"/>
        <w:jc w:val="center"/>
        <w:spacing w:before="0" w:after="0" w:line="6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rPr>
        <w:t xml:space="preserve"> </w:t>
      </w:r>
      <w:r/>
    </w:p>
    <w:p>
      <w:pPr>
        <w:ind w:left="0" w:right="0" w:firstLine="0"/>
        <w:jc w:val="center"/>
        <w:spacing w:before="312" w:after="312"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rPr>
        <w:t xml:space="preserve"> </w:t>
      </w:r>
      <w:r/>
    </w:p>
    <w:p>
      <w:pPr>
        <w:ind w:left="0" w:right="0" w:firstLine="0"/>
        <w:jc w:val="center"/>
        <w:spacing w:before="312" w:after="312"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312" w:after="312"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rPr>
        <w:t xml:space="preserve">中小企业声明函（工程、服务）</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本公司（联合体）郑重声明，根据《政府采购促进中小企业发展管理办法》（财库﹝2020﹞46 号）的规定，本公司（联合体）参加</w:t>
      </w:r>
      <w:r>
        <w:rPr>
          <w:rFonts w:ascii="FangSong" w:hAnsi="FangSong" w:eastAsia="FangSong" w:cs="FangSong"/>
          <w:color w:val="000000"/>
          <w:sz w:val="21"/>
          <w:u w:val="single"/>
        </w:rPr>
        <w:t xml:space="preserve">（单位名称）</w:t>
      </w:r>
      <w:r>
        <w:rPr>
          <w:rFonts w:ascii="FangSong" w:hAnsi="FangSong" w:eastAsia="FangSong" w:cs="FangSong"/>
          <w:color w:val="000000"/>
          <w:sz w:val="21"/>
        </w:rPr>
        <w:t xml:space="preserve">的</w:t>
      </w:r>
      <w:r>
        <w:rPr>
          <w:rFonts w:ascii="FangSong" w:hAnsi="FangSong" w:eastAsia="FangSong" w:cs="FangSong"/>
          <w:color w:val="000000"/>
          <w:sz w:val="21"/>
          <w:u w:val="single"/>
        </w:rPr>
        <w:t xml:space="preserve">（项目名称）</w:t>
      </w:r>
      <w:r>
        <w:rPr>
          <w:rFonts w:ascii="FangSong" w:hAnsi="FangSong" w:eastAsia="FangSong" w:cs="FangSong"/>
          <w:color w:val="000000"/>
          <w:sz w:val="21"/>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 </w:t>
      </w:r>
      <w:r>
        <w:rPr>
          <w:rFonts w:ascii="FangSong" w:hAnsi="FangSong" w:eastAsia="FangSong" w:cs="FangSong"/>
          <w:color w:val="000000"/>
          <w:sz w:val="21"/>
          <w:u w:val="single"/>
        </w:rPr>
        <w:t xml:space="preserve">（标的名称） </w:t>
      </w:r>
      <w:r>
        <w:rPr>
          <w:rFonts w:ascii="FangSong" w:hAnsi="FangSong" w:eastAsia="FangSong" w:cs="FangSong"/>
          <w:color w:val="000000"/>
          <w:sz w:val="21"/>
        </w:rPr>
        <w:t xml:space="preserve">，属于</w:t>
      </w:r>
      <w:r>
        <w:rPr>
          <w:rFonts w:ascii="FangSong" w:hAnsi="FangSong" w:eastAsia="FangSong" w:cs="FangSong"/>
          <w:b/>
          <w:color w:val="000000"/>
          <w:sz w:val="21"/>
          <w:u w:val="single"/>
        </w:rPr>
        <w:t xml:space="preserve">其他未列明服务</w:t>
      </w:r>
      <w:r>
        <w:rPr>
          <w:rFonts w:ascii="FangSong" w:hAnsi="FangSong" w:eastAsia="FangSong" w:cs="FangSong"/>
          <w:color w:val="000000"/>
          <w:sz w:val="21"/>
          <w:u w:val="single"/>
        </w:rPr>
        <w:t xml:space="preserve">（不得对行业类别修改）</w:t>
      </w:r>
      <w:r>
        <w:rPr>
          <w:rFonts w:ascii="FangSong" w:hAnsi="FangSong" w:eastAsia="FangSong" w:cs="FangSong"/>
          <w:color w:val="000000"/>
          <w:sz w:val="21"/>
        </w:rPr>
        <w:t xml:space="preserve">；承建（承接）企业为</w:t>
      </w:r>
      <w:r>
        <w:rPr>
          <w:rFonts w:ascii="FangSong" w:hAnsi="FangSong" w:eastAsia="FangSong" w:cs="FangSong"/>
          <w:color w:val="000000"/>
          <w:sz w:val="21"/>
          <w:u w:val="single"/>
        </w:rPr>
        <w:t xml:space="preserve">（企业名称）</w:t>
      </w:r>
      <w:r>
        <w:rPr>
          <w:rFonts w:ascii="FangSong" w:hAnsi="FangSong" w:eastAsia="FangSong" w:cs="FangSong"/>
          <w:color w:val="000000"/>
          <w:sz w:val="21"/>
        </w:rPr>
        <w:t xml:space="preserve">，从业人员</w:t>
      </w:r>
      <w:r>
        <w:rPr>
          <w:rFonts w:ascii="FangSong" w:hAnsi="FangSong" w:eastAsia="FangSong" w:cs="FangSong"/>
          <w:color w:val="000000"/>
          <w:sz w:val="21"/>
          <w:u w:val="single"/>
        </w:rPr>
        <w:t xml:space="preserve">      </w:t>
      </w:r>
      <w:r>
        <w:rPr>
          <w:rFonts w:ascii="FangSong" w:hAnsi="FangSong" w:eastAsia="FangSong" w:cs="FangSong"/>
          <w:color w:val="000000"/>
          <w:sz w:val="21"/>
        </w:rPr>
        <w:t xml:space="preserve">人，营业收入为</w:t>
      </w:r>
      <w:r>
        <w:rPr>
          <w:rFonts w:ascii="FangSong" w:hAnsi="FangSong" w:eastAsia="FangSong" w:cs="FangSong"/>
          <w:color w:val="000000"/>
          <w:sz w:val="21"/>
          <w:u w:val="single"/>
        </w:rPr>
        <w:t xml:space="preserve">      </w:t>
      </w:r>
      <w:r>
        <w:rPr>
          <w:rFonts w:ascii="FangSong" w:hAnsi="FangSong" w:eastAsia="FangSong" w:cs="FangSong"/>
          <w:color w:val="000000"/>
          <w:sz w:val="21"/>
        </w:rPr>
        <w:t xml:space="preserve">万元，资产总额为</w:t>
      </w:r>
      <w:r>
        <w:rPr>
          <w:rFonts w:ascii="FangSong" w:hAnsi="FangSong" w:eastAsia="FangSong" w:cs="FangSong"/>
          <w:color w:val="000000"/>
          <w:sz w:val="21"/>
          <w:u w:val="single"/>
        </w:rPr>
        <w:t xml:space="preserve">       </w:t>
      </w:r>
      <w:r>
        <w:rPr>
          <w:rFonts w:ascii="FangSong" w:hAnsi="FangSong" w:eastAsia="FangSong" w:cs="FangSong"/>
          <w:color w:val="000000"/>
          <w:sz w:val="21"/>
        </w:rPr>
        <w:t xml:space="preserve">万元</w:t>
      </w:r>
      <w:hyperlink r:id="rId17" w:tooltip="http://jszfcg.jscz.gov.cn/jszc/onlyoffice/7.2.1-34/web-apps/apps/documenteditor/main/index_loader.html?_dc=7.2.1-34&amp;lang=zh&amp;customer=%20&amp;logo=%20&amp;headerlogo=%2Ffavicon.ico&amp;frameEditorId=iframePage&amp;compact=true&amp;parentOrigin=http://jszfcg.jscz.gov.cn#br1" w:history="1">
        <w:r>
          <w:rPr>
            <w:rStyle w:val="840"/>
            <w:rFonts w:ascii="FangSong" w:hAnsi="FangSong" w:eastAsia="FangSong" w:cs="FangSong"/>
            <w:color w:val="0000ee"/>
            <w:spacing w:val="-1"/>
            <w:sz w:val="21"/>
            <w:u w:val="single"/>
            <w:vertAlign w:val="superscript"/>
          </w:rPr>
          <w:t xml:space="preserve">1</w:t>
        </w:r>
      </w:hyperlink>
      <w:r>
        <w:rPr>
          <w:rFonts w:ascii="FangSong" w:hAnsi="FangSong" w:eastAsia="FangSong" w:cs="FangSong"/>
          <w:color w:val="000000"/>
          <w:sz w:val="21"/>
        </w:rPr>
        <w:t xml:space="preserve">，属于</w:t>
      </w:r>
      <w:r>
        <w:rPr>
          <w:rFonts w:ascii="FangSong" w:hAnsi="FangSong" w:eastAsia="FangSong" w:cs="FangSong"/>
          <w:color w:val="000000"/>
          <w:sz w:val="21"/>
          <w:u w:val="single"/>
        </w:rPr>
        <w:t xml:space="preserve">（中型企业、小型企业、微型企业）；</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2. </w:t>
      </w:r>
      <w:r>
        <w:rPr>
          <w:rFonts w:ascii="FangSong" w:hAnsi="FangSong" w:eastAsia="FangSong" w:cs="FangSong"/>
          <w:color w:val="000000"/>
          <w:sz w:val="21"/>
          <w:u w:val="single"/>
        </w:rPr>
        <w:t xml:space="preserve">（标的名称）</w:t>
      </w:r>
      <w:r>
        <w:rPr>
          <w:rFonts w:ascii="FangSong" w:hAnsi="FangSong" w:eastAsia="FangSong" w:cs="FangSong"/>
          <w:color w:val="000000"/>
          <w:sz w:val="21"/>
        </w:rPr>
        <w:t xml:space="preserve"> ，属于</w:t>
      </w:r>
      <w:r>
        <w:rPr>
          <w:rFonts w:ascii="FangSong" w:hAnsi="FangSong" w:eastAsia="FangSong" w:cs="FangSong"/>
          <w:color w:val="000000"/>
          <w:sz w:val="21"/>
          <w:u w:val="single"/>
        </w:rPr>
        <w:t xml:space="preserve">（）（不得对行业类别修改）</w:t>
      </w:r>
      <w:r>
        <w:rPr>
          <w:rFonts w:ascii="FangSong" w:hAnsi="FangSong" w:eastAsia="FangSong" w:cs="FangSong"/>
          <w:color w:val="000000"/>
          <w:sz w:val="21"/>
        </w:rPr>
        <w:t xml:space="preserve">；承建（承接）企业为</w:t>
      </w:r>
      <w:r>
        <w:rPr>
          <w:rFonts w:ascii="FangSong" w:hAnsi="FangSong" w:eastAsia="FangSong" w:cs="FangSong"/>
          <w:color w:val="000000"/>
          <w:sz w:val="21"/>
          <w:u w:val="single"/>
        </w:rPr>
        <w:t xml:space="preserve">（企业名称）</w:t>
      </w:r>
      <w:r>
        <w:rPr>
          <w:rFonts w:ascii="FangSong" w:hAnsi="FangSong" w:eastAsia="FangSong" w:cs="FangSong"/>
          <w:color w:val="000000"/>
          <w:sz w:val="21"/>
        </w:rPr>
        <w:t xml:space="preserve">，从业人员</w:t>
      </w:r>
      <w:r>
        <w:rPr>
          <w:rFonts w:ascii="FangSong" w:hAnsi="FangSong" w:eastAsia="FangSong" w:cs="FangSong"/>
          <w:color w:val="000000"/>
          <w:sz w:val="21"/>
          <w:u w:val="single"/>
        </w:rPr>
        <w:t xml:space="preserve">      </w:t>
      </w:r>
      <w:r>
        <w:rPr>
          <w:rFonts w:ascii="FangSong" w:hAnsi="FangSong" w:eastAsia="FangSong" w:cs="FangSong"/>
          <w:color w:val="000000"/>
          <w:sz w:val="21"/>
        </w:rPr>
        <w:t xml:space="preserve">人，营业收入为</w:t>
      </w:r>
      <w:r>
        <w:rPr>
          <w:rFonts w:ascii="FangSong" w:hAnsi="FangSong" w:eastAsia="FangSong" w:cs="FangSong"/>
          <w:color w:val="000000"/>
          <w:sz w:val="21"/>
          <w:u w:val="single"/>
        </w:rPr>
        <w:t xml:space="preserve">      </w:t>
      </w:r>
      <w:r>
        <w:rPr>
          <w:rFonts w:ascii="FangSong" w:hAnsi="FangSong" w:eastAsia="FangSong" w:cs="FangSong"/>
          <w:color w:val="000000"/>
          <w:sz w:val="21"/>
        </w:rPr>
        <w:t xml:space="preserve">万元，资产总额为</w:t>
      </w:r>
      <w:r>
        <w:rPr>
          <w:rFonts w:ascii="FangSong" w:hAnsi="FangSong" w:eastAsia="FangSong" w:cs="FangSong"/>
          <w:color w:val="000000"/>
          <w:sz w:val="21"/>
          <w:u w:val="single"/>
        </w:rPr>
        <w:t xml:space="preserve">       </w:t>
      </w:r>
      <w:r>
        <w:rPr>
          <w:rFonts w:ascii="FangSong" w:hAnsi="FangSong" w:eastAsia="FangSong" w:cs="FangSong"/>
          <w:color w:val="000000"/>
          <w:sz w:val="21"/>
        </w:rPr>
        <w:t xml:space="preserve">万元，属于</w:t>
      </w:r>
      <w:r>
        <w:rPr>
          <w:rFonts w:ascii="FangSong" w:hAnsi="FangSong" w:eastAsia="FangSong" w:cs="FangSong"/>
          <w:color w:val="000000"/>
          <w:sz w:val="21"/>
          <w:u w:val="single"/>
        </w:rPr>
        <w:t xml:space="preserve">（中型企业、小型企业、微型企业）；</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以上企业，不属于大企业的分支机构，不存在控股股东为大企业的情形，也不存在与大企业的负责人为同一人的情形。</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本企业对上述声明内容的真实性负责。如有虚假，将依法承担相应责任。</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注：1、从业人员（不仅指在职职工）、营业收入、资产总额填报上一年度数据，无上一年度数据的新成立企业可不填报。</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2、供应商如不提供此声明函，价格将不做相应扣除。</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3、企业声明函请完整填写，中标后将公示。</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4、投标人应当对其出具的《中小企业声明函》真实性负责，投标人出具的《中小企业声明函》内容不实的，属于提供虚假材料谋取中标。对相关制造商信息了解不充分，或者不能确定相关信息真实、准确的，不建议出具《中小企业声明函》。</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5、中小企业不得属于大企业的分支机构，不得存在控股股东为大企业的情形，不得存在与大企业的负责人为同一人的情形。</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6、《政府采购法》第七十七条第一款：提供虚假材料谋取中标、成交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 。</w:t>
      </w:r>
      <w:r/>
    </w:p>
    <w:p>
      <w:pPr>
        <w:ind w:left="0" w:right="0" w:firstLine="462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企业名称（盖章）：</w:t>
      </w:r>
      <w:r/>
    </w:p>
    <w:p>
      <w:pPr>
        <w:ind w:left="0" w:right="0" w:firstLine="462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日 期：</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p>
      <w:pPr>
        <w:ind w:left="0" w:right="0" w:firstLine="0"/>
        <w:jc w:val="center"/>
        <w:spacing w:before="312" w:after="312"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rPr>
        <w:t xml:space="preserve">残疾人福利性单位声明函</w:t>
      </w:r>
      <w:r/>
    </w:p>
    <w:p>
      <w:pPr>
        <w:ind w:left="0" w:right="0" w:firstLine="624"/>
        <w:jc w:val="both"/>
        <w:spacing w:before="0" w:after="0" w:line="587"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pacing w:val="6"/>
          <w:sz w:val="30"/>
        </w:rPr>
        <w:t xml:space="preserve"> </w:t>
      </w:r>
      <w:r/>
    </w:p>
    <w:p>
      <w:pPr>
        <w:ind w:left="0" w:right="0" w:firstLine="420"/>
        <w:jc w:val="both"/>
        <w:spacing w:before="0" w:after="0" w:line="587"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ascii="FangSong" w:hAnsi="FangSong" w:eastAsia="FangSong" w:cs="FangSong"/>
          <w:color w:val="000000"/>
          <w:sz w:val="21"/>
          <w:u w:val="single"/>
        </w:rPr>
        <w:t xml:space="preserve">       </w:t>
      </w:r>
      <w:r>
        <w:rPr>
          <w:rFonts w:ascii="FangSong" w:hAnsi="FangSong" w:eastAsia="FangSong" w:cs="FangSong"/>
          <w:color w:val="000000"/>
          <w:sz w:val="21"/>
        </w:rPr>
        <w:t xml:space="preserve">项目采购活动提供本单位制造的产品或服务（由本单位承担工程/提供服务），或者提供其他残疾人福利性单位制造的产品或服务（不包括使用非残疾人福利性单位注册商标的产品或服务）。</w:t>
      </w:r>
      <w:r/>
    </w:p>
    <w:p>
      <w:pPr>
        <w:ind w:left="0" w:right="0" w:firstLine="420"/>
        <w:jc w:val="both"/>
        <w:spacing w:before="0" w:after="0" w:line="587"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本单位在本次政府采购活动中提供的残疾人福利单位产品报价合计为人民币（大写）</w:t>
      </w:r>
      <w:r>
        <w:rPr>
          <w:rFonts w:ascii="FangSong" w:hAnsi="FangSong" w:eastAsia="FangSong" w:cs="FangSong"/>
          <w:color w:val="000000"/>
          <w:sz w:val="21"/>
          <w:u w:val="single"/>
        </w:rPr>
        <w:t xml:space="preserve">      </w:t>
      </w:r>
      <w:r>
        <w:rPr>
          <w:rFonts w:ascii="FangSong" w:hAnsi="FangSong" w:eastAsia="FangSong" w:cs="FangSong"/>
          <w:color w:val="000000"/>
          <w:sz w:val="21"/>
        </w:rPr>
        <w:t xml:space="preserve">圆整（￥：）。</w:t>
      </w:r>
      <w:r/>
    </w:p>
    <w:p>
      <w:pPr>
        <w:ind w:left="0" w:right="0" w:firstLine="420"/>
        <w:jc w:val="both"/>
        <w:spacing w:before="0" w:after="0" w:line="587"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本单位对上述声明的真实性负责。如有虚假，将依法承担相应责任。</w:t>
      </w:r>
      <w:r/>
    </w:p>
    <w:p>
      <w:pPr>
        <w:ind w:left="0" w:right="0" w:firstLine="420"/>
        <w:jc w:val="both"/>
        <w:spacing w:before="0" w:after="0" w:line="587"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p>
      <w:pPr>
        <w:ind w:left="0" w:right="0" w:firstLine="420"/>
        <w:jc w:val="both"/>
        <w:spacing w:before="0" w:after="0" w:line="587"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（备注：1、供应商如不提供此声明函，价格将不做相应扣除。2、中标供应商为残疾人福利单位的，此声明函将随中标结果同时公告，接受社会监督）</w:t>
      </w:r>
      <w:r/>
    </w:p>
    <w:p>
      <w:pPr>
        <w:ind w:left="0" w:right="0" w:firstLine="444"/>
        <w:jc w:val="both"/>
        <w:spacing w:before="0" w:after="0" w:line="587"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pacing w:val="6"/>
          <w:sz w:val="21"/>
        </w:rPr>
        <w:t xml:space="preserve"> </w:t>
      </w:r>
      <w:r/>
    </w:p>
    <w:p>
      <w:pPr>
        <w:ind w:left="0" w:right="1560" w:firstLine="444"/>
        <w:jc w:val="center"/>
        <w:spacing w:before="0" w:after="0" w:line="587"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pacing w:val="6"/>
          <w:sz w:val="21"/>
        </w:rPr>
        <w:t xml:space="preserve">             </w:t>
      </w:r>
      <w:r>
        <w:rPr>
          <w:rFonts w:ascii="FangSong" w:hAnsi="FangSong" w:eastAsia="FangSong" w:cs="FangSong"/>
          <w:color w:val="000000"/>
          <w:sz w:val="21"/>
        </w:rPr>
        <w:t xml:space="preserve">               供应商全称（盖章）：</w:t>
      </w:r>
      <w:r/>
    </w:p>
    <w:p>
      <w:pPr>
        <w:ind w:left="0" w:right="1560" w:firstLine="420"/>
        <w:jc w:val="center"/>
        <w:spacing w:before="0" w:after="0" w:line="587"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日期：</w:t>
      </w:r>
      <w:r/>
    </w:p>
    <w:p>
      <w:pPr>
        <w:ind w:left="0" w:right="1560" w:firstLine="420"/>
        <w:jc w:val="center"/>
        <w:spacing w:before="0" w:after="0" w:line="587"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日期：</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pStyle w:val="682"/>
        <w:ind w:left="851" w:right="0" w:hanging="567"/>
        <w:jc w:val="center"/>
        <w:spacing w:before="312" w:after="312"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rPr>
        <w:t xml:space="preserve">中小微企业划型标准</w:t>
      </w:r>
      <w:r/>
    </w:p>
    <w:p>
      <w:pPr>
        <w:ind w:left="0" w:right="0" w:firstLine="420"/>
        <w:jc w:val="both"/>
        <w:spacing w:before="300" w:after="452"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pacing w:val="10"/>
          <w:sz w:val="21"/>
        </w:rPr>
        <w:t xml:space="preserve">中小微企业划型标准如下：</w:t>
      </w:r>
      <w:r/>
    </w:p>
    <w:tbl>
      <w:tblPr>
        <w:tblStyle w:val="71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175"/>
        <w:gridCol w:w="1420"/>
        <w:gridCol w:w="622"/>
        <w:gridCol w:w="1664"/>
        <w:gridCol w:w="1663"/>
        <w:gridCol w:w="1005"/>
      </w:tblGrid>
      <w:tr>
        <w:trPr>
          <w:trHeight w:val="285"/>
        </w:trPr>
        <w:tc>
          <w:tcPr>
            <w:tcBorders>
              <w:top w:val="single" w:color="000000" w:sz="8" w:space="0"/>
              <w:left w:val="single" w:color="000000" w:sz="8" w:space="0"/>
              <w:bottom w:val="single" w:color="000000" w:sz="8" w:space="0"/>
              <w:right w:val="single" w:color="000000" w:sz="8" w:space="0"/>
            </w:tcBorders>
            <w:tcMar>
              <w:left w:w="105" w:type="dxa"/>
              <w:top w:w="0" w:type="dxa"/>
              <w:right w:w="105" w:type="dxa"/>
              <w:bottom w:w="0" w:type="dxa"/>
            </w:tcMar>
            <w:tcW w:w="1175"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pacing w:val="10"/>
                <w:sz w:val="21"/>
              </w:rPr>
              <w:t xml:space="preserve">行业名称</w:t>
            </w:r>
            <w:r/>
          </w:p>
        </w:tc>
        <w:tc>
          <w:tcPr>
            <w:tcBorders>
              <w:top w:val="single" w:color="000000" w:sz="8" w:space="0"/>
              <w:left w:val="none" w:color="000000" w:sz="4" w:space="0"/>
              <w:bottom w:val="single" w:color="999999" w:sz="8" w:space="0"/>
              <w:right w:val="single" w:color="999999" w:sz="8" w:space="0"/>
            </w:tcBorders>
            <w:tcMar>
              <w:left w:w="105" w:type="dxa"/>
              <w:top w:w="0" w:type="dxa"/>
              <w:right w:w="105" w:type="dxa"/>
              <w:bottom w:w="0" w:type="dxa"/>
            </w:tcMar>
            <w:tcW w:w="142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pacing w:val="10"/>
                <w:sz w:val="21"/>
              </w:rPr>
              <w:t xml:space="preserve">指标名称</w:t>
            </w:r>
            <w:r/>
          </w:p>
        </w:tc>
        <w:tc>
          <w:tcPr>
            <w:tcBorders>
              <w:top w:val="single" w:color="000000" w:sz="8" w:space="0"/>
              <w:left w:val="none" w:color="000000" w:sz="4" w:space="0"/>
              <w:bottom w:val="single" w:color="999999" w:sz="8" w:space="0"/>
              <w:right w:val="single" w:color="999999" w:sz="8" w:space="0"/>
            </w:tcBorders>
            <w:tcMar>
              <w:left w:w="105" w:type="dxa"/>
              <w:top w:w="0" w:type="dxa"/>
              <w:right w:w="105" w:type="dxa"/>
              <w:bottom w:w="0" w:type="dxa"/>
            </w:tcMar>
            <w:tcW w:w="622"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pacing w:val="10"/>
                <w:sz w:val="21"/>
              </w:rPr>
              <w:t xml:space="preserve">计量单位</w:t>
            </w:r>
            <w:r/>
          </w:p>
        </w:tc>
        <w:tc>
          <w:tcPr>
            <w:tcBorders>
              <w:top w:val="single" w:color="000000" w:sz="8" w:space="0"/>
              <w:left w:val="none" w:color="000000" w:sz="4" w:space="0"/>
              <w:bottom w:val="single" w:color="999999" w:sz="8" w:space="0"/>
              <w:right w:val="single" w:color="999999" w:sz="8" w:space="0"/>
            </w:tcBorders>
            <w:tcMar>
              <w:left w:w="105" w:type="dxa"/>
              <w:top w:w="0" w:type="dxa"/>
              <w:right w:w="105" w:type="dxa"/>
              <w:bottom w:w="0" w:type="dxa"/>
            </w:tcMar>
            <w:tcW w:w="166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pacing w:val="10"/>
                <w:sz w:val="21"/>
              </w:rPr>
              <w:t xml:space="preserve">中型</w:t>
            </w:r>
            <w:r/>
          </w:p>
        </w:tc>
        <w:tc>
          <w:tcPr>
            <w:tcBorders>
              <w:top w:val="single" w:color="000000" w:sz="8" w:space="0"/>
              <w:left w:val="none" w:color="000000" w:sz="4" w:space="0"/>
              <w:bottom w:val="single" w:color="999999" w:sz="8" w:space="0"/>
              <w:right w:val="single" w:color="999999" w:sz="8" w:space="0"/>
            </w:tcBorders>
            <w:tcMar>
              <w:left w:w="105" w:type="dxa"/>
              <w:top w:w="0" w:type="dxa"/>
              <w:right w:w="105" w:type="dxa"/>
              <w:bottom w:w="0" w:type="dxa"/>
            </w:tcMar>
            <w:tcW w:w="166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pacing w:val="10"/>
                <w:sz w:val="21"/>
              </w:rPr>
              <w:t xml:space="preserve">小型</w:t>
            </w:r>
            <w:r/>
          </w:p>
        </w:tc>
        <w:tc>
          <w:tcPr>
            <w:tcBorders>
              <w:top w:val="single" w:color="000000" w:sz="8" w:space="0"/>
              <w:left w:val="none" w:color="000000" w:sz="4" w:space="0"/>
              <w:bottom w:val="single" w:color="999999" w:sz="8" w:space="0"/>
              <w:right w:val="single" w:color="999999" w:sz="8" w:space="0"/>
            </w:tcBorders>
            <w:tcMar>
              <w:left w:w="105" w:type="dxa"/>
              <w:top w:w="0" w:type="dxa"/>
              <w:right w:w="105" w:type="dxa"/>
              <w:bottom w:w="0" w:type="dxa"/>
            </w:tcMar>
            <w:tcW w:w="1005"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pacing w:val="10"/>
                <w:sz w:val="21"/>
              </w:rPr>
              <w:t xml:space="preserve">微型</w:t>
            </w:r>
            <w:r/>
          </w:p>
        </w:tc>
      </w:tr>
      <w:tr>
        <w:trPr>
          <w:trHeight w:val="225"/>
        </w:trPr>
        <w:tc>
          <w:tcPr>
            <w:tcBorders>
              <w:top w:val="none" w:color="000000" w:sz="4" w:space="0"/>
              <w:left w:val="single" w:color="000000" w:sz="8" w:space="0"/>
              <w:bottom w:val="single" w:color="999999" w:sz="8" w:space="0"/>
              <w:right w:val="single" w:color="999999" w:sz="8" w:space="0"/>
            </w:tcBorders>
            <w:tcMar>
              <w:left w:w="105" w:type="dxa"/>
              <w:top w:w="0" w:type="dxa"/>
              <w:right w:w="105" w:type="dxa"/>
              <w:bottom w:w="0" w:type="dxa"/>
            </w:tcMar>
            <w:tcW w:w="1175" w:type="dxa"/>
            <w:vAlign w:val="bottom"/>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pacing w:val="10"/>
                <w:sz w:val="21"/>
              </w:rPr>
              <w:t xml:space="preserve">农、林、牧、渔</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420"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pacing w:val="10"/>
                <w:sz w:val="21"/>
              </w:rPr>
              <w:t xml:space="preserve">营业收入（Y）</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622"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pacing w:val="10"/>
                <w:sz w:val="21"/>
              </w:rPr>
              <w:t xml:space="preserve">万元</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664"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pacing w:val="10"/>
                <w:sz w:val="21"/>
              </w:rPr>
              <w:t xml:space="preserve">500≤Y＜20000</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66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pacing w:val="10"/>
                <w:sz w:val="21"/>
              </w:rPr>
              <w:t xml:space="preserve">50≤Y＜500</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005"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pacing w:val="10"/>
                <w:sz w:val="21"/>
              </w:rPr>
              <w:t xml:space="preserve">Y＜50</w:t>
            </w:r>
            <w:r/>
          </w:p>
        </w:tc>
      </w:tr>
      <w:tr>
        <w:trPr>
          <w:trHeight w:val="225"/>
        </w:trPr>
        <w:tc>
          <w:tcPr>
            <w:tcBorders>
              <w:top w:val="none" w:color="000000" w:sz="4" w:space="0"/>
              <w:left w:val="single" w:color="000000" w:sz="8" w:space="0"/>
              <w:bottom w:val="single" w:color="999999" w:sz="8" w:space="0"/>
              <w:right w:val="single" w:color="999999" w:sz="8" w:space="0"/>
            </w:tcBorders>
            <w:tcMar>
              <w:left w:w="105" w:type="dxa"/>
              <w:top w:w="0" w:type="dxa"/>
              <w:right w:w="105" w:type="dxa"/>
              <w:bottom w:w="0" w:type="dxa"/>
            </w:tcMar>
            <w:tcW w:w="1175" w:type="dxa"/>
            <w:vAlign w:val="bottom"/>
            <w:vMerge w:val="restart"/>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pacing w:val="10"/>
                <w:sz w:val="21"/>
              </w:rPr>
              <w:t xml:space="preserve">工业</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420"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pacing w:val="10"/>
                <w:sz w:val="21"/>
              </w:rPr>
              <w:t xml:space="preserve">从业人员（X）</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622"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pacing w:val="10"/>
                <w:sz w:val="21"/>
              </w:rPr>
              <w:t xml:space="preserve">人</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664"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pacing w:val="10"/>
                <w:sz w:val="21"/>
              </w:rPr>
              <w:t xml:space="preserve">300≤X＜1000</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66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pacing w:val="10"/>
                <w:sz w:val="21"/>
              </w:rPr>
              <w:t xml:space="preserve">20≤X＜300</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005"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pacing w:val="10"/>
                <w:sz w:val="21"/>
              </w:rPr>
              <w:t xml:space="preserve">X＜20</w:t>
            </w:r>
            <w:r/>
          </w:p>
        </w:tc>
      </w:tr>
      <w:tr>
        <w:trPr>
          <w:trHeight w:val="225"/>
        </w:trPr>
        <w:tc>
          <w:tcPr>
            <w:vMerge w:val="continue"/>
            <w:textDirection w:val="lrTb"/>
            <w:noWrap w:val="false"/>
          </w:tcPr>
          <w:p>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420"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pacing w:val="10"/>
                <w:sz w:val="21"/>
              </w:rPr>
              <w:t xml:space="preserve">营业收入（Y）</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622"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pacing w:val="10"/>
                <w:sz w:val="21"/>
              </w:rPr>
              <w:t xml:space="preserve">万元</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664"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pacing w:val="10"/>
                <w:sz w:val="21"/>
              </w:rPr>
              <w:t xml:space="preserve">2000≤Y＜40000</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66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pacing w:val="10"/>
                <w:sz w:val="21"/>
              </w:rPr>
              <w:t xml:space="preserve">300≤Y＜2000</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005"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pacing w:val="10"/>
                <w:sz w:val="21"/>
              </w:rPr>
              <w:t xml:space="preserve">Y＜300</w:t>
            </w:r>
            <w:r/>
          </w:p>
        </w:tc>
      </w:tr>
      <w:tr>
        <w:trPr>
          <w:trHeight w:val="225"/>
        </w:trPr>
        <w:tc>
          <w:tcPr>
            <w:tcBorders>
              <w:top w:val="none" w:color="000000" w:sz="4" w:space="0"/>
              <w:left w:val="single" w:color="000000" w:sz="8" w:space="0"/>
              <w:bottom w:val="single" w:color="999999" w:sz="8" w:space="0"/>
              <w:right w:val="single" w:color="999999" w:sz="8" w:space="0"/>
            </w:tcBorders>
            <w:tcMar>
              <w:left w:w="105" w:type="dxa"/>
              <w:top w:w="0" w:type="dxa"/>
              <w:right w:w="105" w:type="dxa"/>
              <w:bottom w:w="0" w:type="dxa"/>
            </w:tcMar>
            <w:tcW w:w="1175" w:type="dxa"/>
            <w:vAlign w:val="bottom"/>
            <w:vMerge w:val="restart"/>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pacing w:val="10"/>
                <w:sz w:val="21"/>
              </w:rPr>
              <w:t xml:space="preserve">建筑业</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420"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pacing w:val="10"/>
                <w:sz w:val="21"/>
              </w:rPr>
              <w:t xml:space="preserve">营业收入（Y）</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622"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pacing w:val="10"/>
                <w:sz w:val="21"/>
              </w:rPr>
              <w:t xml:space="preserve">万元</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664"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pacing w:val="10"/>
                <w:sz w:val="21"/>
              </w:rPr>
              <w:t xml:space="preserve">6000≤Y＜80000</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66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pacing w:val="10"/>
                <w:sz w:val="21"/>
              </w:rPr>
              <w:t xml:space="preserve">300≤Y＜6000</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005"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pacing w:val="10"/>
                <w:sz w:val="21"/>
              </w:rPr>
              <w:t xml:space="preserve">Y＜300</w:t>
            </w:r>
            <w:r/>
          </w:p>
        </w:tc>
      </w:tr>
      <w:tr>
        <w:trPr>
          <w:trHeight w:val="225"/>
        </w:trPr>
        <w:tc>
          <w:tcPr>
            <w:vMerge w:val="continue"/>
            <w:textDirection w:val="lrTb"/>
            <w:noWrap w:val="false"/>
          </w:tcPr>
          <w:p>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420"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pacing w:val="10"/>
                <w:sz w:val="21"/>
              </w:rPr>
              <w:t xml:space="preserve">资产总额（Z）</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622"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pacing w:val="10"/>
                <w:sz w:val="21"/>
              </w:rPr>
              <w:t xml:space="preserve">万元</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664"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pacing w:val="10"/>
                <w:sz w:val="21"/>
              </w:rPr>
              <w:t xml:space="preserve">5000≤Z＜80000</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66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pacing w:val="10"/>
                <w:sz w:val="21"/>
              </w:rPr>
              <w:t xml:space="preserve">300≤Z＜5000</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005"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pacing w:val="10"/>
                <w:sz w:val="21"/>
              </w:rPr>
              <w:t xml:space="preserve">Z＜300</w:t>
            </w:r>
            <w:r/>
          </w:p>
        </w:tc>
      </w:tr>
      <w:tr>
        <w:trPr>
          <w:trHeight w:val="225"/>
        </w:trPr>
        <w:tc>
          <w:tcPr>
            <w:tcBorders>
              <w:top w:val="none" w:color="000000" w:sz="4" w:space="0"/>
              <w:left w:val="single" w:color="000000" w:sz="8" w:space="0"/>
              <w:bottom w:val="single" w:color="999999" w:sz="8" w:space="0"/>
              <w:right w:val="single" w:color="999999" w:sz="8" w:space="0"/>
            </w:tcBorders>
            <w:tcMar>
              <w:left w:w="105" w:type="dxa"/>
              <w:top w:w="0" w:type="dxa"/>
              <w:right w:w="105" w:type="dxa"/>
              <w:bottom w:w="0" w:type="dxa"/>
            </w:tcMar>
            <w:tcW w:w="1175" w:type="dxa"/>
            <w:vAlign w:val="bottom"/>
            <w:vMerge w:val="restart"/>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pacing w:val="10"/>
                <w:sz w:val="21"/>
              </w:rPr>
              <w:t xml:space="preserve">批发业</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420"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pacing w:val="10"/>
                <w:sz w:val="21"/>
              </w:rPr>
              <w:t xml:space="preserve">从业人员（X）</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622"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pacing w:val="10"/>
                <w:sz w:val="21"/>
              </w:rPr>
              <w:t xml:space="preserve">人</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664"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pacing w:val="10"/>
                <w:sz w:val="21"/>
              </w:rPr>
              <w:t xml:space="preserve">20≤X＜200</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66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pacing w:val="10"/>
                <w:sz w:val="21"/>
              </w:rPr>
              <w:t xml:space="preserve">5≤X＜20</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005"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pacing w:val="10"/>
                <w:sz w:val="21"/>
              </w:rPr>
              <w:t xml:space="preserve">X＜5</w:t>
            </w:r>
            <w:r/>
          </w:p>
        </w:tc>
      </w:tr>
      <w:tr>
        <w:trPr>
          <w:trHeight w:val="225"/>
        </w:trPr>
        <w:tc>
          <w:tcPr>
            <w:vMerge w:val="continue"/>
            <w:textDirection w:val="lrTb"/>
            <w:noWrap w:val="false"/>
          </w:tcPr>
          <w:p>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420"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pacing w:val="10"/>
                <w:sz w:val="21"/>
              </w:rPr>
              <w:t xml:space="preserve">营业收入（Y）</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622"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pacing w:val="10"/>
                <w:sz w:val="21"/>
              </w:rPr>
              <w:t xml:space="preserve">万元</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664"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pacing w:val="10"/>
                <w:sz w:val="21"/>
              </w:rPr>
              <w:t xml:space="preserve">5000≤Y＜40000</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66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pacing w:val="10"/>
                <w:sz w:val="21"/>
              </w:rPr>
              <w:t xml:space="preserve">1000≤Y＜5000</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005"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pacing w:val="10"/>
                <w:sz w:val="21"/>
              </w:rPr>
              <w:t xml:space="preserve">Y＜1000</w:t>
            </w:r>
            <w:r/>
          </w:p>
        </w:tc>
      </w:tr>
      <w:tr>
        <w:trPr>
          <w:trHeight w:val="225"/>
        </w:trPr>
        <w:tc>
          <w:tcPr>
            <w:tcBorders>
              <w:top w:val="none" w:color="000000" w:sz="4" w:space="0"/>
              <w:left w:val="single" w:color="000000" w:sz="8" w:space="0"/>
              <w:bottom w:val="single" w:color="999999" w:sz="8" w:space="0"/>
              <w:right w:val="single" w:color="999999" w:sz="8" w:space="0"/>
            </w:tcBorders>
            <w:tcMar>
              <w:left w:w="105" w:type="dxa"/>
              <w:top w:w="0" w:type="dxa"/>
              <w:right w:w="105" w:type="dxa"/>
              <w:bottom w:w="0" w:type="dxa"/>
            </w:tcMar>
            <w:tcW w:w="1175" w:type="dxa"/>
            <w:vAlign w:val="bottom"/>
            <w:vMerge w:val="restart"/>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pacing w:val="10"/>
                <w:sz w:val="21"/>
              </w:rPr>
              <w:t xml:space="preserve">零售业</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420"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pacing w:val="10"/>
                <w:sz w:val="21"/>
              </w:rPr>
              <w:t xml:space="preserve">从业人员（X）</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622"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pacing w:val="10"/>
                <w:sz w:val="21"/>
              </w:rPr>
              <w:t xml:space="preserve">人</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664"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pacing w:val="10"/>
                <w:sz w:val="21"/>
              </w:rPr>
              <w:t xml:space="preserve">50≤X＜300</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66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pacing w:val="10"/>
                <w:sz w:val="21"/>
              </w:rPr>
              <w:t xml:space="preserve">10≤X＜50</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005"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pacing w:val="10"/>
                <w:sz w:val="21"/>
              </w:rPr>
              <w:t xml:space="preserve">X＜10</w:t>
            </w:r>
            <w:r/>
          </w:p>
        </w:tc>
      </w:tr>
      <w:tr>
        <w:trPr>
          <w:trHeight w:val="225"/>
        </w:trPr>
        <w:tc>
          <w:tcPr>
            <w:vMerge w:val="continue"/>
            <w:textDirection w:val="lrTb"/>
            <w:noWrap w:val="false"/>
          </w:tcPr>
          <w:p>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420"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pacing w:val="10"/>
                <w:sz w:val="21"/>
              </w:rPr>
              <w:t xml:space="preserve">营业收入（Y）</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622"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pacing w:val="10"/>
                <w:sz w:val="21"/>
              </w:rPr>
              <w:t xml:space="preserve">万元</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664"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pacing w:val="10"/>
                <w:sz w:val="21"/>
              </w:rPr>
              <w:t xml:space="preserve">500≤Y＜20000</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66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pacing w:val="10"/>
                <w:sz w:val="21"/>
              </w:rPr>
              <w:t xml:space="preserve">100≤Y＜500</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005"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pacing w:val="10"/>
                <w:sz w:val="21"/>
              </w:rPr>
              <w:t xml:space="preserve">Y＜100</w:t>
            </w:r>
            <w:r/>
          </w:p>
        </w:tc>
      </w:tr>
      <w:tr>
        <w:trPr>
          <w:trHeight w:val="225"/>
        </w:trPr>
        <w:tc>
          <w:tcPr>
            <w:tcBorders>
              <w:top w:val="none" w:color="000000" w:sz="4" w:space="0"/>
              <w:left w:val="single" w:color="000000" w:sz="8" w:space="0"/>
              <w:bottom w:val="single" w:color="999999" w:sz="8" w:space="0"/>
              <w:right w:val="single" w:color="999999" w:sz="8" w:space="0"/>
            </w:tcBorders>
            <w:tcMar>
              <w:left w:w="105" w:type="dxa"/>
              <w:top w:w="0" w:type="dxa"/>
              <w:right w:w="105" w:type="dxa"/>
              <w:bottom w:w="0" w:type="dxa"/>
            </w:tcMar>
            <w:tcW w:w="1175" w:type="dxa"/>
            <w:vAlign w:val="bottom"/>
            <w:vMerge w:val="restart"/>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pacing w:val="10"/>
                <w:sz w:val="21"/>
              </w:rPr>
              <w:t xml:space="preserve">交通运输业</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420"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pacing w:val="10"/>
                <w:sz w:val="21"/>
              </w:rPr>
              <w:t xml:space="preserve">从业人员（X）</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622"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pacing w:val="10"/>
                <w:sz w:val="21"/>
              </w:rPr>
              <w:t xml:space="preserve">人</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664"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pacing w:val="10"/>
                <w:sz w:val="21"/>
              </w:rPr>
              <w:t xml:space="preserve">300≤X＜1000</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66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pacing w:val="10"/>
                <w:sz w:val="21"/>
              </w:rPr>
              <w:t xml:space="preserve">20≤X＜300</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005"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pacing w:val="10"/>
                <w:sz w:val="21"/>
              </w:rPr>
              <w:t xml:space="preserve">X＜20</w:t>
            </w:r>
            <w:r/>
          </w:p>
        </w:tc>
      </w:tr>
      <w:tr>
        <w:trPr>
          <w:trHeight w:val="225"/>
        </w:trPr>
        <w:tc>
          <w:tcPr>
            <w:vMerge w:val="continue"/>
            <w:textDirection w:val="lrTb"/>
            <w:noWrap w:val="false"/>
          </w:tcPr>
          <w:p>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420"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pacing w:val="10"/>
                <w:sz w:val="21"/>
              </w:rPr>
              <w:t xml:space="preserve">营业收入（Y）</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622"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pacing w:val="10"/>
                <w:sz w:val="21"/>
              </w:rPr>
              <w:t xml:space="preserve">万元</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664"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pacing w:val="10"/>
                <w:sz w:val="21"/>
              </w:rPr>
              <w:t xml:space="preserve">3000≤Y＜30000</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66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pacing w:val="10"/>
                <w:sz w:val="21"/>
              </w:rPr>
              <w:t xml:space="preserve">200≤Y＜3000</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005"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pacing w:val="10"/>
                <w:sz w:val="21"/>
              </w:rPr>
              <w:t xml:space="preserve">Y＜200</w:t>
            </w:r>
            <w:r/>
          </w:p>
        </w:tc>
      </w:tr>
      <w:tr>
        <w:trPr>
          <w:trHeight w:val="225"/>
        </w:trPr>
        <w:tc>
          <w:tcPr>
            <w:tcBorders>
              <w:top w:val="none" w:color="000000" w:sz="4" w:space="0"/>
              <w:left w:val="single" w:color="000000" w:sz="8" w:space="0"/>
              <w:bottom w:val="single" w:color="999999" w:sz="8" w:space="0"/>
              <w:right w:val="single" w:color="999999" w:sz="8" w:space="0"/>
            </w:tcBorders>
            <w:tcMar>
              <w:left w:w="105" w:type="dxa"/>
              <w:top w:w="0" w:type="dxa"/>
              <w:right w:w="105" w:type="dxa"/>
              <w:bottom w:w="0" w:type="dxa"/>
            </w:tcMar>
            <w:tcW w:w="1175" w:type="dxa"/>
            <w:vAlign w:val="bottom"/>
            <w:vMerge w:val="restart"/>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pacing w:val="10"/>
                <w:sz w:val="21"/>
              </w:rPr>
              <w:t xml:space="preserve">仓储业</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420"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pacing w:val="10"/>
                <w:sz w:val="21"/>
              </w:rPr>
              <w:t xml:space="preserve">从业人员（X）</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622"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pacing w:val="10"/>
                <w:sz w:val="21"/>
              </w:rPr>
              <w:t xml:space="preserve">人</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664"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pacing w:val="10"/>
                <w:sz w:val="21"/>
              </w:rPr>
              <w:t xml:space="preserve">100≤X＜200</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66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pacing w:val="10"/>
                <w:sz w:val="21"/>
              </w:rPr>
              <w:t xml:space="preserve">20≤X＜100</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005"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pacing w:val="10"/>
                <w:sz w:val="21"/>
              </w:rPr>
              <w:t xml:space="preserve">X＜20</w:t>
            </w:r>
            <w:r/>
          </w:p>
        </w:tc>
      </w:tr>
      <w:tr>
        <w:trPr>
          <w:trHeight w:val="225"/>
        </w:trPr>
        <w:tc>
          <w:tcPr>
            <w:vMerge w:val="continue"/>
            <w:textDirection w:val="lrTb"/>
            <w:noWrap w:val="false"/>
          </w:tcPr>
          <w:p>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420"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pacing w:val="10"/>
                <w:sz w:val="21"/>
              </w:rPr>
              <w:t xml:space="preserve">营业收入（Y）</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622"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pacing w:val="10"/>
                <w:sz w:val="21"/>
              </w:rPr>
              <w:t xml:space="preserve">万元</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664"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pacing w:val="10"/>
                <w:sz w:val="21"/>
              </w:rPr>
              <w:t xml:space="preserve">1000≤Y＜30000</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66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pacing w:val="10"/>
                <w:sz w:val="21"/>
              </w:rPr>
              <w:t xml:space="preserve">100≤Y＜1000</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005"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pacing w:val="10"/>
                <w:sz w:val="21"/>
              </w:rPr>
              <w:t xml:space="preserve">Y＜100</w:t>
            </w:r>
            <w:r/>
          </w:p>
        </w:tc>
      </w:tr>
      <w:tr>
        <w:trPr>
          <w:trHeight w:val="225"/>
        </w:trPr>
        <w:tc>
          <w:tcPr>
            <w:tcBorders>
              <w:top w:val="none" w:color="000000" w:sz="4" w:space="0"/>
              <w:left w:val="single" w:color="000000" w:sz="8" w:space="0"/>
              <w:bottom w:val="single" w:color="999999" w:sz="8" w:space="0"/>
              <w:right w:val="single" w:color="999999" w:sz="8" w:space="0"/>
            </w:tcBorders>
            <w:tcMar>
              <w:left w:w="105" w:type="dxa"/>
              <w:top w:w="0" w:type="dxa"/>
              <w:right w:w="105" w:type="dxa"/>
              <w:bottom w:w="0" w:type="dxa"/>
            </w:tcMar>
            <w:tcW w:w="1175" w:type="dxa"/>
            <w:vAlign w:val="bottom"/>
            <w:vMerge w:val="restart"/>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pacing w:val="10"/>
                <w:sz w:val="21"/>
              </w:rPr>
              <w:t xml:space="preserve">邮政业</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420"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pacing w:val="10"/>
                <w:sz w:val="21"/>
              </w:rPr>
              <w:t xml:space="preserve">从业人员（X）</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622"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pacing w:val="10"/>
                <w:sz w:val="21"/>
              </w:rPr>
              <w:t xml:space="preserve">人</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664"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pacing w:val="10"/>
                <w:sz w:val="21"/>
              </w:rPr>
              <w:t xml:space="preserve">300≤X＜1000</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66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pacing w:val="10"/>
                <w:sz w:val="21"/>
              </w:rPr>
              <w:t xml:space="preserve">20≤X＜300</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005"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pacing w:val="10"/>
                <w:sz w:val="21"/>
              </w:rPr>
              <w:t xml:space="preserve">X＜20</w:t>
            </w:r>
            <w:r/>
          </w:p>
        </w:tc>
      </w:tr>
      <w:tr>
        <w:trPr>
          <w:trHeight w:val="225"/>
        </w:trPr>
        <w:tc>
          <w:tcPr>
            <w:vMerge w:val="continue"/>
            <w:textDirection w:val="lrTb"/>
            <w:noWrap w:val="false"/>
          </w:tcPr>
          <w:p>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420"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pacing w:val="10"/>
                <w:sz w:val="21"/>
              </w:rPr>
              <w:t xml:space="preserve">营业收入（Y）</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622"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pacing w:val="10"/>
                <w:sz w:val="21"/>
              </w:rPr>
              <w:t xml:space="preserve">万元</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664"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pacing w:val="10"/>
                <w:sz w:val="21"/>
              </w:rPr>
              <w:t xml:space="preserve">2000≤Y＜30000</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66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pacing w:val="10"/>
                <w:sz w:val="21"/>
              </w:rPr>
              <w:t xml:space="preserve">100≤Y＜2000</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005"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pacing w:val="10"/>
                <w:sz w:val="21"/>
              </w:rPr>
              <w:t xml:space="preserve">Y＜100</w:t>
            </w:r>
            <w:r/>
          </w:p>
        </w:tc>
      </w:tr>
      <w:tr>
        <w:trPr>
          <w:trHeight w:val="225"/>
        </w:trPr>
        <w:tc>
          <w:tcPr>
            <w:tcBorders>
              <w:top w:val="none" w:color="000000" w:sz="4" w:space="0"/>
              <w:left w:val="single" w:color="000000" w:sz="8" w:space="0"/>
              <w:bottom w:val="single" w:color="999999" w:sz="8" w:space="0"/>
              <w:right w:val="single" w:color="999999" w:sz="8" w:space="0"/>
            </w:tcBorders>
            <w:tcMar>
              <w:left w:w="105" w:type="dxa"/>
              <w:top w:w="0" w:type="dxa"/>
              <w:right w:w="105" w:type="dxa"/>
              <w:bottom w:w="0" w:type="dxa"/>
            </w:tcMar>
            <w:tcW w:w="1175" w:type="dxa"/>
            <w:vAlign w:val="bottom"/>
            <w:vMerge w:val="restart"/>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pacing w:val="10"/>
                <w:sz w:val="21"/>
              </w:rPr>
              <w:t xml:space="preserve">住宿业</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420"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pacing w:val="10"/>
                <w:sz w:val="21"/>
              </w:rPr>
              <w:t xml:space="preserve">从业人员（X）</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622"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pacing w:val="10"/>
                <w:sz w:val="21"/>
              </w:rPr>
              <w:t xml:space="preserve">人</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664"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pacing w:val="10"/>
                <w:sz w:val="21"/>
              </w:rPr>
              <w:t xml:space="preserve">100≤X＜300</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66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pacing w:val="10"/>
                <w:sz w:val="21"/>
              </w:rPr>
              <w:t xml:space="preserve">10≤X＜100</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005"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pacing w:val="10"/>
                <w:sz w:val="21"/>
              </w:rPr>
              <w:t xml:space="preserve">X＜10</w:t>
            </w:r>
            <w:r/>
          </w:p>
        </w:tc>
      </w:tr>
      <w:tr>
        <w:trPr>
          <w:trHeight w:val="225"/>
        </w:trPr>
        <w:tc>
          <w:tcPr>
            <w:vMerge w:val="continue"/>
            <w:textDirection w:val="lrTb"/>
            <w:noWrap w:val="false"/>
          </w:tcPr>
          <w:p>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420"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pacing w:val="10"/>
                <w:sz w:val="21"/>
              </w:rPr>
              <w:t xml:space="preserve">营业收入（Y）</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622"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pacing w:val="10"/>
                <w:sz w:val="21"/>
              </w:rPr>
              <w:t xml:space="preserve">万元</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664"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pacing w:val="10"/>
                <w:sz w:val="21"/>
              </w:rPr>
              <w:t xml:space="preserve">2000≤Y＜10000</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66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pacing w:val="10"/>
                <w:sz w:val="21"/>
              </w:rPr>
              <w:t xml:space="preserve">100≤Y＜2000</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005"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pacing w:val="10"/>
                <w:sz w:val="21"/>
              </w:rPr>
              <w:t xml:space="preserve">Y＜100</w:t>
            </w:r>
            <w:r/>
          </w:p>
        </w:tc>
      </w:tr>
      <w:tr>
        <w:trPr>
          <w:trHeight w:val="225"/>
        </w:trPr>
        <w:tc>
          <w:tcPr>
            <w:tcBorders>
              <w:top w:val="none" w:color="000000" w:sz="4" w:space="0"/>
              <w:left w:val="single" w:color="000000" w:sz="8" w:space="0"/>
              <w:bottom w:val="single" w:color="999999" w:sz="8" w:space="0"/>
              <w:right w:val="single" w:color="999999" w:sz="8" w:space="0"/>
            </w:tcBorders>
            <w:tcMar>
              <w:left w:w="105" w:type="dxa"/>
              <w:top w:w="0" w:type="dxa"/>
              <w:right w:w="105" w:type="dxa"/>
              <w:bottom w:w="0" w:type="dxa"/>
            </w:tcMar>
            <w:tcW w:w="1175" w:type="dxa"/>
            <w:vAlign w:val="bottom"/>
            <w:vMerge w:val="restart"/>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pacing w:val="10"/>
                <w:sz w:val="21"/>
              </w:rPr>
              <w:t xml:space="preserve">餐饮业</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420"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pacing w:val="10"/>
                <w:sz w:val="21"/>
              </w:rPr>
              <w:t xml:space="preserve">从业人员（X）</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622"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pacing w:val="10"/>
                <w:sz w:val="21"/>
              </w:rPr>
              <w:t xml:space="preserve">人</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664"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pacing w:val="10"/>
                <w:sz w:val="21"/>
              </w:rPr>
              <w:t xml:space="preserve">100≤X＜300</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66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pacing w:val="10"/>
                <w:sz w:val="21"/>
              </w:rPr>
              <w:t xml:space="preserve">10≤X＜100</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005"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pacing w:val="10"/>
                <w:sz w:val="21"/>
              </w:rPr>
              <w:t xml:space="preserve">X＜10</w:t>
            </w:r>
            <w:r/>
          </w:p>
        </w:tc>
      </w:tr>
      <w:tr>
        <w:trPr>
          <w:trHeight w:val="225"/>
        </w:trPr>
        <w:tc>
          <w:tcPr>
            <w:vMerge w:val="continue"/>
            <w:textDirection w:val="lrTb"/>
            <w:noWrap w:val="false"/>
          </w:tcPr>
          <w:p>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420"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pacing w:val="10"/>
                <w:sz w:val="21"/>
              </w:rPr>
              <w:t xml:space="preserve">营业收入（Y）</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622"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pacing w:val="10"/>
                <w:sz w:val="21"/>
              </w:rPr>
              <w:t xml:space="preserve">万元</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664"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pacing w:val="10"/>
                <w:sz w:val="21"/>
              </w:rPr>
              <w:t xml:space="preserve">2000≤Y＜10000</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66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pacing w:val="10"/>
                <w:sz w:val="21"/>
              </w:rPr>
              <w:t xml:space="preserve">100≤Y＜2000</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005"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pacing w:val="10"/>
                <w:sz w:val="21"/>
              </w:rPr>
              <w:t xml:space="preserve">Y＜100</w:t>
            </w:r>
            <w:r/>
          </w:p>
        </w:tc>
      </w:tr>
      <w:tr>
        <w:trPr>
          <w:trHeight w:val="225"/>
        </w:trPr>
        <w:tc>
          <w:tcPr>
            <w:tcBorders>
              <w:top w:val="none" w:color="000000" w:sz="4" w:space="0"/>
              <w:left w:val="single" w:color="000000" w:sz="8" w:space="0"/>
              <w:bottom w:val="single" w:color="999999" w:sz="8" w:space="0"/>
              <w:right w:val="single" w:color="999999" w:sz="8" w:space="0"/>
            </w:tcBorders>
            <w:tcMar>
              <w:left w:w="105" w:type="dxa"/>
              <w:top w:w="0" w:type="dxa"/>
              <w:right w:w="105" w:type="dxa"/>
              <w:bottom w:w="0" w:type="dxa"/>
            </w:tcMar>
            <w:tcW w:w="1175" w:type="dxa"/>
            <w:vAlign w:val="bottom"/>
            <w:vMerge w:val="restart"/>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pacing w:val="10"/>
                <w:sz w:val="21"/>
              </w:rPr>
              <w:t xml:space="preserve">信息传输业</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420"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pacing w:val="10"/>
                <w:sz w:val="21"/>
              </w:rPr>
              <w:t xml:space="preserve">从业人员（X）</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622"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pacing w:val="10"/>
                <w:sz w:val="21"/>
              </w:rPr>
              <w:t xml:space="preserve">人</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664"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pacing w:val="10"/>
                <w:sz w:val="21"/>
              </w:rPr>
              <w:t xml:space="preserve">100≤X＜2000</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66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pacing w:val="10"/>
                <w:sz w:val="21"/>
              </w:rPr>
              <w:t xml:space="preserve">10≤X＜100</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005"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pacing w:val="10"/>
                <w:sz w:val="21"/>
              </w:rPr>
              <w:t xml:space="preserve">X＜10</w:t>
            </w:r>
            <w:r/>
          </w:p>
        </w:tc>
      </w:tr>
      <w:tr>
        <w:trPr>
          <w:trHeight w:val="225"/>
        </w:trPr>
        <w:tc>
          <w:tcPr>
            <w:vMerge w:val="continue"/>
            <w:textDirection w:val="lrTb"/>
            <w:noWrap w:val="false"/>
          </w:tcPr>
          <w:p>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420"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pacing w:val="10"/>
                <w:sz w:val="21"/>
              </w:rPr>
              <w:t xml:space="preserve">营业收入（Y）</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622"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pacing w:val="10"/>
                <w:sz w:val="21"/>
              </w:rPr>
              <w:t xml:space="preserve">万元</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664"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pacing w:val="10"/>
                <w:sz w:val="21"/>
              </w:rPr>
              <w:t xml:space="preserve">1000≤Y＜100000</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66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pacing w:val="10"/>
                <w:sz w:val="21"/>
              </w:rPr>
              <w:t xml:space="preserve">100≤Y＜1000</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005"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pacing w:val="10"/>
                <w:sz w:val="21"/>
              </w:rPr>
              <w:t xml:space="preserve">Y＜100</w:t>
            </w:r>
            <w:r/>
          </w:p>
        </w:tc>
      </w:tr>
      <w:tr>
        <w:trPr>
          <w:trHeight w:val="225"/>
        </w:trPr>
        <w:tc>
          <w:tcPr>
            <w:tcBorders>
              <w:top w:val="none" w:color="000000" w:sz="4" w:space="0"/>
              <w:left w:val="single" w:color="000000" w:sz="8" w:space="0"/>
              <w:bottom w:val="single" w:color="999999" w:sz="8" w:space="0"/>
              <w:right w:val="single" w:color="999999" w:sz="8" w:space="0"/>
            </w:tcBorders>
            <w:tcMar>
              <w:left w:w="105" w:type="dxa"/>
              <w:top w:w="0" w:type="dxa"/>
              <w:right w:w="105" w:type="dxa"/>
              <w:bottom w:w="0" w:type="dxa"/>
            </w:tcMar>
            <w:tcW w:w="1175" w:type="dxa"/>
            <w:vAlign w:val="bottom"/>
            <w:vMerge w:val="restart"/>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pacing w:val="10"/>
                <w:sz w:val="21"/>
              </w:rPr>
              <w:t xml:space="preserve">软件和信息技术服务业</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420"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pacing w:val="10"/>
                <w:sz w:val="21"/>
              </w:rPr>
              <w:t xml:space="preserve">从业人员（X）</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622"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pacing w:val="10"/>
                <w:sz w:val="21"/>
              </w:rPr>
              <w:t xml:space="preserve">人</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664"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pacing w:val="10"/>
                <w:sz w:val="21"/>
              </w:rPr>
              <w:t xml:space="preserve">100≤X＜300</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66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pacing w:val="10"/>
                <w:sz w:val="21"/>
              </w:rPr>
              <w:t xml:space="preserve">10≤X＜100</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005"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pacing w:val="10"/>
                <w:sz w:val="21"/>
              </w:rPr>
              <w:t xml:space="preserve">X＜10</w:t>
            </w:r>
            <w:r/>
          </w:p>
        </w:tc>
      </w:tr>
      <w:tr>
        <w:trPr>
          <w:trHeight w:val="225"/>
        </w:trPr>
        <w:tc>
          <w:tcPr>
            <w:vMerge w:val="continue"/>
            <w:textDirection w:val="lrTb"/>
            <w:noWrap w:val="false"/>
          </w:tcPr>
          <w:p>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420"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pacing w:val="10"/>
                <w:sz w:val="21"/>
              </w:rPr>
              <w:t xml:space="preserve">营业收入（Y）</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622"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pacing w:val="10"/>
                <w:sz w:val="21"/>
              </w:rPr>
              <w:t xml:space="preserve">万元</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664"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pacing w:val="10"/>
                <w:sz w:val="21"/>
              </w:rPr>
              <w:t xml:space="preserve">1000≤Y＜10000</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66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pacing w:val="10"/>
                <w:sz w:val="21"/>
              </w:rPr>
              <w:t xml:space="preserve">50≤Y＜1000</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005"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pacing w:val="10"/>
                <w:sz w:val="21"/>
              </w:rPr>
              <w:t xml:space="preserve">Y＜50</w:t>
            </w:r>
            <w:r/>
          </w:p>
        </w:tc>
      </w:tr>
      <w:tr>
        <w:trPr>
          <w:trHeight w:val="225"/>
        </w:trPr>
        <w:tc>
          <w:tcPr>
            <w:tcBorders>
              <w:top w:val="none" w:color="000000" w:sz="4" w:space="0"/>
              <w:left w:val="single" w:color="000000" w:sz="8" w:space="0"/>
              <w:bottom w:val="single" w:color="999999" w:sz="8" w:space="0"/>
              <w:right w:val="single" w:color="999999" w:sz="8" w:space="0"/>
            </w:tcBorders>
            <w:tcMar>
              <w:left w:w="105" w:type="dxa"/>
              <w:top w:w="0" w:type="dxa"/>
              <w:right w:w="105" w:type="dxa"/>
              <w:bottom w:w="0" w:type="dxa"/>
            </w:tcMar>
            <w:tcW w:w="1175" w:type="dxa"/>
            <w:vAlign w:val="bottom"/>
            <w:vMerge w:val="restart"/>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pacing w:val="10"/>
                <w:sz w:val="21"/>
              </w:rPr>
              <w:t xml:space="preserve">房地产开发经营</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420"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pacing w:val="10"/>
                <w:sz w:val="21"/>
              </w:rPr>
              <w:t xml:space="preserve">营业收入（Y）</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622"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pacing w:val="10"/>
                <w:sz w:val="21"/>
              </w:rPr>
              <w:t xml:space="preserve">万元</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664"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pacing w:val="10"/>
                <w:sz w:val="21"/>
              </w:rPr>
              <w:t xml:space="preserve">1000≤Y＜200000</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66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pacing w:val="10"/>
                <w:sz w:val="21"/>
              </w:rPr>
              <w:t xml:space="preserve">100≤X＜1000</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005"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pacing w:val="10"/>
                <w:sz w:val="21"/>
              </w:rPr>
              <w:t xml:space="preserve">X＜100</w:t>
            </w:r>
            <w:r/>
          </w:p>
        </w:tc>
      </w:tr>
      <w:tr>
        <w:trPr>
          <w:trHeight w:val="225"/>
        </w:trPr>
        <w:tc>
          <w:tcPr>
            <w:vMerge w:val="continue"/>
            <w:textDirection w:val="lrTb"/>
            <w:noWrap w:val="false"/>
          </w:tcPr>
          <w:p>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420"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pacing w:val="10"/>
                <w:sz w:val="21"/>
              </w:rPr>
              <w:t xml:space="preserve">资产总额（Z）</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622"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pacing w:val="10"/>
                <w:sz w:val="21"/>
              </w:rPr>
              <w:t xml:space="preserve">万元</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664"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pacing w:val="10"/>
                <w:sz w:val="21"/>
              </w:rPr>
              <w:t xml:space="preserve">5000≤Z＜10000</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66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pacing w:val="10"/>
                <w:sz w:val="21"/>
              </w:rPr>
              <w:t xml:space="preserve">2000≤Y＜5000</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005"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pacing w:val="10"/>
                <w:sz w:val="21"/>
              </w:rPr>
              <w:t xml:space="preserve">Y＜2000</w:t>
            </w:r>
            <w:r/>
          </w:p>
        </w:tc>
      </w:tr>
      <w:tr>
        <w:trPr>
          <w:trHeight w:val="225"/>
        </w:trPr>
        <w:tc>
          <w:tcPr>
            <w:tcBorders>
              <w:top w:val="none" w:color="000000" w:sz="4" w:space="0"/>
              <w:left w:val="single" w:color="000000" w:sz="8" w:space="0"/>
              <w:bottom w:val="single" w:color="999999" w:sz="8" w:space="0"/>
              <w:right w:val="single" w:color="999999" w:sz="8" w:space="0"/>
            </w:tcBorders>
            <w:tcMar>
              <w:left w:w="105" w:type="dxa"/>
              <w:top w:w="0" w:type="dxa"/>
              <w:right w:w="105" w:type="dxa"/>
              <w:bottom w:w="0" w:type="dxa"/>
            </w:tcMar>
            <w:tcW w:w="1175" w:type="dxa"/>
            <w:vAlign w:val="bottom"/>
            <w:vMerge w:val="restart"/>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pacing w:val="10"/>
                <w:sz w:val="21"/>
              </w:rPr>
              <w:t xml:space="preserve">物业管理</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420"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pacing w:val="10"/>
                <w:sz w:val="21"/>
              </w:rPr>
              <w:t xml:space="preserve">从业人员（X）</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622"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pacing w:val="10"/>
                <w:sz w:val="21"/>
              </w:rPr>
              <w:t xml:space="preserve">人</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664"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pacing w:val="10"/>
                <w:sz w:val="21"/>
              </w:rPr>
              <w:t xml:space="preserve">300≤X＜1000</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66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pacing w:val="10"/>
                <w:sz w:val="21"/>
              </w:rPr>
              <w:t xml:space="preserve">100≤X＜300</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005"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pacing w:val="10"/>
                <w:sz w:val="21"/>
              </w:rPr>
              <w:t xml:space="preserve">X＜100</w:t>
            </w:r>
            <w:r/>
          </w:p>
        </w:tc>
      </w:tr>
      <w:tr>
        <w:trPr>
          <w:trHeight w:val="225"/>
        </w:trPr>
        <w:tc>
          <w:tcPr>
            <w:vMerge w:val="continue"/>
            <w:textDirection w:val="lrTb"/>
            <w:noWrap w:val="false"/>
          </w:tcPr>
          <w:p>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420"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pacing w:val="10"/>
                <w:sz w:val="21"/>
              </w:rPr>
              <w:t xml:space="preserve">营业收入（Y）</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622"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pacing w:val="10"/>
                <w:sz w:val="21"/>
              </w:rPr>
              <w:t xml:space="preserve">万元</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664"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pacing w:val="10"/>
                <w:sz w:val="21"/>
              </w:rPr>
              <w:t xml:space="preserve">1000≤Y＜5000</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66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pacing w:val="10"/>
                <w:sz w:val="21"/>
              </w:rPr>
              <w:t xml:space="preserve">500≤Y＜1000</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005"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pacing w:val="10"/>
                <w:sz w:val="21"/>
              </w:rPr>
              <w:t xml:space="preserve">Y＜500</w:t>
            </w:r>
            <w:r/>
          </w:p>
        </w:tc>
      </w:tr>
      <w:tr>
        <w:trPr>
          <w:trHeight w:val="225"/>
        </w:trPr>
        <w:tc>
          <w:tcPr>
            <w:tcBorders>
              <w:top w:val="none" w:color="000000" w:sz="4" w:space="0"/>
              <w:left w:val="single" w:color="000000" w:sz="8" w:space="0"/>
              <w:bottom w:val="single" w:color="999999" w:sz="8" w:space="0"/>
              <w:right w:val="single" w:color="999999" w:sz="8" w:space="0"/>
            </w:tcBorders>
            <w:tcMar>
              <w:left w:w="105" w:type="dxa"/>
              <w:top w:w="0" w:type="dxa"/>
              <w:right w:w="105" w:type="dxa"/>
              <w:bottom w:w="0" w:type="dxa"/>
            </w:tcMar>
            <w:tcW w:w="1175" w:type="dxa"/>
            <w:vAlign w:val="bottom"/>
            <w:vMerge w:val="restart"/>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pacing w:val="10"/>
                <w:sz w:val="21"/>
              </w:rPr>
              <w:t xml:space="preserve">租赁和商务服务业</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420"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pacing w:val="10"/>
                <w:sz w:val="21"/>
              </w:rPr>
              <w:t xml:space="preserve">从业人员（X）</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622"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pacing w:val="10"/>
                <w:sz w:val="21"/>
              </w:rPr>
              <w:t xml:space="preserve">人</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664"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pacing w:val="10"/>
                <w:sz w:val="21"/>
              </w:rPr>
              <w:t xml:space="preserve">100≤X＜300</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66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pacing w:val="10"/>
                <w:sz w:val="21"/>
              </w:rPr>
              <w:t xml:space="preserve">10≤X＜100</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005"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pacing w:val="10"/>
                <w:sz w:val="21"/>
              </w:rPr>
              <w:t xml:space="preserve">X＜10</w:t>
            </w:r>
            <w:r/>
          </w:p>
        </w:tc>
      </w:tr>
      <w:tr>
        <w:trPr>
          <w:trHeight w:val="225"/>
        </w:trPr>
        <w:tc>
          <w:tcPr>
            <w:vMerge w:val="continue"/>
            <w:textDirection w:val="lrTb"/>
            <w:noWrap w:val="false"/>
          </w:tcPr>
          <w:p>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420"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pacing w:val="10"/>
                <w:sz w:val="21"/>
              </w:rPr>
              <w:t xml:space="preserve">资产总额（Z）</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622"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pacing w:val="10"/>
                <w:sz w:val="21"/>
              </w:rPr>
              <w:t xml:space="preserve">万元</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664"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pacing w:val="10"/>
                <w:sz w:val="21"/>
              </w:rPr>
              <w:t xml:space="preserve">8000≤Z＜120000</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66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pacing w:val="10"/>
                <w:sz w:val="21"/>
              </w:rPr>
              <w:t xml:space="preserve">100≤Z＜8000</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005"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pacing w:val="10"/>
                <w:sz w:val="21"/>
              </w:rPr>
              <w:t xml:space="preserve">Y＜100</w:t>
            </w:r>
            <w:r/>
          </w:p>
        </w:tc>
      </w:tr>
      <w:tr>
        <w:trPr>
          <w:trHeight w:val="225"/>
        </w:trPr>
        <w:tc>
          <w:tcPr>
            <w:tcBorders>
              <w:top w:val="none" w:color="000000" w:sz="4" w:space="0"/>
              <w:left w:val="single" w:color="000000" w:sz="8" w:space="0"/>
              <w:bottom w:val="single" w:color="999999" w:sz="8" w:space="0"/>
              <w:right w:val="single" w:color="999999" w:sz="8" w:space="0"/>
            </w:tcBorders>
            <w:tcMar>
              <w:left w:w="105" w:type="dxa"/>
              <w:top w:w="0" w:type="dxa"/>
              <w:right w:w="105" w:type="dxa"/>
              <w:bottom w:w="0" w:type="dxa"/>
            </w:tcMar>
            <w:tcW w:w="1175" w:type="dxa"/>
            <w:vAlign w:val="bottom"/>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pacing w:val="10"/>
                <w:sz w:val="21"/>
              </w:rPr>
              <w:t xml:space="preserve">其他未列明行业</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420"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pacing w:val="10"/>
                <w:sz w:val="21"/>
              </w:rPr>
              <w:t xml:space="preserve">从业人员（X）</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622"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pacing w:val="10"/>
                <w:sz w:val="21"/>
              </w:rPr>
              <w:t xml:space="preserve">人</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664"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pacing w:val="10"/>
                <w:sz w:val="21"/>
              </w:rPr>
              <w:t xml:space="preserve">100≤X＜300</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66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pacing w:val="10"/>
                <w:sz w:val="21"/>
              </w:rPr>
              <w:t xml:space="preserve">10≤X＜100</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005"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pacing w:val="10"/>
                <w:sz w:val="21"/>
              </w:rPr>
              <w:t xml:space="preserve">X＜10</w:t>
            </w:r>
            <w:r/>
          </w:p>
        </w:tc>
      </w:tr>
    </w:tbl>
    <w:p>
      <w:pPr>
        <w:ind w:left="0" w:right="0" w:firstLine="462"/>
        <w:jc w:val="both"/>
        <w:spacing w:before="300" w:after="452"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pacing w:val="10"/>
          <w:sz w:val="21"/>
        </w:rPr>
        <w:t xml:space="preserve">说明：上述标准参照《关于印发中小企业划型标准规定的通知》（工信部联企业[2011]300号），大型、中型和小型企业须同时满足所列指标的下限，否则下划一档；微型企业只须满足所列指标中的一项即可。</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rPr>
        <w:t xml:space="preserve"> </w:t>
      </w:r>
      <w:r/>
    </w:p>
    <w:p>
      <w:pPr>
        <w:pStyle w:val="684"/>
        <w:ind w:left="720" w:right="0" w:hanging="720"/>
        <w:jc w:val="center"/>
        <w:spacing w:before="312" w:after="312"/>
        <w:pBdr>
          <w:top w:val="none" w:color="000000" w:sz="4" w:space="0"/>
          <w:left w:val="none" w:color="000000" w:sz="4" w:space="0"/>
          <w:bottom w:val="none" w:color="000000" w:sz="4" w:space="0"/>
          <w:right w:val="none" w:color="000000" w:sz="4" w:space="0"/>
        </w:pBdr>
      </w:pPr>
      <w:r>
        <w:br w:type="page" w:clear="all"/>
      </w:r>
      <w:r/>
    </w:p>
    <w:p>
      <w:pPr>
        <w:pStyle w:val="684"/>
        <w:ind w:left="720" w:right="0" w:hanging="720"/>
        <w:jc w:val="center"/>
        <w:spacing w:before="312" w:after="312"/>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四、开标一览表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项目名称：</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项目编号：</w:t>
      </w:r>
      <w:r/>
    </w:p>
    <w:tbl>
      <w:tblPr>
        <w:tblStyle w:val="71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178"/>
        <w:gridCol w:w="5850"/>
      </w:tblGrid>
      <w:tr>
        <w:trPr>
          <w:trHeight w:val="1098"/>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178" w:type="dxa"/>
            <w:vAlign w:val="center"/>
            <w:textDirection w:val="lrTb"/>
            <w:noWrap w:val="false"/>
          </w:tcPr>
          <w:p>
            <w:pPr>
              <w:ind w:left="0" w:right="0" w:firstLine="0"/>
              <w:jc w:val="both"/>
              <w:spacing w:before="210" w:after="120" w:line="71"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投标服务或产品名称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85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投标总报价</w:t>
            </w:r>
            <w:r/>
          </w:p>
        </w:tc>
      </w:tr>
      <w:tr>
        <w:trPr>
          <w:trHeight w:val="16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78" w:type="dxa"/>
            <w:vAlign w:val="center"/>
            <w:textDirection w:val="lrTb"/>
            <w:noWrap w:val="false"/>
          </w:tcPr>
          <w:p>
            <w:pPr>
              <w:ind w:left="0" w:right="0" w:firstLine="0"/>
              <w:jc w:val="both"/>
              <w:spacing w:before="210" w:after="120" w:line="71"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50" w:type="dxa"/>
            <w:vAlign w:val="center"/>
            <w:textDirection w:val="lrTb"/>
            <w:noWrap w:val="false"/>
          </w:tcPr>
          <w:p>
            <w:pPr>
              <w:ind w:left="0" w:right="0" w:firstLine="420"/>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大写：                       </w:t>
            </w:r>
            <w:r/>
          </w:p>
          <w:p>
            <w:pPr>
              <w:ind w:left="0" w:right="0" w:firstLine="420"/>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小写：                            （人民币：元   ）</w:t>
            </w:r>
            <w:r/>
          </w:p>
        </w:tc>
      </w:tr>
      <w:tr>
        <w:trPr>
          <w:trHeight w:val="16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78" w:type="dxa"/>
            <w:vAlign w:val="center"/>
            <w:textDirection w:val="lrTb"/>
            <w:noWrap w:val="false"/>
          </w:tcPr>
          <w:p>
            <w:pPr>
              <w:ind w:left="0" w:right="0" w:firstLine="0"/>
              <w:jc w:val="center"/>
              <w:spacing w:before="210" w:after="120" w:line="71"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是否小微企业</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50" w:type="dxa"/>
            <w:vAlign w:val="center"/>
            <w:textDirection w:val="lrTb"/>
            <w:noWrap w:val="false"/>
          </w:tcPr>
          <w:p>
            <w:pPr>
              <w:ind w:left="0" w:right="0" w:firstLine="0"/>
              <w:jc w:val="both"/>
              <w:spacing w:before="210" w:after="120" w:line="71"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□是             □否</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日期：</w:t>
      </w:r>
      <w:r>
        <w:rPr>
          <w:rFonts w:ascii="FangSong" w:hAnsi="FangSong" w:eastAsia="FangSong" w:cs="FangSong"/>
          <w:color w:val="000000"/>
          <w:sz w:val="21"/>
          <w:u w:val="single"/>
        </w:rPr>
        <w:t xml:space="preserve">     </w:t>
      </w:r>
      <w:r>
        <w:rPr>
          <w:rFonts w:ascii="FangSong" w:hAnsi="FangSong" w:eastAsia="FangSong" w:cs="FangSong"/>
          <w:color w:val="000000"/>
          <w:sz w:val="21"/>
        </w:rPr>
        <w:t xml:space="preserve">年</w:t>
      </w:r>
      <w:r>
        <w:rPr>
          <w:rFonts w:ascii="FangSong" w:hAnsi="FangSong" w:eastAsia="FangSong" w:cs="FangSong"/>
          <w:color w:val="000000"/>
          <w:sz w:val="21"/>
          <w:u w:val="single"/>
        </w:rPr>
        <w:t xml:space="preserve">   </w:t>
      </w:r>
      <w:r>
        <w:rPr>
          <w:rFonts w:ascii="FangSong" w:hAnsi="FangSong" w:eastAsia="FangSong" w:cs="FangSong"/>
          <w:color w:val="000000"/>
          <w:sz w:val="21"/>
        </w:rPr>
        <w:t xml:space="preserve">月</w:t>
      </w:r>
      <w:r>
        <w:rPr>
          <w:rFonts w:ascii="FangSong" w:hAnsi="FangSong" w:eastAsia="FangSong" w:cs="FangSong"/>
          <w:color w:val="000000"/>
          <w:sz w:val="21"/>
          <w:u w:val="single"/>
        </w:rPr>
        <w:t xml:space="preserve">   </w:t>
      </w:r>
      <w:r>
        <w:rPr>
          <w:rFonts w:ascii="FangSong" w:hAnsi="FangSong" w:eastAsia="FangSong" w:cs="FangSong"/>
          <w:color w:val="000000"/>
          <w:sz w:val="21"/>
        </w:rPr>
        <w:t xml:space="preserve">日</w:t>
      </w:r>
      <w:r/>
    </w:p>
    <w:p>
      <w:pPr>
        <w:pStyle w:val="682"/>
        <w:ind w:left="2100" w:right="0" w:hanging="567"/>
        <w:jc w:val="both"/>
        <w:spacing w:before="312" w:after="312"/>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 </w:t>
      </w:r>
      <w:r/>
    </w:p>
    <w:p>
      <w:pPr>
        <w:ind w:left="0" w:right="0" w:firstLine="64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五、分项报价表</w:t>
      </w:r>
      <w:r/>
    </w:p>
    <w:tbl>
      <w:tblPr>
        <w:tblStyle w:val="71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345"/>
        <w:gridCol w:w="1476"/>
        <w:gridCol w:w="2043"/>
        <w:gridCol w:w="1692"/>
      </w:tblGrid>
      <w:tr>
        <w:trPr>
          <w:trHeight w:val="675"/>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2</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0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3</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4</w:t>
            </w:r>
            <w:r/>
          </w:p>
        </w:tc>
      </w:tr>
      <w:tr>
        <w:trPr>
          <w:trHeight w:val="67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名称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数量</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单价</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总价</w:t>
            </w:r>
            <w:r/>
          </w:p>
        </w:tc>
      </w:tr>
      <w:tr>
        <w:trPr>
          <w:trHeight w:val="67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4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7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4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9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r>
      <w:tr>
        <w:trPr>
          <w:trHeight w:val="67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4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7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4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9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r>
      <w:tr>
        <w:trPr>
          <w:trHeight w:val="67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4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7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4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9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r>
      <w:tr>
        <w:trPr>
          <w:trHeight w:val="67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4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7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4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9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r>
      <w:tr>
        <w:trPr>
          <w:trHeight w:val="67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合计</w:t>
            </w:r>
            <w:r/>
          </w:p>
        </w:tc>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1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r>
    </w:tbl>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rPr>
        <w:t xml:space="preserve"> </w:t>
      </w:r>
      <w:r/>
    </w:p>
    <w:p>
      <w:pPr>
        <w:pStyle w:val="682"/>
        <w:ind w:left="851" w:right="0" w:hanging="567"/>
        <w:jc w:val="center"/>
        <w:spacing w:before="260" w:after="260" w:line="98"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六、技术参数响应及偏离表</w:t>
      </w:r>
      <w:r/>
    </w:p>
    <w:tbl>
      <w:tblPr>
        <w:tblStyle w:val="71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98"/>
        <w:gridCol w:w="2247"/>
        <w:gridCol w:w="2247"/>
        <w:gridCol w:w="1084"/>
        <w:gridCol w:w="945"/>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4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招标要求</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4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投标响应</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超出、符合或偏离</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证明材料</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47"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47"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84"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47"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47"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84"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47"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47"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84"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47"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47"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84"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47"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47"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84"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47"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47"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84"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47"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47"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84"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47"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47"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84"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注：1、按照基本技术要求详细填列。</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2、行数不够，可自行添加。</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6"/>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u w:val="none"/>
        </w:rPr>
        <w:t xml:space="preserve">七、商务条款响应及偏离表</w:t>
      </w:r>
      <w:r/>
    </w:p>
    <w:tbl>
      <w:tblPr>
        <w:tblStyle w:val="71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383"/>
        <w:gridCol w:w="2126"/>
        <w:gridCol w:w="1549"/>
        <w:gridCol w:w="2498"/>
      </w:tblGrid>
      <w:tr>
        <w:trPr>
          <w:trHeight w:val="56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83" w:type="dxa"/>
            <w:vAlign w:val="top"/>
            <w:textDirection w:val="lrTb"/>
            <w:noWrap w:val="false"/>
          </w:tcPr>
          <w:p>
            <w:pPr>
              <w:ind w:left="0" w:right="0" w:firstLine="0"/>
              <w:jc w:val="center"/>
              <w:spacing w:before="156"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项目</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126" w:type="dxa"/>
            <w:vAlign w:val="top"/>
            <w:textDirection w:val="lrTb"/>
            <w:noWrap w:val="false"/>
          </w:tcPr>
          <w:p>
            <w:pPr>
              <w:ind w:left="0" w:right="0" w:firstLine="0"/>
              <w:jc w:val="center"/>
              <w:spacing w:before="156"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招标文件要求</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49" w:type="dxa"/>
            <w:vAlign w:val="top"/>
            <w:textDirection w:val="lrTb"/>
            <w:noWrap w:val="false"/>
          </w:tcPr>
          <w:p>
            <w:pPr>
              <w:ind w:left="0" w:right="0" w:firstLine="0"/>
              <w:jc w:val="center"/>
              <w:spacing w:before="156"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是否响应</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498" w:type="dxa"/>
            <w:vAlign w:val="top"/>
            <w:textDirection w:val="lrTb"/>
            <w:noWrap w:val="false"/>
          </w:tcPr>
          <w:p>
            <w:pPr>
              <w:ind w:left="0" w:right="0" w:firstLine="0"/>
              <w:jc w:val="center"/>
              <w:spacing w:before="156"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投标人的承诺或说明</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83" w:type="dxa"/>
            <w:vAlign w:val="top"/>
            <w:textDirection w:val="lrTb"/>
            <w:noWrap w:val="false"/>
          </w:tcPr>
          <w:p>
            <w:pPr>
              <w:ind w:left="0" w:right="0" w:firstLine="0"/>
              <w:jc w:val="center"/>
              <w:spacing w:before="156"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服务期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26" w:type="dxa"/>
            <w:vAlign w:val="top"/>
            <w:textDirection w:val="lrTb"/>
            <w:noWrap w:val="false"/>
          </w:tcPr>
          <w:p>
            <w:pPr>
              <w:ind w:left="0" w:right="0" w:firstLine="0"/>
              <w:jc w:val="center"/>
              <w:spacing w:before="156"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49" w:type="dxa"/>
            <w:vAlign w:val="top"/>
            <w:textDirection w:val="lrTb"/>
            <w:noWrap w:val="false"/>
          </w:tcPr>
          <w:p>
            <w:pPr>
              <w:ind w:left="43" w:right="0" w:firstLine="0"/>
              <w:jc w:val="center"/>
              <w:spacing w:before="156"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98" w:type="dxa"/>
            <w:vAlign w:val="top"/>
            <w:textDirection w:val="lrTb"/>
            <w:noWrap w:val="false"/>
          </w:tcPr>
          <w:p>
            <w:pPr>
              <w:ind w:left="43" w:right="0" w:firstLine="0"/>
              <w:jc w:val="center"/>
              <w:spacing w:before="156"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83" w:type="dxa"/>
            <w:vAlign w:val="top"/>
            <w:textDirection w:val="lrTb"/>
            <w:noWrap w:val="false"/>
          </w:tcPr>
          <w:p>
            <w:pPr>
              <w:ind w:left="0" w:right="0" w:firstLine="0"/>
              <w:jc w:val="center"/>
              <w:spacing w:before="156"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交付方式</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26" w:type="dxa"/>
            <w:vAlign w:val="top"/>
            <w:textDirection w:val="lrTb"/>
            <w:noWrap w:val="false"/>
          </w:tcPr>
          <w:p>
            <w:pPr>
              <w:ind w:left="0" w:right="0" w:firstLine="0"/>
              <w:jc w:val="both"/>
              <w:spacing w:before="156"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49" w:type="dxa"/>
            <w:vAlign w:val="top"/>
            <w:textDirection w:val="lrTb"/>
            <w:noWrap w:val="false"/>
          </w:tcPr>
          <w:p>
            <w:pPr>
              <w:ind w:left="43" w:right="0" w:firstLine="0"/>
              <w:jc w:val="center"/>
              <w:spacing w:before="156"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98" w:type="dxa"/>
            <w:vAlign w:val="top"/>
            <w:textDirection w:val="lrTb"/>
            <w:noWrap w:val="false"/>
          </w:tcPr>
          <w:p>
            <w:pPr>
              <w:ind w:left="43" w:right="0" w:firstLine="0"/>
              <w:jc w:val="center"/>
              <w:spacing w:before="156"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83" w:type="dxa"/>
            <w:vAlign w:val="top"/>
            <w:textDirection w:val="lrTb"/>
            <w:noWrap w:val="false"/>
          </w:tcPr>
          <w:p>
            <w:pPr>
              <w:ind w:left="0" w:right="0" w:firstLine="0"/>
              <w:jc w:val="center"/>
              <w:spacing w:before="156"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交付地点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26" w:type="dxa"/>
            <w:vAlign w:val="top"/>
            <w:textDirection w:val="lrTb"/>
            <w:noWrap w:val="false"/>
          </w:tcPr>
          <w:p>
            <w:pPr>
              <w:ind w:left="0" w:right="0" w:firstLine="0"/>
              <w:jc w:val="both"/>
              <w:spacing w:before="156"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49" w:type="dxa"/>
            <w:vAlign w:val="top"/>
            <w:textDirection w:val="lrTb"/>
            <w:noWrap w:val="false"/>
          </w:tcPr>
          <w:p>
            <w:pPr>
              <w:ind w:left="43" w:right="0" w:firstLine="0"/>
              <w:jc w:val="center"/>
              <w:spacing w:before="156"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98" w:type="dxa"/>
            <w:vAlign w:val="top"/>
            <w:textDirection w:val="lrTb"/>
            <w:noWrap w:val="false"/>
          </w:tcPr>
          <w:p>
            <w:pPr>
              <w:ind w:left="43" w:right="0" w:firstLine="0"/>
              <w:jc w:val="center"/>
              <w:spacing w:before="156"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83" w:type="dxa"/>
            <w:vAlign w:val="top"/>
            <w:textDirection w:val="lrTb"/>
            <w:noWrap w:val="false"/>
          </w:tcPr>
          <w:p>
            <w:pPr>
              <w:ind w:left="0" w:right="0" w:firstLine="0"/>
              <w:jc w:val="center"/>
              <w:spacing w:before="156"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付款方式</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26" w:type="dxa"/>
            <w:vAlign w:val="top"/>
            <w:textDirection w:val="lrTb"/>
            <w:noWrap w:val="false"/>
          </w:tcPr>
          <w:p>
            <w:pPr>
              <w:ind w:left="0" w:right="0" w:firstLine="0"/>
              <w:jc w:val="both"/>
              <w:spacing w:before="156"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49" w:type="dxa"/>
            <w:vAlign w:val="top"/>
            <w:textDirection w:val="lrTb"/>
            <w:noWrap w:val="false"/>
          </w:tcPr>
          <w:p>
            <w:pPr>
              <w:ind w:left="0" w:right="0" w:firstLine="0"/>
              <w:jc w:val="center"/>
              <w:spacing w:before="156"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98" w:type="dxa"/>
            <w:vAlign w:val="top"/>
            <w:textDirection w:val="lrTb"/>
            <w:noWrap w:val="false"/>
          </w:tcPr>
          <w:p>
            <w:pPr>
              <w:ind w:left="0" w:right="0" w:firstLine="0"/>
              <w:jc w:val="center"/>
              <w:spacing w:before="156"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83" w:type="dxa"/>
            <w:vAlign w:val="top"/>
            <w:textDirection w:val="lrTb"/>
            <w:noWrap w:val="false"/>
          </w:tcPr>
          <w:p>
            <w:pPr>
              <w:ind w:left="0" w:right="0" w:firstLine="0"/>
              <w:jc w:val="center"/>
              <w:spacing w:before="156"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其他</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26" w:type="dxa"/>
            <w:vAlign w:val="top"/>
            <w:textDirection w:val="lrTb"/>
            <w:noWrap w:val="false"/>
          </w:tcPr>
          <w:p>
            <w:pPr>
              <w:ind w:left="0" w:right="0" w:firstLine="0"/>
              <w:jc w:val="center"/>
              <w:spacing w:before="156"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49" w:type="dxa"/>
            <w:vAlign w:val="top"/>
            <w:textDirection w:val="lrTb"/>
            <w:noWrap w:val="false"/>
          </w:tcPr>
          <w:p>
            <w:pPr>
              <w:ind w:left="0" w:right="0" w:firstLine="0"/>
              <w:jc w:val="center"/>
              <w:spacing w:before="156"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98" w:type="dxa"/>
            <w:vAlign w:val="top"/>
            <w:textDirection w:val="lrTb"/>
            <w:noWrap w:val="false"/>
          </w:tcPr>
          <w:p>
            <w:pPr>
              <w:ind w:left="0" w:right="0" w:firstLine="0"/>
              <w:jc w:val="center"/>
              <w:spacing w:before="156"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r>
    </w:tbl>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0"/>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u w:val="none"/>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八</w:t>
      </w:r>
      <w:r>
        <w:rPr>
          <w:rFonts w:ascii="FangSong" w:hAnsi="FangSong" w:eastAsia="FangSong" w:cs="FangSong"/>
          <w:b/>
          <w:color w:val="000000"/>
          <w:sz w:val="21"/>
        </w:rPr>
        <w:t xml:space="preserve">、拟投入人员一览表</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投标人全称（加盖公章）：</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项目名称：</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rPr>
        <w:t xml:space="preserve"> </w:t>
      </w:r>
      <w:r/>
    </w:p>
    <w:tbl>
      <w:tblPr>
        <w:tblStyle w:val="71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73"/>
        <w:gridCol w:w="1219"/>
        <w:gridCol w:w="996"/>
        <w:gridCol w:w="823"/>
        <w:gridCol w:w="1132"/>
        <w:gridCol w:w="1033"/>
        <w:gridCol w:w="996"/>
        <w:gridCol w:w="1301"/>
      </w:tblGrid>
      <w:tr>
        <w:trPr>
          <w:trHeight w:val="545"/>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7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姓名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性别</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2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学历</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3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出生年月</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3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专业</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职称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备注</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3" w:type="dxa"/>
            <w:vAlign w:val="center"/>
            <w:textDirection w:val="lrTb"/>
            <w:noWrap w:val="false"/>
          </w:tcPr>
          <w:p>
            <w:pPr>
              <w:ind w:left="0" w:right="-2"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9" w:type="dxa"/>
            <w:vAlign w:val="center"/>
            <w:textDirection w:val="lrTb"/>
            <w:noWrap w:val="false"/>
          </w:tcPr>
          <w:p>
            <w:pPr>
              <w:ind w:left="0" w:right="-2"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6" w:type="dxa"/>
            <w:vAlign w:val="center"/>
            <w:textDirection w:val="lrTb"/>
            <w:noWrap w:val="false"/>
          </w:tcPr>
          <w:p>
            <w:pPr>
              <w:ind w:left="0" w:right="-2"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3" w:type="dxa"/>
            <w:vAlign w:val="center"/>
            <w:textDirection w:val="lrTb"/>
            <w:noWrap w:val="false"/>
          </w:tcPr>
          <w:p>
            <w:pPr>
              <w:ind w:left="0" w:right="-2"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2" w:type="dxa"/>
            <w:vAlign w:val="center"/>
            <w:textDirection w:val="lrTb"/>
            <w:noWrap w:val="false"/>
          </w:tcPr>
          <w:p>
            <w:pPr>
              <w:ind w:left="0" w:right="-2"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33" w:type="dxa"/>
            <w:vAlign w:val="center"/>
            <w:textDirection w:val="lrTb"/>
            <w:noWrap w:val="false"/>
          </w:tcPr>
          <w:p>
            <w:pPr>
              <w:ind w:left="0" w:right="-2"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6" w:type="dxa"/>
            <w:vAlign w:val="center"/>
            <w:textDirection w:val="lrTb"/>
            <w:noWrap w:val="false"/>
          </w:tcPr>
          <w:p>
            <w:pPr>
              <w:ind w:left="0" w:right="-2"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1" w:type="dxa"/>
            <w:vAlign w:val="center"/>
            <w:textDirection w:val="lrTb"/>
            <w:noWrap w:val="false"/>
          </w:tcPr>
          <w:p>
            <w:pPr>
              <w:ind w:left="0" w:right="-2"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3" w:type="dxa"/>
            <w:vAlign w:val="center"/>
            <w:textDirection w:val="lrTb"/>
            <w:noWrap w:val="false"/>
          </w:tcPr>
          <w:p>
            <w:pPr>
              <w:ind w:left="0" w:right="-2"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9" w:type="dxa"/>
            <w:vAlign w:val="center"/>
            <w:textDirection w:val="lrTb"/>
            <w:noWrap w:val="false"/>
          </w:tcPr>
          <w:p>
            <w:pPr>
              <w:ind w:left="0" w:right="-2"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6" w:type="dxa"/>
            <w:vAlign w:val="center"/>
            <w:textDirection w:val="lrTb"/>
            <w:noWrap w:val="false"/>
          </w:tcPr>
          <w:p>
            <w:pPr>
              <w:ind w:left="0" w:right="-2"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3" w:type="dxa"/>
            <w:vAlign w:val="center"/>
            <w:textDirection w:val="lrTb"/>
            <w:noWrap w:val="false"/>
          </w:tcPr>
          <w:p>
            <w:pPr>
              <w:ind w:left="0" w:right="-2"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2" w:type="dxa"/>
            <w:vAlign w:val="center"/>
            <w:textDirection w:val="lrTb"/>
            <w:noWrap w:val="false"/>
          </w:tcPr>
          <w:p>
            <w:pPr>
              <w:ind w:left="0" w:right="-2"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33" w:type="dxa"/>
            <w:vAlign w:val="center"/>
            <w:textDirection w:val="lrTb"/>
            <w:noWrap w:val="false"/>
          </w:tcPr>
          <w:p>
            <w:pPr>
              <w:ind w:left="0" w:right="-2"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6" w:type="dxa"/>
            <w:vAlign w:val="center"/>
            <w:textDirection w:val="lrTb"/>
            <w:noWrap w:val="false"/>
          </w:tcPr>
          <w:p>
            <w:pPr>
              <w:ind w:left="0" w:right="-2"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1" w:type="dxa"/>
            <w:vAlign w:val="center"/>
            <w:textDirection w:val="lrTb"/>
            <w:noWrap w:val="false"/>
          </w:tcPr>
          <w:p>
            <w:pPr>
              <w:ind w:left="0" w:right="-2"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3" w:type="dxa"/>
            <w:vAlign w:val="center"/>
            <w:textDirection w:val="lrTb"/>
            <w:noWrap w:val="false"/>
          </w:tcPr>
          <w:p>
            <w:pPr>
              <w:ind w:left="0" w:right="-2"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9" w:type="dxa"/>
            <w:vAlign w:val="center"/>
            <w:textDirection w:val="lrTb"/>
            <w:noWrap w:val="false"/>
          </w:tcPr>
          <w:p>
            <w:pPr>
              <w:ind w:left="0" w:right="-2"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6" w:type="dxa"/>
            <w:vAlign w:val="center"/>
            <w:textDirection w:val="lrTb"/>
            <w:noWrap w:val="false"/>
          </w:tcPr>
          <w:p>
            <w:pPr>
              <w:ind w:left="0" w:right="-2"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3" w:type="dxa"/>
            <w:vAlign w:val="center"/>
            <w:textDirection w:val="lrTb"/>
            <w:noWrap w:val="false"/>
          </w:tcPr>
          <w:p>
            <w:pPr>
              <w:ind w:left="0" w:right="-2"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2" w:type="dxa"/>
            <w:vAlign w:val="center"/>
            <w:textDirection w:val="lrTb"/>
            <w:noWrap w:val="false"/>
          </w:tcPr>
          <w:p>
            <w:pPr>
              <w:ind w:left="0" w:right="-2"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33" w:type="dxa"/>
            <w:vAlign w:val="center"/>
            <w:textDirection w:val="lrTb"/>
            <w:noWrap w:val="false"/>
          </w:tcPr>
          <w:p>
            <w:pPr>
              <w:ind w:left="0" w:right="-2"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6" w:type="dxa"/>
            <w:vAlign w:val="center"/>
            <w:textDirection w:val="lrTb"/>
            <w:noWrap w:val="false"/>
          </w:tcPr>
          <w:p>
            <w:pPr>
              <w:ind w:left="0" w:right="-2"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1" w:type="dxa"/>
            <w:vAlign w:val="center"/>
            <w:textDirection w:val="lrTb"/>
            <w:noWrap w:val="false"/>
          </w:tcPr>
          <w:p>
            <w:pPr>
              <w:ind w:left="0" w:right="-2"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3" w:type="dxa"/>
            <w:vAlign w:val="center"/>
            <w:textDirection w:val="lrTb"/>
            <w:noWrap w:val="false"/>
          </w:tcPr>
          <w:p>
            <w:pPr>
              <w:ind w:left="0" w:right="-2"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9" w:type="dxa"/>
            <w:vAlign w:val="center"/>
            <w:textDirection w:val="lrTb"/>
            <w:noWrap w:val="false"/>
          </w:tcPr>
          <w:p>
            <w:pPr>
              <w:ind w:left="0" w:right="-2"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6" w:type="dxa"/>
            <w:vAlign w:val="center"/>
            <w:textDirection w:val="lrTb"/>
            <w:noWrap w:val="false"/>
          </w:tcPr>
          <w:p>
            <w:pPr>
              <w:ind w:left="0" w:right="-2"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3" w:type="dxa"/>
            <w:vAlign w:val="center"/>
            <w:textDirection w:val="lrTb"/>
            <w:noWrap w:val="false"/>
          </w:tcPr>
          <w:p>
            <w:pPr>
              <w:ind w:left="0" w:right="-2"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2" w:type="dxa"/>
            <w:vAlign w:val="center"/>
            <w:textDirection w:val="lrTb"/>
            <w:noWrap w:val="false"/>
          </w:tcPr>
          <w:p>
            <w:pPr>
              <w:ind w:left="0" w:right="-2"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33" w:type="dxa"/>
            <w:vAlign w:val="center"/>
            <w:textDirection w:val="lrTb"/>
            <w:noWrap w:val="false"/>
          </w:tcPr>
          <w:p>
            <w:pPr>
              <w:ind w:left="0" w:right="-2"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6" w:type="dxa"/>
            <w:vAlign w:val="center"/>
            <w:textDirection w:val="lrTb"/>
            <w:noWrap w:val="false"/>
          </w:tcPr>
          <w:p>
            <w:pPr>
              <w:ind w:left="0" w:right="-2"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1" w:type="dxa"/>
            <w:vAlign w:val="center"/>
            <w:textDirection w:val="lrTb"/>
            <w:noWrap w:val="false"/>
          </w:tcPr>
          <w:p>
            <w:pPr>
              <w:ind w:left="0" w:right="-2"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3" w:type="dxa"/>
            <w:vAlign w:val="center"/>
            <w:textDirection w:val="lrTb"/>
            <w:noWrap w:val="false"/>
          </w:tcPr>
          <w:p>
            <w:pPr>
              <w:ind w:left="0" w:right="-2"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9" w:type="dxa"/>
            <w:vAlign w:val="center"/>
            <w:textDirection w:val="lrTb"/>
            <w:noWrap w:val="false"/>
          </w:tcPr>
          <w:p>
            <w:pPr>
              <w:ind w:left="0" w:right="-2"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6" w:type="dxa"/>
            <w:vAlign w:val="center"/>
            <w:textDirection w:val="lrTb"/>
            <w:noWrap w:val="false"/>
          </w:tcPr>
          <w:p>
            <w:pPr>
              <w:ind w:left="0" w:right="-2"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3" w:type="dxa"/>
            <w:vAlign w:val="center"/>
            <w:textDirection w:val="lrTb"/>
            <w:noWrap w:val="false"/>
          </w:tcPr>
          <w:p>
            <w:pPr>
              <w:ind w:left="0" w:right="-2"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2" w:type="dxa"/>
            <w:vAlign w:val="center"/>
            <w:textDirection w:val="lrTb"/>
            <w:noWrap w:val="false"/>
          </w:tcPr>
          <w:p>
            <w:pPr>
              <w:ind w:left="0" w:right="-2"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33" w:type="dxa"/>
            <w:vAlign w:val="center"/>
            <w:textDirection w:val="lrTb"/>
            <w:noWrap w:val="false"/>
          </w:tcPr>
          <w:p>
            <w:pPr>
              <w:ind w:left="0" w:right="-2"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6" w:type="dxa"/>
            <w:vAlign w:val="center"/>
            <w:textDirection w:val="lrTb"/>
            <w:noWrap w:val="false"/>
          </w:tcPr>
          <w:p>
            <w:pPr>
              <w:ind w:left="0" w:right="-2"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1" w:type="dxa"/>
            <w:vAlign w:val="center"/>
            <w:textDirection w:val="lrTb"/>
            <w:noWrap w:val="false"/>
          </w:tcPr>
          <w:p>
            <w:pPr>
              <w:ind w:left="0" w:right="-2"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3" w:type="dxa"/>
            <w:vAlign w:val="center"/>
            <w:textDirection w:val="lrTb"/>
            <w:noWrap w:val="false"/>
          </w:tcPr>
          <w:p>
            <w:pPr>
              <w:ind w:left="0" w:right="-2"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9" w:type="dxa"/>
            <w:vAlign w:val="center"/>
            <w:textDirection w:val="lrTb"/>
            <w:noWrap w:val="false"/>
          </w:tcPr>
          <w:p>
            <w:pPr>
              <w:ind w:left="0" w:right="-2"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6" w:type="dxa"/>
            <w:vAlign w:val="center"/>
            <w:textDirection w:val="lrTb"/>
            <w:noWrap w:val="false"/>
          </w:tcPr>
          <w:p>
            <w:pPr>
              <w:ind w:left="0" w:right="-2"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3" w:type="dxa"/>
            <w:vAlign w:val="center"/>
            <w:textDirection w:val="lrTb"/>
            <w:noWrap w:val="false"/>
          </w:tcPr>
          <w:p>
            <w:pPr>
              <w:ind w:left="0" w:right="-2"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2" w:type="dxa"/>
            <w:vAlign w:val="center"/>
            <w:textDirection w:val="lrTb"/>
            <w:noWrap w:val="false"/>
          </w:tcPr>
          <w:p>
            <w:pPr>
              <w:ind w:left="0" w:right="-2"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33" w:type="dxa"/>
            <w:vAlign w:val="center"/>
            <w:textDirection w:val="lrTb"/>
            <w:noWrap w:val="false"/>
          </w:tcPr>
          <w:p>
            <w:pPr>
              <w:ind w:left="0" w:right="-2"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6" w:type="dxa"/>
            <w:vAlign w:val="center"/>
            <w:textDirection w:val="lrTb"/>
            <w:noWrap w:val="false"/>
          </w:tcPr>
          <w:p>
            <w:pPr>
              <w:ind w:left="0" w:right="-2"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1" w:type="dxa"/>
            <w:vAlign w:val="center"/>
            <w:textDirection w:val="lrTb"/>
            <w:noWrap w:val="false"/>
          </w:tcPr>
          <w:p>
            <w:pPr>
              <w:ind w:left="0" w:right="-2"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3" w:type="dxa"/>
            <w:vAlign w:val="center"/>
            <w:textDirection w:val="lrTb"/>
            <w:noWrap w:val="false"/>
          </w:tcPr>
          <w:p>
            <w:pPr>
              <w:ind w:left="0" w:right="-2"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9" w:type="dxa"/>
            <w:vAlign w:val="center"/>
            <w:textDirection w:val="lrTb"/>
            <w:noWrap w:val="false"/>
          </w:tcPr>
          <w:p>
            <w:pPr>
              <w:ind w:left="0" w:right="-2"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6" w:type="dxa"/>
            <w:vAlign w:val="center"/>
            <w:textDirection w:val="lrTb"/>
            <w:noWrap w:val="false"/>
          </w:tcPr>
          <w:p>
            <w:pPr>
              <w:ind w:left="0" w:right="-2"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3" w:type="dxa"/>
            <w:vAlign w:val="center"/>
            <w:textDirection w:val="lrTb"/>
            <w:noWrap w:val="false"/>
          </w:tcPr>
          <w:p>
            <w:pPr>
              <w:ind w:left="0" w:right="-2"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2" w:type="dxa"/>
            <w:vAlign w:val="center"/>
            <w:textDirection w:val="lrTb"/>
            <w:noWrap w:val="false"/>
          </w:tcPr>
          <w:p>
            <w:pPr>
              <w:ind w:left="0" w:right="-2"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33" w:type="dxa"/>
            <w:vAlign w:val="center"/>
            <w:textDirection w:val="lrTb"/>
            <w:noWrap w:val="false"/>
          </w:tcPr>
          <w:p>
            <w:pPr>
              <w:ind w:left="0" w:right="-2"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6" w:type="dxa"/>
            <w:vAlign w:val="center"/>
            <w:textDirection w:val="lrTb"/>
            <w:noWrap w:val="false"/>
          </w:tcPr>
          <w:p>
            <w:pPr>
              <w:ind w:left="0" w:right="-2"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1" w:type="dxa"/>
            <w:vAlign w:val="center"/>
            <w:textDirection w:val="lrTb"/>
            <w:noWrap w:val="false"/>
          </w:tcPr>
          <w:p>
            <w:pPr>
              <w:ind w:left="0" w:right="-2"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3" w:type="dxa"/>
            <w:vAlign w:val="center"/>
            <w:textDirection w:val="lrTb"/>
            <w:noWrap w:val="false"/>
          </w:tcPr>
          <w:p>
            <w:pPr>
              <w:ind w:left="0" w:right="-2"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9" w:type="dxa"/>
            <w:vAlign w:val="center"/>
            <w:textDirection w:val="lrTb"/>
            <w:noWrap w:val="false"/>
          </w:tcPr>
          <w:p>
            <w:pPr>
              <w:ind w:left="0" w:right="-2"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6" w:type="dxa"/>
            <w:vAlign w:val="center"/>
            <w:textDirection w:val="lrTb"/>
            <w:noWrap w:val="false"/>
          </w:tcPr>
          <w:p>
            <w:pPr>
              <w:ind w:left="0" w:right="-2"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3" w:type="dxa"/>
            <w:vAlign w:val="center"/>
            <w:textDirection w:val="lrTb"/>
            <w:noWrap w:val="false"/>
          </w:tcPr>
          <w:p>
            <w:pPr>
              <w:ind w:left="0" w:right="-2"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2" w:type="dxa"/>
            <w:vAlign w:val="center"/>
            <w:textDirection w:val="lrTb"/>
            <w:noWrap w:val="false"/>
          </w:tcPr>
          <w:p>
            <w:pPr>
              <w:ind w:left="0" w:right="-2"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33" w:type="dxa"/>
            <w:vAlign w:val="center"/>
            <w:textDirection w:val="lrTb"/>
            <w:noWrap w:val="false"/>
          </w:tcPr>
          <w:p>
            <w:pPr>
              <w:ind w:left="0" w:right="-2"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6" w:type="dxa"/>
            <w:vAlign w:val="center"/>
            <w:textDirection w:val="lrTb"/>
            <w:noWrap w:val="false"/>
          </w:tcPr>
          <w:p>
            <w:pPr>
              <w:ind w:left="0" w:right="-2"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1" w:type="dxa"/>
            <w:vAlign w:val="center"/>
            <w:textDirection w:val="lrTb"/>
            <w:noWrap w:val="false"/>
          </w:tcPr>
          <w:p>
            <w:pPr>
              <w:ind w:left="0" w:right="-2"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3" w:type="dxa"/>
            <w:vAlign w:val="center"/>
            <w:textDirection w:val="lrTb"/>
            <w:noWrap w:val="false"/>
          </w:tcPr>
          <w:p>
            <w:pPr>
              <w:ind w:left="0" w:right="-2"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9" w:type="dxa"/>
            <w:vAlign w:val="center"/>
            <w:textDirection w:val="lrTb"/>
            <w:noWrap w:val="false"/>
          </w:tcPr>
          <w:p>
            <w:pPr>
              <w:ind w:left="0" w:right="-2"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6" w:type="dxa"/>
            <w:vAlign w:val="center"/>
            <w:textDirection w:val="lrTb"/>
            <w:noWrap w:val="false"/>
          </w:tcPr>
          <w:p>
            <w:pPr>
              <w:ind w:left="0" w:right="-2"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3" w:type="dxa"/>
            <w:vAlign w:val="center"/>
            <w:textDirection w:val="lrTb"/>
            <w:noWrap w:val="false"/>
          </w:tcPr>
          <w:p>
            <w:pPr>
              <w:ind w:left="0" w:right="-2"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2" w:type="dxa"/>
            <w:vAlign w:val="center"/>
            <w:textDirection w:val="lrTb"/>
            <w:noWrap w:val="false"/>
          </w:tcPr>
          <w:p>
            <w:pPr>
              <w:ind w:left="0" w:right="-2"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33" w:type="dxa"/>
            <w:vAlign w:val="center"/>
            <w:textDirection w:val="lrTb"/>
            <w:noWrap w:val="false"/>
          </w:tcPr>
          <w:p>
            <w:pPr>
              <w:ind w:left="0" w:right="-2"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6" w:type="dxa"/>
            <w:vAlign w:val="center"/>
            <w:textDirection w:val="lrTb"/>
            <w:noWrap w:val="false"/>
          </w:tcPr>
          <w:p>
            <w:pPr>
              <w:ind w:left="0" w:right="-2"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1" w:type="dxa"/>
            <w:vAlign w:val="center"/>
            <w:textDirection w:val="lrTb"/>
            <w:noWrap w:val="false"/>
          </w:tcPr>
          <w:p>
            <w:pPr>
              <w:ind w:left="0" w:right="-2"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p>
      <w:pPr>
        <w:ind w:left="0" w:right="0" w:firstLine="399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法定代表人或授权代表签字：</w:t>
      </w:r>
      <w:r/>
    </w:p>
    <w:p>
      <w:pPr>
        <w:ind w:left="0" w:right="0" w:firstLine="399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日期：年月日</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rPr>
        <w:t xml:space="preserve"> </w:t>
      </w:r>
      <w:r/>
    </w:p>
    <w:p>
      <w:pPr>
        <w:pStyle w:val="686"/>
        <w:ind w:left="0" w:right="0" w:firstLine="0"/>
        <w:jc w:val="both"/>
        <w:spacing w:before="280" w:after="290" w:line="436"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rPr>
        <w:t xml:space="preserve">九、项目需求响应方案</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（投标人根据评分细则自行编制）</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 </w:t>
      </w:r>
      <w:r/>
    </w:p>
    <w:p>
      <w:pPr>
        <w:ind w:left="0" w:right="0" w:firstLine="0"/>
        <w:jc w:val="center"/>
        <w:spacing w:before="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rPr>
        <w:t xml:space="preserve">十、其他</w:t>
      </w:r>
      <w:r/>
    </w:p>
    <w:p>
      <w:pPr>
        <w:ind w:left="0" w:right="0" w:firstLine="0"/>
        <w:jc w:val="center"/>
        <w:spacing w:before="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u w:val="none"/>
        </w:rPr>
        <w:t xml:space="preserve">（根据招标文件的要求和投标人认为需要提供的资料）</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643"/>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rPr>
        <w:t xml:space="preserve">主要标的信息（中标后将公示）</w:t>
      </w:r>
      <w:r/>
    </w:p>
    <w:p>
      <w:pPr>
        <w:ind w:left="0" w:right="0" w:firstLine="0"/>
        <w:jc w:val="both"/>
        <w:spacing w:before="0" w:after="312"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投标人全称：</w:t>
      </w:r>
      <w:r/>
    </w:p>
    <w:tbl>
      <w:tblPr>
        <w:tblStyle w:val="71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084"/>
        <w:gridCol w:w="3945"/>
      </w:tblGrid>
      <w:tr>
        <w:trPr>
          <w:trHeight w:val="56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084"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货物类</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94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服务类</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84"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名称：</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品牌（如有）：</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规格型号：</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数量：</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单价：</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945"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名称：</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服务范围：</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服务要求：</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服务时间：</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服务标准：</w:t>
            </w:r>
            <w:r/>
          </w:p>
        </w:tc>
      </w:tr>
    </w:tbl>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p>
      <w:pPr>
        <w:pStyle w:val="858"/>
        <w:jc w:val="left"/>
        <w:widowControl/>
        <w:rPr>
          <w:rFonts w:ascii="仿宋" w:hAnsi="仿宋" w:eastAsia="仿宋" w:cs="仿宋"/>
          <w:color w:val="000000"/>
          <w:sz w:val="24"/>
          <w:szCs w:val="24"/>
          <w:highlight w:val="none"/>
        </w:rPr>
      </w:pPr>
      <w:r>
        <w:rPr>
          <w:rFonts w:ascii="仿宋" w:hAnsi="仿宋" w:eastAsia="仿宋" w:cs="仿宋"/>
          <w:color w:val="000000"/>
          <w:sz w:val="24"/>
          <w:szCs w:val="24"/>
          <w:highlight w:val="none"/>
        </w:rPr>
      </w:r>
      <w:r/>
    </w:p>
    <w:sectPr>
      <w:headerReference w:type="default" r:id="rId9"/>
      <w:footerReference w:type="default" r:id="rId10"/>
      <w:footnotePr/>
      <w:endnotePr/>
      <w:type w:val="nextPage"/>
      <w:pgSz w:w="11906" w:h="16838" w:orient="portrait"/>
      <w:pgMar w:top="1440" w:right="1800" w:bottom="1440" w:left="180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FangSong">
    <w:panose1 w:val="02010609060101010101"/>
  </w:font>
  <w:font w:name="Symbol">
    <w:panose1 w:val="05050102010706020507"/>
  </w:font>
  <w:font w:name="Wingdings">
    <w:panose1 w:val="05000000000000000000"/>
  </w:font>
  <w:font w:name="Tahoma">
    <w:panose1 w:val="020B0604030504040204"/>
  </w:font>
  <w:font w:name="Courier New">
    <w:panose1 w:val="02070309020205020404"/>
  </w:font>
  <w:font w:name="Cambria">
    <w:panose1 w:val="02040503050406030204"/>
  </w:font>
  <w:font w:name="幼圆">
    <w:panose1 w:val="02010509060101010101"/>
  </w:font>
  <w:font w:name="仿宋_GB2312">
    <w:panose1 w:val="02010609060101010101"/>
  </w:font>
  <w:font w:name="黑体">
    <w:panose1 w:val="02010609060101010101"/>
  </w:font>
  <w:font w:name="仿宋">
    <w:panose1 w:val="02010609060101010101"/>
  </w:font>
  <w:font w:name="Arial">
    <w:panose1 w:val="020B0604020202020204"/>
  </w:font>
  <w:font w:name="SimSun">
    <w:panose1 w:val="02010600030101010101"/>
  </w:font>
  <w:font w:name="宋体">
    <w:panose1 w:val="02010600030101010101"/>
  </w:font>
  <w:font w:name="Times New Roman">
    <w:panose1 w:val="02020603050405020304"/>
  </w:font>
  <w:font w:name="Calibri">
    <w:panose1 w:val="020F0502020204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5"/>
      <w:jc w:val="center"/>
      <w:tabs>
        <w:tab w:val="center" w:pos="4153" w:leader="none"/>
        <w:tab w:val="right" w:pos="8306" w:leader="none"/>
      </w:tabs>
    </w:pPr>
    <w:r>
      <w:fldChar w:fldCharType="begin"/>
    </w:r>
    <w:r>
      <w:instrText xml:space="preserve">PAGE \* MERGEFORMAT</w:instrText>
    </w:r>
    <w:r>
      <w:fldChar w:fldCharType="separate"/>
    </w:r>
    <w:r>
      <w:rPr>
        <w:lang w:val="zh-CN"/>
      </w:rPr>
      <w:t xml:space="preserve">51</w:t>
    </w:r>
    <w:r>
      <w:rPr>
        <w:lang w:val="zh-CN"/>
      </w:rPr>
      <w:fldChar w:fldCharType="end"/>
    </w:r>
    <w:r/>
  </w:p>
  <w:p>
    <w:pPr>
      <w:pStyle w:val="895"/>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0"/>
      <w:jc w:val="right"/>
      <w:tabs>
        <w:tab w:val="center" w:pos="4153" w:leader="none"/>
        <w:tab w:val="right" w:pos="8306" w:leader="none"/>
      </w:tabs>
      <w:rPr>
        <w:rFonts w:ascii="宋体" w:hAnsi="宋体"/>
        <w:szCs w:val="22"/>
        <w:lang w:eastAsia="zh-CN"/>
      </w:rPr>
    </w:pPr>
    <w:r>
      <w:rPr>
        <w:rFonts w:ascii="宋体" w:hAnsi="宋体"/>
        <w:lang w:eastAsia="zh-CN"/>
      </w:rPr>
      <w:t xml:space="preserve">                       </w:t>
    </w:r>
    <w:r>
      <w:rPr>
        <w:rFonts w:hint="eastAsia" w:ascii="宋体" w:hAnsi="宋体"/>
        <w:lang w:eastAsia="zh-CN"/>
      </w:rPr>
      <w:t xml:space="preserve">江苏省设备成套股份有限公司</w:t>
    </w:r>
    <w:r>
      <w:rPr>
        <w:rFonts w:ascii="宋体" w:hAnsi="宋体"/>
        <w:szCs w:val="22"/>
        <w:lang w:eastAsia="zh-CN"/>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6"/>
      <w:numFmt w:val="decimal"/>
      <w:isLgl w:val="false"/>
      <w:suff w:val="nothing"/>
      <w:lvlText w:val="%1、"/>
      <w:lvlJc w:val="left"/>
      <w:pPr>
        <w:pStyle w:val="858"/>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
      <w:isLgl w:val="false"/>
      <w:suff w:val="space"/>
      <w:lvlText w:val="第%1章"/>
      <w:lvlJc w:val="left"/>
      <w:pPr>
        <w:pStyle w:val="858"/>
      </w:pPr>
      <w:rPr>
        <w:rFonts w:hint="eastAsia"/>
      </w:rPr>
    </w:lvl>
    <w:lvl w:ilvl="1">
      <w:start w:val="1"/>
      <w:numFmt w:val="bullet"/>
      <w:isLgl w:val="false"/>
      <w:suff w:val="tab"/>
      <w:lvlText w:val="o"/>
      <w:lvlJc w:val="left"/>
      <w:pPr>
        <w:pStyle w:val="858"/>
        <w:ind w:left="1440" w:hanging="360"/>
      </w:pPr>
      <w:rPr>
        <w:rFonts w:ascii="Courier New" w:hAnsi="Courier New" w:eastAsia="Courier New" w:cs="Courier New"/>
      </w:rPr>
    </w:lvl>
    <w:lvl w:ilvl="2">
      <w:start w:val="1"/>
      <w:numFmt w:val="bullet"/>
      <w:isLgl w:val="false"/>
      <w:suff w:val="tab"/>
      <w:lvlText w:val="§"/>
      <w:lvlJc w:val="left"/>
      <w:pPr>
        <w:pStyle w:val="858"/>
        <w:ind w:left="2160" w:hanging="360"/>
      </w:pPr>
      <w:rPr>
        <w:rFonts w:ascii="Wingdings" w:hAnsi="Wingdings" w:eastAsia="Wingdings" w:cs="Wingdings"/>
      </w:rPr>
    </w:lvl>
    <w:lvl w:ilvl="3">
      <w:start w:val="1"/>
      <w:numFmt w:val="bullet"/>
      <w:isLgl w:val="false"/>
      <w:suff w:val="tab"/>
      <w:lvlText w:val="·"/>
      <w:lvlJc w:val="left"/>
      <w:pPr>
        <w:pStyle w:val="858"/>
        <w:ind w:left="2880" w:hanging="360"/>
      </w:pPr>
      <w:rPr>
        <w:rFonts w:ascii="Symbol" w:hAnsi="Symbol" w:eastAsia="Symbol" w:cs="Symbol"/>
      </w:rPr>
    </w:lvl>
    <w:lvl w:ilvl="4">
      <w:start w:val="1"/>
      <w:numFmt w:val="bullet"/>
      <w:isLgl w:val="false"/>
      <w:suff w:val="tab"/>
      <w:lvlText w:val="o"/>
      <w:lvlJc w:val="left"/>
      <w:pPr>
        <w:pStyle w:val="858"/>
        <w:ind w:left="3600" w:hanging="360"/>
      </w:pPr>
      <w:rPr>
        <w:rFonts w:ascii="Courier New" w:hAnsi="Courier New" w:eastAsia="Courier New" w:cs="Courier New"/>
      </w:rPr>
    </w:lvl>
    <w:lvl w:ilvl="5">
      <w:start w:val="1"/>
      <w:numFmt w:val="bullet"/>
      <w:isLgl w:val="false"/>
      <w:suff w:val="tab"/>
      <w:lvlText w:val="§"/>
      <w:lvlJc w:val="left"/>
      <w:pPr>
        <w:pStyle w:val="858"/>
        <w:ind w:left="4320" w:hanging="360"/>
      </w:pPr>
      <w:rPr>
        <w:rFonts w:ascii="Wingdings" w:hAnsi="Wingdings" w:eastAsia="Wingdings" w:cs="Wingdings"/>
      </w:rPr>
    </w:lvl>
    <w:lvl w:ilvl="6">
      <w:start w:val="1"/>
      <w:numFmt w:val="bullet"/>
      <w:isLgl w:val="false"/>
      <w:suff w:val="tab"/>
      <w:lvlText w:val="·"/>
      <w:lvlJc w:val="left"/>
      <w:pPr>
        <w:pStyle w:val="858"/>
        <w:ind w:left="5040" w:hanging="360"/>
      </w:pPr>
      <w:rPr>
        <w:rFonts w:ascii="Symbol" w:hAnsi="Symbol" w:eastAsia="Symbol" w:cs="Symbol"/>
      </w:rPr>
    </w:lvl>
    <w:lvl w:ilvl="7">
      <w:start w:val="1"/>
      <w:numFmt w:val="bullet"/>
      <w:isLgl w:val="false"/>
      <w:suff w:val="tab"/>
      <w:lvlText w:val="o"/>
      <w:lvlJc w:val="left"/>
      <w:pPr>
        <w:pStyle w:val="858"/>
        <w:ind w:left="5760" w:hanging="360"/>
      </w:pPr>
      <w:rPr>
        <w:rFonts w:ascii="Courier New" w:hAnsi="Courier New" w:eastAsia="Courier New" w:cs="Courier New"/>
      </w:rPr>
    </w:lvl>
    <w:lvl w:ilvl="8">
      <w:start w:val="1"/>
      <w:numFmt w:val="bullet"/>
      <w:isLgl w:val="false"/>
      <w:suff w:val="tab"/>
      <w:lvlText w:val="§"/>
      <w:lvlJc w:val="left"/>
      <w:pPr>
        <w:pStyle w:val="858"/>
        <w:ind w:left="6480" w:hanging="360"/>
      </w:pPr>
      <w:rPr>
        <w:rFonts w:ascii="Wingdings" w:hAnsi="Wingdings" w:eastAsia="Wingdings" w:cs="Wingdings"/>
      </w:rPr>
    </w:lvl>
  </w:abstractNum>
  <w:abstractNum w:abstractNumId="2">
    <w:multiLevelType w:val="hybridMultilevel"/>
    <w:lvl w:ilvl="0">
      <w:start w:val="1"/>
      <w:numFmt w:val="bullet"/>
      <w:pStyle w:val="885"/>
      <w:isLgl w:val="false"/>
      <w:suff w:val="tab"/>
      <w:lvlText w:val=""/>
      <w:lvlJc w:val="left"/>
      <w:pPr>
        <w:pStyle w:val="858"/>
        <w:ind w:left="780" w:hanging="360"/>
        <w:tabs>
          <w:tab w:val="num" w:pos="780" w:leader="none"/>
        </w:tabs>
      </w:pPr>
      <w:rPr>
        <w:rFonts w:ascii="Wingdings" w:hAnsi="Wingdings"/>
      </w:rPr>
    </w:lvl>
    <w:lvl w:ilvl="1">
      <w:start w:val="1"/>
      <w:numFmt w:val="bullet"/>
      <w:isLgl w:val="false"/>
      <w:suff w:val="tab"/>
      <w:lvlText w:val="o"/>
      <w:lvlJc w:val="left"/>
      <w:pPr>
        <w:pStyle w:val="858"/>
        <w:ind w:left="1440" w:hanging="360"/>
      </w:pPr>
      <w:rPr>
        <w:rFonts w:ascii="Courier New" w:hAnsi="Courier New" w:eastAsia="Courier New" w:cs="Courier New"/>
      </w:rPr>
    </w:lvl>
    <w:lvl w:ilvl="2">
      <w:start w:val="1"/>
      <w:numFmt w:val="bullet"/>
      <w:isLgl w:val="false"/>
      <w:suff w:val="tab"/>
      <w:lvlText w:val="§"/>
      <w:lvlJc w:val="left"/>
      <w:pPr>
        <w:pStyle w:val="858"/>
        <w:ind w:left="2160" w:hanging="360"/>
      </w:pPr>
      <w:rPr>
        <w:rFonts w:ascii="Wingdings" w:hAnsi="Wingdings" w:eastAsia="Wingdings" w:cs="Wingdings"/>
      </w:rPr>
    </w:lvl>
    <w:lvl w:ilvl="3">
      <w:start w:val="1"/>
      <w:numFmt w:val="bullet"/>
      <w:isLgl w:val="false"/>
      <w:suff w:val="tab"/>
      <w:lvlText w:val="·"/>
      <w:lvlJc w:val="left"/>
      <w:pPr>
        <w:pStyle w:val="858"/>
        <w:ind w:left="2880" w:hanging="360"/>
      </w:pPr>
      <w:rPr>
        <w:rFonts w:ascii="Symbol" w:hAnsi="Symbol" w:eastAsia="Symbol" w:cs="Symbol"/>
      </w:rPr>
    </w:lvl>
    <w:lvl w:ilvl="4">
      <w:start w:val="1"/>
      <w:numFmt w:val="bullet"/>
      <w:isLgl w:val="false"/>
      <w:suff w:val="tab"/>
      <w:lvlText w:val="o"/>
      <w:lvlJc w:val="left"/>
      <w:pPr>
        <w:pStyle w:val="858"/>
        <w:ind w:left="3600" w:hanging="360"/>
      </w:pPr>
      <w:rPr>
        <w:rFonts w:ascii="Courier New" w:hAnsi="Courier New" w:eastAsia="Courier New" w:cs="Courier New"/>
      </w:rPr>
    </w:lvl>
    <w:lvl w:ilvl="5">
      <w:start w:val="1"/>
      <w:numFmt w:val="bullet"/>
      <w:isLgl w:val="false"/>
      <w:suff w:val="tab"/>
      <w:lvlText w:val="§"/>
      <w:lvlJc w:val="left"/>
      <w:pPr>
        <w:pStyle w:val="858"/>
        <w:ind w:left="4320" w:hanging="360"/>
      </w:pPr>
      <w:rPr>
        <w:rFonts w:ascii="Wingdings" w:hAnsi="Wingdings" w:eastAsia="Wingdings" w:cs="Wingdings"/>
      </w:rPr>
    </w:lvl>
    <w:lvl w:ilvl="6">
      <w:start w:val="1"/>
      <w:numFmt w:val="bullet"/>
      <w:isLgl w:val="false"/>
      <w:suff w:val="tab"/>
      <w:lvlText w:val="·"/>
      <w:lvlJc w:val="left"/>
      <w:pPr>
        <w:pStyle w:val="858"/>
        <w:ind w:left="5040" w:hanging="360"/>
      </w:pPr>
      <w:rPr>
        <w:rFonts w:ascii="Symbol" w:hAnsi="Symbol" w:eastAsia="Symbol" w:cs="Symbol"/>
      </w:rPr>
    </w:lvl>
    <w:lvl w:ilvl="7">
      <w:start w:val="1"/>
      <w:numFmt w:val="bullet"/>
      <w:isLgl w:val="false"/>
      <w:suff w:val="tab"/>
      <w:lvlText w:val="o"/>
      <w:lvlJc w:val="left"/>
      <w:pPr>
        <w:pStyle w:val="858"/>
        <w:ind w:left="5760" w:hanging="360"/>
      </w:pPr>
      <w:rPr>
        <w:rFonts w:ascii="Courier New" w:hAnsi="Courier New" w:eastAsia="Courier New" w:cs="Courier New"/>
      </w:rPr>
    </w:lvl>
    <w:lvl w:ilvl="8">
      <w:start w:val="1"/>
      <w:numFmt w:val="bullet"/>
      <w:isLgl w:val="false"/>
      <w:suff w:val="tab"/>
      <w:lvlText w:val="§"/>
      <w:lvlJc w:val="left"/>
      <w:pPr>
        <w:pStyle w:val="858"/>
        <w:ind w:left="6480" w:hanging="360"/>
      </w:pPr>
      <w:rPr>
        <w:rFonts w:ascii="Wingdings" w:hAnsi="Wingdings" w:eastAsia="Wingdings" w:cs="Wingdings"/>
      </w:rPr>
    </w:lvl>
  </w:abstractNum>
  <w:abstractNum w:abstractNumId="3">
    <w:multiLevelType w:val="hybridMultilevel"/>
    <w:lvl w:ilvl="0">
      <w:start w:val="1"/>
      <w:numFmt w:val="chineseCountingThousand"/>
      <w:isLgl w:val="false"/>
      <w:suff w:val="tab"/>
      <w:lvlText w:val="%1、"/>
      <w:lvlJc w:val="left"/>
      <w:pPr>
        <w:pStyle w:val="858"/>
        <w:ind w:left="431" w:hanging="431"/>
      </w:pPr>
      <w:rPr>
        <w:rFonts w:cs="Times New Roman"/>
        <w:b/>
        <w:i w:val="0"/>
        <w:iCs w:val="0"/>
        <w:caps w:val="0"/>
        <w:strike w:val="0"/>
        <w:spacing w:val="0"/>
        <w:position w:val="0"/>
        <w:sz w:val="21"/>
        <w:szCs w:val="32"/>
        <w:u w:val="none"/>
        <w:vertAlign w:val="baseline"/>
      </w:rPr>
    </w:lvl>
    <w:lvl w:ilvl="1">
      <w:start w:val="1"/>
      <w:numFmt w:val="decimal"/>
      <w:pStyle w:val="860"/>
      <w:isLgl w:val="false"/>
      <w:suff w:val="space"/>
      <w:lvlText w:val="%1.%2"/>
      <w:lvlJc w:val="left"/>
      <w:pPr>
        <w:pStyle w:val="858"/>
        <w:ind w:left="851" w:hanging="567"/>
      </w:pPr>
      <w:rPr>
        <w:rFonts w:ascii="Arial" w:hAnsi="Arial" w:eastAsia="黑体"/>
        <w:b/>
        <w:i w:val="0"/>
        <w:sz w:val="28"/>
        <w:szCs w:val="28"/>
      </w:rPr>
    </w:lvl>
    <w:lvl w:ilvl="2">
      <w:start w:val="1"/>
      <w:numFmt w:val="decimal"/>
      <w:pStyle w:val="861"/>
      <w:isLgl w:val="false"/>
      <w:suff w:val="space"/>
      <w:lvlText w:val="%1.%2.%3"/>
      <w:lvlJc w:val="left"/>
      <w:pPr>
        <w:pStyle w:val="858"/>
        <w:ind w:left="720" w:hanging="720"/>
      </w:pPr>
      <w:rPr>
        <w:rFonts w:ascii="Arial" w:hAnsi="Arial" w:eastAsia="黑体"/>
        <w:b/>
        <w:i w:val="0"/>
        <w:sz w:val="28"/>
        <w:szCs w:val="28"/>
      </w:rPr>
    </w:lvl>
    <w:lvl w:ilvl="3">
      <w:start w:val="1"/>
      <w:numFmt w:val="decimal"/>
      <w:isLgl w:val="false"/>
      <w:suff w:val="space"/>
      <w:lvlText w:val="%1.%2.%3.%4"/>
      <w:lvlJc w:val="left"/>
      <w:pPr>
        <w:pStyle w:val="858"/>
        <w:ind w:left="864" w:hanging="864"/>
      </w:pPr>
      <w:rPr>
        <w:rFonts w:ascii="Arial" w:hAnsi="Arial" w:eastAsia="黑体"/>
        <w:b/>
        <w:i w:val="0"/>
        <w:sz w:val="30"/>
        <w:szCs w:val="30"/>
      </w:rPr>
    </w:lvl>
    <w:lvl w:ilvl="4">
      <w:start w:val="1"/>
      <w:numFmt w:val="decimal"/>
      <w:isLgl w:val="false"/>
      <w:suff w:val="space"/>
      <w:lvlText w:val="%1.%2.%3.%4.%5"/>
      <w:lvlJc w:val="left"/>
      <w:pPr>
        <w:pStyle w:val="858"/>
        <w:ind w:left="1008" w:hanging="1008"/>
      </w:pPr>
      <w:rPr>
        <w:rFonts w:ascii="Arial" w:hAnsi="Arial" w:eastAsia="黑体"/>
        <w:b/>
        <w:i w:val="0"/>
        <w:sz w:val="28"/>
        <w:szCs w:val="28"/>
      </w:rPr>
    </w:lvl>
    <w:lvl w:ilvl="5">
      <w:start w:val="1"/>
      <w:numFmt w:val="decimal"/>
      <w:isLgl w:val="false"/>
      <w:suff w:val="tab"/>
      <w:lvlText w:val="%1.%2.%3.%4.%5.%6"/>
      <w:lvlJc w:val="left"/>
      <w:pPr>
        <w:pStyle w:val="858"/>
        <w:ind w:left="1152" w:hanging="1152"/>
        <w:tabs>
          <w:tab w:val="num" w:pos="1152" w:leader="none"/>
        </w:tabs>
      </w:pPr>
      <w:rPr>
        <w:rFonts w:hint="eastAsia"/>
      </w:rPr>
    </w:lvl>
    <w:lvl w:ilvl="6">
      <w:start w:val="1"/>
      <w:numFmt w:val="decimal"/>
      <w:isLgl w:val="false"/>
      <w:suff w:val="tab"/>
      <w:lvlText w:val="%1.%2.%3.%4.%5.%6.%7"/>
      <w:lvlJc w:val="left"/>
      <w:pPr>
        <w:pStyle w:val="858"/>
        <w:ind w:left="1296" w:hanging="1296"/>
        <w:tabs>
          <w:tab w:val="num" w:pos="1296" w:leader="none"/>
        </w:tabs>
      </w:pPr>
      <w:rPr>
        <w:rFonts w:hint="eastAsia"/>
      </w:rPr>
    </w:lvl>
    <w:lvl w:ilvl="7">
      <w:start w:val="1"/>
      <w:numFmt w:val="decimal"/>
      <w:isLgl w:val="false"/>
      <w:suff w:val="tab"/>
      <w:lvlText w:val="%1.%2.%3.%4.%5.%6.%7.%8"/>
      <w:lvlJc w:val="left"/>
      <w:pPr>
        <w:pStyle w:val="858"/>
        <w:ind w:left="1440" w:hanging="1440"/>
        <w:tabs>
          <w:tab w:val="num" w:pos="1440" w:leader="none"/>
        </w:tabs>
      </w:pPr>
      <w:rPr>
        <w:rFonts w:hint="eastAsia"/>
      </w:rPr>
    </w:lvl>
    <w:lvl w:ilvl="8">
      <w:start w:val="1"/>
      <w:numFmt w:val="decimal"/>
      <w:isLgl w:val="false"/>
      <w:suff w:val="tab"/>
      <w:lvlText w:val="%1.%2.%3.%4.%5.%6.%7.%8.%9"/>
      <w:lvlJc w:val="left"/>
      <w:pPr>
        <w:pStyle w:val="858"/>
        <w:ind w:left="1584" w:hanging="1584"/>
        <w:tabs>
          <w:tab w:val="num" w:pos="1584" w:leader="none"/>
        </w:tabs>
      </w:pPr>
      <w:rPr>
        <w:rFonts w:hint="eastAsia"/>
      </w:rPr>
    </w:lvl>
  </w:abstractNum>
  <w:abstractNum w:abstractNumId="4">
    <w:multiLevelType w:val="hybridMultilevel"/>
    <w:lvl w:ilvl="0">
      <w:start w:val="3"/>
      <w:numFmt w:val="decimal"/>
      <w:isLgl w:val="false"/>
      <w:suff w:val="nothing"/>
      <w:lvlText w:val="%1、"/>
      <w:lvlJc w:val="left"/>
      <w:pPr>
        <w:pStyle w:val="858"/>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tab"/>
      <w:lvlText w:val="第%1章"/>
      <w:lvlJc w:val="left"/>
      <w:pPr>
        <w:ind w:left="0" w:firstLine="0"/>
      </w:pPr>
      <w:rPr>
        <w:rFonts w:ascii="SimSun" w:hAnsi="SimSun" w:eastAsia="SimSun" w:cs="SimSun"/>
      </w:r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6">
    <w:multiLevelType w:val="hybridMultilevel"/>
    <w:lvl w:ilvl="0">
      <w:start w:val="3"/>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6"/>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tab"/>
      <w:lvlText w:val="第%1章"/>
      <w:lvlJc w:val="left"/>
      <w:pPr>
        <w:ind w:left="0" w:firstLine="0"/>
      </w:pPr>
      <w:rPr>
        <w:rFonts w:ascii="SimSun" w:hAnsi="SimSun" w:eastAsia="SimSun" w:cs="SimSun"/>
      </w:r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9">
    <w:multiLevelType w:val="hybridMultilevel"/>
    <w:lvl w:ilvl="0">
      <w:start w:val="3"/>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6"/>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2"/>
  </w:num>
  <w:num w:numId="3">
    <w:abstractNumId w:val="1"/>
  </w:num>
  <w:num w:numId="4">
    <w:abstractNumId w:val="4"/>
  </w:num>
  <w:num w:numId="5">
    <w:abstractNumId w:val="0"/>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80">
    <w:name w:val="Heading 1"/>
    <w:basedOn w:val="858"/>
    <w:next w:val="858"/>
    <w:link w:val="681"/>
    <w:uiPriority w:val="9"/>
    <w:qFormat/>
    <w:pPr>
      <w:keepLines/>
      <w:keepNext/>
      <w:spacing w:before="480" w:after="200"/>
      <w:outlineLvl w:val="0"/>
    </w:pPr>
    <w:rPr>
      <w:rFonts w:ascii="Arial" w:hAnsi="Arial" w:eastAsia="Arial" w:cs="Arial"/>
      <w:sz w:val="40"/>
      <w:szCs w:val="40"/>
    </w:rPr>
  </w:style>
  <w:style w:type="character" w:styleId="681">
    <w:name w:val="Heading 1 Char"/>
    <w:link w:val="680"/>
    <w:uiPriority w:val="9"/>
    <w:rPr>
      <w:rFonts w:ascii="Arial" w:hAnsi="Arial" w:eastAsia="Arial" w:cs="Arial"/>
      <w:sz w:val="40"/>
      <w:szCs w:val="40"/>
    </w:rPr>
  </w:style>
  <w:style w:type="paragraph" w:styleId="682">
    <w:name w:val="Heading 2"/>
    <w:basedOn w:val="858"/>
    <w:next w:val="858"/>
    <w:link w:val="683"/>
    <w:uiPriority w:val="9"/>
    <w:unhideWhenUsed/>
    <w:qFormat/>
    <w:pPr>
      <w:keepLines/>
      <w:keepNext/>
      <w:spacing w:before="360" w:after="200"/>
      <w:outlineLvl w:val="1"/>
    </w:pPr>
    <w:rPr>
      <w:rFonts w:ascii="Arial" w:hAnsi="Arial" w:eastAsia="Arial" w:cs="Arial"/>
      <w:sz w:val="34"/>
    </w:rPr>
  </w:style>
  <w:style w:type="character" w:styleId="683">
    <w:name w:val="Heading 2 Char"/>
    <w:link w:val="682"/>
    <w:uiPriority w:val="9"/>
    <w:rPr>
      <w:rFonts w:ascii="Arial" w:hAnsi="Arial" w:eastAsia="Arial" w:cs="Arial"/>
      <w:sz w:val="34"/>
    </w:rPr>
  </w:style>
  <w:style w:type="paragraph" w:styleId="684">
    <w:name w:val="Heading 3"/>
    <w:basedOn w:val="858"/>
    <w:next w:val="858"/>
    <w:link w:val="685"/>
    <w:uiPriority w:val="9"/>
    <w:unhideWhenUsed/>
    <w:qFormat/>
    <w:pPr>
      <w:keepLines/>
      <w:keepNext/>
      <w:spacing w:before="320" w:after="200"/>
      <w:outlineLvl w:val="2"/>
    </w:pPr>
    <w:rPr>
      <w:rFonts w:ascii="Arial" w:hAnsi="Arial" w:eastAsia="Arial" w:cs="Arial"/>
      <w:sz w:val="30"/>
      <w:szCs w:val="30"/>
    </w:rPr>
  </w:style>
  <w:style w:type="character" w:styleId="685">
    <w:name w:val="Heading 3 Char"/>
    <w:link w:val="684"/>
    <w:uiPriority w:val="9"/>
    <w:rPr>
      <w:rFonts w:ascii="Arial" w:hAnsi="Arial" w:eastAsia="Arial" w:cs="Arial"/>
      <w:sz w:val="30"/>
      <w:szCs w:val="30"/>
    </w:rPr>
  </w:style>
  <w:style w:type="paragraph" w:styleId="686">
    <w:name w:val="Heading 4"/>
    <w:basedOn w:val="858"/>
    <w:next w:val="858"/>
    <w:link w:val="687"/>
    <w:uiPriority w:val="9"/>
    <w:unhideWhenUsed/>
    <w:qFormat/>
    <w:pPr>
      <w:keepLines/>
      <w:keepNext/>
      <w:spacing w:before="320" w:after="200"/>
      <w:outlineLvl w:val="3"/>
    </w:pPr>
    <w:rPr>
      <w:rFonts w:ascii="Arial" w:hAnsi="Arial" w:eastAsia="Arial" w:cs="Arial"/>
      <w:b/>
      <w:bCs/>
      <w:sz w:val="26"/>
      <w:szCs w:val="26"/>
    </w:rPr>
  </w:style>
  <w:style w:type="character" w:styleId="687">
    <w:name w:val="Heading 4 Char"/>
    <w:link w:val="686"/>
    <w:uiPriority w:val="9"/>
    <w:rPr>
      <w:rFonts w:ascii="Arial" w:hAnsi="Arial" w:eastAsia="Arial" w:cs="Arial"/>
      <w:b/>
      <w:bCs/>
      <w:sz w:val="26"/>
      <w:szCs w:val="26"/>
    </w:rPr>
  </w:style>
  <w:style w:type="paragraph" w:styleId="688">
    <w:name w:val="Heading 5"/>
    <w:basedOn w:val="858"/>
    <w:next w:val="858"/>
    <w:link w:val="689"/>
    <w:uiPriority w:val="9"/>
    <w:unhideWhenUsed/>
    <w:qFormat/>
    <w:pPr>
      <w:keepLines/>
      <w:keepNext/>
      <w:spacing w:before="320" w:after="200"/>
      <w:outlineLvl w:val="4"/>
    </w:pPr>
    <w:rPr>
      <w:rFonts w:ascii="Arial" w:hAnsi="Arial" w:eastAsia="Arial" w:cs="Arial"/>
      <w:b/>
      <w:bCs/>
      <w:sz w:val="24"/>
      <w:szCs w:val="24"/>
    </w:rPr>
  </w:style>
  <w:style w:type="character" w:styleId="689">
    <w:name w:val="Heading 5 Char"/>
    <w:link w:val="688"/>
    <w:uiPriority w:val="9"/>
    <w:rPr>
      <w:rFonts w:ascii="Arial" w:hAnsi="Arial" w:eastAsia="Arial" w:cs="Arial"/>
      <w:b/>
      <w:bCs/>
      <w:sz w:val="24"/>
      <w:szCs w:val="24"/>
    </w:rPr>
  </w:style>
  <w:style w:type="paragraph" w:styleId="690">
    <w:name w:val="Heading 6"/>
    <w:basedOn w:val="858"/>
    <w:next w:val="858"/>
    <w:link w:val="691"/>
    <w:uiPriority w:val="9"/>
    <w:unhideWhenUsed/>
    <w:qFormat/>
    <w:pPr>
      <w:keepLines/>
      <w:keepNext/>
      <w:spacing w:before="320" w:after="200"/>
      <w:outlineLvl w:val="5"/>
    </w:pPr>
    <w:rPr>
      <w:rFonts w:ascii="Arial" w:hAnsi="Arial" w:eastAsia="Arial" w:cs="Arial"/>
      <w:b/>
      <w:bCs/>
      <w:sz w:val="22"/>
      <w:szCs w:val="22"/>
    </w:rPr>
  </w:style>
  <w:style w:type="character" w:styleId="691">
    <w:name w:val="Heading 6 Char"/>
    <w:link w:val="690"/>
    <w:uiPriority w:val="9"/>
    <w:rPr>
      <w:rFonts w:ascii="Arial" w:hAnsi="Arial" w:eastAsia="Arial" w:cs="Arial"/>
      <w:b/>
      <w:bCs/>
      <w:sz w:val="22"/>
      <w:szCs w:val="22"/>
    </w:rPr>
  </w:style>
  <w:style w:type="paragraph" w:styleId="692">
    <w:name w:val="Heading 7"/>
    <w:basedOn w:val="858"/>
    <w:next w:val="858"/>
    <w:link w:val="693"/>
    <w:uiPriority w:val="9"/>
    <w:unhideWhenUsed/>
    <w:qFormat/>
    <w:pPr>
      <w:keepLines/>
      <w:keepNext/>
      <w:spacing w:before="320" w:after="200"/>
      <w:outlineLvl w:val="6"/>
    </w:pPr>
    <w:rPr>
      <w:rFonts w:ascii="Arial" w:hAnsi="Arial" w:eastAsia="Arial" w:cs="Arial"/>
      <w:b/>
      <w:bCs/>
      <w:i/>
      <w:iCs/>
      <w:sz w:val="22"/>
      <w:szCs w:val="22"/>
    </w:rPr>
  </w:style>
  <w:style w:type="character" w:styleId="693">
    <w:name w:val="Heading 7 Char"/>
    <w:link w:val="692"/>
    <w:uiPriority w:val="9"/>
    <w:rPr>
      <w:rFonts w:ascii="Arial" w:hAnsi="Arial" w:eastAsia="Arial" w:cs="Arial"/>
      <w:b/>
      <w:bCs/>
      <w:i/>
      <w:iCs/>
      <w:sz w:val="22"/>
      <w:szCs w:val="22"/>
    </w:rPr>
  </w:style>
  <w:style w:type="paragraph" w:styleId="694">
    <w:name w:val="Heading 8"/>
    <w:basedOn w:val="858"/>
    <w:next w:val="858"/>
    <w:link w:val="695"/>
    <w:uiPriority w:val="9"/>
    <w:unhideWhenUsed/>
    <w:qFormat/>
    <w:pPr>
      <w:keepLines/>
      <w:keepNext/>
      <w:spacing w:before="320" w:after="200"/>
      <w:outlineLvl w:val="7"/>
    </w:pPr>
    <w:rPr>
      <w:rFonts w:ascii="Arial" w:hAnsi="Arial" w:eastAsia="Arial" w:cs="Arial"/>
      <w:i/>
      <w:iCs/>
      <w:sz w:val="22"/>
      <w:szCs w:val="22"/>
    </w:rPr>
  </w:style>
  <w:style w:type="character" w:styleId="695">
    <w:name w:val="Heading 8 Char"/>
    <w:link w:val="694"/>
    <w:uiPriority w:val="9"/>
    <w:rPr>
      <w:rFonts w:ascii="Arial" w:hAnsi="Arial" w:eastAsia="Arial" w:cs="Arial"/>
      <w:i/>
      <w:iCs/>
      <w:sz w:val="22"/>
      <w:szCs w:val="22"/>
    </w:rPr>
  </w:style>
  <w:style w:type="paragraph" w:styleId="696">
    <w:name w:val="Heading 9"/>
    <w:basedOn w:val="858"/>
    <w:next w:val="858"/>
    <w:link w:val="697"/>
    <w:uiPriority w:val="9"/>
    <w:unhideWhenUsed/>
    <w:qFormat/>
    <w:pPr>
      <w:keepLines/>
      <w:keepNext/>
      <w:spacing w:before="320" w:after="200"/>
      <w:outlineLvl w:val="8"/>
    </w:pPr>
    <w:rPr>
      <w:rFonts w:ascii="Arial" w:hAnsi="Arial" w:eastAsia="Arial" w:cs="Arial"/>
      <w:i/>
      <w:iCs/>
      <w:sz w:val="21"/>
      <w:szCs w:val="21"/>
    </w:rPr>
  </w:style>
  <w:style w:type="character" w:styleId="697">
    <w:name w:val="Heading 9 Char"/>
    <w:link w:val="696"/>
    <w:uiPriority w:val="9"/>
    <w:rPr>
      <w:rFonts w:ascii="Arial" w:hAnsi="Arial" w:eastAsia="Arial" w:cs="Arial"/>
      <w:i/>
      <w:iCs/>
      <w:sz w:val="21"/>
      <w:szCs w:val="21"/>
    </w:rPr>
  </w:style>
  <w:style w:type="paragraph" w:styleId="698">
    <w:name w:val="List Paragraph"/>
    <w:basedOn w:val="858"/>
    <w:uiPriority w:val="34"/>
    <w:qFormat/>
    <w:pPr>
      <w:contextualSpacing/>
      <w:ind w:left="720"/>
    </w:pPr>
  </w:style>
  <w:style w:type="paragraph" w:styleId="699">
    <w:name w:val="No Spacing"/>
    <w:uiPriority w:val="1"/>
    <w:qFormat/>
    <w:pPr>
      <w:spacing w:before="0" w:after="0" w:line="240" w:lineRule="auto"/>
    </w:pPr>
  </w:style>
  <w:style w:type="paragraph" w:styleId="700">
    <w:name w:val="Title"/>
    <w:basedOn w:val="858"/>
    <w:next w:val="858"/>
    <w:link w:val="701"/>
    <w:uiPriority w:val="10"/>
    <w:qFormat/>
    <w:pPr>
      <w:contextualSpacing/>
      <w:spacing w:before="300" w:after="200"/>
    </w:pPr>
    <w:rPr>
      <w:sz w:val="48"/>
      <w:szCs w:val="48"/>
    </w:rPr>
  </w:style>
  <w:style w:type="character" w:styleId="701">
    <w:name w:val="Title Char"/>
    <w:link w:val="700"/>
    <w:uiPriority w:val="10"/>
    <w:rPr>
      <w:sz w:val="48"/>
      <w:szCs w:val="48"/>
    </w:rPr>
  </w:style>
  <w:style w:type="paragraph" w:styleId="702">
    <w:name w:val="Subtitle"/>
    <w:basedOn w:val="858"/>
    <w:next w:val="858"/>
    <w:link w:val="703"/>
    <w:uiPriority w:val="11"/>
    <w:qFormat/>
    <w:pPr>
      <w:spacing w:before="200" w:after="200"/>
    </w:pPr>
    <w:rPr>
      <w:sz w:val="24"/>
      <w:szCs w:val="24"/>
    </w:rPr>
  </w:style>
  <w:style w:type="character" w:styleId="703">
    <w:name w:val="Subtitle Char"/>
    <w:link w:val="702"/>
    <w:uiPriority w:val="11"/>
    <w:rPr>
      <w:sz w:val="24"/>
      <w:szCs w:val="24"/>
    </w:rPr>
  </w:style>
  <w:style w:type="paragraph" w:styleId="704">
    <w:name w:val="Quote"/>
    <w:basedOn w:val="858"/>
    <w:next w:val="858"/>
    <w:link w:val="705"/>
    <w:uiPriority w:val="29"/>
    <w:qFormat/>
    <w:pPr>
      <w:ind w:left="720" w:right="720"/>
    </w:pPr>
    <w:rPr>
      <w:i/>
    </w:rPr>
  </w:style>
  <w:style w:type="character" w:styleId="705">
    <w:name w:val="Quote Char"/>
    <w:link w:val="704"/>
    <w:uiPriority w:val="29"/>
    <w:rPr>
      <w:i/>
    </w:rPr>
  </w:style>
  <w:style w:type="paragraph" w:styleId="706">
    <w:name w:val="Intense Quote"/>
    <w:basedOn w:val="858"/>
    <w:next w:val="858"/>
    <w:link w:val="70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07">
    <w:name w:val="Intense Quote Char"/>
    <w:link w:val="706"/>
    <w:uiPriority w:val="30"/>
    <w:rPr>
      <w:i/>
    </w:rPr>
  </w:style>
  <w:style w:type="paragraph" w:styleId="708">
    <w:name w:val="Header"/>
    <w:basedOn w:val="858"/>
    <w:link w:val="709"/>
    <w:uiPriority w:val="99"/>
    <w:unhideWhenUsed/>
    <w:pPr>
      <w:spacing w:after="0" w:line="240" w:lineRule="auto"/>
      <w:tabs>
        <w:tab w:val="center" w:pos="7143" w:leader="none"/>
        <w:tab w:val="right" w:pos="14287" w:leader="none"/>
      </w:tabs>
    </w:pPr>
  </w:style>
  <w:style w:type="character" w:styleId="709">
    <w:name w:val="Header Char"/>
    <w:link w:val="708"/>
    <w:uiPriority w:val="99"/>
  </w:style>
  <w:style w:type="paragraph" w:styleId="710">
    <w:name w:val="Footer"/>
    <w:basedOn w:val="858"/>
    <w:link w:val="713"/>
    <w:uiPriority w:val="99"/>
    <w:unhideWhenUsed/>
    <w:pPr>
      <w:spacing w:after="0" w:line="240" w:lineRule="auto"/>
      <w:tabs>
        <w:tab w:val="center" w:pos="7143" w:leader="none"/>
        <w:tab w:val="right" w:pos="14287" w:leader="none"/>
      </w:tabs>
    </w:pPr>
  </w:style>
  <w:style w:type="character" w:styleId="711">
    <w:name w:val="Footer Char"/>
    <w:link w:val="710"/>
    <w:uiPriority w:val="99"/>
  </w:style>
  <w:style w:type="paragraph" w:styleId="712">
    <w:name w:val="Caption"/>
    <w:basedOn w:val="858"/>
    <w:next w:val="858"/>
    <w:uiPriority w:val="35"/>
    <w:semiHidden/>
    <w:unhideWhenUsed/>
    <w:qFormat/>
    <w:pPr>
      <w:spacing w:line="276" w:lineRule="auto"/>
    </w:pPr>
    <w:rPr>
      <w:b/>
      <w:bCs/>
      <w:color w:val="4f81bd" w:themeColor="accent1"/>
      <w:sz w:val="18"/>
      <w:szCs w:val="18"/>
    </w:rPr>
  </w:style>
  <w:style w:type="character" w:styleId="713">
    <w:name w:val="Caption Char"/>
    <w:basedOn w:val="712"/>
    <w:link w:val="710"/>
    <w:uiPriority w:val="99"/>
  </w:style>
  <w:style w:type="table" w:styleId="714">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15">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16">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17">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18">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19">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20">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21">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22">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23">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24">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25">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26">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27">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28">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29">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30">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31">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32">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33">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34">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35">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6">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7">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8">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9">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0">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1">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2">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43">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44">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45">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46">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47">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48">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49">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50">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51">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52">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53">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54">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55">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56">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57">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58">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59">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60">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61">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62">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63">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64">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65">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66">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67">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68">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69">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70">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71">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72">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73">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74">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75">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76">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77">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78">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79">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80">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81">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82">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83">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84">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85">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86">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87">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88">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89">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90">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791">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2">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93">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794">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795">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796">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797">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798">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9">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0">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1">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2">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3">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4">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5">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06">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07">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08">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09">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10">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11">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12">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13">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14">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15">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16">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17">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18">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19">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20">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21">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22">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23">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24">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25">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26">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27">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28">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29">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30">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31">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32">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33">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34">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35">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36">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37">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38">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39">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40">
    <w:name w:val="Hyperlink"/>
    <w:uiPriority w:val="99"/>
    <w:unhideWhenUsed/>
    <w:rPr>
      <w:color w:val="0000ff" w:themeColor="hyperlink"/>
      <w:u w:val="single"/>
    </w:rPr>
  </w:style>
  <w:style w:type="paragraph" w:styleId="841">
    <w:name w:val="footnote text"/>
    <w:basedOn w:val="858"/>
    <w:link w:val="842"/>
    <w:uiPriority w:val="99"/>
    <w:semiHidden/>
    <w:unhideWhenUsed/>
    <w:pPr>
      <w:spacing w:after="40" w:line="240" w:lineRule="auto"/>
    </w:pPr>
    <w:rPr>
      <w:sz w:val="18"/>
    </w:rPr>
  </w:style>
  <w:style w:type="character" w:styleId="842">
    <w:name w:val="Footnote Text Char"/>
    <w:link w:val="841"/>
    <w:uiPriority w:val="99"/>
    <w:rPr>
      <w:sz w:val="18"/>
    </w:rPr>
  </w:style>
  <w:style w:type="character" w:styleId="843">
    <w:name w:val="footnote reference"/>
    <w:uiPriority w:val="99"/>
    <w:unhideWhenUsed/>
    <w:rPr>
      <w:vertAlign w:val="superscript"/>
    </w:rPr>
  </w:style>
  <w:style w:type="paragraph" w:styleId="844">
    <w:name w:val="endnote text"/>
    <w:basedOn w:val="858"/>
    <w:link w:val="845"/>
    <w:uiPriority w:val="99"/>
    <w:semiHidden/>
    <w:unhideWhenUsed/>
    <w:pPr>
      <w:spacing w:after="0" w:line="240" w:lineRule="auto"/>
    </w:pPr>
    <w:rPr>
      <w:sz w:val="20"/>
    </w:rPr>
  </w:style>
  <w:style w:type="character" w:styleId="845">
    <w:name w:val="Endnote Text Char"/>
    <w:link w:val="844"/>
    <w:uiPriority w:val="99"/>
    <w:rPr>
      <w:sz w:val="20"/>
    </w:rPr>
  </w:style>
  <w:style w:type="character" w:styleId="846">
    <w:name w:val="endnote reference"/>
    <w:uiPriority w:val="99"/>
    <w:semiHidden/>
    <w:unhideWhenUsed/>
    <w:rPr>
      <w:vertAlign w:val="superscript"/>
    </w:rPr>
  </w:style>
  <w:style w:type="paragraph" w:styleId="847">
    <w:name w:val="toc 1"/>
    <w:basedOn w:val="858"/>
    <w:next w:val="858"/>
    <w:uiPriority w:val="39"/>
    <w:unhideWhenUsed/>
    <w:pPr>
      <w:ind w:left="0" w:right="0" w:firstLine="0"/>
      <w:spacing w:after="57"/>
    </w:pPr>
  </w:style>
  <w:style w:type="paragraph" w:styleId="848">
    <w:name w:val="toc 2"/>
    <w:basedOn w:val="858"/>
    <w:next w:val="858"/>
    <w:uiPriority w:val="39"/>
    <w:unhideWhenUsed/>
    <w:pPr>
      <w:ind w:left="283" w:right="0" w:firstLine="0"/>
      <w:spacing w:after="57"/>
    </w:pPr>
  </w:style>
  <w:style w:type="paragraph" w:styleId="849">
    <w:name w:val="toc 3"/>
    <w:basedOn w:val="858"/>
    <w:next w:val="858"/>
    <w:uiPriority w:val="39"/>
    <w:unhideWhenUsed/>
    <w:pPr>
      <w:ind w:left="567" w:right="0" w:firstLine="0"/>
      <w:spacing w:after="57"/>
    </w:pPr>
  </w:style>
  <w:style w:type="paragraph" w:styleId="850">
    <w:name w:val="toc 4"/>
    <w:basedOn w:val="858"/>
    <w:next w:val="858"/>
    <w:uiPriority w:val="39"/>
    <w:unhideWhenUsed/>
    <w:pPr>
      <w:ind w:left="850" w:right="0" w:firstLine="0"/>
      <w:spacing w:after="57"/>
    </w:pPr>
  </w:style>
  <w:style w:type="paragraph" w:styleId="851">
    <w:name w:val="toc 5"/>
    <w:basedOn w:val="858"/>
    <w:next w:val="858"/>
    <w:uiPriority w:val="39"/>
    <w:unhideWhenUsed/>
    <w:pPr>
      <w:ind w:left="1134" w:right="0" w:firstLine="0"/>
      <w:spacing w:after="57"/>
    </w:pPr>
  </w:style>
  <w:style w:type="paragraph" w:styleId="852">
    <w:name w:val="toc 6"/>
    <w:basedOn w:val="858"/>
    <w:next w:val="858"/>
    <w:uiPriority w:val="39"/>
    <w:unhideWhenUsed/>
    <w:pPr>
      <w:ind w:left="1417" w:right="0" w:firstLine="0"/>
      <w:spacing w:after="57"/>
    </w:pPr>
  </w:style>
  <w:style w:type="paragraph" w:styleId="853">
    <w:name w:val="toc 7"/>
    <w:basedOn w:val="858"/>
    <w:next w:val="858"/>
    <w:uiPriority w:val="39"/>
    <w:unhideWhenUsed/>
    <w:pPr>
      <w:ind w:left="1701" w:right="0" w:firstLine="0"/>
      <w:spacing w:after="57"/>
    </w:pPr>
  </w:style>
  <w:style w:type="paragraph" w:styleId="854">
    <w:name w:val="toc 8"/>
    <w:basedOn w:val="858"/>
    <w:next w:val="858"/>
    <w:uiPriority w:val="39"/>
    <w:unhideWhenUsed/>
    <w:pPr>
      <w:ind w:left="1984" w:right="0" w:firstLine="0"/>
      <w:spacing w:after="57"/>
    </w:pPr>
  </w:style>
  <w:style w:type="paragraph" w:styleId="855">
    <w:name w:val="toc 9"/>
    <w:basedOn w:val="858"/>
    <w:next w:val="858"/>
    <w:uiPriority w:val="39"/>
    <w:unhideWhenUsed/>
    <w:pPr>
      <w:ind w:left="2268" w:right="0" w:firstLine="0"/>
      <w:spacing w:after="57"/>
    </w:pPr>
  </w:style>
  <w:style w:type="paragraph" w:styleId="856">
    <w:name w:val="TOC Heading"/>
    <w:uiPriority w:val="39"/>
    <w:unhideWhenUsed/>
  </w:style>
  <w:style w:type="paragraph" w:styleId="857">
    <w:name w:val="table of figures"/>
    <w:basedOn w:val="858"/>
    <w:next w:val="858"/>
    <w:uiPriority w:val="99"/>
    <w:unhideWhenUsed/>
    <w:pPr>
      <w:spacing w:after="0" w:afterAutospacing="0"/>
    </w:pPr>
  </w:style>
  <w:style w:type="paragraph" w:styleId="858" w:default="1">
    <w:name w:val="Normal"/>
    <w:next w:val="862"/>
    <w:link w:val="858"/>
    <w:qFormat/>
    <w:pPr>
      <w:jc w:val="both"/>
      <w:widowControl w:val="off"/>
    </w:pPr>
    <w:rPr>
      <w:sz w:val="21"/>
      <w:szCs w:val="22"/>
      <w:lang w:val="en-US" w:eastAsia="zh-CN" w:bidi="ar-SA"/>
    </w:rPr>
  </w:style>
  <w:style w:type="paragraph" w:styleId="859">
    <w:name w:val="标题 1"/>
    <w:basedOn w:val="858"/>
    <w:next w:val="858"/>
    <w:link w:val="865"/>
    <w:qFormat/>
    <w:pPr>
      <w:jc w:val="center"/>
      <w:keepLines/>
      <w:keepNext/>
      <w:spacing w:before="340" w:after="330" w:line="360" w:lineRule="auto"/>
      <w:outlineLvl w:val="0"/>
    </w:pPr>
    <w:rPr>
      <w:rFonts w:ascii="Calibri" w:hAnsi="Calibri" w:eastAsia="仿宋"/>
      <w:b/>
      <w:bCs/>
      <w:sz w:val="44"/>
      <w:szCs w:val="44"/>
    </w:rPr>
  </w:style>
  <w:style w:type="paragraph" w:styleId="860">
    <w:name w:val="标题 2"/>
    <w:basedOn w:val="858"/>
    <w:next w:val="866"/>
    <w:link w:val="858"/>
    <w:uiPriority w:val="9"/>
    <w:qFormat/>
    <w:pPr>
      <w:numPr>
        <w:ilvl w:val="1"/>
        <w:numId w:val="1"/>
      </w:numPr>
      <w:jc w:val="left"/>
      <w:keepLines/>
      <w:keepNext/>
      <w:spacing w:before="312" w:after="312"/>
      <w:outlineLvl w:val="1"/>
    </w:pPr>
    <w:rPr>
      <w:rFonts w:ascii="Arial" w:hAnsi="Arial"/>
      <w:b/>
      <w:bCs/>
      <w:sz w:val="28"/>
      <w:szCs w:val="36"/>
    </w:rPr>
  </w:style>
  <w:style w:type="paragraph" w:styleId="861">
    <w:name w:val="标题 3"/>
    <w:basedOn w:val="858"/>
    <w:next w:val="858"/>
    <w:link w:val="858"/>
    <w:qFormat/>
    <w:pPr>
      <w:numPr>
        <w:ilvl w:val="2"/>
        <w:numId w:val="1"/>
      </w:numPr>
      <w:jc w:val="left"/>
      <w:keepLines/>
      <w:keepNext/>
      <w:spacing w:before="312" w:after="312"/>
      <w:outlineLvl w:val="2"/>
    </w:pPr>
    <w:rPr>
      <w:rFonts w:ascii="Arial" w:hAnsi="Arial" w:eastAsia="黑体"/>
      <w:b/>
      <w:bCs/>
      <w:sz w:val="30"/>
      <w:szCs w:val="32"/>
    </w:rPr>
  </w:style>
  <w:style w:type="paragraph" w:styleId="862">
    <w:name w:val="标题 4"/>
    <w:basedOn w:val="858"/>
    <w:next w:val="858"/>
    <w:link w:val="858"/>
    <w:qFormat/>
    <w:pPr>
      <w:keepLines/>
      <w:keepNext/>
      <w:spacing w:before="280" w:after="290" w:line="376" w:lineRule="auto"/>
      <w:outlineLvl w:val="3"/>
    </w:pPr>
    <w:rPr>
      <w:rFonts w:ascii="Cambria" w:hAnsi="Cambria"/>
      <w:b/>
      <w:bCs/>
      <w:sz w:val="28"/>
      <w:szCs w:val="28"/>
    </w:rPr>
  </w:style>
  <w:style w:type="character" w:styleId="863">
    <w:name w:val="默认段落字体"/>
    <w:next w:val="863"/>
    <w:link w:val="858"/>
    <w:uiPriority w:val="1"/>
    <w:unhideWhenUsed/>
  </w:style>
  <w:style w:type="table" w:styleId="864">
    <w:name w:val="普通表格"/>
    <w:next w:val="864"/>
    <w:link w:val="858"/>
    <w:uiPriority w:val="99"/>
    <w:unhideWhenUsed/>
    <w:tblPr/>
  </w:style>
  <w:style w:type="character" w:styleId="865">
    <w:name w:val="标题 1 Char1"/>
    <w:next w:val="865"/>
    <w:link w:val="859"/>
    <w:rPr>
      <w:rFonts w:ascii="Calibri" w:hAnsi="Calibri" w:eastAsia="仿宋"/>
      <w:b/>
      <w:bCs/>
      <w:sz w:val="44"/>
      <w:szCs w:val="44"/>
    </w:rPr>
  </w:style>
  <w:style w:type="paragraph" w:styleId="866">
    <w:name w:val="正文缩进"/>
    <w:basedOn w:val="858"/>
    <w:next w:val="866"/>
    <w:link w:val="858"/>
    <w:qFormat/>
    <w:pPr>
      <w:ind w:firstLine="420"/>
    </w:pPr>
    <w:rPr>
      <w:sz w:val="20"/>
      <w:szCs w:val="21"/>
    </w:rPr>
  </w:style>
  <w:style w:type="paragraph" w:styleId="867">
    <w:name w:val="正文文本 3"/>
    <w:basedOn w:val="858"/>
    <w:next w:val="858"/>
    <w:link w:val="858"/>
    <w:qFormat/>
    <w:rPr>
      <w:rFonts w:ascii="宋体"/>
      <w:sz w:val="24"/>
      <w:szCs w:val="20"/>
    </w:rPr>
  </w:style>
  <w:style w:type="paragraph" w:styleId="868">
    <w:name w:val="正文文本"/>
    <w:basedOn w:val="858"/>
    <w:next w:val="867"/>
    <w:link w:val="858"/>
    <w:uiPriority w:val="99"/>
    <w:unhideWhenUsed/>
    <w:qFormat/>
    <w:pPr>
      <w:spacing w:after="120"/>
    </w:pPr>
  </w:style>
  <w:style w:type="paragraph" w:styleId="869">
    <w:name w:val="正文文本缩进"/>
    <w:basedOn w:val="858"/>
    <w:next w:val="870"/>
    <w:link w:val="858"/>
    <w:uiPriority w:val="99"/>
    <w:qFormat/>
    <w:pPr>
      <w:ind w:firstLine="567"/>
      <w:spacing w:line="500" w:lineRule="exact"/>
      <w:tabs>
        <w:tab w:val="left" w:pos="0" w:leader="none"/>
        <w:tab w:val="left" w:pos="993" w:leader="none"/>
        <w:tab w:val="left" w:pos="1134" w:leader="none"/>
      </w:tabs>
    </w:pPr>
    <w:rPr>
      <w:rFonts w:ascii="宋体"/>
      <w:sz w:val="28"/>
    </w:rPr>
  </w:style>
  <w:style w:type="paragraph" w:styleId="870">
    <w:name w:val="寄信人地址"/>
    <w:basedOn w:val="858"/>
    <w:next w:val="870"/>
    <w:link w:val="858"/>
    <w:uiPriority w:val="99"/>
    <w:unhideWhenUsed/>
    <w:qFormat/>
    <w:rPr>
      <w:rFonts w:ascii="Arial" w:hAnsi="Arial"/>
    </w:rPr>
  </w:style>
  <w:style w:type="paragraph" w:styleId="871">
    <w:name w:val="纯文本"/>
    <w:basedOn w:val="858"/>
    <w:next w:val="866"/>
    <w:link w:val="858"/>
    <w:qFormat/>
    <w:rPr>
      <w:rFonts w:ascii="宋体" w:hAnsi="Courier New"/>
      <w:sz w:val="20"/>
      <w:szCs w:val="21"/>
      <w:lang w:eastAsia="en-US"/>
    </w:rPr>
  </w:style>
  <w:style w:type="paragraph" w:styleId="872">
    <w:name w:val="批注框文本"/>
    <w:basedOn w:val="858"/>
    <w:next w:val="872"/>
    <w:link w:val="873"/>
    <w:rPr>
      <w:sz w:val="18"/>
      <w:szCs w:val="18"/>
    </w:rPr>
  </w:style>
  <w:style w:type="character" w:styleId="873">
    <w:name w:val="批注框文本 字符"/>
    <w:next w:val="873"/>
    <w:link w:val="872"/>
    <w:rPr>
      <w:sz w:val="18"/>
      <w:szCs w:val="18"/>
    </w:rPr>
  </w:style>
  <w:style w:type="paragraph" w:styleId="874">
    <w:name w:val="页脚"/>
    <w:basedOn w:val="858"/>
    <w:next w:val="874"/>
    <w:link w:val="858"/>
    <w:uiPriority w:val="99"/>
    <w:unhideWhenUsed/>
    <w:qFormat/>
    <w:pPr>
      <w:jc w:val="left"/>
      <w:tabs>
        <w:tab w:val="center" w:pos="4153" w:leader="none"/>
        <w:tab w:val="right" w:pos="8306" w:leader="none"/>
      </w:tabs>
    </w:pPr>
    <w:rPr>
      <w:sz w:val="18"/>
      <w:szCs w:val="18"/>
    </w:rPr>
  </w:style>
  <w:style w:type="paragraph" w:styleId="875">
    <w:name w:val="页眉"/>
    <w:basedOn w:val="858"/>
    <w:next w:val="875"/>
    <w:link w:val="858"/>
    <w:qFormat/>
    <w:pPr>
      <w:tabs>
        <w:tab w:val="center" w:pos="4153" w:leader="none"/>
        <w:tab w:val="right" w:pos="8306" w:leader="none"/>
      </w:tabs>
      <w:pBdr>
        <w:top w:val="none" w:color="000000" w:sz="0" w:space="1"/>
        <w:left w:val="none" w:color="000000" w:sz="0" w:space="4"/>
        <w:bottom w:val="none" w:color="000000" w:sz="0" w:space="1"/>
        <w:right w:val="none" w:color="000000" w:sz="0" w:space="4"/>
      </w:pBdr>
    </w:pPr>
    <w:rPr>
      <w:sz w:val="18"/>
    </w:rPr>
  </w:style>
  <w:style w:type="paragraph" w:styleId="876">
    <w:name w:val="目录 1"/>
    <w:basedOn w:val="858"/>
    <w:next w:val="858"/>
    <w:link w:val="858"/>
    <w:qFormat/>
  </w:style>
  <w:style w:type="paragraph" w:styleId="877">
    <w:name w:val="普通(网站)"/>
    <w:basedOn w:val="858"/>
    <w:next w:val="877"/>
    <w:link w:val="858"/>
    <w:uiPriority w:val="99"/>
    <w:unhideWhenUsed/>
    <w:qFormat/>
    <w:rPr>
      <w:rFonts w:ascii="Times New Roman" w:hAnsi="Times New Roman"/>
      <w:sz w:val="24"/>
    </w:rPr>
  </w:style>
  <w:style w:type="character" w:styleId="878">
    <w:name w:val="要点"/>
    <w:next w:val="878"/>
    <w:link w:val="858"/>
    <w:uiPriority w:val="22"/>
    <w:qFormat/>
    <w:rPr>
      <w:rFonts w:ascii="Tahoma" w:hAnsi="Tahoma" w:eastAsia="宋体"/>
      <w:b/>
      <w:bCs/>
      <w:spacing w:val="10"/>
      <w:sz w:val="24"/>
      <w:lang w:val="en-US" w:eastAsia="zh-CN" w:bidi="ar-SA"/>
    </w:rPr>
  </w:style>
  <w:style w:type="paragraph" w:styleId="879">
    <w:name w:val="正文1"/>
    <w:basedOn w:val="858"/>
    <w:next w:val="880"/>
    <w:link w:val="858"/>
    <w:qFormat/>
    <w:pPr>
      <w:jc w:val="left"/>
      <w:spacing w:line="360" w:lineRule="atLeast"/>
    </w:pPr>
    <w:rPr>
      <w:rFonts w:ascii="宋体"/>
      <w:sz w:val="24"/>
      <w:szCs w:val="20"/>
    </w:rPr>
  </w:style>
  <w:style w:type="paragraph" w:styleId="880">
    <w:name w:val="正文文本1"/>
    <w:basedOn w:val="879"/>
    <w:next w:val="881"/>
    <w:link w:val="858"/>
    <w:qFormat/>
    <w:pPr>
      <w:spacing w:after="120"/>
    </w:pPr>
    <w:rPr>
      <w:lang w:eastAsia="en-US"/>
    </w:rPr>
  </w:style>
  <w:style w:type="paragraph" w:styleId="881">
    <w:name w:val="一级条标题"/>
    <w:basedOn w:val="882"/>
    <w:next w:val="883"/>
    <w:link w:val="858"/>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882">
    <w:name w:val="章标题"/>
    <w:next w:val="858"/>
    <w:link w:val="858"/>
    <w:qFormat/>
    <w:pPr>
      <w:ind w:left="810" w:hanging="810"/>
      <w:jc w:val="both"/>
      <w:spacing w:before="50" w:after="50"/>
      <w:tabs>
        <w:tab w:val="left" w:pos="810" w:leader="none"/>
        <w:tab w:val="left" w:pos="1265" w:leader="none"/>
      </w:tabs>
      <w:outlineLvl w:val="1"/>
    </w:pPr>
    <w:rPr>
      <w:rFonts w:ascii="黑体" w:eastAsia="黑体"/>
      <w:sz w:val="21"/>
      <w:szCs w:val="22"/>
      <w:lang w:val="en-US" w:eastAsia="zh-CN" w:bidi="ar-SA"/>
    </w:rPr>
  </w:style>
  <w:style w:type="paragraph" w:styleId="883">
    <w:name w:val="段"/>
    <w:basedOn w:val="879"/>
    <w:next w:val="858"/>
    <w:link w:val="858"/>
    <w:qFormat/>
    <w:pPr>
      <w:ind w:firstLine="200"/>
      <w:widowControl/>
    </w:pPr>
    <w:rPr>
      <w:sz w:val="20"/>
    </w:rPr>
  </w:style>
  <w:style w:type="paragraph" w:styleId="884">
    <w:name w:val="正文11"/>
    <w:next w:val="879"/>
    <w:link w:val="858"/>
    <w:qFormat/>
    <w:pPr>
      <w:jc w:val="both"/>
      <w:widowControl w:val="off"/>
    </w:pPr>
    <w:rPr>
      <w:rFonts w:ascii="Times New Roman" w:hAnsi="Times New Roman"/>
      <w:sz w:val="21"/>
      <w:szCs w:val="22"/>
      <w:lang w:val="en-US" w:eastAsia="zh-CN" w:bidi="ar-SA"/>
    </w:rPr>
  </w:style>
  <w:style w:type="paragraph" w:styleId="885">
    <w:name w:val="ListBullet21"/>
    <w:basedOn w:val="858"/>
    <w:next w:val="885"/>
    <w:link w:val="858"/>
    <w:qFormat/>
    <w:pPr>
      <w:numPr>
        <w:ilvl w:val="0"/>
        <w:numId w:val="2"/>
      </w:numPr>
      <w:tabs>
        <w:tab w:val="left" w:pos="780" w:leader="none"/>
      </w:tabs>
    </w:pPr>
  </w:style>
  <w:style w:type="paragraph" w:styleId="886">
    <w:name w:val="正文缩进1"/>
    <w:basedOn w:val="858"/>
    <w:next w:val="858"/>
    <w:link w:val="858"/>
    <w:unhideWhenUsed/>
    <w:qFormat/>
    <w:pPr>
      <w:ind w:firstLine="420"/>
    </w:pPr>
  </w:style>
  <w:style w:type="paragraph" w:styleId="887">
    <w:name w:val="纯文本11"/>
    <w:basedOn w:val="858"/>
    <w:next w:val="887"/>
    <w:link w:val="858"/>
    <w:unhideWhenUsed/>
    <w:qFormat/>
    <w:rPr>
      <w:rFonts w:ascii="宋体" w:hAnsi="Courier New"/>
      <w:sz w:val="20"/>
      <w:szCs w:val="20"/>
    </w:rPr>
  </w:style>
  <w:style w:type="paragraph" w:styleId="888">
    <w:name w:val="普通正文"/>
    <w:basedOn w:val="879"/>
    <w:next w:val="888"/>
    <w:link w:val="858"/>
    <w:qFormat/>
    <w:pPr>
      <w:ind w:firstLine="480"/>
      <w:spacing w:before="120" w:after="120" w:line="360" w:lineRule="auto"/>
    </w:pPr>
    <w:rPr>
      <w:rFonts w:ascii="Arial" w:hAnsi="Arial"/>
      <w:szCs w:val="24"/>
    </w:rPr>
  </w:style>
  <w:style w:type="paragraph" w:styleId="889">
    <w:name w:val="标题 11"/>
    <w:basedOn w:val="858"/>
    <w:next w:val="858"/>
    <w:link w:val="858"/>
    <w:uiPriority w:val="99"/>
    <w:qFormat/>
    <w:pPr>
      <w:jc w:val="center"/>
      <w:keepLines/>
      <w:keepNext/>
      <w:spacing w:before="340" w:after="330" w:line="360" w:lineRule="auto"/>
      <w:outlineLvl w:val="0"/>
    </w:pPr>
    <w:rPr>
      <w:b/>
      <w:bCs/>
      <w:sz w:val="44"/>
      <w:szCs w:val="44"/>
    </w:rPr>
  </w:style>
  <w:style w:type="paragraph" w:styleId="890">
    <w:name w:val="Header1"/>
    <w:basedOn w:val="858"/>
    <w:next w:val="890"/>
    <w:link w:val="858"/>
    <w:uiPriority w:val="99"/>
    <w:qFormat/>
    <w:pPr>
      <w:jc w:val="center"/>
      <w:tabs>
        <w:tab w:val="center" w:pos="4153" w:leader="none"/>
        <w:tab w:val="right" w:pos="8306" w:leader="none"/>
      </w:tabs>
      <w:pBdr>
        <w:bottom w:val="single" w:color="000000" w:sz="6" w:space="1"/>
      </w:pBdr>
    </w:pPr>
    <w:rPr>
      <w:rFonts w:ascii="Times New Roman" w:hAnsi="Times New Roman"/>
      <w:sz w:val="18"/>
      <w:szCs w:val="18"/>
      <w:lang w:eastAsia="en-US"/>
    </w:rPr>
  </w:style>
  <w:style w:type="paragraph" w:styleId="891">
    <w:name w:val="页脚11"/>
    <w:basedOn w:val="858"/>
    <w:next w:val="891"/>
    <w:link w:val="858"/>
    <w:uiPriority w:val="99"/>
    <w:unhideWhenUsed/>
    <w:qFormat/>
    <w:pPr>
      <w:jc w:val="left"/>
      <w:tabs>
        <w:tab w:val="center" w:pos="4153" w:leader="none"/>
        <w:tab w:val="right" w:pos="8306" w:leader="none"/>
      </w:tabs>
    </w:pPr>
    <w:rPr>
      <w:sz w:val="18"/>
      <w:szCs w:val="18"/>
    </w:rPr>
  </w:style>
  <w:style w:type="paragraph" w:styleId="892">
    <w:name w:val="页脚1"/>
    <w:basedOn w:val="893"/>
    <w:next w:val="892"/>
    <w:link w:val="858"/>
    <w:qFormat/>
    <w:pPr>
      <w:jc w:val="left"/>
      <w:tabs>
        <w:tab w:val="center" w:pos="4153" w:leader="none"/>
        <w:tab w:val="right" w:pos="8306" w:leader="none"/>
      </w:tabs>
    </w:pPr>
    <w:rPr>
      <w:sz w:val="18"/>
      <w:szCs w:val="18"/>
    </w:rPr>
  </w:style>
  <w:style w:type="paragraph" w:styleId="893">
    <w:name w:val="正文111"/>
    <w:next w:val="894"/>
    <w:link w:val="858"/>
    <w:qFormat/>
    <w:pPr>
      <w:jc w:val="both"/>
      <w:widowControl w:val="off"/>
    </w:pPr>
    <w:rPr>
      <w:sz w:val="21"/>
      <w:szCs w:val="24"/>
      <w:lang w:val="en-US" w:eastAsia="zh-CN" w:bidi="ar-SA"/>
    </w:rPr>
  </w:style>
  <w:style w:type="paragraph" w:styleId="894">
    <w:name w:val="文本块1"/>
    <w:basedOn w:val="893"/>
    <w:next w:val="894"/>
    <w:link w:val="858"/>
    <w:qFormat/>
    <w:pPr>
      <w:ind w:left="567" w:right="454" w:firstLine="498"/>
      <w:jc w:val="left"/>
      <w:widowControl/>
    </w:pPr>
    <w:rPr>
      <w:rFonts w:ascii="仿宋_GB2312" w:eastAsia="仿宋_GB2312"/>
      <w:sz w:val="30"/>
      <w:szCs w:val="20"/>
    </w:rPr>
  </w:style>
  <w:style w:type="paragraph" w:styleId="895">
    <w:name w:val="Footer1"/>
    <w:basedOn w:val="858"/>
    <w:next w:val="895"/>
    <w:link w:val="858"/>
    <w:uiPriority w:val="99"/>
    <w:qFormat/>
    <w:pPr>
      <w:jc w:val="left"/>
      <w:tabs>
        <w:tab w:val="center" w:pos="4153" w:leader="none"/>
        <w:tab w:val="right" w:pos="8306" w:leader="none"/>
      </w:tabs>
    </w:pPr>
    <w:rPr>
      <w:rFonts w:ascii="Times New Roman" w:hAnsi="Times New Roman"/>
      <w:sz w:val="18"/>
      <w:szCs w:val="18"/>
      <w:lang w:eastAsia="en-US"/>
    </w:rPr>
  </w:style>
  <w:style w:type="paragraph" w:styleId="896">
    <w:name w:val="标题 21"/>
    <w:basedOn w:val="858"/>
    <w:next w:val="886"/>
    <w:link w:val="858"/>
    <w:uiPriority w:val="2"/>
    <w:qFormat/>
    <w:pPr>
      <w:jc w:val="center"/>
      <w:keepLines/>
      <w:keepNext/>
      <w:spacing w:before="260" w:after="260" w:line="416" w:lineRule="auto"/>
      <w:outlineLvl w:val="1"/>
    </w:pPr>
    <w:rPr>
      <w:rFonts w:ascii="Arial" w:hAnsi="Arial" w:eastAsia="幼圆"/>
      <w:b/>
      <w:sz w:val="44"/>
      <w:szCs w:val="20"/>
    </w:rPr>
  </w:style>
  <w:style w:type="paragraph" w:styleId="897">
    <w:name w:val="Table Paragraph"/>
    <w:basedOn w:val="858"/>
    <w:next w:val="897"/>
    <w:link w:val="858"/>
    <w:uiPriority w:val="99"/>
    <w:qFormat/>
    <w:pPr>
      <w:jc w:val="left"/>
    </w:pPr>
    <w:rPr>
      <w:rFonts w:cs="Calibri"/>
      <w:sz w:val="22"/>
      <w:lang w:eastAsia="en-US"/>
    </w:rPr>
  </w:style>
  <w:style w:type="paragraph" w:styleId="898">
    <w:name w:val="标题 211"/>
    <w:basedOn w:val="858"/>
    <w:next w:val="858"/>
    <w:link w:val="858"/>
    <w:uiPriority w:val="9"/>
    <w:unhideWhenUsed/>
    <w:qFormat/>
    <w:pPr>
      <w:keepLines/>
      <w:keepNext/>
      <w:spacing w:before="260" w:after="260" w:line="413" w:lineRule="auto"/>
      <w:outlineLvl w:val="1"/>
    </w:pPr>
    <w:rPr>
      <w:rFonts w:ascii="Arial" w:hAnsi="Arial" w:eastAsia="黑体"/>
      <w:b/>
      <w:sz w:val="32"/>
    </w:rPr>
  </w:style>
  <w:style w:type="paragraph" w:styleId="899">
    <w:name w:val="Char"/>
    <w:basedOn w:val="858"/>
    <w:next w:val="899"/>
    <w:link w:val="858"/>
    <w:qFormat/>
    <w:pPr>
      <w:ind w:firstLine="200"/>
      <w:tabs>
        <w:tab w:val="left" w:pos="360" w:leader="none"/>
      </w:tabs>
    </w:pPr>
    <w:rPr>
      <w:rFonts w:ascii="Times New Roman" w:hAnsi="Times New Roman"/>
      <w:sz w:val="28"/>
      <w:szCs w:val="30"/>
    </w:rPr>
  </w:style>
  <w:style w:type="paragraph" w:styleId="900">
    <w:name w:val="Revision"/>
    <w:next w:val="900"/>
    <w:link w:val="858"/>
    <w:uiPriority w:val="99"/>
    <w:semiHidden/>
    <w:rPr>
      <w:sz w:val="21"/>
      <w:szCs w:val="22"/>
      <w:lang w:val="en-US" w:eastAsia="zh-CN" w:bidi="ar-SA"/>
    </w:rPr>
  </w:style>
  <w:style w:type="paragraph" w:styleId="901">
    <w:name w:val="WPSOffice手动目录 1"/>
    <w:next w:val="901"/>
    <w:link w:val="858"/>
    <w:rPr>
      <w:sz w:val="20"/>
      <w:szCs w:val="20"/>
    </w:rPr>
  </w:style>
  <w:style w:type="character" w:styleId="902" w:default="1">
    <w:name w:val="Default Paragraph Font"/>
    <w:uiPriority w:val="1"/>
    <w:semiHidden/>
    <w:unhideWhenUsed/>
  </w:style>
  <w:style w:type="numbering" w:styleId="903" w:default="1">
    <w:name w:val="No List"/>
    <w:uiPriority w:val="99"/>
    <w:semiHidden/>
    <w:unhideWhenUsed/>
  </w:style>
  <w:style w:type="table" w:styleId="904"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hyperlink" Target="http://jszfcg.jscz.gov.cn/jszc/onlyoffice/7.2.1-34/web-apps/apps/documenteditor/main/index_loader.html?_dc=7.2.1-34&amp;lang=zh&amp;customer=%20&amp;logo=%20&amp;headerlogo=%2Ffavicon.ico&amp;frameEditorId=iframePage&amp;compact=true&amp;parentOrigin=http://jszfcg.jscz.gov.cn#_Toc22742" TargetMode="External"/><Relationship Id="rId12" Type="http://schemas.openxmlformats.org/officeDocument/2006/relationships/hyperlink" Target="http://jszfcg.jscz.gov.cn/jszc/onlyoffice/7.2.1-34/web-apps/apps/documenteditor/main/index_loader.html?_dc=7.2.1-34&amp;lang=zh&amp;customer=%20&amp;logo=%20&amp;headerlogo=%2Ffavicon.ico&amp;frameEditorId=iframePage&amp;compact=true&amp;parentOrigin=http://jszfcg.jscz.gov.cn#_Toc17633" TargetMode="External"/><Relationship Id="rId13" Type="http://schemas.openxmlformats.org/officeDocument/2006/relationships/hyperlink" Target="http://jszfcg.jscz.gov.cn/jszc/onlyoffice/7.2.1-34/web-apps/apps/documenteditor/main/index_loader.html?_dc=7.2.1-34&amp;lang=zh&amp;customer=%20&amp;logo=%20&amp;headerlogo=%2Ffavicon.ico&amp;frameEditorId=iframePage&amp;compact=true&amp;parentOrigin=http://jszfcg.jscz.gov.cn#_Toc6407" TargetMode="External"/><Relationship Id="rId14" Type="http://schemas.openxmlformats.org/officeDocument/2006/relationships/hyperlink" Target="http://jszfcg.jscz.gov.cn/jszc/onlyoffice/7.2.1-34/web-apps/apps/documenteditor/main/index_loader.html?_dc=7.2.1-34&amp;lang=zh&amp;customer=%20&amp;logo=%20&amp;headerlogo=%2Ffavicon.ico&amp;frameEditorId=iframePage&amp;compact=true&amp;parentOrigin=http://jszfcg.jscz.gov.cn#_Toc8881" TargetMode="External"/><Relationship Id="rId15" Type="http://schemas.openxmlformats.org/officeDocument/2006/relationships/hyperlink" Target="http://jszfcg.jscz.gov.cn/jszc/onlyoffice/7.2.1-34/web-apps/apps/documenteditor/main/index_loader.html?_dc=7.2.1-34&amp;lang=zh&amp;customer=%20&amp;logo=%20&amp;headerlogo=%2Ffavicon.ico&amp;frameEditorId=iframePage&amp;compact=true&amp;parentOrigin=http://jszfcg.jscz.gov.cn#_Toc18067" TargetMode="External"/><Relationship Id="rId16" Type="http://schemas.openxmlformats.org/officeDocument/2006/relationships/hyperlink" Target="http://jszfcg.jscz.gov.cn/jszc/onlyoffice/7.2.1-34/web-apps/apps/documenteditor/main/index_loader.html?_dc=7.2.1-34&amp;lang=zh&amp;customer=%20&amp;logo=%20&amp;headerlogo=%2Ffavicon.ico&amp;frameEditorId=iframePage&amp;compact=true&amp;parentOrigin=http://jszfcg.jscz.gov.cn#_Toc24256" TargetMode="External"/><Relationship Id="rId17" Type="http://schemas.openxmlformats.org/officeDocument/2006/relationships/hyperlink" Target="http://jszfcg.jscz.gov.cn/jszc/onlyoffice/7.2.1-34/web-apps/apps/documenteditor/main/index_loader.html?_dc=7.2.1-34&amp;lang=zh&amp;customer=%20&amp;logo=%20&amp;headerlogo=%2Ffavicon.ico&amp;frameEditorId=iframePage&amp;compact=true&amp;parentOrigin=http://jszfcg.jscz.gov.cn#br1"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微软</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流浪的</dc:creator>
  <cp:lastModifiedBy>谷非吾</cp:lastModifiedBy>
  <cp:revision>5</cp:revision>
  <dcterms:created xsi:type="dcterms:W3CDTF">2024-06-14T01:05:00Z</dcterms:created>
  <dcterms:modified xsi:type="dcterms:W3CDTF">2024-07-05T08:25:09Z</dcterms:modified>
</cp:coreProperties>
</file>