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654"/>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654"/>
        <w:spacing w:line="360" w:lineRule="auto"/>
        <w:rPr>
          <w:rFonts w:hint="eastAsia" w:ascii="宋体" w:hAnsi="宋体" w:eastAsia="宋体" w:cs="宋体"/>
          <w:color w:val="000000"/>
          <w:sz w:val="72"/>
          <w:highlight w:val="none"/>
        </w:rPr>
      </w:pPr>
      <w:r>
        <w:rPr>
          <w:rFonts w:hint="eastAsia" w:ascii="宋体" w:hAnsi="宋体" w:eastAsia="宋体" w:cs="宋体"/>
          <w:color w:val="000000"/>
          <w:sz w:val="72"/>
          <w:highlight w:val="none"/>
        </w:rPr>
      </w:r>
      <w:r/>
    </w:p>
    <w:p>
      <w:pPr>
        <w:pStyle w:val="654"/>
        <w:jc w:val="center"/>
        <w:spacing w:line="360" w:lineRule="auto"/>
        <w:rPr>
          <w:rFonts w:hint="eastAsia" w:ascii="宋体" w:hAnsi="宋体" w:eastAsia="宋体" w:cs="宋体"/>
          <w:color w:val="000000"/>
          <w:sz w:val="72"/>
          <w:highlight w:val="none"/>
        </w:rPr>
      </w:pPr>
      <w:r>
        <w:rPr>
          <w:rFonts w:hint="eastAsia" w:ascii="宋体" w:hAnsi="宋体" w:eastAsia="宋体" w:cs="宋体"/>
          <w:color w:val="000000"/>
          <w:sz w:val="72"/>
          <w:highlight w:val="none"/>
        </w:rPr>
      </w:r>
      <w:r/>
    </w:p>
    <w:p>
      <w:pPr>
        <w:pStyle w:val="654"/>
        <w:jc w:val="center"/>
        <w:spacing w:line="360" w:lineRule="auto"/>
        <w:rPr>
          <w:rFonts w:hint="eastAsia" w:ascii="宋体" w:hAnsi="宋体" w:eastAsia="宋体" w:cs="宋体"/>
          <w:color w:val="000000"/>
          <w:sz w:val="72"/>
          <w:highlight w:val="none"/>
        </w:rPr>
      </w:pPr>
      <w:r>
        <w:rPr>
          <w:rFonts w:hint="eastAsia" w:ascii="宋体" w:hAnsi="宋体" w:eastAsia="宋体" w:cs="宋体"/>
          <w:color w:val="000000"/>
          <w:sz w:val="72"/>
          <w:highlight w:val="none"/>
        </w:rPr>
        <w:t xml:space="preserve">招标文件</w:t>
      </w:r>
      <w:r>
        <w:rPr>
          <w:rFonts w:hint="eastAsia" w:ascii="宋体" w:hAnsi="宋体" w:eastAsia="宋体" w:cs="宋体"/>
          <w:color w:val="000000"/>
          <w:sz w:val="72"/>
          <w:highlight w:val="none"/>
        </w:rPr>
      </w:r>
      <w:r/>
    </w:p>
    <w:p>
      <w:pPr>
        <w:pStyle w:val="654"/>
        <w:jc w:val="center"/>
        <w:spacing w:line="360" w:lineRule="auto"/>
        <w:rPr>
          <w:rFonts w:hint="eastAsia" w:ascii="宋体" w:hAnsi="宋体" w:eastAsia="宋体" w:cs="宋体"/>
          <w:color w:val="000000"/>
          <w:sz w:val="72"/>
          <w:highlight w:val="none"/>
        </w:rPr>
      </w:pPr>
      <w:r>
        <w:rPr>
          <w:rFonts w:hint="eastAsia" w:ascii="宋体" w:hAnsi="宋体" w:eastAsia="宋体" w:cs="宋体"/>
          <w:color w:val="000000"/>
          <w:sz w:val="72"/>
          <w:highlight w:val="none"/>
        </w:rPr>
      </w:r>
      <w:r/>
    </w:p>
    <w:p>
      <w:pPr>
        <w:pStyle w:val="654"/>
        <w:jc w:val="center"/>
        <w:spacing w:line="360" w:lineRule="auto"/>
        <w:rPr>
          <w:rFonts w:hint="eastAsia" w:ascii="宋体" w:hAnsi="宋体" w:eastAsia="宋体" w:cs="宋体"/>
          <w:color w:val="000000"/>
          <w:sz w:val="72"/>
          <w:highlight w:val="none"/>
        </w:rPr>
      </w:pPr>
      <w:r>
        <w:rPr>
          <w:rFonts w:hint="eastAsia" w:ascii="宋体" w:hAnsi="宋体" w:eastAsia="宋体" w:cs="宋体"/>
          <w:color w:val="000000"/>
          <w:sz w:val="72"/>
          <w:highlight w:val="none"/>
        </w:rPr>
      </w:r>
      <w:r/>
    </w:p>
    <w:p>
      <w:pPr>
        <w:pStyle w:val="654"/>
        <w:ind w:firstLine="160"/>
        <w:spacing w:line="360" w:lineRule="auto"/>
        <w:rPr>
          <w:rFonts w:hint="eastAsia" w:ascii="宋体" w:hAnsi="宋体" w:eastAsia="宋体" w:cs="宋体"/>
          <w:color w:val="000000"/>
          <w:sz w:val="32"/>
          <w:highlight w:val="none"/>
          <w:lang w:eastAsia="zh-CN"/>
        </w:rPr>
      </w:pPr>
      <w:r>
        <w:rPr>
          <w:rFonts w:hint="eastAsia" w:ascii="宋体" w:hAnsi="宋体" w:eastAsia="宋体" w:cs="宋体"/>
          <w:color w:val="000000"/>
          <w:sz w:val="32"/>
          <w:highlight w:val="none"/>
        </w:rPr>
        <w:t xml:space="preserve">项目编号：</w:t>
      </w:r>
      <w:r>
        <w:rPr>
          <w:rFonts w:hint="eastAsia" w:ascii="宋体" w:hAnsi="宋体" w:eastAsia="宋体" w:cs="宋体"/>
          <w:color w:val="000000"/>
          <w:sz w:val="32"/>
          <w:highlight w:val="none"/>
          <w:lang w:eastAsia="zh-CN"/>
        </w:rPr>
        <w:t xml:space="preserve">JSZC-320583-JXCG-G2024-0075</w:t>
      </w:r>
      <w:r>
        <w:rPr>
          <w:rFonts w:hint="eastAsia" w:ascii="宋体" w:hAnsi="宋体" w:eastAsia="宋体" w:cs="宋体"/>
          <w:color w:val="000000"/>
          <w:sz w:val="32"/>
          <w:highlight w:val="none"/>
          <w:lang w:eastAsia="zh-CN"/>
        </w:rPr>
      </w:r>
      <w:r/>
    </w:p>
    <w:p>
      <w:pPr>
        <w:pStyle w:val="654"/>
        <w:ind w:firstLine="160"/>
        <w:spacing w:line="360" w:lineRule="auto"/>
        <w:rPr>
          <w:rFonts w:hint="eastAsia" w:ascii="宋体" w:hAnsi="宋体" w:eastAsia="宋体" w:cs="宋体"/>
          <w:bCs/>
          <w:color w:val="000000"/>
          <w:sz w:val="32"/>
          <w:szCs w:val="32"/>
          <w:highlight w:val="none"/>
        </w:rPr>
      </w:pPr>
      <w:r>
        <w:rPr>
          <w:rFonts w:hint="eastAsia" w:ascii="宋体" w:hAnsi="宋体" w:eastAsia="宋体" w:cs="宋体"/>
          <w:color w:val="000000"/>
          <w:sz w:val="32"/>
          <w:szCs w:val="32"/>
          <w:highlight w:val="none"/>
        </w:rPr>
        <w:t xml:space="preserve">采购单位：</w:t>
      </w:r>
      <w:r>
        <w:rPr>
          <w:rFonts w:hint="eastAsia" w:ascii="宋体" w:hAnsi="宋体" w:eastAsia="宋体" w:cs="宋体"/>
          <w:bCs/>
          <w:color w:val="000000"/>
          <w:sz w:val="32"/>
          <w:szCs w:val="32"/>
          <w:highlight w:val="none"/>
        </w:rPr>
        <w:t xml:space="preserve">昆山市自然资源和规划局</w:t>
      </w:r>
      <w:r>
        <w:rPr>
          <w:rFonts w:hint="eastAsia" w:ascii="宋体" w:hAnsi="宋体" w:eastAsia="宋体" w:cs="宋体"/>
          <w:bCs/>
          <w:color w:val="000000"/>
          <w:sz w:val="32"/>
          <w:szCs w:val="32"/>
          <w:highlight w:val="none"/>
        </w:rPr>
      </w:r>
      <w:r/>
    </w:p>
    <w:p>
      <w:pPr>
        <w:pStyle w:val="654"/>
        <w:ind w:firstLine="160"/>
        <w:spacing w:line="36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采购内容：</w:t>
      </w:r>
      <w:r>
        <w:rPr>
          <w:rFonts w:hint="eastAsia" w:ascii="宋体" w:hAnsi="宋体" w:eastAsia="宋体" w:cs="宋体"/>
          <w:color w:val="000000"/>
          <w:sz w:val="32"/>
          <w:szCs w:val="32"/>
          <w:highlight w:val="none"/>
          <w:lang w:eastAsia="zh-CN"/>
        </w:rPr>
        <w:t xml:space="preserve">2024年度昆山市森林草地湿地沙化普查项目</w:t>
      </w:r>
      <w:r>
        <w:rPr>
          <w:rFonts w:hint="eastAsia" w:ascii="宋体" w:hAnsi="宋体" w:eastAsia="宋体" w:cs="宋体"/>
          <w:color w:val="000000"/>
          <w:sz w:val="32"/>
          <w:szCs w:val="32"/>
          <w:highlight w:val="none"/>
          <w:lang w:eastAsia="zh-CN"/>
        </w:rPr>
      </w:r>
      <w:r/>
    </w:p>
    <w:p>
      <w:pPr>
        <w:pStyle w:val="654"/>
        <w:jc w:val="center"/>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56"/>
        <w:rPr>
          <w:rFonts w:hint="eastAsia" w:ascii="宋体" w:hAnsi="宋体" w:eastAsia="宋体" w:cs="宋体"/>
          <w:highlight w:val="none"/>
        </w:rPr>
      </w:pPr>
      <w:r>
        <w:rPr>
          <w:rFonts w:hint="eastAsia" w:ascii="宋体" w:hAnsi="宋体" w:eastAsia="宋体" w:cs="宋体"/>
          <w:highlight w:val="none"/>
        </w:rPr>
      </w:r>
      <w:r/>
    </w:p>
    <w:p>
      <w:pPr>
        <w:pStyle w:val="654"/>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p>
      <w:pPr>
        <w:pStyle w:val="654"/>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江苏建协全过程工程咨询有限公司</w:t>
      </w:r>
      <w:r>
        <w:rPr>
          <w:rFonts w:hint="eastAsia" w:ascii="宋体" w:hAnsi="宋体" w:eastAsia="宋体" w:cs="宋体"/>
          <w:color w:val="000000"/>
          <w:sz w:val="28"/>
          <w:highlight w:val="none"/>
        </w:rPr>
      </w:r>
      <w:r/>
    </w:p>
    <w:p>
      <w:pPr>
        <w:pStyle w:val="694"/>
        <w:jc w:val="center"/>
        <w:spacing w:line="36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 xml:space="preserve">2024年</w:t>
      </w:r>
      <w:r>
        <w:rPr>
          <w:rFonts w:hint="eastAsia" w:ascii="宋体" w:hAnsi="宋体" w:eastAsia="宋体" w:cs="宋体"/>
          <w:color w:val="000000"/>
          <w:sz w:val="28"/>
          <w:szCs w:val="24"/>
          <w:highlight w:val="none"/>
          <w:lang w:val="en-US" w:eastAsia="zh-CN"/>
        </w:rPr>
        <w:t xml:space="preserve">08</w:t>
      </w:r>
      <w:r>
        <w:rPr>
          <w:rFonts w:hint="eastAsia" w:ascii="宋体" w:hAnsi="宋体" w:eastAsia="宋体" w:cs="宋体"/>
          <w:color w:val="000000"/>
          <w:sz w:val="28"/>
          <w:szCs w:val="24"/>
          <w:highlight w:val="none"/>
        </w:rPr>
        <w:t xml:space="preserve">月</w:t>
      </w:r>
      <w:r>
        <w:rPr>
          <w:rFonts w:hint="eastAsia" w:ascii="宋体" w:hAnsi="宋体" w:eastAsia="宋体" w:cs="宋体"/>
          <w:color w:val="000000"/>
          <w:sz w:val="28"/>
          <w:szCs w:val="24"/>
          <w:highlight w:val="none"/>
        </w:rPr>
      </w:r>
      <w:r/>
    </w:p>
    <w:p>
      <w:pPr>
        <w:pStyle w:val="654"/>
        <w:jc w:val="center"/>
        <w:widowControl/>
        <w:rPr>
          <w:rFonts w:hint="eastAsia" w:ascii="宋体" w:hAnsi="宋体" w:eastAsia="宋体" w:cs="宋体"/>
          <w:b/>
          <w:bCs/>
          <w:color w:val="000000"/>
          <w:sz w:val="52"/>
          <w:szCs w:val="52"/>
          <w:highlight w:val="none"/>
          <w:lang w:val="zh-CN"/>
        </w:rPr>
      </w:pPr>
      <w:r>
        <w:rPr>
          <w:rFonts w:hint="eastAsia" w:ascii="宋体" w:hAnsi="宋体" w:eastAsia="宋体" w:cs="宋体"/>
          <w:b/>
          <w:bCs/>
          <w:color w:val="000000"/>
          <w:sz w:val="52"/>
          <w:szCs w:val="52"/>
          <w:highlight w:val="none"/>
          <w:lang w:val="zh-CN"/>
        </w:rPr>
        <w:br w:type="page" w:clear="all"/>
      </w:r>
      <w:r>
        <w:rPr>
          <w:rFonts w:hint="eastAsia" w:ascii="宋体" w:hAnsi="宋体" w:eastAsia="宋体" w:cs="宋体"/>
          <w:b/>
          <w:bCs/>
          <w:color w:val="000000"/>
          <w:sz w:val="52"/>
          <w:szCs w:val="52"/>
          <w:highlight w:val="none"/>
          <w:lang w:val="zh-CN"/>
        </w:rPr>
        <w:t xml:space="preserve">目录</w:t>
      </w:r>
      <w:r>
        <w:rPr>
          <w:rFonts w:hint="eastAsia" w:ascii="宋体" w:hAnsi="宋体" w:eastAsia="宋体" w:cs="宋体"/>
          <w:b/>
          <w:bCs/>
          <w:color w:val="000000"/>
          <w:sz w:val="52"/>
          <w:szCs w:val="52"/>
          <w:highlight w:val="none"/>
          <w:lang w:val="zh-CN"/>
        </w:rPr>
      </w:r>
      <w:r/>
    </w:p>
    <w:p>
      <w:pPr>
        <w:pStyle w:val="654"/>
        <w:rPr>
          <w:rFonts w:hint="eastAsia" w:ascii="宋体" w:hAnsi="宋体" w:eastAsia="宋体" w:cs="宋体"/>
          <w:highlight w:val="none"/>
          <w:lang w:val="zh-CN"/>
        </w:rPr>
      </w:pPr>
      <w:r>
        <w:rPr>
          <w:rFonts w:hint="eastAsia" w:ascii="宋体" w:hAnsi="宋体" w:eastAsia="宋体" w:cs="宋体"/>
          <w:highlight w:val="none"/>
          <w:lang w:val="zh-CN"/>
        </w:rPr>
      </w:r>
      <w:r/>
    </w:p>
    <w:p>
      <w:pPr>
        <w:pStyle w:val="654"/>
        <w:rPr>
          <w:rFonts w:hint="eastAsia" w:ascii="宋体" w:hAnsi="宋体" w:eastAsia="宋体" w:cs="宋体"/>
          <w:highlight w:val="none"/>
          <w:lang w:val="zh-CN"/>
        </w:rPr>
      </w:pPr>
      <w:r>
        <w:rPr>
          <w:rFonts w:hint="eastAsia" w:ascii="宋体" w:hAnsi="宋体" w:eastAsia="宋体" w:cs="宋体"/>
          <w:highlight w:val="none"/>
          <w:lang w:val="zh-CN"/>
        </w:rPr>
      </w:r>
      <w:r/>
    </w:p>
    <w:p>
      <w:pPr>
        <w:pStyle w:val="703"/>
        <w:tabs>
          <w:tab w:val="right" w:pos="9540"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TOC \o "1-1" \h \z \u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_Toc10919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第一章 招标公告</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_Toc10919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3</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r>
      <w:r/>
    </w:p>
    <w:p>
      <w:pPr>
        <w:pStyle w:val="703"/>
        <w:tabs>
          <w:tab w:val="right" w:pos="9540"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_Toc17687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第二章 投标人须知</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_Toc17687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7</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r>
      <w:r/>
    </w:p>
    <w:p>
      <w:pPr>
        <w:pStyle w:val="703"/>
        <w:tabs>
          <w:tab w:val="right" w:pos="9540"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_Toc12365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第三章 投标文件格式</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_Toc12365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17</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r>
      <w:r/>
    </w:p>
    <w:p>
      <w:pPr>
        <w:pStyle w:val="703"/>
        <w:tabs>
          <w:tab w:val="right" w:pos="9540"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_Toc10893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第四章 招标书</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_Toc10893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33</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r>
      <w:r/>
    </w:p>
    <w:p>
      <w:pPr>
        <w:pStyle w:val="703"/>
        <w:tabs>
          <w:tab w:val="right" w:pos="9540"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_Toc1489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第五章 合同主要条款</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_Toc1489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37</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r>
      <w:r/>
    </w:p>
    <w:p>
      <w:pPr>
        <w:pStyle w:val="703"/>
        <w:tabs>
          <w:tab w:val="right" w:pos="9540"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_Toc23783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第六章 评标方法、评分标准</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_Toc23783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42</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r>
      <w:r/>
    </w:p>
    <w:p>
      <w:pPr>
        <w:pStyle w:val="654"/>
        <w:rPr>
          <w:rFonts w:hint="eastAsia" w:ascii="宋体" w:hAnsi="宋体" w:eastAsia="宋体" w:cs="宋体"/>
          <w:sz w:val="32"/>
          <w:szCs w:val="32"/>
          <w:highlight w:val="none"/>
        </w:rPr>
      </w:pPr>
      <w:r>
        <w:rPr>
          <w:rFonts w:hint="eastAsia" w:ascii="宋体" w:hAnsi="宋体" w:eastAsia="宋体" w:cs="宋体"/>
          <w:sz w:val="30"/>
          <w:szCs w:val="30"/>
          <w:highlight w:val="none"/>
        </w:rPr>
        <w:fldChar w:fldCharType="end"/>
      </w:r>
      <w:r>
        <w:rPr>
          <w:rFonts w:hint="eastAsia" w:ascii="宋体" w:hAnsi="宋体" w:eastAsia="宋体" w:cs="宋体"/>
          <w:sz w:val="32"/>
          <w:szCs w:val="32"/>
          <w:highlight w:val="none"/>
        </w:rPr>
      </w:r>
      <w:r/>
    </w:p>
    <w:p>
      <w:pPr>
        <w:pStyle w:val="654"/>
        <w:rPr>
          <w:rFonts w:hint="eastAsia" w:ascii="宋体" w:hAnsi="宋体" w:eastAsia="宋体" w:cs="宋体"/>
          <w:bCs/>
          <w:color w:val="000000"/>
          <w:sz w:val="28"/>
          <w:szCs w:val="20"/>
          <w:highlight w:val="none"/>
        </w:rPr>
      </w:pPr>
      <w:r>
        <w:rPr>
          <w:rFonts w:hint="eastAsia" w:ascii="宋体" w:hAnsi="宋体" w:eastAsia="宋体" w:cs="宋体"/>
          <w:bCs/>
          <w:color w:val="000000"/>
          <w:sz w:val="28"/>
          <w:szCs w:val="20"/>
          <w:highlight w:val="none"/>
        </w:rPr>
      </w:r>
      <w:r/>
    </w:p>
    <w:p>
      <w:pPr>
        <w:pStyle w:val="654"/>
        <w:spacing w:line="360" w:lineRule="auto"/>
        <w:rPr>
          <w:rFonts w:hint="eastAsia" w:ascii="宋体" w:hAnsi="宋体" w:eastAsia="宋体" w:cs="宋体"/>
          <w:bCs/>
          <w:color w:val="000000"/>
          <w:sz w:val="28"/>
          <w:szCs w:val="20"/>
          <w:highlight w:val="none"/>
        </w:rPr>
      </w:pPr>
      <w:r>
        <w:rPr>
          <w:rFonts w:hint="eastAsia" w:ascii="宋体" w:hAnsi="宋体" w:eastAsia="宋体" w:cs="宋体"/>
          <w:bCs/>
          <w:color w:val="000000"/>
          <w:sz w:val="28"/>
          <w:szCs w:val="20"/>
          <w:highlight w:val="none"/>
        </w:rPr>
      </w:r>
      <w:r/>
    </w:p>
    <w:p>
      <w:pPr>
        <w:pStyle w:val="654"/>
        <w:spacing w:line="360" w:lineRule="auto"/>
        <w:rPr>
          <w:rFonts w:hint="eastAsia" w:ascii="宋体" w:hAnsi="宋体" w:eastAsia="宋体" w:cs="宋体"/>
          <w:bCs/>
          <w:color w:val="000000"/>
          <w:sz w:val="28"/>
          <w:szCs w:val="20"/>
          <w:highlight w:val="none"/>
        </w:rPr>
      </w:pPr>
      <w:r>
        <w:rPr>
          <w:rFonts w:hint="eastAsia" w:ascii="宋体" w:hAnsi="宋体" w:eastAsia="宋体" w:cs="宋体"/>
          <w:bCs/>
          <w:color w:val="000000"/>
          <w:sz w:val="28"/>
          <w:szCs w:val="20"/>
          <w:highlight w:val="none"/>
        </w:rPr>
      </w:r>
      <w:r/>
    </w:p>
    <w:p>
      <w:pPr>
        <w:pStyle w:val="654"/>
        <w:spacing w:line="360" w:lineRule="auto"/>
        <w:rPr>
          <w:rFonts w:hint="eastAsia" w:ascii="宋体" w:hAnsi="宋体" w:eastAsia="宋体" w:cs="宋体"/>
          <w:bCs/>
          <w:color w:val="000000"/>
          <w:sz w:val="28"/>
          <w:szCs w:val="20"/>
          <w:highlight w:val="none"/>
        </w:rPr>
      </w:pPr>
      <w:r>
        <w:rPr>
          <w:rFonts w:hint="eastAsia" w:ascii="宋体" w:hAnsi="宋体" w:eastAsia="宋体" w:cs="宋体"/>
          <w:bCs/>
          <w:color w:val="000000"/>
          <w:sz w:val="28"/>
          <w:szCs w:val="20"/>
          <w:highlight w:val="none"/>
        </w:rPr>
      </w:r>
      <w:r/>
    </w:p>
    <w:p>
      <w:pPr>
        <w:pStyle w:val="654"/>
        <w:spacing w:line="360" w:lineRule="auto"/>
        <w:rPr>
          <w:rFonts w:hint="eastAsia" w:ascii="宋体" w:hAnsi="宋体" w:eastAsia="宋体" w:cs="宋体"/>
          <w:bCs/>
          <w:color w:val="000000"/>
          <w:sz w:val="28"/>
          <w:szCs w:val="20"/>
          <w:highlight w:val="none"/>
        </w:rPr>
      </w:pPr>
      <w:r>
        <w:rPr>
          <w:rFonts w:hint="eastAsia" w:ascii="宋体" w:hAnsi="宋体" w:eastAsia="宋体" w:cs="宋体"/>
          <w:bCs/>
          <w:color w:val="000000"/>
          <w:sz w:val="28"/>
          <w:szCs w:val="20"/>
          <w:highlight w:val="none"/>
        </w:rPr>
      </w:r>
      <w:r/>
    </w:p>
    <w:p>
      <w:pPr>
        <w:pStyle w:val="654"/>
        <w:spacing w:line="360" w:lineRule="auto"/>
        <w:rPr>
          <w:rFonts w:hint="eastAsia" w:ascii="宋体" w:hAnsi="宋体" w:eastAsia="宋体" w:cs="宋体"/>
          <w:bCs/>
          <w:color w:val="000000"/>
          <w:sz w:val="28"/>
          <w:szCs w:val="20"/>
          <w:highlight w:val="none"/>
        </w:rPr>
      </w:pPr>
      <w:r>
        <w:rPr>
          <w:rFonts w:hint="eastAsia" w:ascii="宋体" w:hAnsi="宋体" w:eastAsia="宋体" w:cs="宋体"/>
          <w:bCs/>
          <w:color w:val="000000"/>
          <w:sz w:val="28"/>
          <w:szCs w:val="20"/>
          <w:highlight w:val="none"/>
        </w:rPr>
      </w:r>
      <w:r/>
    </w:p>
    <w:p>
      <w:pPr>
        <w:pStyle w:val="654"/>
        <w:spacing w:line="360" w:lineRule="auto"/>
        <w:rPr>
          <w:rFonts w:hint="eastAsia" w:ascii="宋体" w:hAnsi="宋体" w:eastAsia="宋体" w:cs="宋体"/>
          <w:bCs/>
          <w:color w:val="000000"/>
          <w:sz w:val="28"/>
          <w:szCs w:val="20"/>
          <w:highlight w:val="none"/>
        </w:rPr>
      </w:pPr>
      <w:r>
        <w:rPr>
          <w:rFonts w:hint="eastAsia" w:ascii="宋体" w:hAnsi="宋体" w:eastAsia="宋体" w:cs="宋体"/>
          <w:bCs/>
          <w:color w:val="000000"/>
          <w:sz w:val="28"/>
          <w:szCs w:val="20"/>
          <w:highlight w:val="none"/>
        </w:rPr>
      </w:r>
      <w:r/>
    </w:p>
    <w:p>
      <w:pPr>
        <w:pStyle w:val="654"/>
        <w:spacing w:line="360" w:lineRule="auto"/>
        <w:rPr>
          <w:rFonts w:hint="eastAsia" w:ascii="宋体" w:hAnsi="宋体" w:eastAsia="宋体" w:cs="宋体"/>
          <w:bCs/>
          <w:color w:val="000000"/>
          <w:sz w:val="28"/>
          <w:szCs w:val="20"/>
          <w:highlight w:val="none"/>
        </w:rPr>
      </w:pPr>
      <w:r>
        <w:rPr>
          <w:rFonts w:hint="eastAsia" w:ascii="宋体" w:hAnsi="宋体" w:eastAsia="宋体" w:cs="宋体"/>
          <w:bCs/>
          <w:color w:val="000000"/>
          <w:sz w:val="28"/>
          <w:szCs w:val="20"/>
          <w:highlight w:val="none"/>
        </w:rPr>
      </w:r>
      <w:r/>
    </w:p>
    <w:p>
      <w:pPr>
        <w:pStyle w:val="654"/>
        <w:spacing w:line="360" w:lineRule="auto"/>
        <w:rPr>
          <w:rFonts w:hint="eastAsia" w:ascii="宋体" w:hAnsi="宋体" w:eastAsia="宋体" w:cs="宋体"/>
          <w:bCs/>
          <w:color w:val="000000"/>
          <w:sz w:val="28"/>
          <w:szCs w:val="20"/>
          <w:highlight w:val="none"/>
        </w:rPr>
      </w:pPr>
      <w:r>
        <w:rPr>
          <w:rFonts w:hint="eastAsia" w:ascii="宋体" w:hAnsi="宋体" w:eastAsia="宋体" w:cs="宋体"/>
          <w:bCs/>
          <w:color w:val="000000"/>
          <w:sz w:val="28"/>
          <w:szCs w:val="20"/>
          <w:highlight w:val="none"/>
        </w:rPr>
      </w:r>
      <w:r/>
    </w:p>
    <w:p>
      <w:pPr>
        <w:pStyle w:val="654"/>
        <w:spacing w:line="360" w:lineRule="auto"/>
        <w:rPr>
          <w:rFonts w:hint="eastAsia" w:ascii="宋体" w:hAnsi="宋体" w:eastAsia="宋体" w:cs="宋体"/>
          <w:bCs/>
          <w:color w:val="000000"/>
          <w:sz w:val="28"/>
          <w:szCs w:val="20"/>
          <w:highlight w:val="none"/>
        </w:rPr>
      </w:pPr>
      <w:r>
        <w:rPr>
          <w:rFonts w:hint="eastAsia" w:ascii="宋体" w:hAnsi="宋体" w:eastAsia="宋体" w:cs="宋体"/>
          <w:bCs/>
          <w:color w:val="000000"/>
          <w:sz w:val="28"/>
          <w:szCs w:val="20"/>
          <w:highlight w:val="none"/>
        </w:rPr>
      </w:r>
      <w:r/>
    </w:p>
    <w:p>
      <w:pPr>
        <w:pStyle w:val="655"/>
        <w:jc w:val="center"/>
        <w:rPr>
          <w:rFonts w:hint="eastAsia" w:ascii="宋体" w:hAnsi="宋体" w:eastAsia="宋体" w:cs="宋体"/>
          <w:sz w:val="32"/>
          <w:szCs w:val="32"/>
          <w:highlight w:val="none"/>
        </w:rPr>
      </w:pPr>
      <w:r/>
      <w:bookmarkStart w:id="0" w:name="_Toc477186549"/>
      <w:r/>
      <w:bookmarkStart w:id="1" w:name="_Toc8652597"/>
      <w:r/>
      <w:bookmarkStart w:id="2" w:name="_Toc477186796"/>
      <w:r>
        <w:rPr>
          <w:rFonts w:hint="eastAsia" w:ascii="宋体" w:hAnsi="宋体" w:eastAsia="宋体" w:cs="宋体"/>
          <w:highlight w:val="none"/>
        </w:rPr>
        <w:br w:type="page" w:clear="all"/>
      </w:r>
      <w:bookmarkStart w:id="3" w:name="_Toc116111015"/>
      <w:r/>
      <w:bookmarkStart w:id="4" w:name="_Toc8652801"/>
      <w:r/>
      <w:bookmarkStart w:id="5" w:name="_Toc10919"/>
      <w:r>
        <w:rPr>
          <w:rFonts w:hint="eastAsia" w:ascii="宋体" w:hAnsi="宋体" w:eastAsia="宋体" w:cs="宋体"/>
          <w:highlight w:val="none"/>
        </w:rPr>
        <w:t xml:space="preserve">第一章 </w:t>
      </w:r>
      <w:bookmarkEnd w:id="0"/>
      <w:r/>
      <w:bookmarkEnd w:id="1"/>
      <w:r/>
      <w:bookmarkEnd w:id="2"/>
      <w:r/>
      <w:bookmarkEnd w:id="3"/>
      <w:r/>
      <w:bookmarkEnd w:id="4"/>
      <w:r>
        <w:rPr>
          <w:rFonts w:hint="eastAsia" w:ascii="宋体" w:hAnsi="宋体" w:eastAsia="宋体" w:cs="宋体"/>
          <w:highlight w:val="none"/>
        </w:rPr>
        <w:t xml:space="preserve">招标公告</w:t>
      </w:r>
      <w:bookmarkEnd w:id="5"/>
      <w:r>
        <w:rPr>
          <w:rFonts w:hint="eastAsia" w:ascii="宋体" w:hAnsi="宋体" w:eastAsia="宋体" w:cs="宋体"/>
          <w:sz w:val="32"/>
          <w:szCs w:val="32"/>
          <w:highlight w:val="none"/>
        </w:rPr>
      </w:r>
      <w:r/>
    </w:p>
    <w:p>
      <w:pPr>
        <w:pStyle w:val="654"/>
        <w:ind w:right="-252" w:firstLine="499"/>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项目概况</w:t>
      </w:r>
      <w:r>
        <w:rPr>
          <w:rFonts w:hint="eastAsia" w:ascii="宋体" w:hAnsi="宋体" w:eastAsia="宋体" w:cs="宋体"/>
          <w:b/>
          <w:bCs/>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2024年度昆山市森林草地湿地沙化普查项目</w:t>
      </w:r>
      <w:r>
        <w:rPr>
          <w:rFonts w:hint="eastAsia" w:ascii="宋体" w:hAnsi="宋体" w:eastAsia="宋体" w:cs="宋体"/>
          <w:sz w:val="24"/>
          <w:highlight w:val="none"/>
        </w:rPr>
        <w:t xml:space="preserve">的潜在供应商在“江苏政府采购网”自行免费下载招标文件，并于2024年</w:t>
      </w:r>
      <w:r>
        <w:rPr>
          <w:rFonts w:hint="eastAsia" w:ascii="宋体" w:hAnsi="宋体" w:eastAsia="宋体" w:cs="宋体"/>
          <w:sz w:val="24"/>
          <w:highlight w:val="none"/>
          <w:lang w:val="en-US" w:eastAsia="zh-CN"/>
        </w:rPr>
        <w:t xml:space="preserve">09</w:t>
      </w:r>
      <w:r>
        <w:rPr>
          <w:rFonts w:hint="eastAsia"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06</w:t>
      </w:r>
      <w:r>
        <w:rPr>
          <w:rFonts w:hint="eastAsia" w:ascii="宋体" w:hAnsi="宋体" w:eastAsia="宋体" w:cs="宋体"/>
          <w:sz w:val="24"/>
          <w:highlight w:val="none"/>
        </w:rPr>
        <w:t xml:space="preserve">日</w:t>
      </w:r>
      <w:r>
        <w:rPr>
          <w:rFonts w:hint="eastAsia" w:ascii="宋体" w:hAnsi="宋体" w:eastAsia="宋体" w:cs="宋体"/>
          <w:sz w:val="24"/>
          <w:highlight w:val="none"/>
          <w:lang w:val="en-US" w:eastAsia="zh-CN"/>
        </w:rPr>
        <w:t xml:space="preserve">13</w:t>
      </w:r>
      <w:r>
        <w:rPr>
          <w:rFonts w:hint="eastAsia" w:ascii="宋体" w:hAnsi="宋体" w:eastAsia="宋体" w:cs="宋体"/>
          <w:sz w:val="24"/>
          <w:highlight w:val="none"/>
        </w:rPr>
        <w:t xml:space="preserve">点30分（北京时间）前提交投标文件。</w:t>
      </w:r>
      <w:r>
        <w:rPr>
          <w:rFonts w:hint="eastAsia" w:ascii="宋体" w:hAnsi="宋体" w:eastAsia="宋体" w:cs="宋体"/>
          <w:sz w:val="24"/>
          <w:highlight w:val="none"/>
        </w:rPr>
      </w:r>
      <w:r/>
    </w:p>
    <w:p>
      <w:pPr>
        <w:pStyle w:val="654"/>
        <w:ind w:right="-25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一、项目基本情况</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1、项目编号：</w:t>
      </w:r>
      <w:r>
        <w:rPr>
          <w:rFonts w:hint="eastAsia" w:ascii="宋体" w:hAnsi="宋体" w:eastAsia="宋体" w:cs="宋体"/>
          <w:sz w:val="24"/>
          <w:highlight w:val="none"/>
          <w:lang w:eastAsia="zh-CN"/>
        </w:rPr>
        <w:t xml:space="preserve">JSZC-320583-JXCG-G2024-0075</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2、项目名称：</w:t>
      </w:r>
      <w:r>
        <w:rPr>
          <w:rFonts w:hint="eastAsia" w:ascii="宋体" w:hAnsi="宋体" w:eastAsia="宋体" w:cs="宋体"/>
          <w:sz w:val="24"/>
          <w:highlight w:val="none"/>
          <w:lang w:eastAsia="zh-CN"/>
        </w:rPr>
        <w:t xml:space="preserve">2024年度昆山市森林草地湿地沙化普查项目</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3、预算金额：人民币</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壹佰贰拾万元整</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00000.0元）</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4、最高限价：人民币</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壹佰贰拾万元整</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00000.0元）</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采购需求：以国土变更调查成果为基础，开展地类对接工作，以实际现状认定地类，解决林草湿调查监测植被覆盖类型与国土调查地类不一致问题，形成地类对接共同认定成果，纳入2024年度变更调查；以地类对接形成的二级地类图斑作为林草湿普查基本单元，开展森林、草地、湿地、沙化区划调查工作，根据林地管理需要在二级地类图斑范围内进行调整优化，摸清林草湿资源数量、质量、结构以及沙化土地类型、面积、分布等情况。</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6、合同履行期限：</w:t>
      </w:r>
      <w:r>
        <w:rPr>
          <w:rFonts w:hint="eastAsia" w:ascii="宋体" w:hAnsi="宋体" w:eastAsia="宋体" w:cs="宋体"/>
          <w:sz w:val="24"/>
          <w:highlight w:val="none"/>
          <w:u w:val="single"/>
          <w:lang w:val="en-US" w:eastAsia="zh-CN"/>
        </w:rPr>
        <w:t xml:space="preserve">至2025年年底</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（具体时间以甲方通知为准）； </w:t>
      </w:r>
      <w:r>
        <w:rPr>
          <w:rFonts w:hint="eastAsia" w:ascii="宋体" w:hAnsi="宋体" w:eastAsia="宋体" w:cs="宋体"/>
          <w:sz w:val="24"/>
          <w:highlight w:val="none"/>
        </w:rPr>
      </w:r>
      <w:r/>
    </w:p>
    <w:p>
      <w:pPr>
        <w:pStyle w:val="654"/>
        <w:ind w:right="-25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二、申请人的资格要求：</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1、满足《中华人民共和国政府采购法》第二十二条规定：</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2、落实政府采购政策需满足的资格要求：本项目若符合扶持福利企业、促进残疾人就业、支持中小微企业、支持监狱和戒毒企业等政策，将落实相关政策。</w:t>
      </w:r>
      <w:r>
        <w:rPr>
          <w:rFonts w:hint="eastAsia" w:ascii="宋体" w:hAnsi="宋体" w:eastAsia="宋体" w:cs="宋体"/>
          <w:b/>
          <w:bCs/>
          <w:sz w:val="24"/>
          <w:highlight w:val="none"/>
        </w:rPr>
        <w:t xml:space="preserve">（</w:t>
      </w:r>
      <w:r>
        <w:rPr>
          <w:rFonts w:hint="eastAsia" w:ascii="宋体" w:hAnsi="宋体" w:eastAsia="宋体" w:cs="宋体"/>
          <w:b/>
          <w:bCs/>
          <w:color w:val="000000"/>
          <w:sz w:val="24"/>
          <w:highlight w:val="none"/>
          <w:lang w:eastAsia="zh-CN"/>
        </w:rPr>
        <w:t xml:space="preserve">本项目不专门面向中小企业采购</w:t>
      </w:r>
      <w:r>
        <w:rPr>
          <w:rFonts w:hint="eastAsia" w:ascii="宋体" w:hAnsi="宋体" w:eastAsia="宋体" w:cs="宋体"/>
          <w:b/>
          <w:bCs/>
          <w:sz w:val="24"/>
          <w:highlight w:val="none"/>
        </w:rPr>
        <w:t xml:space="preserve">）</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3、本项目的特定资格要求：</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3.1投标人</w:t>
      </w:r>
      <w:r>
        <w:rPr>
          <w:rFonts w:hint="eastAsia" w:ascii="宋体" w:hAnsi="宋体" w:eastAsia="宋体" w:cs="宋体"/>
          <w:b/>
          <w:bCs/>
          <w:sz w:val="24"/>
          <w:highlight w:val="none"/>
          <w:lang w:eastAsia="zh-CN"/>
        </w:rPr>
        <w:t xml:space="preserve">具有</w:t>
      </w:r>
      <w:r>
        <w:rPr>
          <w:rFonts w:hint="eastAsia" w:ascii="宋体" w:hAnsi="宋体" w:eastAsia="宋体" w:cs="宋体"/>
          <w:b/>
          <w:bCs/>
          <w:sz w:val="24"/>
          <w:highlight w:val="none"/>
          <w:lang w:val="en-US" w:eastAsia="zh-CN"/>
        </w:rPr>
        <w:t xml:space="preserve">丙</w:t>
      </w:r>
      <w:r>
        <w:rPr>
          <w:rFonts w:hint="eastAsia" w:ascii="宋体" w:hAnsi="宋体" w:eastAsia="宋体" w:cs="宋体"/>
          <w:b/>
          <w:bCs/>
          <w:sz w:val="24"/>
          <w:highlight w:val="none"/>
          <w:lang w:eastAsia="zh-CN"/>
        </w:rPr>
        <w:t xml:space="preserve">级及以上林业调查规划设计资质</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3.2本项目拒绝下述供应商参加本次招标活动：</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（1）供应商单位负责人为同一人或者存在直接控股、管理关系的不同供应商，不得参加同一合同项下的招标活动活动；</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（2）参加本次采购活动不同供应商的法定代表人或委托代理人有夫妻、直系血亲关系的；</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4.本项目不接受联合体投标。</w:t>
      </w:r>
      <w:r>
        <w:rPr>
          <w:rFonts w:hint="eastAsia" w:ascii="宋体" w:hAnsi="宋体" w:eastAsia="宋体" w:cs="宋体"/>
          <w:sz w:val="24"/>
          <w:highlight w:val="none"/>
        </w:rPr>
      </w:r>
      <w:r/>
    </w:p>
    <w:p>
      <w:pPr>
        <w:pStyle w:val="654"/>
        <w:ind w:right="-25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三、获取采购文件</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b/>
          <w:bCs/>
          <w:sz w:val="24"/>
          <w:highlight w:val="none"/>
        </w:rPr>
        <w:t xml:space="preserve">获取时间，自公告发布之日5个工作日。</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2、获取地点：苏州市政府采购网自行下载。（免费）</w:t>
      </w:r>
      <w:r>
        <w:rPr>
          <w:rFonts w:hint="eastAsia" w:ascii="宋体" w:hAnsi="宋体" w:eastAsia="宋体" w:cs="宋体"/>
          <w:sz w:val="24"/>
          <w:highlight w:val="none"/>
        </w:rPr>
      </w:r>
      <w:r/>
    </w:p>
    <w:p>
      <w:pPr>
        <w:pStyle w:val="654"/>
        <w:ind w:right="-25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3、方式</w:t>
      </w:r>
      <w:r>
        <w:rPr>
          <w:rFonts w:hint="eastAsia" w:ascii="宋体" w:hAnsi="宋体" w:eastAsia="宋体" w:cs="宋体"/>
          <w:sz w:val="24"/>
          <w:highlight w:val="none"/>
        </w:rPr>
      </w:r>
      <w:r/>
    </w:p>
    <w:p>
      <w:pPr>
        <w:pStyle w:val="654"/>
        <w:ind w:right="-25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（1）CA证书办理</w:t>
      </w:r>
      <w:r>
        <w:rPr>
          <w:rFonts w:hint="eastAsia" w:ascii="宋体" w:hAnsi="宋体" w:eastAsia="宋体" w:cs="宋体"/>
          <w:sz w:val="24"/>
          <w:highlight w:val="none"/>
        </w:rPr>
      </w:r>
      <w:r/>
    </w:p>
    <w:p>
      <w:pPr>
        <w:pStyle w:val="654"/>
        <w:ind w:right="-25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供应商参</w:t>
      </w:r>
      <w:r>
        <w:rPr>
          <w:rFonts w:hint="eastAsia" w:ascii="宋体" w:hAnsi="宋体" w:eastAsia="宋体" w:cs="宋体"/>
          <w:sz w:val="24"/>
          <w:highlight w:val="none"/>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 0512-69820834。</w:t>
      </w:r>
      <w:r>
        <w:rPr>
          <w:rFonts w:hint="eastAsia" w:ascii="宋体" w:hAnsi="宋体" w:eastAsia="宋体" w:cs="宋体"/>
          <w:sz w:val="24"/>
          <w:highlight w:val="none"/>
        </w:rPr>
      </w:r>
      <w:r/>
    </w:p>
    <w:p>
      <w:pPr>
        <w:pStyle w:val="654"/>
        <w:ind w:right="-252" w:firstLine="25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（2）参与采购活动</w:t>
      </w:r>
      <w:r>
        <w:rPr>
          <w:rFonts w:hint="eastAsia" w:ascii="宋体" w:hAnsi="宋体" w:eastAsia="宋体" w:cs="宋体"/>
          <w:sz w:val="24"/>
          <w:highlight w:val="none"/>
        </w:rPr>
      </w:r>
      <w:r/>
    </w:p>
    <w:p>
      <w:pPr>
        <w:pStyle w:val="654"/>
        <w:ind w:right="-25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  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sz w:val="24"/>
          <w:highlight w:val="none"/>
        </w:rPr>
      </w:r>
      <w:r/>
    </w:p>
    <w:p>
      <w:pPr>
        <w:pStyle w:val="654"/>
        <w:ind w:right="-252" w:firstLine="25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（3）电子投标准备</w:t>
      </w:r>
      <w:r>
        <w:rPr>
          <w:rFonts w:hint="eastAsia" w:ascii="宋体" w:hAnsi="宋体" w:eastAsia="宋体" w:cs="宋体"/>
          <w:sz w:val="24"/>
          <w:highlight w:val="none"/>
        </w:rPr>
      </w:r>
      <w:r/>
    </w:p>
    <w:p>
      <w:pPr>
        <w:pStyle w:val="654"/>
        <w:ind w:right="-25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sz w:val="24"/>
          <w:highlight w:val="none"/>
        </w:rPr>
      </w:r>
      <w:r/>
    </w:p>
    <w:p>
      <w:pPr>
        <w:pStyle w:val="654"/>
        <w:ind w:right="-25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在系统操作过程中如有疑问，请按以下方式联系： 注册咨询：18261002950；</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CA技术咨询电话：400-608-6099；</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签章使用问题：025-83633811、025-83633812、15380932027、15371015030；</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系统使用指导与咨询：联系电话：18261002950；QQ：3048755361、1315179389、895706745。</w:t>
      </w:r>
      <w:r>
        <w:rPr>
          <w:rFonts w:hint="eastAsia" w:ascii="宋体" w:hAnsi="宋体" w:eastAsia="宋体" w:cs="宋体"/>
          <w:sz w:val="24"/>
          <w:highlight w:val="none"/>
        </w:rPr>
      </w:r>
      <w:r/>
    </w:p>
    <w:p>
      <w:pPr>
        <w:pStyle w:val="654"/>
        <w:ind w:right="-25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四、投标文件提交</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1、截止时间：</w:t>
      </w:r>
      <w:r>
        <w:rPr>
          <w:rFonts w:hint="eastAsia" w:ascii="宋体" w:hAnsi="宋体" w:eastAsia="宋体" w:cs="宋体"/>
          <w:b/>
          <w:bCs/>
          <w:sz w:val="24"/>
          <w:highlight w:val="none"/>
        </w:rPr>
        <w:t xml:space="preserve">2024年</w:t>
      </w:r>
      <w:r>
        <w:rPr>
          <w:rFonts w:hint="eastAsia" w:ascii="宋体" w:hAnsi="宋体" w:eastAsia="宋体" w:cs="宋体"/>
          <w:b/>
          <w:bCs/>
          <w:sz w:val="24"/>
          <w:highlight w:val="none"/>
          <w:lang w:val="en-US" w:eastAsia="zh-CN"/>
        </w:rPr>
        <w:t xml:space="preserve">0</w:t>
      </w:r>
      <w:r>
        <w:rPr>
          <w:rFonts w:hint="eastAsia" w:ascii="宋体" w:hAnsi="宋体" w:eastAsia="宋体" w:cs="宋体"/>
          <w:b/>
          <w:bCs/>
          <w:sz w:val="24"/>
          <w:highlight w:val="none"/>
          <w:lang w:val="en-US" w:eastAsia="zh-CN"/>
        </w:rPr>
        <w:t xml:space="preserve">9</w:t>
      </w:r>
      <w:r>
        <w:rPr>
          <w:rFonts w:hint="eastAsia" w:ascii="宋体" w:hAnsi="宋体" w:eastAsia="宋体" w:cs="宋体"/>
          <w:b/>
          <w:bCs/>
          <w:sz w:val="24"/>
          <w:highlight w:val="none"/>
        </w:rPr>
        <w:t xml:space="preserve">月</w:t>
      </w:r>
      <w:r>
        <w:rPr>
          <w:rFonts w:hint="eastAsia" w:ascii="宋体" w:hAnsi="宋体" w:eastAsia="宋体" w:cs="宋体"/>
          <w:b/>
          <w:bCs/>
          <w:sz w:val="24"/>
          <w:highlight w:val="none"/>
          <w:lang w:val="en-US" w:eastAsia="zh-CN"/>
        </w:rPr>
        <w:t xml:space="preserve">0</w:t>
      </w: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日</w:t>
      </w:r>
      <w:r>
        <w:rPr>
          <w:rFonts w:hint="eastAsia" w:ascii="宋体" w:hAnsi="宋体" w:eastAsia="宋体" w:cs="宋体"/>
          <w:b/>
          <w:bCs/>
          <w:sz w:val="24"/>
          <w:highlight w:val="none"/>
          <w:lang w:val="en-US" w:eastAsia="zh-CN"/>
        </w:rPr>
        <w:t xml:space="preserve">13</w:t>
      </w:r>
      <w:r>
        <w:rPr>
          <w:rFonts w:hint="eastAsia" w:ascii="宋体" w:hAnsi="宋体" w:eastAsia="宋体" w:cs="宋体"/>
          <w:b/>
          <w:bCs/>
          <w:sz w:val="24"/>
          <w:highlight w:val="none"/>
        </w:rPr>
        <w:t xml:space="preserve">点30分</w:t>
      </w:r>
      <w:r>
        <w:rPr>
          <w:rFonts w:hint="eastAsia" w:ascii="宋体" w:hAnsi="宋体" w:eastAsia="宋体" w:cs="宋体"/>
          <w:sz w:val="24"/>
          <w:highlight w:val="none"/>
        </w:rPr>
        <w:t xml:space="preserve">（北京时间）；</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2、地点：“苏采云”系统（网址：http://jszfcg.jsczt.cn）</w:t>
      </w:r>
      <w:r>
        <w:rPr>
          <w:rFonts w:hint="eastAsia" w:ascii="宋体" w:hAnsi="宋体" w:eastAsia="宋体" w:cs="宋体"/>
          <w:sz w:val="24"/>
          <w:highlight w:val="none"/>
        </w:rPr>
      </w:r>
      <w:r/>
    </w:p>
    <w:p>
      <w:pPr>
        <w:pStyle w:val="654"/>
        <w:ind w:right="-25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五、开启</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1、时间：</w:t>
      </w:r>
      <w:r>
        <w:rPr>
          <w:rFonts w:hint="eastAsia" w:ascii="宋体" w:hAnsi="宋体" w:eastAsia="宋体" w:cs="宋体"/>
          <w:b/>
          <w:bCs/>
          <w:sz w:val="24"/>
          <w:highlight w:val="none"/>
        </w:rPr>
        <w:t xml:space="preserve">2024年0</w:t>
      </w:r>
      <w:r>
        <w:rPr>
          <w:rFonts w:hint="eastAsia" w:ascii="宋体" w:hAnsi="宋体" w:eastAsia="宋体" w:cs="宋体"/>
          <w:b/>
          <w:bCs/>
          <w:sz w:val="24"/>
          <w:highlight w:val="none"/>
          <w:lang w:val="en-US" w:eastAsia="zh-CN"/>
        </w:rPr>
        <w:t xml:space="preserve">9</w:t>
      </w:r>
      <w:r>
        <w:rPr>
          <w:rFonts w:hint="eastAsia" w:ascii="宋体" w:hAnsi="宋体" w:eastAsia="宋体" w:cs="宋体"/>
          <w:b/>
          <w:bCs/>
          <w:sz w:val="24"/>
          <w:highlight w:val="none"/>
        </w:rPr>
        <w:t xml:space="preserve">月</w:t>
      </w:r>
      <w:r>
        <w:rPr>
          <w:rFonts w:hint="eastAsia" w:ascii="宋体" w:hAnsi="宋体" w:eastAsia="宋体" w:cs="宋体"/>
          <w:b/>
          <w:bCs/>
          <w:sz w:val="24"/>
          <w:highlight w:val="none"/>
          <w:lang w:val="en-US" w:eastAsia="zh-CN"/>
        </w:rPr>
        <w:t xml:space="preserve">06</w:t>
      </w:r>
      <w:r>
        <w:rPr>
          <w:rFonts w:hint="eastAsia" w:ascii="宋体" w:hAnsi="宋体" w:eastAsia="宋体" w:cs="宋体"/>
          <w:b/>
          <w:bCs/>
          <w:sz w:val="24"/>
          <w:highlight w:val="none"/>
        </w:rPr>
        <w:t xml:space="preserve">日</w:t>
      </w:r>
      <w:r>
        <w:rPr>
          <w:rFonts w:hint="eastAsia" w:ascii="宋体" w:hAnsi="宋体" w:eastAsia="宋体" w:cs="宋体"/>
          <w:b/>
          <w:bCs/>
          <w:sz w:val="24"/>
          <w:highlight w:val="none"/>
          <w:lang w:val="en-US" w:eastAsia="zh-CN"/>
        </w:rPr>
        <w:t xml:space="preserve">1</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点30分</w:t>
      </w:r>
      <w:r>
        <w:rPr>
          <w:rFonts w:hint="eastAsia" w:ascii="宋体" w:hAnsi="宋体" w:eastAsia="宋体" w:cs="宋体"/>
          <w:sz w:val="24"/>
          <w:highlight w:val="none"/>
        </w:rPr>
        <w:t xml:space="preserve">（北京时间），远程开标；</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w:t>
      </w:r>
      <w:r>
        <w:rPr>
          <w:rFonts w:hint="eastAsia" w:ascii="宋体" w:hAnsi="宋体" w:eastAsia="宋体" w:cs="宋体"/>
          <w:sz w:val="24"/>
          <w:highlight w:val="none"/>
        </w:rPr>
      </w:r>
      <w:r/>
    </w:p>
    <w:p>
      <w:pPr>
        <w:pStyle w:val="654"/>
        <w:ind w:right="-25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六、公告期限</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自本公告发布之日起5个工作日。</w:t>
      </w:r>
      <w:r>
        <w:rPr>
          <w:rFonts w:hint="eastAsia" w:ascii="宋体" w:hAnsi="宋体" w:eastAsia="宋体" w:cs="宋体"/>
          <w:sz w:val="24"/>
          <w:highlight w:val="none"/>
        </w:rPr>
      </w:r>
      <w:r/>
    </w:p>
    <w:p>
      <w:pPr>
        <w:pStyle w:val="654"/>
        <w:ind w:right="-25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七、中标服务费及投标保证金</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1、中标单位需按以下计算标准支付中标服务费，以差额累计法收费（按预算金额100万元以下，收取1.5%；100-500万元，收取1.1%；500-1000万元，收取0.8%，1000-5000万元，收取0.5%）。</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2、投标保证金：本项目不收取投标保证金。</w:t>
      </w:r>
      <w:r>
        <w:rPr>
          <w:rFonts w:hint="eastAsia" w:ascii="宋体" w:hAnsi="宋体" w:eastAsia="宋体" w:cs="宋体"/>
          <w:sz w:val="24"/>
          <w:highlight w:val="none"/>
        </w:rPr>
      </w:r>
      <w:r/>
    </w:p>
    <w:p>
      <w:pPr>
        <w:pStyle w:val="654"/>
        <w:ind w:right="-25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八、其他补充事宜</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1、采购人不组织现场考察，供应商可自行联系采购人。请务必对项目现场和周围环境进行仔细认真地查勘，在随后的采购活动中，对现场资料和数据所作出的推论、解释和结论及由此造成的后果由供应商负责；</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2、本招标公告在江苏省政府采购网（http://www.ccgp-jiangsu.gov.cn/）公示发布，敬请各供应商关注；</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3、若有关本次招标存在变动或修改，敬请各供应商及时关注江苏省政府采购网（http://www.ccgp-jiangsu.gov.cn/）发布的关于本项目的信息更正公告。</w:t>
      </w:r>
      <w:r>
        <w:rPr>
          <w:rFonts w:hint="eastAsia" w:ascii="宋体" w:hAnsi="宋体" w:eastAsia="宋体" w:cs="宋体"/>
          <w:sz w:val="24"/>
          <w:highlight w:val="none"/>
        </w:rPr>
      </w:r>
      <w:r/>
    </w:p>
    <w:p>
      <w:pPr>
        <w:pStyle w:val="654"/>
        <w:ind w:right="-25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九、凡对本次采购提出询问，请按以下方式联系</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1、采购人信息</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采购人名称：昆山市自然资源和规划局</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联系地址：昆山市同丰路西路188号</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联系人：</w:t>
      </w:r>
      <w:r>
        <w:rPr>
          <w:rFonts w:hint="eastAsia" w:ascii="宋体" w:hAnsi="宋体" w:eastAsia="宋体" w:cs="宋体"/>
          <w:sz w:val="24"/>
          <w:highlight w:val="none"/>
          <w:lang w:eastAsia="zh-CN"/>
        </w:rPr>
        <w:t xml:space="preserve">戴国卿</w:t>
      </w:r>
      <w:r>
        <w:rPr>
          <w:rFonts w:hint="eastAsia" w:ascii="宋体" w:hAnsi="宋体" w:eastAsia="宋体" w:cs="宋体"/>
          <w:sz w:val="24"/>
          <w:highlight w:val="none"/>
          <w:lang w:eastAsia="zh-CN"/>
        </w:rPr>
      </w:r>
      <w:r/>
    </w:p>
    <w:p>
      <w:pPr>
        <w:pStyle w:val="654"/>
        <w:ind w:right="-252" w:firstLine="499"/>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lang w:eastAsia="zh-CN"/>
        </w:rPr>
        <w:t xml:space="preserve">0512-57376562</w:t>
      </w:r>
      <w:r>
        <w:rPr>
          <w:rFonts w:hint="eastAsia" w:ascii="宋体" w:hAnsi="宋体" w:eastAsia="宋体" w:cs="宋体"/>
          <w:sz w:val="24"/>
          <w:highlight w:val="none"/>
          <w:lang w:eastAsia="zh-CN"/>
        </w:rPr>
      </w:r>
      <w:r/>
    </w:p>
    <w:p>
      <w:pPr>
        <w:pStyle w:val="654"/>
        <w:ind w:right="-25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2、采购代理机构信息</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代理机构名称：江苏建协全过程工程咨询有限公司</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地址：昆山市长江中路177号新都银座A座703</w:t>
      </w:r>
      <w:r>
        <w:rPr>
          <w:rFonts w:hint="eastAsia" w:ascii="宋体" w:hAnsi="宋体" w:eastAsia="宋体" w:cs="宋体"/>
          <w:sz w:val="24"/>
          <w:highlight w:val="none"/>
        </w:rPr>
      </w:r>
      <w:r/>
    </w:p>
    <w:p>
      <w:pPr>
        <w:pStyle w:val="654"/>
        <w:ind w:right="-252" w:firstLine="49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项目联系人：程丹</w:t>
      </w:r>
      <w:r>
        <w:rPr>
          <w:rFonts w:hint="eastAsia" w:ascii="宋体" w:hAnsi="宋体" w:eastAsia="宋体" w:cs="宋体"/>
          <w:sz w:val="24"/>
          <w:highlight w:val="none"/>
        </w:rPr>
      </w:r>
      <w:r/>
    </w:p>
    <w:p>
      <w:pPr>
        <w:pStyle w:val="654"/>
        <w:ind w:firstLine="480"/>
        <w:jc w:val="left"/>
        <w:rPr>
          <w:rFonts w:hint="eastAsia" w:ascii="宋体" w:hAnsi="宋体" w:eastAsia="宋体" w:cs="宋体"/>
          <w:color w:val="000000"/>
          <w:szCs w:val="21"/>
          <w:highlight w:val="none"/>
        </w:rPr>
      </w:pPr>
      <w:r>
        <w:rPr>
          <w:rFonts w:hint="eastAsia" w:ascii="宋体" w:hAnsi="宋体" w:eastAsia="宋体" w:cs="宋体"/>
          <w:sz w:val="24"/>
          <w:highlight w:val="none"/>
        </w:rPr>
        <w:t xml:space="preserve">联系方式：0512-57793725</w:t>
      </w:r>
      <w:r>
        <w:rPr>
          <w:rFonts w:hint="eastAsia" w:ascii="宋体" w:hAnsi="宋体" w:eastAsia="宋体" w:cs="宋体"/>
          <w:color w:val="000000"/>
          <w:szCs w:val="21"/>
          <w:highlight w:val="none"/>
        </w:rPr>
      </w:r>
      <w:r/>
    </w:p>
    <w:p>
      <w:pPr>
        <w:pStyle w:val="65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55"/>
        <w:jc w:val="center"/>
        <w:rPr>
          <w:rFonts w:hint="eastAsia" w:ascii="宋体" w:hAnsi="宋体" w:eastAsia="宋体" w:cs="宋体"/>
          <w:highlight w:val="none"/>
        </w:rPr>
      </w:pPr>
      <w:r/>
      <w:bookmarkStart w:id="6" w:name="_Toc477186797"/>
      <w:r/>
      <w:bookmarkStart w:id="7" w:name="_Toc477186550"/>
      <w:r>
        <w:rPr>
          <w:rFonts w:hint="eastAsia" w:ascii="宋体" w:hAnsi="宋体" w:eastAsia="宋体" w:cs="宋体"/>
          <w:highlight w:val="none"/>
        </w:rPr>
        <w:br w:type="page" w:clear="all"/>
      </w:r>
      <w:bookmarkStart w:id="8" w:name="_Toc17687"/>
      <w:r/>
      <w:bookmarkStart w:id="9" w:name="_Toc8652598"/>
      <w:r/>
      <w:bookmarkStart w:id="10" w:name="_Toc116111016"/>
      <w:r/>
      <w:bookmarkStart w:id="11" w:name="_Toc8652802"/>
      <w:r>
        <w:rPr>
          <w:rFonts w:hint="eastAsia" w:ascii="宋体" w:hAnsi="宋体" w:eastAsia="宋体" w:cs="宋体"/>
          <w:highlight w:val="none"/>
        </w:rPr>
        <w:t xml:space="preserve">第二章 投标人须知</w:t>
      </w:r>
      <w:bookmarkEnd w:id="6"/>
      <w:r/>
      <w:bookmarkEnd w:id="7"/>
      <w:r/>
      <w:bookmarkEnd w:id="8"/>
      <w:r/>
      <w:bookmarkEnd w:id="9"/>
      <w:r/>
      <w:bookmarkEnd w:id="10"/>
      <w:r/>
      <w:bookmarkEnd w:id="11"/>
      <w:r>
        <w:rPr>
          <w:rFonts w:hint="eastAsia" w:ascii="宋体" w:hAnsi="宋体" w:eastAsia="宋体" w:cs="宋体"/>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一、说明和释义</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1、说明</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1.1、本招标文件仅适用于江苏建协全过程工程咨询有限公司组织的招标活动。</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1.2、本次招标活动及因本次招标产生的合同受中国法律制约和保护。</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1.3、本招标文件的解释权属于江苏建协全过程工程咨询有限公司。</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2、词语释义</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2.1、招标人：具体组织实施招标活动的法人。</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2.2、投标单位：经认定有资格响应招标，参加投标竞争的法人或其他组织和自然人。</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2.3、响应：投标单位根据招标人或招标人发布的招标文件，编制投标文件并按规定投标的行为。</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2.5、“甲方（采购组织方）”系指组织、协调本项目招标全过程的单位。</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“甲方（使用方）”系指明确规定的实际购买货物和服务的法人或其他组织和自然人。</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2.6、乙方（供应商）：合同中规定的向采购方提供货物和服务的法人或其他组织和自然人。</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2.8、知识产权：指专利权、商标权、著作权等无形资产专有权的统称。</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2.9、天：日历天。</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2.10、交货地点：合同中明确约定的乙方提交的货物和服务最终到达地点。</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2.11、合同价款：根据合同规定，乙方在正确地履行合同义务后甲方应支付给乙方的价款。</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2.12、产地：货物开采、生长、生产、最终制造、加工或提供服务的来源地。</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2.13、不可抗力：不能预见、不能避免并且不能克服的客观情况。</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二、投标单位</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1、合格投标单位的范围</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详见“第一章投标邀请函”中投标单位要求。</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2、投标委托</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如投标单位代表不是法定代表人，须持有《法定代表人授权委托书》。</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3、投标费用</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无论投标过程中的做法和结果如何，投标单位自行承担所有与参加投标有关的全部费用。</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三、招标文件的说明</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1、招标文件</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招标文件由招标文件总目录所列内容组成，投标单位应详细阅读招标文件的全部内容。</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2、招标文件的询问</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bCs/>
          <w:highlight w:val="none"/>
        </w:rPr>
      </w:pPr>
      <w:r>
        <w:rPr>
          <w:rFonts w:hint="eastAsia" w:ascii="宋体" w:hAnsi="宋体" w:eastAsia="宋体" w:cs="宋体"/>
          <w:bCs/>
          <w:highlight w:val="none"/>
        </w:rPr>
        <w:t xml:space="preserve">系统里已报名单位请将对本项目招标文件的询问问题发送至网络投标系统，代理机构进行网上解答。未报名单位可以以电话方式、传真方式、邮寄书面询问文件等方式提出对本项目招标文件的询问问题，代理机构在收到有关询问后进行解答。</w:t>
      </w:r>
      <w:r>
        <w:rPr>
          <w:rFonts w:hint="eastAsia" w:ascii="宋体" w:hAnsi="宋体" w:eastAsia="宋体" w:cs="宋体"/>
          <w:bCs/>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3、招标文件的修改</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3.1、在投标截止时间15日前，招标人无论出于自己的考虑，还是出于对投标单位提问的澄清，均可对招标文件用补充文件的方式进行修改。</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3.2、招标人对招标文件的修改，将以网上发布的形式通知，补充文件将作为招标文件的组成部分，对所有投标单位有约束力。</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3.3、为使投标单位有足够的时间按招标文件的修改要求考虑修正投标文件，或出于其他原因，招标人可酌情推迟截止日期和开标日期，并予以公布。</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4、质疑</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4.1、投标人认为招标文件存在标明特定生产供应者、含有倾向或者排斥潜在投标人的条款从而导致自身权益受到损害时，应当在应知自己权益受到损害之日起七个工作日内，以书面形式向招标代理人提出质疑。招标代理人应当在收到供应商书面质疑后七个工作日内作出答复，并以书面形式通知质疑供应商和其他相关供应商。</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4.2、质疑文件应包括以下主要内容，并按照“谁主张、谁举证”的原则，附上相关证明材料。否则，交易中心或采购人不予受理。</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4.2.1、质疑项目名称、项目编号、招标公告发布时间、开标时间。</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4.2.2、提起质疑的日期、具体的质疑事项及事实根据（具体条款）。</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4.2.3、认为自己合法权益受到损害或可能受到损害的相关证据材料。质疑相关证明材料中如涉及到产品功能或技术指标的，应出具相关制造商的证明文件。</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4.2.4、质疑供应商名称、地址、邮编、联系人、联系电话（包括座机、手机、传真号码等）。</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4.2.5、质疑文件应当署名，质疑人为自然人的，应当由本人签字并附有效身份证明；质疑人为法人或其他组织的，应当由法定代表人签字并加盖单位公章。</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4.2.6、供应商委托代理质疑的，被授权质疑人必须为投标单位正式员工（提供社保证明），应当向被质疑人提交授权委托书，并载明委托代理的具体权限和事项。</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4.2.7、供应商在法定质疑期内一次性提出针对同一采购程序环节的质疑。</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4.3、代理公司如对被质疑文件进行必要的澄清或者修改的，将在“中国政府采购网”、“苏州市政府采购网”、“苏州市公共资源交易信息网昆山板块”上以公告方式通知，与质疑事项有关的供应商可通过“中国政府采购网”更正公告栏、“苏州市政府采购网”采购公告栏、“苏州市公共资源交易信息网昆山板块” 更正公告栏自行查看、下载相关采购项目的补充通知。</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color w:val="000000"/>
          <w:highlight w:val="none"/>
        </w:rPr>
      </w:pPr>
      <w:r>
        <w:rPr>
          <w:rFonts w:hint="eastAsia" w:ascii="宋体" w:hAnsi="宋体" w:eastAsia="宋体" w:cs="宋体"/>
          <w:szCs w:val="21"/>
          <w:highlight w:val="none"/>
        </w:rPr>
        <w:t xml:space="preserve">4.4、供应商不得虚假质疑和恶意质疑，并对质疑内容的真实性承担责任。供应商或者其他利害关系人通过捏造事实、伪造证明材料等方式提出异议或投诉，阻碍招投标活动正常进行的，属于严重不良行为，代理公司将提请财政部门将其列入不良行为记录名单，并依法予以处罚。</w:t>
      </w:r>
      <w:r>
        <w:rPr>
          <w:rFonts w:hint="eastAsia" w:ascii="宋体" w:hAnsi="宋体" w:eastAsia="宋体" w:cs="宋体"/>
          <w:color w:val="000000"/>
          <w:highlight w:val="none"/>
        </w:rPr>
      </w:r>
      <w:r/>
    </w:p>
    <w:p>
      <w:pPr>
        <w:pStyle w:val="654"/>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4.5、质疑接收信息</w:t>
      </w:r>
      <w:r>
        <w:rPr>
          <w:rFonts w:hint="eastAsia" w:ascii="宋体" w:hAnsi="宋体" w:eastAsia="宋体" w:cs="宋体"/>
          <w:color w:val="000000"/>
          <w:highlight w:val="none"/>
        </w:rPr>
      </w:r>
      <w:r/>
    </w:p>
    <w:p>
      <w:pPr>
        <w:pStyle w:val="654"/>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接收人：程丹（</w:t>
      </w:r>
      <w:r>
        <w:rPr>
          <w:rFonts w:hint="eastAsia" w:ascii="宋体" w:hAnsi="宋体" w:eastAsia="宋体" w:cs="宋体"/>
          <w:color w:val="000000"/>
          <w:szCs w:val="21"/>
          <w:highlight w:val="none"/>
        </w:rPr>
        <w:t xml:space="preserve">江苏建协全过程工程咨询有限公司</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54"/>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接收地址：</w:t>
      </w:r>
      <w:r>
        <w:rPr>
          <w:rFonts w:hint="eastAsia" w:ascii="宋体" w:hAnsi="宋体" w:eastAsia="宋体" w:cs="宋体"/>
          <w:color w:val="000000"/>
          <w:szCs w:val="21"/>
          <w:highlight w:val="none"/>
        </w:rPr>
        <w:t xml:space="preserve">昆山市长江中路177号新都银座A座703</w:t>
      </w:r>
      <w:r>
        <w:rPr>
          <w:rFonts w:hint="eastAsia" w:ascii="宋体" w:hAnsi="宋体" w:eastAsia="宋体" w:cs="宋体"/>
          <w:color w:val="000000"/>
          <w:highlight w:val="none"/>
        </w:rPr>
      </w:r>
      <w:r/>
    </w:p>
    <w:p>
      <w:pPr>
        <w:pStyle w:val="654"/>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szCs w:val="21"/>
          <w:highlight w:val="none"/>
        </w:rPr>
        <w:t xml:space="preserve">0512-57793725</w:t>
      </w:r>
      <w:r>
        <w:rPr>
          <w:rFonts w:hint="eastAsia" w:ascii="宋体" w:hAnsi="宋体" w:eastAsia="宋体" w:cs="宋体"/>
          <w:color w:val="000000"/>
          <w:highlight w:val="none"/>
        </w:rPr>
      </w:r>
      <w:r/>
    </w:p>
    <w:p>
      <w:pPr>
        <w:pStyle w:val="654"/>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4.6、投诉部门</w:t>
      </w:r>
      <w:r>
        <w:rPr>
          <w:rFonts w:hint="eastAsia" w:ascii="宋体" w:hAnsi="宋体" w:eastAsia="宋体" w:cs="宋体"/>
          <w:color w:val="000000"/>
          <w:highlight w:val="none"/>
        </w:rPr>
      </w:r>
      <w:r/>
    </w:p>
    <w:p>
      <w:pPr>
        <w:pStyle w:val="654"/>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投诉接收部门：昆山市财政局采购管理科</w:t>
      </w:r>
      <w:r>
        <w:rPr>
          <w:rFonts w:hint="eastAsia" w:ascii="宋体" w:hAnsi="宋体" w:eastAsia="宋体" w:cs="宋体"/>
          <w:color w:val="000000"/>
          <w:highlight w:val="none"/>
        </w:rPr>
      </w:r>
      <w:r/>
    </w:p>
    <w:p>
      <w:pPr>
        <w:pStyle w:val="654"/>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接收地址：昆山市前进中路368号</w:t>
      </w:r>
      <w:r>
        <w:rPr>
          <w:rFonts w:hint="eastAsia" w:ascii="宋体" w:hAnsi="宋体" w:eastAsia="宋体" w:cs="宋体"/>
          <w:color w:val="000000"/>
          <w:highlight w:val="none"/>
        </w:rPr>
      </w:r>
      <w:r/>
    </w:p>
    <w:p>
      <w:pPr>
        <w:pStyle w:val="654"/>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联系电话：0512-57310854</w:t>
      </w:r>
      <w:r>
        <w:rPr>
          <w:rFonts w:hint="eastAsia" w:ascii="宋体" w:hAnsi="宋体" w:eastAsia="宋体" w:cs="宋体"/>
          <w:color w:val="000000"/>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5、投标</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5.1、供应商认为本招标文件含有标明特定的生产供应者、含有倾向性或排斥潜在投标人的条款而使自己的权益受到损害的，应在七个工作日内，以书面形式向招标人提出质疑。招标人应当在收到供应商书面质疑后七个工作日内做出答复，并通知提出质疑的供应商。</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5.2、投标人如需要，可对有关现场和周围环境进行勘察，以获取编制投标文件和签署合同所需的资料。勘察现场所发生的费用由投标人自己承担。</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bCs/>
          <w:szCs w:val="21"/>
          <w:highlight w:val="none"/>
        </w:rPr>
        <w:t xml:space="preserve">5.3、招标人向投标人提供的有关现场的资料和数据，是招标人现有的能使投标人利用的资料，招标人对投标人由此而做出的推论、理解和结论概不负责。</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5.4、投标答疑会产生的对招标文件内容的修改，由招标人按照规定，以补充通知的方式发布。</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5.5、招标人提供的工程量清单供投标人参考，投标人认为招标人提供的工程量清单有错项、漏项、描述不清的，投标人在招标答疑期提出，经招标人确认后由招标人按规定以补充通知方式调整、修改，中标之后不得以招标清单错项、漏项、描述不清等任何理由提出增加费用等要求。</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四、投标文件说明</w:t>
      </w:r>
      <w:r>
        <w:rPr>
          <w:rFonts w:hint="eastAsia" w:ascii="宋体" w:hAnsi="宋体" w:eastAsia="宋体" w:cs="宋体"/>
          <w:b/>
          <w:szCs w:val="21"/>
          <w:highlight w:val="none"/>
        </w:rPr>
      </w:r>
      <w:r/>
    </w:p>
    <w:p>
      <w:pPr>
        <w:pStyle w:val="654"/>
        <w:ind w:firstLine="42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1、投标文件计量单位和使用文字</w:t>
      </w:r>
      <w:r>
        <w:rPr>
          <w:rFonts w:hint="eastAsia" w:ascii="宋体" w:hAnsi="宋体" w:eastAsia="宋体" w:cs="宋体"/>
          <w:b/>
          <w:szCs w:val="21"/>
          <w:highlight w:val="none"/>
        </w:rPr>
      </w:r>
      <w:r/>
    </w:p>
    <w:p>
      <w:pPr>
        <w:pStyle w:val="65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1.1、投标文件中所使用的计量单位，除招标文件中有特殊要求外，应采用国家法定计量单位。</w:t>
      </w:r>
      <w:r>
        <w:rPr>
          <w:rFonts w:hint="eastAsia" w:ascii="宋体" w:hAnsi="宋体" w:eastAsia="宋体" w:cs="宋体"/>
          <w:szCs w:val="21"/>
          <w:highlight w:val="none"/>
        </w:rPr>
      </w:r>
      <w:r/>
    </w:p>
    <w:p>
      <w:pPr>
        <w:pStyle w:val="65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1.2、投标文件应使用中文编制，投标文件中必须使用其他文字的，必须附有中文译本。对于未附有中文译本和中文译本不准确的投标文件，由此引起的对投标单位不利后果的，招标人概不负责。</w:t>
      </w:r>
      <w:r>
        <w:rPr>
          <w:rFonts w:hint="eastAsia" w:ascii="宋体" w:hAnsi="宋体" w:eastAsia="宋体" w:cs="宋体"/>
          <w:szCs w:val="21"/>
          <w:highlight w:val="none"/>
        </w:rPr>
      </w:r>
      <w:r/>
    </w:p>
    <w:p>
      <w:pPr>
        <w:pStyle w:val="654"/>
        <w:ind w:firstLine="42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2、投标文件的组成和顺序</w:t>
      </w:r>
      <w:r>
        <w:rPr>
          <w:rFonts w:hint="eastAsia" w:ascii="宋体" w:hAnsi="宋体" w:eastAsia="宋体" w:cs="宋体"/>
          <w:b/>
          <w:szCs w:val="21"/>
          <w:highlight w:val="none"/>
        </w:rPr>
      </w:r>
      <w:r/>
    </w:p>
    <w:p>
      <w:pPr>
        <w:pStyle w:val="654"/>
        <w:ind w:firstLine="42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2.1.基本目录文件（供应商必须提交 “1.2-1.3”款规定的资料，否则，将被认定为未实质性响应招标文件要求。）</w:t>
      </w:r>
      <w:r>
        <w:rPr>
          <w:rFonts w:hint="eastAsia" w:ascii="宋体" w:hAnsi="宋体" w:eastAsia="宋体" w:cs="宋体"/>
          <w:b/>
          <w:szCs w:val="21"/>
          <w:highlight w:val="none"/>
        </w:rPr>
      </w:r>
      <w:r/>
    </w:p>
    <w:p>
      <w:pPr>
        <w:pStyle w:val="654"/>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2.1.1封面；（格式见第三章）</w:t>
      </w:r>
      <w:r>
        <w:rPr>
          <w:rFonts w:hint="eastAsia" w:ascii="宋体" w:hAnsi="宋体" w:eastAsia="宋体" w:cs="宋体"/>
          <w:bCs/>
          <w:szCs w:val="21"/>
          <w:highlight w:val="none"/>
        </w:rPr>
      </w:r>
      <w:r/>
    </w:p>
    <w:p>
      <w:pPr>
        <w:pStyle w:val="654"/>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2.1.2开标一览表；（格式见第三章）</w:t>
      </w:r>
      <w:r>
        <w:rPr>
          <w:rFonts w:hint="eastAsia" w:ascii="宋体" w:hAnsi="宋体" w:eastAsia="宋体" w:cs="宋体"/>
          <w:bCs/>
          <w:szCs w:val="21"/>
          <w:highlight w:val="none"/>
        </w:rPr>
      </w:r>
      <w:r/>
    </w:p>
    <w:p>
      <w:pPr>
        <w:pStyle w:val="654"/>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2.1.3公开分项报价。（格式见第三章）</w:t>
      </w:r>
      <w:r>
        <w:rPr>
          <w:rFonts w:hint="eastAsia" w:ascii="宋体" w:hAnsi="宋体" w:eastAsia="宋体" w:cs="宋体"/>
          <w:bCs/>
          <w:szCs w:val="21"/>
          <w:highlight w:val="none"/>
        </w:rPr>
      </w:r>
      <w:r/>
    </w:p>
    <w:p>
      <w:pPr>
        <w:pStyle w:val="654"/>
        <w:ind w:firstLine="42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2.2.资格审查文件：（供应商必须提交 “2.1-2.2”款规定的资料，否则，将被认定为未实质性响应招标文件要求。）</w:t>
      </w:r>
      <w:r>
        <w:rPr>
          <w:rFonts w:hint="eastAsia" w:ascii="宋体" w:hAnsi="宋体" w:eastAsia="宋体" w:cs="宋体"/>
          <w:b/>
          <w:szCs w:val="21"/>
          <w:highlight w:val="none"/>
        </w:rPr>
      </w:r>
      <w:r/>
    </w:p>
    <w:p>
      <w:pPr>
        <w:pStyle w:val="654"/>
        <w:ind w:firstLine="42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2.2.1投标人满足《中华人民共和国政府采购法》第二十二条规定：</w:t>
      </w:r>
      <w:r>
        <w:rPr>
          <w:rFonts w:hint="eastAsia" w:ascii="宋体" w:hAnsi="宋体" w:eastAsia="宋体" w:cs="宋体"/>
          <w:b/>
          <w:szCs w:val="21"/>
          <w:highlight w:val="none"/>
        </w:rPr>
      </w:r>
      <w:r/>
    </w:p>
    <w:p>
      <w:pPr>
        <w:pStyle w:val="654"/>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2.2.1.1投标人具有独立承担民事责任的能力；（提供法人或者其他组织的营业执照等证明文件、自然人身份证证明文件。）</w:t>
      </w:r>
      <w:r>
        <w:rPr>
          <w:rFonts w:hint="eastAsia" w:ascii="宋体" w:hAnsi="宋体" w:eastAsia="宋体" w:cs="宋体"/>
          <w:bCs/>
          <w:szCs w:val="21"/>
          <w:highlight w:val="none"/>
        </w:rPr>
      </w:r>
      <w:r/>
    </w:p>
    <w:p>
      <w:pPr>
        <w:pStyle w:val="654"/>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2.2.1.2投标人具有良好的商业信誉和健全的财务会计制度；（提供承诺函，格式见第三章）</w:t>
      </w:r>
      <w:r>
        <w:rPr>
          <w:rFonts w:hint="eastAsia" w:ascii="宋体" w:hAnsi="宋体" w:eastAsia="宋体" w:cs="宋体"/>
          <w:bCs/>
          <w:szCs w:val="21"/>
          <w:highlight w:val="none"/>
        </w:rPr>
      </w:r>
      <w:r/>
    </w:p>
    <w:p>
      <w:pPr>
        <w:pStyle w:val="654"/>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2.2.1.3投标人具有履行合同所必需的设备和专业技术能力；（提供承诺函，格式见第三章）</w:t>
      </w:r>
      <w:r>
        <w:rPr>
          <w:rFonts w:hint="eastAsia" w:ascii="宋体" w:hAnsi="宋体" w:eastAsia="宋体" w:cs="宋体"/>
          <w:bCs/>
          <w:szCs w:val="21"/>
          <w:highlight w:val="none"/>
        </w:rPr>
      </w:r>
      <w:r/>
    </w:p>
    <w:p>
      <w:pPr>
        <w:pStyle w:val="654"/>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2.2.1.4投标人有依法缴纳税收和社会保障资金的良好记录；（提供承诺函，格式见第三章）</w:t>
      </w:r>
      <w:r>
        <w:rPr>
          <w:rFonts w:hint="eastAsia" w:ascii="宋体" w:hAnsi="宋体" w:eastAsia="宋体" w:cs="宋体"/>
          <w:bCs/>
          <w:szCs w:val="21"/>
          <w:highlight w:val="none"/>
        </w:rPr>
      </w:r>
      <w:r/>
    </w:p>
    <w:p>
      <w:pPr>
        <w:pStyle w:val="654"/>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2.2.1.5投标人参加政府采购活动前三年内，在经营活动中没有重大违法记录；（提供承诺函，格式见第三章。重大违法记录是指供应商因违法经营受到刑事处罚或者责令停产停业、吊销许可证或者执照、较大数额罚款等行政处罚。）</w:t>
      </w:r>
      <w:r>
        <w:rPr>
          <w:rFonts w:hint="eastAsia" w:ascii="宋体" w:hAnsi="宋体" w:eastAsia="宋体" w:cs="宋体"/>
          <w:bCs/>
          <w:szCs w:val="21"/>
          <w:highlight w:val="none"/>
        </w:rPr>
      </w:r>
      <w:r/>
    </w:p>
    <w:p>
      <w:pPr>
        <w:pStyle w:val="654"/>
        <w:ind w:firstLine="42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2.2.2符合政府采购相关扶持政策的证明材料：（2.2.2.1-2.2.2.3至少提供其中之一，否则将被认定为未实质性响应招标文件要求） </w:t>
      </w:r>
      <w:r>
        <w:rPr>
          <w:rFonts w:hint="eastAsia" w:ascii="宋体" w:hAnsi="宋体" w:eastAsia="宋体" w:cs="宋体"/>
          <w:b/>
          <w:szCs w:val="21"/>
          <w:highlight w:val="none"/>
        </w:rPr>
      </w:r>
      <w:r/>
    </w:p>
    <w:p>
      <w:pPr>
        <w:pStyle w:val="654"/>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2.2.2.1中小企业声明函；（如需填报，格式见第三章）</w:t>
      </w:r>
      <w:r>
        <w:rPr>
          <w:rFonts w:hint="eastAsia" w:ascii="宋体" w:hAnsi="宋体" w:eastAsia="宋体" w:cs="宋体"/>
          <w:bCs/>
          <w:szCs w:val="21"/>
          <w:highlight w:val="none"/>
        </w:rPr>
      </w:r>
      <w:r/>
    </w:p>
    <w:p>
      <w:pPr>
        <w:pStyle w:val="654"/>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2.2.2.2残疾人福利性单位声明函；（如需填报，格式见第三章）</w:t>
      </w:r>
      <w:r>
        <w:rPr>
          <w:rFonts w:hint="eastAsia" w:ascii="宋体" w:hAnsi="宋体" w:eastAsia="宋体" w:cs="宋体"/>
          <w:bCs/>
          <w:szCs w:val="21"/>
          <w:highlight w:val="none"/>
        </w:rPr>
      </w:r>
      <w:r/>
    </w:p>
    <w:p>
      <w:pPr>
        <w:pStyle w:val="654"/>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2.2.2.3监狱企业证明文件；</w:t>
      </w:r>
      <w:r>
        <w:rPr>
          <w:rFonts w:hint="eastAsia" w:ascii="宋体" w:hAnsi="宋体" w:eastAsia="宋体" w:cs="宋体"/>
          <w:bCs/>
          <w:szCs w:val="21"/>
          <w:highlight w:val="none"/>
        </w:rPr>
      </w:r>
      <w:r/>
    </w:p>
    <w:p>
      <w:pPr>
        <w:pStyle w:val="654"/>
        <w:ind w:firstLine="420"/>
        <w:spacing w:line="360" w:lineRule="auto"/>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2.2.3</w:t>
      </w:r>
      <w:r>
        <w:rPr>
          <w:rFonts w:hint="eastAsia" w:ascii="宋体" w:hAnsi="宋体" w:eastAsia="宋体" w:cs="宋体"/>
          <w:b/>
          <w:szCs w:val="21"/>
          <w:highlight w:val="none"/>
        </w:rPr>
        <w:t xml:space="preserve">投标人</w:t>
      </w:r>
      <w:r>
        <w:rPr>
          <w:rFonts w:hint="eastAsia" w:ascii="宋体" w:hAnsi="宋体" w:eastAsia="宋体" w:cs="宋体"/>
          <w:b/>
          <w:szCs w:val="21"/>
          <w:highlight w:val="none"/>
          <w:lang w:eastAsia="zh-CN"/>
        </w:rPr>
        <w:t xml:space="preserve">具有</w:t>
      </w:r>
      <w:r>
        <w:rPr>
          <w:rFonts w:hint="eastAsia" w:ascii="宋体" w:hAnsi="宋体" w:eastAsia="宋体" w:cs="宋体"/>
          <w:b/>
          <w:szCs w:val="21"/>
          <w:highlight w:val="none"/>
          <w:lang w:val="en-US" w:eastAsia="zh-CN"/>
        </w:rPr>
        <w:t xml:space="preserve">丙级</w:t>
      </w:r>
      <w:r>
        <w:rPr>
          <w:rFonts w:hint="eastAsia" w:ascii="宋体" w:hAnsi="宋体" w:eastAsia="宋体" w:cs="宋体"/>
          <w:b/>
          <w:szCs w:val="21"/>
          <w:highlight w:val="none"/>
          <w:lang w:eastAsia="zh-CN"/>
        </w:rPr>
        <w:t xml:space="preserve">及以上林业调查规划设计资质</w:t>
      </w:r>
      <w:r>
        <w:rPr>
          <w:rFonts w:hint="eastAsia" w:ascii="宋体" w:hAnsi="宋体" w:eastAsia="宋体" w:cs="宋体"/>
          <w:b/>
          <w:szCs w:val="21"/>
          <w:highlight w:val="none"/>
        </w:rPr>
        <w:t xml:space="preserve">。</w:t>
      </w:r>
      <w:r>
        <w:rPr>
          <w:rFonts w:hint="eastAsia" w:ascii="宋体" w:hAnsi="宋体" w:eastAsia="宋体" w:cs="宋体"/>
          <w:b/>
          <w:bCs w:val="0"/>
          <w:szCs w:val="21"/>
          <w:highlight w:val="none"/>
        </w:rPr>
      </w:r>
      <w:r/>
    </w:p>
    <w:p>
      <w:pPr>
        <w:pStyle w:val="654"/>
        <w:ind w:firstLine="42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2.3.符合性审查文件：（供应商必须提交 “3.1-3.6”款规定的资料，否则，将被认定为未实质性响应招标文件要求。）</w:t>
      </w:r>
      <w:r>
        <w:rPr>
          <w:rFonts w:hint="eastAsia" w:ascii="宋体" w:hAnsi="宋体" w:eastAsia="宋体" w:cs="宋体"/>
          <w:b/>
          <w:szCs w:val="21"/>
          <w:highlight w:val="none"/>
        </w:rPr>
      </w:r>
      <w:r/>
    </w:p>
    <w:p>
      <w:pPr>
        <w:pStyle w:val="654"/>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2.3.1投标声明函；（格式见第三章）</w:t>
      </w:r>
      <w:r>
        <w:rPr>
          <w:rFonts w:hint="eastAsia" w:ascii="宋体" w:hAnsi="宋体" w:eastAsia="宋体" w:cs="宋体"/>
          <w:bCs/>
          <w:szCs w:val="21"/>
          <w:highlight w:val="none"/>
        </w:rPr>
      </w:r>
      <w:r/>
    </w:p>
    <w:p>
      <w:pPr>
        <w:pStyle w:val="654"/>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2.3.2投标承诺函；（格式见第三章）</w:t>
      </w:r>
      <w:r>
        <w:rPr>
          <w:rFonts w:hint="eastAsia" w:ascii="宋体" w:hAnsi="宋体" w:eastAsia="宋体" w:cs="宋体"/>
          <w:bCs/>
          <w:szCs w:val="21"/>
          <w:highlight w:val="none"/>
        </w:rPr>
      </w:r>
      <w:r/>
    </w:p>
    <w:p>
      <w:pPr>
        <w:pStyle w:val="654"/>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投标单位情况表；（格式见第三章）</w:t>
      </w:r>
      <w:r>
        <w:rPr>
          <w:rFonts w:hint="eastAsia" w:ascii="宋体" w:hAnsi="宋体" w:eastAsia="宋体" w:cs="宋体"/>
          <w:bCs/>
          <w:szCs w:val="21"/>
          <w:highlight w:val="none"/>
        </w:rPr>
      </w:r>
      <w:r/>
    </w:p>
    <w:p>
      <w:pPr>
        <w:pStyle w:val="654"/>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远程参与开标会议诚信承诺书；（格式见第三章）</w:t>
      </w:r>
      <w:r>
        <w:rPr>
          <w:rFonts w:hint="eastAsia" w:ascii="宋体" w:hAnsi="宋体" w:eastAsia="宋体" w:cs="宋体"/>
          <w:bCs/>
          <w:szCs w:val="21"/>
          <w:highlight w:val="none"/>
        </w:rPr>
      </w:r>
      <w:r/>
    </w:p>
    <w:p>
      <w:pPr>
        <w:pStyle w:val="654"/>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rPr>
        <w:t xml:space="preserve">提供有效的法人授权委托书、双方身份证（如有授权必须提供，格式见第三章）；</w:t>
      </w:r>
      <w:r>
        <w:rPr>
          <w:rFonts w:hint="eastAsia" w:ascii="宋体" w:hAnsi="宋体" w:eastAsia="宋体" w:cs="宋体"/>
          <w:bCs/>
          <w:szCs w:val="21"/>
          <w:highlight w:val="none"/>
        </w:rPr>
      </w:r>
      <w:r/>
    </w:p>
    <w:p>
      <w:pPr>
        <w:pStyle w:val="654"/>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w:t>
      </w:r>
      <w:r>
        <w:rPr>
          <w:rFonts w:hint="eastAsia" w:ascii="宋体" w:hAnsi="宋体" w:eastAsia="宋体" w:cs="宋体"/>
          <w:bCs/>
          <w:szCs w:val="21"/>
          <w:highlight w:val="none"/>
          <w:lang w:val="en-US" w:eastAsia="zh-CN"/>
        </w:rPr>
        <w:t xml:space="preserve">6</w:t>
      </w:r>
      <w:r>
        <w:rPr>
          <w:rFonts w:hint="eastAsia" w:ascii="宋体" w:hAnsi="宋体" w:eastAsia="宋体" w:cs="宋体"/>
          <w:bCs/>
          <w:szCs w:val="21"/>
          <w:highlight w:val="none"/>
        </w:rPr>
        <w:t xml:space="preserve">偏离表（技术、商务）；（格式见第三章）</w:t>
      </w:r>
      <w:r>
        <w:rPr>
          <w:rFonts w:hint="eastAsia" w:ascii="宋体" w:hAnsi="宋体" w:eastAsia="宋体" w:cs="宋体"/>
          <w:bCs/>
          <w:szCs w:val="21"/>
          <w:highlight w:val="none"/>
        </w:rPr>
      </w:r>
      <w:r/>
    </w:p>
    <w:p>
      <w:pPr>
        <w:pStyle w:val="654"/>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w:t>
      </w:r>
      <w:r>
        <w:rPr>
          <w:rFonts w:hint="eastAsia" w:ascii="宋体" w:hAnsi="宋体" w:eastAsia="宋体" w:cs="宋体"/>
          <w:bCs/>
          <w:szCs w:val="21"/>
          <w:highlight w:val="none"/>
          <w:lang w:val="en-US" w:eastAsia="zh-CN"/>
        </w:rPr>
        <w:t xml:space="preserve">7</w:t>
      </w:r>
      <w:r>
        <w:rPr>
          <w:rFonts w:hint="eastAsia" w:ascii="宋体" w:hAnsi="宋体" w:eastAsia="宋体" w:cs="宋体"/>
          <w:bCs/>
          <w:szCs w:val="21"/>
          <w:highlight w:val="none"/>
        </w:rPr>
        <w:t xml:space="preserve">人员配置表；（格式见第三章）</w:t>
      </w:r>
      <w:r>
        <w:rPr>
          <w:rFonts w:hint="eastAsia" w:ascii="宋体" w:hAnsi="宋体" w:eastAsia="宋体" w:cs="宋体"/>
          <w:bCs/>
          <w:szCs w:val="21"/>
          <w:highlight w:val="none"/>
        </w:rPr>
      </w:r>
      <w:r/>
    </w:p>
    <w:p>
      <w:pPr>
        <w:pStyle w:val="654"/>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w:t>
      </w:r>
      <w:r>
        <w:rPr>
          <w:rFonts w:hint="eastAsia" w:ascii="宋体" w:hAnsi="宋体" w:eastAsia="宋体" w:cs="宋体"/>
          <w:bCs/>
          <w:szCs w:val="21"/>
          <w:highlight w:val="none"/>
          <w:lang w:val="en-US" w:eastAsia="zh-CN"/>
        </w:rPr>
        <w:t xml:space="preserve">8</w:t>
      </w:r>
      <w:r>
        <w:rPr>
          <w:rFonts w:hint="eastAsia" w:ascii="宋体" w:hAnsi="宋体" w:eastAsia="宋体" w:cs="宋体"/>
          <w:bCs/>
          <w:szCs w:val="21"/>
          <w:highlight w:val="none"/>
        </w:rPr>
        <w:t xml:space="preserve">类似业绩一览表。（格式见第三章）</w:t>
      </w:r>
      <w:r>
        <w:rPr>
          <w:rFonts w:hint="eastAsia" w:ascii="宋体" w:hAnsi="宋体" w:eastAsia="宋体" w:cs="宋体"/>
          <w:bCs/>
          <w:szCs w:val="21"/>
          <w:highlight w:val="none"/>
        </w:rPr>
      </w:r>
      <w:r/>
    </w:p>
    <w:p>
      <w:pPr>
        <w:pStyle w:val="654"/>
        <w:ind w:firstLine="42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2.4.综合评审文件：</w:t>
      </w:r>
      <w:r>
        <w:rPr>
          <w:rFonts w:hint="eastAsia" w:ascii="宋体" w:hAnsi="宋体" w:eastAsia="宋体" w:cs="宋体"/>
          <w:b/>
          <w:szCs w:val="21"/>
          <w:highlight w:val="none"/>
        </w:rPr>
      </w:r>
      <w:r/>
    </w:p>
    <w:p>
      <w:pPr>
        <w:pStyle w:val="654"/>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2.4.1评分标准所需的相关证明材料。</w:t>
      </w:r>
      <w:r>
        <w:rPr>
          <w:rFonts w:hint="eastAsia" w:ascii="宋体" w:hAnsi="宋体" w:eastAsia="宋体" w:cs="宋体"/>
          <w:bCs/>
          <w:szCs w:val="21"/>
          <w:highlight w:val="none"/>
        </w:rPr>
      </w:r>
      <w:r/>
    </w:p>
    <w:p>
      <w:pPr>
        <w:pStyle w:val="654"/>
        <w:ind w:firstLine="42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2.5.投标文件由“2.1.基本目录文件、2.2.资格审查文件、2.3.符合性审查文件、2.4.综合评审文件”中规定的内容共同组成，其中，必须提交的资料不可缺少，否则，将被认定为未实质性响应招标文件要求。投标人所提交的投标文件的完整与否，将直接影响投标人的评分。</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b/>
          <w:szCs w:val="21"/>
          <w:highlight w:val="none"/>
        </w:rPr>
        <w:t xml:space="preserve">2.6.供应商根据招标文件载明的标的采购项目实际情况。</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3、投标文件编制说明</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3.1、开标一览表为在开标仪式上唱标的内容，要求按格式填写，统一规范，不得自行增减内容。</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3.2、投标单位按规定编制投标文件，网络投标文件中需要盖单位公章的地方必须盖投标单位电子签章或上传盖章扫描件，若未按上述要求签署的投标文件评标专家将有权拒绝。</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3.3、各投标单位均应提供相关的资料作出相应的对比供专家评判。如果因为评标资料不全或上传的评标资料扫描件模糊而造成的评审扣分由投标单位自行承担后果。</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highlight w:val="none"/>
        </w:rPr>
      </w:pPr>
      <w:r>
        <w:rPr>
          <w:rFonts w:hint="eastAsia" w:ascii="宋体" w:hAnsi="宋体" w:eastAsia="宋体" w:cs="宋体"/>
          <w:szCs w:val="21"/>
          <w:highlight w:val="none"/>
        </w:rPr>
        <w:t xml:space="preserve">3.4、网络投标文件应在招标文件规定的投标截止时间前上传系统，如出现技术问题请及时与软件供应商的技术人员联系0512-50355903，咨询时间9:00—17:00（北京时间），未在投标截止时间前上传的后果自负。</w:t>
      </w:r>
      <w:r>
        <w:rPr>
          <w:rFonts w:hint="eastAsia" w:ascii="宋体" w:hAnsi="宋体" w:eastAsia="宋体" w:cs="宋体"/>
          <w:highlight w:val="none"/>
        </w:rPr>
        <w:t xml:space="preserve">（网络投标文件</w:t>
      </w:r>
      <w:r>
        <w:rPr>
          <w:rFonts w:hint="eastAsia" w:ascii="宋体" w:hAnsi="宋体" w:eastAsia="宋体" w:cs="宋体"/>
          <w:szCs w:val="21"/>
          <w:highlight w:val="none"/>
        </w:rPr>
        <w:t xml:space="preserve">是否成功以收到系统自动发回的PDF格式投标回执为准</w:t>
      </w:r>
      <w:r>
        <w:rPr>
          <w:rFonts w:hint="eastAsia" w:ascii="宋体" w:hAnsi="宋体" w:eastAsia="宋体" w:cs="宋体"/>
          <w:highlight w:val="none"/>
        </w:rPr>
        <w:t xml:space="preserve">）</w:t>
      </w:r>
      <w:r>
        <w:rPr>
          <w:rFonts w:hint="eastAsia" w:ascii="宋体" w:hAnsi="宋体" w:eastAsia="宋体" w:cs="宋体"/>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4、对本次投标的详细说明的编制</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4.1、</w:t>
      </w:r>
      <w:r>
        <w:rPr>
          <w:rFonts w:hint="eastAsia" w:ascii="宋体" w:hAnsi="宋体" w:eastAsia="宋体" w:cs="宋体"/>
          <w:color w:val="000000"/>
          <w:szCs w:val="21"/>
          <w:highlight w:val="none"/>
        </w:rPr>
        <w:t xml:space="preserve">对本次投标的详细说明由投标人视各自的情况自行编制，规格幅面应与正文一致，附于正文之后，与正文页码统一编目编码。</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5、投标报价</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5.1、除非合同中另有规定，投标单位对《投标报价分析表》中的全部货物和服务的报价应包括劳务、运输、管理、安装、维护、保险、利润、税金、政策性文件规定及合同包含的所有风险、责任等各项应有费用。</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5.2、投标单位应按《投标报价分析表》中的全部货物和服务计算单价和总价。《投标报价分析表》中的每一单项均应计算并填写单价和总价，并由法定代表人或授权委托人签署。</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5.3、投标单位应对招标文件内所要采购的全部内容进行报价，只投其中部分内容者，其标书将被拒绝。但如果招标文件要求分标段投标的，则投标单位可以有选择地只投其中一个、几个或全部标段，但各标段应分别计算填写单价和总价。</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5.4、一项投标内容只允许一个报价，招标人不接受任何有选择性的投标报价。</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5.5、投标文件报价中的单价和总价全部采用人民币表示，除非合同的特殊条款另有规定。</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5.6、最低报价不能作为中标的保证。</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6、投标文件的有效期</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6.1、自开标日起60天内，投标书应保持有效。有效期短于这个规定期限的投标书将被拒绝。</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5.2、在特殊情况下，招标人可与投标单位协商延长投标书的有效期。这种要求和答复都应以书面、传真或媒体发布的方式进行。同意延长有效期的投标单位不能修改投标文件，拒绝接受延期要求的投标单位其投标将被拒绝。</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五、投标文件的递交</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1、投标文件</w:t>
      </w:r>
      <w:r>
        <w:rPr>
          <w:rFonts w:hint="eastAsia" w:ascii="宋体" w:hAnsi="宋体" w:eastAsia="宋体" w:cs="宋体"/>
          <w:b/>
          <w:szCs w:val="21"/>
          <w:highlight w:val="none"/>
        </w:rPr>
      </w:r>
      <w:r/>
    </w:p>
    <w:p>
      <w:pPr>
        <w:pStyle w:val="654"/>
        <w:ind w:firstLine="420"/>
        <w:jc w:val="left"/>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1.1、</w:t>
      </w:r>
      <w:r>
        <w:rPr>
          <w:rFonts w:hint="eastAsia" w:ascii="宋体" w:hAnsi="宋体" w:eastAsia="宋体" w:cs="宋体"/>
          <w:szCs w:val="21"/>
          <w:highlight w:val="none"/>
        </w:rPr>
        <w:t xml:space="preserve">网络投标文件应在招标文件规定的投标截止时间前上传系统，（网络投标文件是否成功以收到系统自动发回的PDF格式投标回执为准）。</w:t>
      </w:r>
      <w:r>
        <w:rPr>
          <w:rFonts w:hint="eastAsia" w:ascii="宋体" w:hAnsi="宋体" w:eastAsia="宋体" w:cs="宋体"/>
          <w:bCs/>
          <w:szCs w:val="21"/>
          <w:highlight w:val="none"/>
        </w:rPr>
      </w:r>
      <w:r/>
    </w:p>
    <w:p>
      <w:pPr>
        <w:pStyle w:val="654"/>
        <w:ind w:firstLine="420"/>
        <w:jc w:val="left"/>
        <w:spacing w:line="400" w:lineRule="exact"/>
        <w:rPr>
          <w:rFonts w:hint="eastAsia" w:ascii="宋体" w:hAnsi="宋体" w:eastAsia="宋体" w:cs="宋体"/>
          <w:b/>
          <w:color w:val="000000"/>
          <w:szCs w:val="21"/>
          <w:highlight w:val="none"/>
        </w:rPr>
      </w:pPr>
      <w:r>
        <w:rPr>
          <w:rFonts w:hint="eastAsia" w:ascii="宋体" w:hAnsi="宋体" w:eastAsia="宋体" w:cs="宋体"/>
          <w:bCs/>
          <w:szCs w:val="21"/>
          <w:highlight w:val="none"/>
        </w:rPr>
        <w:t xml:space="preserve">1.2、</w:t>
      </w:r>
      <w:r>
        <w:rPr>
          <w:rFonts w:hint="eastAsia" w:ascii="宋体" w:hAnsi="宋体" w:eastAsia="宋体" w:cs="宋体"/>
          <w:bCs/>
          <w:color w:val="000000"/>
          <w:szCs w:val="21"/>
          <w:highlight w:val="none"/>
        </w:rPr>
        <w:t xml:space="preserve">纸质投标文件：中标单位在与甲方签合同前根据实际需求份数打印投标文件作为归档备案使用</w:t>
      </w:r>
      <w:r>
        <w:rPr>
          <w:rFonts w:hint="eastAsia" w:ascii="宋体" w:hAnsi="宋体" w:eastAsia="宋体" w:cs="宋体"/>
          <w:b/>
          <w:bCs/>
          <w:color w:val="000000"/>
          <w:szCs w:val="21"/>
          <w:highlight w:val="none"/>
        </w:rPr>
        <w:t xml:space="preserve">（纸质投标文件必须保证与网络投标文件一致，如因纸质文件与网络投标文件不一致所可能造成的后果与责任全部由中标单位承担）。</w:t>
      </w:r>
      <w:r>
        <w:rPr>
          <w:rFonts w:hint="eastAsia" w:ascii="宋体" w:hAnsi="宋体" w:eastAsia="宋体" w:cs="宋体"/>
          <w:b/>
          <w:color w:val="000000"/>
          <w:szCs w:val="21"/>
          <w:highlight w:val="none"/>
        </w:rPr>
      </w:r>
      <w:r/>
    </w:p>
    <w:p>
      <w:pPr>
        <w:pStyle w:val="654"/>
        <w:ind w:firstLine="420"/>
        <w:jc w:val="left"/>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2、投标截止时间</w:t>
      </w:r>
      <w:r>
        <w:rPr>
          <w:rFonts w:hint="eastAsia" w:ascii="宋体" w:hAnsi="宋体" w:eastAsia="宋体" w:cs="宋体"/>
          <w:b/>
          <w:szCs w:val="21"/>
          <w:highlight w:val="none"/>
        </w:rPr>
      </w:r>
      <w:r/>
    </w:p>
    <w:p>
      <w:pPr>
        <w:pStyle w:val="654"/>
        <w:ind w:firstLine="420"/>
        <w:jc w:val="left"/>
        <w:spacing w:line="400" w:lineRule="exact"/>
        <w:rPr>
          <w:rFonts w:hint="eastAsia" w:ascii="宋体" w:hAnsi="宋体" w:eastAsia="宋体" w:cs="宋体"/>
          <w:szCs w:val="21"/>
          <w:highlight w:val="none"/>
        </w:rPr>
      </w:pPr>
      <w:r>
        <w:rPr>
          <w:rFonts w:hint="eastAsia" w:ascii="宋体" w:hAnsi="宋体" w:eastAsia="宋体" w:cs="宋体"/>
          <w:color w:val="000000"/>
          <w:szCs w:val="21"/>
          <w:highlight w:val="none"/>
        </w:rPr>
        <w:t xml:space="preserve">2.1、</w:t>
      </w:r>
      <w:r>
        <w:rPr>
          <w:rFonts w:hint="eastAsia" w:ascii="宋体" w:hAnsi="宋体" w:eastAsia="宋体" w:cs="宋体"/>
          <w:szCs w:val="21"/>
          <w:highlight w:val="none"/>
        </w:rPr>
        <w:t xml:space="preserve">招标人推迟投标截止时间时，应以网上公布的形式，通知投标单位。在这种情况下，招标人和投标单位的权利和义务将受到新的截止期的约束。</w:t>
      </w:r>
      <w:r>
        <w:rPr>
          <w:rFonts w:hint="eastAsia" w:ascii="宋体" w:hAnsi="宋体" w:eastAsia="宋体" w:cs="宋体"/>
          <w:szCs w:val="21"/>
          <w:highlight w:val="none"/>
        </w:rPr>
      </w:r>
      <w:r/>
    </w:p>
    <w:p>
      <w:pPr>
        <w:pStyle w:val="654"/>
        <w:ind w:firstLine="420"/>
        <w:jc w:val="left"/>
        <w:spacing w:line="400" w:lineRule="exact"/>
        <w:rPr>
          <w:rStyle w:val="725"/>
          <w:rFonts w:hint="eastAsia" w:ascii="宋体" w:hAnsi="宋体" w:eastAsia="宋体" w:cs="宋体"/>
          <w:b w:val="0"/>
          <w:szCs w:val="21"/>
          <w:highlight w:val="none"/>
        </w:rPr>
      </w:pPr>
      <w:r>
        <w:rPr>
          <w:rFonts w:hint="eastAsia" w:ascii="宋体" w:hAnsi="宋体" w:eastAsia="宋体" w:cs="宋体"/>
          <w:szCs w:val="21"/>
          <w:highlight w:val="none"/>
        </w:rPr>
        <w:t xml:space="preserve">2.2、</w:t>
      </w:r>
      <w:r>
        <w:rPr>
          <w:rFonts w:hint="eastAsia" w:ascii="宋体" w:hAnsi="宋体" w:eastAsia="宋体" w:cs="宋体"/>
          <w:b/>
          <w:color w:val="000000"/>
          <w:highlight w:val="none"/>
        </w:rPr>
        <w:t xml:space="preserve">各投标单位必须通过苏州市公共资源交易信息网进行该项目网上电子投标，否则视为无效投标。</w:t>
      </w:r>
      <w:r>
        <w:rPr>
          <w:rStyle w:val="725"/>
          <w:rFonts w:hint="eastAsia" w:ascii="宋体" w:hAnsi="宋体" w:eastAsia="宋体" w:cs="宋体"/>
          <w:b w:val="0"/>
          <w:szCs w:val="21"/>
          <w:highlight w:val="none"/>
        </w:rPr>
      </w:r>
      <w:r/>
    </w:p>
    <w:p>
      <w:pPr>
        <w:pStyle w:val="654"/>
        <w:ind w:firstLine="420"/>
        <w:jc w:val="left"/>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六、开标和评标</w:t>
      </w:r>
      <w:r>
        <w:rPr>
          <w:rFonts w:hint="eastAsia" w:ascii="宋体" w:hAnsi="宋体" w:eastAsia="宋体" w:cs="宋体"/>
          <w:b/>
          <w:szCs w:val="21"/>
          <w:highlight w:val="none"/>
        </w:rPr>
      </w:r>
      <w:r/>
    </w:p>
    <w:p>
      <w:pPr>
        <w:pStyle w:val="654"/>
        <w:ind w:firstLine="420"/>
        <w:jc w:val="left"/>
        <w:spacing w:line="400" w:lineRule="exact"/>
        <w:rPr>
          <w:rFonts w:hint="eastAsia" w:ascii="宋体" w:hAnsi="宋体" w:eastAsia="宋体" w:cs="宋体"/>
          <w:szCs w:val="21"/>
          <w:highlight w:val="none"/>
        </w:rPr>
      </w:pPr>
      <w:r>
        <w:rPr>
          <w:rFonts w:hint="eastAsia" w:ascii="宋体" w:hAnsi="宋体" w:eastAsia="宋体" w:cs="宋体"/>
          <w:b/>
          <w:szCs w:val="21"/>
          <w:highlight w:val="none"/>
        </w:rPr>
        <w:t xml:space="preserve">1、开标</w:t>
      </w:r>
      <w:r>
        <w:rPr>
          <w:rFonts w:hint="eastAsia" w:ascii="宋体" w:hAnsi="宋体" w:eastAsia="宋体" w:cs="宋体"/>
          <w:szCs w:val="21"/>
          <w:highlight w:val="none"/>
        </w:rPr>
      </w:r>
      <w:r/>
    </w:p>
    <w:p>
      <w:pPr>
        <w:pStyle w:val="654"/>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1.1、招标人按规定的时间、地点主持公开开标。开标仪式由招标人主持，采购人、投标单位代表及政府采购监管部门等各方面代表参加。</w:t>
      </w:r>
      <w:r>
        <w:rPr>
          <w:rFonts w:hint="eastAsia" w:ascii="宋体" w:hAnsi="宋体" w:eastAsia="宋体" w:cs="宋体"/>
          <w:szCs w:val="21"/>
          <w:highlight w:val="none"/>
        </w:rPr>
      </w:r>
      <w:r/>
    </w:p>
    <w:p>
      <w:pPr>
        <w:pStyle w:val="654"/>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1.2、参加开标的投标单位代表应签名报到，以证明其出席开标会议</w:t>
      </w:r>
      <w:r>
        <w:rPr>
          <w:rFonts w:hint="eastAsia" w:ascii="宋体" w:hAnsi="宋体" w:eastAsia="宋体" w:cs="宋体"/>
          <w:bCs/>
          <w:szCs w:val="21"/>
          <w:highlight w:val="none"/>
        </w:rPr>
        <w:t xml:space="preserve">。</w:t>
      </w:r>
      <w:r>
        <w:rPr>
          <w:rFonts w:hint="eastAsia" w:ascii="宋体" w:hAnsi="宋体" w:eastAsia="宋体" w:cs="宋体"/>
          <w:szCs w:val="21"/>
          <w:highlight w:val="none"/>
        </w:rPr>
      </w:r>
      <w:r/>
    </w:p>
    <w:p>
      <w:pPr>
        <w:pStyle w:val="654"/>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1.3、各投标单位应随身携带CA证书进行唱标，否则视为无效投标后果自负。</w:t>
      </w:r>
      <w:r>
        <w:rPr>
          <w:rFonts w:hint="eastAsia" w:ascii="宋体" w:hAnsi="宋体" w:eastAsia="宋体" w:cs="宋体"/>
          <w:szCs w:val="21"/>
          <w:highlight w:val="none"/>
        </w:rPr>
      </w:r>
      <w:r/>
    </w:p>
    <w:p>
      <w:pPr>
        <w:pStyle w:val="654"/>
        <w:ind w:firstLine="420"/>
        <w:jc w:val="left"/>
        <w:spacing w:line="400" w:lineRule="exact"/>
        <w:rPr>
          <w:rFonts w:hint="eastAsia" w:ascii="宋体" w:hAnsi="宋体" w:eastAsia="宋体" w:cs="宋体"/>
          <w:b/>
          <w:szCs w:val="21"/>
          <w:highlight w:val="none"/>
        </w:rPr>
      </w:pPr>
      <w:r>
        <w:rPr>
          <w:rFonts w:hint="eastAsia" w:ascii="宋体" w:hAnsi="宋体" w:eastAsia="宋体" w:cs="宋体"/>
          <w:szCs w:val="21"/>
          <w:highlight w:val="none"/>
        </w:rPr>
        <w:t xml:space="preserve">1.4、在开标仪式上，将公布投标单位的名称、投标价格及其投标的修改、投标的撤回等。未宣读的投标价格、价格折扣和招标文件允许提供的备选投标方案等实质内容，评标时不予承认。</w:t>
      </w:r>
      <w:r>
        <w:rPr>
          <w:rFonts w:hint="eastAsia" w:ascii="宋体" w:hAnsi="宋体" w:eastAsia="宋体" w:cs="宋体"/>
          <w:b/>
          <w:szCs w:val="21"/>
          <w:highlight w:val="none"/>
        </w:rPr>
      </w:r>
      <w:r/>
    </w:p>
    <w:p>
      <w:pPr>
        <w:pStyle w:val="654"/>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1.5、投标单位法定代表人或授权委托人未准时参加开标会议的视为自动放弃投标，其投标文件将不予评审。</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2．评标委员会或评标小组</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2.1、评标委员会或评标小组（以下简称评标委员会）由招标采购单位依法组建。</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2.2、评标委员会或评标小组负责具体的评标事务，并独立履行以下职责：</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2.2.1、审查投标文件是否符合招标文件的要求，并作出评价；</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2.2.2、可以要求投标供应商对投标文件有关事项作出解释或澄清；</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2.2.3、推荐中标候选供应商名单，或者受招标人委托按照事先确定的办法直接确定中标人；</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2.2.4、向招标采购单位或者有关部门报告非法干预评标工作的行为。</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2.3、评标委员会成员应当履行下列义务：</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2.3.1、遵纪守法，客观、公正、廉洁地履行职责；</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2.3.2、按照招标文件规定的评标办法和评标标准进行评标，对评审意见承担个人责任；</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2.3.3、对评标过程和结果，以及投标单位的商业秘密保密；</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2.3.4、参与评标报告的起草；</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2.3.5、配合财政部门的投诉处理工作；</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2.3.6、配合招标采购单位答复投标供应商提出的质疑。</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3、评标内容的保密</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3.1、公开开标后，直到宣布授予中标单位合同为止，凡属于审查、澄清、评价和比较投标的所有资料，有关授予合同的信息都不应向投标单位或与评标无关的其他人泄露；</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3.2、在投标文件的审查、澄清、评价和比较以及授予合同的过程中，投标单位对招标人和评标委员会成员施加影响的任何行为，都将取消其投标资格；</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3.3、在评标期间，招标人将通过指定联络人与投标单位进行联系；</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3.4、评标委员会不向落标人解释原因。</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4、对投标文件初审</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4.1、初审内容为投标文件是否实质性响应招标文件的要求、内容是否完整、价格构成有无计算错误、文件签署是否齐全。</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4.2、初审中，对价格的计算错误按下述原则修正：</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4.2.1、大写金额与小写金额不一致时，以大写金额为准；</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4.2.2、总价金额与按单价汇总金额不一致的，以单价金额计算结果为准；</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4.2.3、单价金额小数点有明显错位的，应以总价为准，并修改单价；</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4.2.4、投标单位不同意以上修正，则其投标将被拒绝。</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4.3、与招标文件有重大偏离的投标文件将被拒绝。重大偏离系指货物和服务的质量（包括品牌）、数量及交货期明显不能满足招标文件的要求。这些偏离不允许在开标后修正。但招标人将允许修改投标中不构成重大偏离的微小的、非正规、不一致或不规则的地方。投标单位不得对招标文件进行实质性修改，包括但不限于付款方式、付款条件等商务条款，否则投标文件将被拒绝。</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4.4、招标人对投标文件的判定，只依据投标内容本身，不依靠开标后的任何外来证明。</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4.5、投标文件有下列情况之一者将被拒绝：</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4.5.1、投标文件未按照规定签署和盖章。</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4.5.2、未按规定提交资格后审文件。</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4.5.3、与招标文件有重大偏离。</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4.5.4、投标单位拒绝修正错误。</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4.5.5、投标单位的报价是选择性的。</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4.5.6、投标单位的报价只投了部分内容。</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4.5.7、其他被评委会认定无效的情况。</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4.5.8、不符合法律、法规和招标文件中规定的其他实质性要求。</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5、联合体投标</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5.1、本项目不接受联合体投标</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6、投标的澄清</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6.1、为了有助于对投标文件进行审查、评估和比较，招标人有权就投标文件中含混之处向投标单位提出询问或澄清要求。投标单位必须按照招标人通知的时间、地点派技术和商务人员进行答疑和澄清。</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6.2、有关澄清的答复应采用书面形式，该书面答复应有投标单位全权代表签署确认，并将作为投标内容的一部分。</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6.3、投标单位对投标文件的澄清不得改变投标的价格（校核时发现的算术错误除外）及实质性内容。</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7、废标</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7.1、在招标过程中，出现下列情况之一的，应予废标：</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7.1.1、符合专业条件的供应商或者对招标文件作实质响应的供应商不足三家的；</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7.1.2、出现影响采购公正的违法、违规行为的；</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7.1.3、投标单位的报价均超过了采购预算，采购方不能支付的；</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7.1.4、因重大变故，采购任务取消的。</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7.2、废标后，招标人将把废标的理由通知所有投标单位。</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8、投标文件的评价和比较</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8.1、评标委员会将仅对按照有关规定确定为实质上响应招标文件要求的投标文件进行评价和比较。</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8.2、评价和比较采用综合评分法，评标委员会严格按照招标文件的要求、条件、评分标准，对投标单位所提供货物或服务的先进性、可靠性、售后服务承诺、质量保证承诺等实质性响应内容进行比较，同时考虑以下因素：</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8.2.1、交货状态和交货期。</w:t>
      </w:r>
      <w:r>
        <w:rPr>
          <w:rFonts w:hint="eastAsia" w:ascii="宋体" w:hAnsi="宋体" w:eastAsia="宋体" w:cs="宋体"/>
          <w:color w:val="000000"/>
          <w:szCs w:val="21"/>
          <w:highlight w:val="none"/>
        </w:rPr>
      </w:r>
      <w:r/>
    </w:p>
    <w:p>
      <w:pPr>
        <w:pStyle w:val="65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8.2.2、零配件价格及维修服务措施。</w:t>
      </w:r>
      <w:r>
        <w:rPr>
          <w:rFonts w:hint="eastAsia" w:ascii="宋体" w:hAnsi="宋体" w:eastAsia="宋体" w:cs="宋体"/>
          <w:color w:val="000000"/>
          <w:szCs w:val="21"/>
          <w:highlight w:val="none"/>
        </w:rPr>
      </w:r>
      <w:r/>
    </w:p>
    <w:p>
      <w:pPr>
        <w:pStyle w:val="65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8.2.3、货物设备出厂验收情况。</w:t>
      </w:r>
      <w:r>
        <w:rPr>
          <w:rFonts w:hint="eastAsia" w:ascii="宋体" w:hAnsi="宋体" w:eastAsia="宋体" w:cs="宋体"/>
          <w:color w:val="000000"/>
          <w:szCs w:val="21"/>
          <w:highlight w:val="none"/>
        </w:rPr>
      </w:r>
      <w:r/>
    </w:p>
    <w:p>
      <w:pPr>
        <w:pStyle w:val="65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8.2.4、投标者的资信情况和履约能力。</w:t>
      </w:r>
      <w:r>
        <w:rPr>
          <w:rFonts w:hint="eastAsia" w:ascii="宋体" w:hAnsi="宋体" w:eastAsia="宋体" w:cs="宋体"/>
          <w:color w:val="000000"/>
          <w:szCs w:val="21"/>
          <w:highlight w:val="none"/>
        </w:rPr>
      </w:r>
      <w:r/>
    </w:p>
    <w:p>
      <w:pPr>
        <w:pStyle w:val="65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8.2.5、投标者的供货状况及销售服务措施。</w:t>
      </w:r>
      <w:r>
        <w:rPr>
          <w:rFonts w:hint="eastAsia" w:ascii="宋体" w:hAnsi="宋体" w:eastAsia="宋体" w:cs="宋体"/>
          <w:color w:val="000000"/>
          <w:szCs w:val="21"/>
          <w:highlight w:val="none"/>
        </w:rPr>
      </w:r>
      <w:r/>
    </w:p>
    <w:p>
      <w:pPr>
        <w:pStyle w:val="65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8.2.6、投标者提供的其他优惠条件。</w:t>
      </w:r>
      <w:r>
        <w:rPr>
          <w:rFonts w:hint="eastAsia" w:ascii="宋体" w:hAnsi="宋体" w:eastAsia="宋体" w:cs="宋体"/>
          <w:color w:val="000000"/>
          <w:szCs w:val="21"/>
          <w:highlight w:val="none"/>
        </w:rPr>
      </w:r>
      <w:r/>
    </w:p>
    <w:p>
      <w:pPr>
        <w:pStyle w:val="65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8.2.7、参与政府采购工作的态度及信誉。</w:t>
      </w:r>
      <w:r>
        <w:rPr>
          <w:rFonts w:hint="eastAsia" w:ascii="宋体" w:hAnsi="宋体" w:eastAsia="宋体" w:cs="宋体"/>
          <w:color w:val="000000"/>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8.3、最低的投标报价或最高的折扣比例是中标的重要条件，但不是唯一条件。</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8.4、招标代理公司</w:t>
      </w:r>
      <w:r>
        <w:rPr>
          <w:rFonts w:hint="eastAsia" w:ascii="宋体" w:hAnsi="宋体" w:eastAsia="宋体" w:cs="宋体"/>
          <w:szCs w:val="21"/>
          <w:highlight w:val="none"/>
          <w:lang w:val="zh-CN"/>
        </w:rPr>
        <w:t xml:space="preserve">将采取必要措施，保证评审在严格保密的情况下进行，任何单位和个人不得非法干预、影响评标办法的确定，以及评审过程和结果。</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七、授予合同</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1、中标单位的确认</w:t>
      </w:r>
      <w:r>
        <w:rPr>
          <w:rFonts w:hint="eastAsia" w:ascii="宋体" w:hAnsi="宋体" w:eastAsia="宋体" w:cs="宋体"/>
          <w:b/>
          <w:szCs w:val="21"/>
          <w:highlight w:val="none"/>
        </w:rPr>
      </w:r>
      <w:r/>
    </w:p>
    <w:p>
      <w:pPr>
        <w:pStyle w:val="654"/>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1.1、评标委员会根据投标单位资格审查情况，对投标文件进行评价和比较，按照评标办法和标准进行评标，并按招标人的委托向招标人推荐中标候选单位。</w:t>
      </w:r>
      <w:r>
        <w:rPr>
          <w:rFonts w:hint="eastAsia" w:ascii="宋体" w:hAnsi="宋体" w:eastAsia="宋体" w:cs="宋体"/>
          <w:szCs w:val="21"/>
          <w:highlight w:val="none"/>
        </w:rPr>
      </w:r>
      <w:r/>
    </w:p>
    <w:p>
      <w:pPr>
        <w:pStyle w:val="654"/>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1.2、经评标委员会评审并确定中标单位后，招标人将在规定的时间内将中标结果在政府采</w:t>
      </w:r>
      <w:r>
        <w:rPr>
          <w:rFonts w:hint="eastAsia" w:ascii="宋体" w:hAnsi="宋体" w:eastAsia="宋体" w:cs="宋体"/>
          <w:szCs w:val="21"/>
          <w:highlight w:val="none"/>
        </w:rPr>
        <w:t xml:space="preserve">购管理部门指定媒体上予以公示。各投标单位如对公示结果有异议，应在中标公告期限届满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作出答复。如投标单位在中标公告期限届满之日起七个工作日后向招标人提出质疑或质疑未经投标单位法定代表人或参加投标的授权委托人签署，招标人有权对该质疑不予答复。如在公示期内发现中标候选单位不具备投标或预中标资格，将取消其预中标资格。</w:t>
      </w:r>
      <w:r>
        <w:rPr>
          <w:rFonts w:hint="eastAsia" w:ascii="宋体" w:hAnsi="宋体" w:eastAsia="宋体" w:cs="宋体"/>
          <w:szCs w:val="21"/>
          <w:highlight w:val="none"/>
        </w:rPr>
      </w:r>
      <w:r/>
    </w:p>
    <w:p>
      <w:pPr>
        <w:pStyle w:val="654"/>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1.3、政府采购合同履行中，采购人需追加与合同标的相同货物、工程或者服务的，在不改变合同其他条款的前提下，可以与供应商签订补充合同，但所有补充合同的采购金额不得超过原合同采购金额的10%。</w:t>
      </w:r>
      <w:r>
        <w:rPr>
          <w:rFonts w:hint="eastAsia" w:ascii="宋体" w:hAnsi="宋体" w:eastAsia="宋体" w:cs="宋体"/>
          <w:szCs w:val="21"/>
          <w:highlight w:val="none"/>
        </w:rPr>
      </w:r>
      <w:r/>
    </w:p>
    <w:p>
      <w:pPr>
        <w:pStyle w:val="654"/>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1.4、评标委员会有权评定中标，同时也有权拒绝任何或所有投标者中标。</w:t>
      </w:r>
      <w:r>
        <w:rPr>
          <w:rFonts w:hint="eastAsia" w:ascii="宋体" w:hAnsi="宋体" w:eastAsia="宋体" w:cs="宋体"/>
          <w:szCs w:val="21"/>
          <w:highlight w:val="none"/>
        </w:rPr>
      </w:r>
      <w:r/>
    </w:p>
    <w:p>
      <w:pPr>
        <w:pStyle w:val="654"/>
        <w:ind w:firstLine="420"/>
        <w:jc w:val="left"/>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2、合同授予标准</w:t>
      </w:r>
      <w:r>
        <w:rPr>
          <w:rFonts w:hint="eastAsia" w:ascii="宋体" w:hAnsi="宋体" w:eastAsia="宋体" w:cs="宋体"/>
          <w:b/>
          <w:szCs w:val="21"/>
          <w:highlight w:val="none"/>
        </w:rPr>
      </w:r>
      <w:r/>
    </w:p>
    <w:p>
      <w:pPr>
        <w:pStyle w:val="654"/>
        <w:ind w:firstLine="420"/>
        <w:jc w:val="lef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招标人将把合同授予其投标文件在实质上响应招标文件要求和按规定评选出的投标单位。确定为中标的投标单位必须具有实施本合同的能力和资源。</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3、中标通知书</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3.1、确定出中标单位后在投标有效期截止前，招标人将以书面形式通知中标的投标单位其投标被接受。在中标通知书中给出中标单位的中标标价、交货时间、质量标准和有关合同签订的日期和地点。</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3.2、中标通知书将成为合同的组成部分。</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3.3、投标单位对未中标单位不承担解释未中标原因的义务。</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4、合同的签订</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4.1、中标单位应按中标通知书中规定的时间和地点，由法定代表人或授权委托人与甲方代表签订合同。否则按放弃中标权处理。</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4.2、如中标单位拒绝遵守承诺或拒绝与需方签订经济合同，可以取消该供应商的中标候选资格。</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八、其他事项</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1、中标服务费</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1.1、中标单位须按规定支付中标服务费，该费用应在中标公示后七天内付清。</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1.2、中标单位如果未按规定缴纳中标服务费，招标代理公司保留诉讼的权利。</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1.3、中标服务费以差额累计法计取（按预算金额100万元以下收取1.5%；100-500万元收取1.1%；500-1000万元收取0.8%；1000-5000万元收取0.5%；5000万元以上收取0.25%，每个项目不满3000元按照3000元收取）。</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1.4、中标服务费缴纳信息：</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江苏建协全过程工程咨询有限公司昆山分公司        帐号：</w:t>
      </w:r>
      <w:r>
        <w:rPr>
          <w:rFonts w:hint="eastAsia" w:ascii="宋体" w:hAnsi="宋体" w:eastAsia="宋体" w:cs="宋体"/>
          <w:color w:val="000000"/>
          <w:szCs w:val="21"/>
          <w:highlight w:val="none"/>
        </w:rPr>
        <w:t xml:space="preserve">32250198644800001946</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开户行：</w:t>
      </w:r>
      <w:r>
        <w:rPr>
          <w:rFonts w:hint="eastAsia" w:ascii="宋体" w:hAnsi="宋体" w:eastAsia="宋体" w:cs="宋体"/>
          <w:color w:val="000000"/>
          <w:szCs w:val="21"/>
          <w:highlight w:val="none"/>
        </w:rPr>
        <w:t xml:space="preserve">中国建设银行股份有限公司昆山城中支行</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2、监督</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2.1、政府有关监督部门将对招投标全过程进行监督。</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3、未尽事宜</w:t>
      </w:r>
      <w:r>
        <w:rPr>
          <w:rFonts w:hint="eastAsia" w:ascii="宋体" w:hAnsi="宋体" w:eastAsia="宋体" w:cs="宋体"/>
          <w:b/>
          <w:szCs w:val="21"/>
          <w:highlight w:val="none"/>
        </w:rPr>
      </w:r>
      <w:r/>
    </w:p>
    <w:p>
      <w:pPr>
        <w:pStyle w:val="654"/>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按《中华人民共和国政府采购法》及其他有关政府采购的法律法规的规定执行。</w:t>
      </w:r>
      <w:r>
        <w:rPr>
          <w:rFonts w:hint="eastAsia" w:ascii="宋体" w:hAnsi="宋体" w:eastAsia="宋体" w:cs="宋体"/>
          <w:szCs w:val="21"/>
          <w:highlight w:val="none"/>
        </w:rPr>
      </w:r>
      <w:r/>
    </w:p>
    <w:p>
      <w:pPr>
        <w:pStyle w:val="65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按《昆山市政府采购供应商诚信管理办法》的规定执行。</w:t>
      </w:r>
      <w:r>
        <w:rPr>
          <w:rFonts w:hint="eastAsia" w:ascii="宋体" w:hAnsi="宋体" w:eastAsia="宋体" w:cs="宋体"/>
          <w:color w:val="000000"/>
          <w:szCs w:val="21"/>
          <w:highlight w:val="none"/>
        </w:rPr>
      </w:r>
      <w:r/>
    </w:p>
    <w:p>
      <w:pPr>
        <w:pStyle w:val="654"/>
        <w:ind w:firstLine="42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4、政策功能</w:t>
      </w:r>
      <w:r>
        <w:rPr>
          <w:rFonts w:hint="eastAsia" w:ascii="宋体" w:hAnsi="宋体" w:eastAsia="宋体" w:cs="宋体"/>
          <w:b/>
          <w:color w:val="000000"/>
          <w:szCs w:val="21"/>
          <w:highlight w:val="none"/>
        </w:rPr>
      </w:r>
      <w:r/>
    </w:p>
    <w:p>
      <w:pPr>
        <w:pStyle w:val="65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4.1、政府采购促进中小企业发展，小微企业（含小型、微型企业）提供的产品和服务在评标时将获得优势，具体详见本招标文件内容。</w:t>
      </w:r>
      <w:r>
        <w:rPr>
          <w:rFonts w:hint="eastAsia" w:ascii="宋体" w:hAnsi="宋体" w:eastAsia="宋体" w:cs="宋体"/>
          <w:color w:val="000000"/>
          <w:szCs w:val="21"/>
          <w:highlight w:val="none"/>
        </w:rPr>
      </w:r>
      <w:r/>
    </w:p>
    <w:p>
      <w:pPr>
        <w:pStyle w:val="65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4.2、政府采购投标供应商是供的产品如包含节能产品、环境标志产品的，参考财库【2019】9号执行。</w:t>
      </w:r>
      <w:r>
        <w:rPr>
          <w:rFonts w:hint="eastAsia" w:ascii="宋体" w:hAnsi="宋体" w:eastAsia="宋体" w:cs="宋体"/>
          <w:color w:val="000000"/>
          <w:szCs w:val="21"/>
          <w:highlight w:val="none"/>
        </w:rPr>
      </w:r>
      <w:r/>
    </w:p>
    <w:p>
      <w:pPr>
        <w:pStyle w:val="65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hint="eastAsia" w:ascii="宋体" w:hAnsi="宋体" w:eastAsia="宋体" w:cs="宋体"/>
          <w:color w:val="000000"/>
          <w:szCs w:val="21"/>
          <w:highlight w:val="none"/>
        </w:rPr>
      </w:r>
      <w:r/>
    </w:p>
    <w:p>
      <w:pPr>
        <w:pStyle w:val="65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4.4、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rPr>
          <w:rFonts w:hint="eastAsia" w:ascii="宋体" w:hAnsi="宋体" w:eastAsia="宋体" w:cs="宋体"/>
          <w:color w:val="000000"/>
          <w:szCs w:val="21"/>
          <w:highlight w:val="none"/>
        </w:rPr>
      </w:r>
      <w:r/>
    </w:p>
    <w:p>
      <w:pPr>
        <w:pStyle w:val="65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4.5、中标、成交供应商为残疾人福利性单位的，采购人或者其委托的采购代理机构应当随中标、成交结果同时公告其《残疾人福利性单位声明函》，接受社会监督。</w:t>
      </w:r>
      <w:r>
        <w:rPr>
          <w:rFonts w:hint="eastAsia" w:ascii="宋体" w:hAnsi="宋体" w:eastAsia="宋体" w:cs="宋体"/>
          <w:color w:val="000000"/>
          <w:szCs w:val="21"/>
          <w:highlight w:val="none"/>
        </w:rPr>
      </w:r>
      <w:r/>
    </w:p>
    <w:p>
      <w:pPr>
        <w:pStyle w:val="65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4.6、在政府采购活动中，监狱企业视同小型、微型企业，享受评审中价格扣除等政府采购促进中小企业发展的政府采购政策。向监狱企业采购的金额，计入面向中小企业采购的统计数据。</w:t>
      </w:r>
      <w:r>
        <w:rPr>
          <w:rFonts w:hint="eastAsia" w:ascii="宋体" w:hAnsi="宋体" w:eastAsia="宋体" w:cs="宋体"/>
          <w:color w:val="000000"/>
          <w:szCs w:val="21"/>
          <w:highlight w:val="none"/>
        </w:rPr>
      </w:r>
      <w:r/>
    </w:p>
    <w:p>
      <w:pPr>
        <w:pStyle w:val="65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4.7、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000000"/>
          <w:szCs w:val="21"/>
          <w:highlight w:val="none"/>
        </w:rPr>
      </w:r>
      <w:r/>
    </w:p>
    <w:p>
      <w:pPr>
        <w:pStyle w:val="65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54"/>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654"/>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654"/>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654"/>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654"/>
        <w:jc w:val="center"/>
        <w:widowControl/>
        <w:rPr>
          <w:rFonts w:hint="eastAsia" w:ascii="宋体" w:hAnsi="宋体" w:eastAsia="宋体" w:cs="宋体"/>
          <w:bCs/>
          <w:highlight w:val="none"/>
        </w:rPr>
      </w:pPr>
      <w:r/>
      <w:bookmarkStart w:id="12" w:name="_Toc60923705"/>
      <w:r/>
      <w:bookmarkStart w:id="13" w:name="_Ref444588599"/>
      <w:r/>
      <w:bookmarkStart w:id="14" w:name="_Toc477186552"/>
      <w:r/>
      <w:bookmarkStart w:id="15" w:name="_Toc477186799"/>
      <w:r>
        <w:rPr>
          <w:rFonts w:hint="eastAsia" w:ascii="宋体" w:hAnsi="宋体" w:eastAsia="宋体" w:cs="宋体"/>
          <w:highlight w:val="none"/>
        </w:rPr>
        <w:br w:type="page" w:clear="all"/>
      </w:r>
      <w:bookmarkStart w:id="16" w:name="_Toc12365"/>
      <w:r/>
      <w:bookmarkStart w:id="17" w:name="_Toc116111017"/>
      <w:r>
        <w:rPr>
          <w:rFonts w:hint="eastAsia" w:ascii="宋体" w:hAnsi="宋体" w:eastAsia="宋体" w:cs="宋体"/>
          <w:b/>
          <w:sz w:val="44"/>
          <w:szCs w:val="20"/>
          <w:highlight w:val="none"/>
          <w:lang w:val="en-US" w:eastAsia="zh-CN" w:bidi="ar-SA"/>
        </w:rPr>
        <w:t xml:space="preserve">第三章 投标文件格式</w:t>
      </w:r>
      <w:bookmarkEnd w:id="12"/>
      <w:r/>
      <w:bookmarkEnd w:id="13"/>
      <w:r/>
      <w:bookmarkEnd w:id="16"/>
      <w:r/>
      <w:bookmarkEnd w:id="17"/>
      <w:r/>
      <w:bookmarkStart w:id="18" w:name="gpcItem_SubmitDocStruct"/>
      <w:r/>
      <w:bookmarkEnd w:id="18"/>
      <w:r>
        <w:rPr>
          <w:rFonts w:hint="eastAsia" w:ascii="宋体" w:hAnsi="宋体" w:eastAsia="宋体" w:cs="宋体"/>
          <w:bCs/>
          <w:highlight w:val="none"/>
        </w:rPr>
      </w:r>
      <w:r/>
    </w:p>
    <w:p>
      <w:pPr>
        <w:pStyle w:val="654"/>
        <w:ind w:firstLine="422"/>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说明：对本章所有的投标书格式，投标方可根据自身情况进行补充和修改，但补充和修改不得造成与本格式内容有实质性的违背。</w:t>
      </w:r>
      <w:r>
        <w:rPr>
          <w:rFonts w:hint="eastAsia" w:ascii="宋体" w:hAnsi="宋体" w:eastAsia="宋体" w:cs="宋体"/>
          <w:sz w:val="24"/>
          <w:highlight w:val="none"/>
        </w:rPr>
      </w:r>
      <w:r/>
    </w:p>
    <w:p>
      <w:pPr>
        <w:pStyle w:val="654"/>
        <w:ind w:firstLine="422"/>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654"/>
        <w:jc w:val="center"/>
        <w:rPr>
          <w:rFonts w:hint="eastAsia" w:ascii="宋体" w:hAnsi="宋体" w:eastAsia="宋体" w:cs="宋体"/>
          <w:sz w:val="28"/>
          <w:szCs w:val="28"/>
          <w:highlight w:val="none"/>
        </w:rPr>
      </w:pPr>
      <w:r/>
      <w:bookmarkStart w:id="19" w:name="gpcItem_tenderStruct2"/>
      <w:r/>
      <w:bookmarkEnd w:id="19"/>
      <w:r>
        <w:rPr>
          <w:rFonts w:hint="eastAsia" w:ascii="宋体" w:hAnsi="宋体" w:eastAsia="宋体" w:cs="宋体"/>
          <w:sz w:val="28"/>
          <w:szCs w:val="28"/>
          <w:highlight w:val="none"/>
        </w:rPr>
        <w:t xml:space="preserve">投标文档结构表格</w:t>
      </w:r>
      <w:r>
        <w:rPr>
          <w:rFonts w:hint="eastAsia" w:ascii="宋体" w:hAnsi="宋体" w:eastAsia="宋体" w:cs="宋体"/>
          <w:sz w:val="28"/>
          <w:szCs w:val="28"/>
          <w:highlight w:val="none"/>
        </w:rPr>
      </w:r>
      <w:r/>
    </w:p>
    <w:p>
      <w:pPr>
        <w:pStyle w:val="654"/>
        <w:rPr>
          <w:rFonts w:hint="eastAsia" w:ascii="宋体" w:hAnsi="宋体" w:eastAsia="宋体" w:cs="宋体"/>
          <w:highlight w:val="none"/>
        </w:rPr>
      </w:pPr>
      <w:r>
        <w:rPr>
          <w:rFonts w:hint="eastAsia" w:ascii="宋体" w:hAnsi="宋体" w:eastAsia="宋体" w:cs="宋体"/>
          <w:highlight w:val="none"/>
        </w:rPr>
      </w:r>
      <w:r/>
    </w:p>
    <w:tbl>
      <w:tblPr>
        <w:tblW w:w="9918"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07"/>
        <w:gridCol w:w="3958"/>
        <w:gridCol w:w="4253"/>
      </w:tblGrid>
      <w:tr>
        <w:trPr>
          <w:trHeight w:val="6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pStyle w:val="654"/>
              <w:jc w:val="center"/>
              <w:spacing w:line="360" w:lineRule="auto"/>
              <w:rPr>
                <w:rFonts w:hint="eastAsia" w:ascii="宋体" w:hAnsi="宋体" w:eastAsia="宋体" w:cs="宋体"/>
                <w:szCs w:val="21"/>
                <w:highlight w:val="none"/>
              </w:rPr>
            </w:pPr>
            <w:r/>
            <w:bookmarkStart w:id="20" w:name="_Ref409518125"/>
            <w:r/>
            <w:bookmarkEnd w:id="20"/>
            <w:r/>
            <w:bookmarkStart w:id="21" w:name="_Ref360464489"/>
            <w:r/>
            <w:bookmarkEnd w:id="21"/>
            <w:r>
              <w:rPr>
                <w:rFonts w:hint="eastAsia" w:ascii="宋体" w:hAnsi="宋体" w:eastAsia="宋体" w:cs="宋体"/>
                <w:szCs w:val="21"/>
                <w:highlight w:val="none"/>
              </w:rPr>
              <w:t xml:space="preserve">名称</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54"/>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文档</w:t>
            </w: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54"/>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章节</w:t>
            </w:r>
            <w:r>
              <w:rPr>
                <w:rFonts w:hint="eastAsia" w:ascii="宋体" w:hAnsi="宋体" w:eastAsia="宋体" w:cs="宋体"/>
                <w:szCs w:val="21"/>
                <w:highlight w:val="none"/>
              </w:rPr>
            </w:r>
            <w:r/>
          </w:p>
        </w:tc>
      </w:tr>
      <w:tr>
        <w:trPr>
          <w:trHeight w:val="70"/>
        </w:trPr>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1707" w:type="dxa"/>
            <w:vAlign w:val="center"/>
            <w:vMerge w:val="restart"/>
            <w:textDirection w:val="lrTb"/>
            <w:noWrap w:val="false"/>
          </w:tcPr>
          <w:p>
            <w:pPr>
              <w:pStyle w:val="654"/>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投标结构</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54"/>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（投标方）法定代表人授权委托书</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54"/>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REF _Ref67219986 \h  \* MERGEFORMAT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1.（投标方）法定代表人授权委托书</w:t>
            </w:r>
            <w:r>
              <w:rPr>
                <w:rFonts w:hint="eastAsia" w:ascii="宋体" w:hAnsi="宋体" w:eastAsia="宋体" w:cs="宋体"/>
                <w:sz w:val="24"/>
                <w:highlight w:val="none"/>
              </w:rPr>
              <w:fldChar w:fldCharType="end"/>
            </w:r>
            <w:r>
              <w:rPr>
                <w:rFonts w:hint="eastAsia" w:ascii="宋体" w:hAnsi="宋体" w:eastAsia="宋体" w:cs="宋体"/>
                <w:sz w:val="24"/>
                <w:highlight w:val="none"/>
              </w:rPr>
            </w:r>
            <w:r/>
          </w:p>
        </w:tc>
      </w:tr>
      <w:tr>
        <w:trPr>
          <w:trHeight w:val="195"/>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54"/>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54"/>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投标声明函</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54"/>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REF _Ref444588944 \h  \* MERGEFORMAT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2.投标声明函</w:t>
            </w:r>
            <w:r>
              <w:rPr>
                <w:rFonts w:hint="eastAsia" w:ascii="宋体" w:hAnsi="宋体" w:eastAsia="宋体" w:cs="宋体"/>
                <w:sz w:val="24"/>
                <w:highlight w:val="none"/>
              </w:rPr>
              <w:fldChar w:fldCharType="end"/>
            </w:r>
            <w:r>
              <w:rPr>
                <w:rFonts w:hint="eastAsia" w:ascii="宋体" w:hAnsi="宋体" w:eastAsia="宋体" w:cs="宋体"/>
                <w:sz w:val="24"/>
                <w:highlight w:val="none"/>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54"/>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54"/>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开标一览表</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54"/>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REF _Ref495310578 \h  \* MERGEFORMAT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3.开标一览表</w:t>
            </w:r>
            <w:r>
              <w:rPr>
                <w:rFonts w:hint="eastAsia" w:ascii="宋体" w:hAnsi="宋体" w:eastAsia="宋体" w:cs="宋体"/>
                <w:sz w:val="24"/>
                <w:highlight w:val="none"/>
              </w:rPr>
              <w:fldChar w:fldCharType="end"/>
            </w:r>
            <w:r>
              <w:rPr>
                <w:rFonts w:hint="eastAsia" w:ascii="宋体" w:hAnsi="宋体" w:eastAsia="宋体" w:cs="宋体"/>
                <w:sz w:val="24"/>
                <w:highlight w:val="none"/>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54"/>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54"/>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公开分项报价</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54"/>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REF _Ref495310584 \h  \* MERGEFORMAT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4.公开分项报价表</w:t>
            </w:r>
            <w:r>
              <w:rPr>
                <w:rFonts w:hint="eastAsia" w:ascii="宋体" w:hAnsi="宋体" w:eastAsia="宋体" w:cs="宋体"/>
                <w:sz w:val="24"/>
                <w:highlight w:val="none"/>
              </w:rPr>
              <w:fldChar w:fldCharType="end"/>
            </w:r>
            <w:r>
              <w:rPr>
                <w:rFonts w:hint="eastAsia" w:ascii="宋体" w:hAnsi="宋体" w:eastAsia="宋体" w:cs="宋体"/>
                <w:sz w:val="24"/>
                <w:highlight w:val="none"/>
              </w:rPr>
            </w:r>
            <w:r/>
          </w:p>
        </w:tc>
      </w:tr>
      <w:tr>
        <w:trPr>
          <w:trHeight w:val="511"/>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54"/>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54"/>
              <w:jc w:val="left"/>
              <w:spacing w:line="360" w:lineRule="auto"/>
              <w:tabs>
                <w:tab w:val="left" w:pos="60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投标承诺函</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54"/>
              <w:jc w:val="left"/>
              <w:spacing w:line="360" w:lineRule="auto"/>
              <w:tabs>
                <w:tab w:val="left" w:pos="600" w:leader="none"/>
              </w:tabs>
              <w:rPr>
                <w:rFonts w:hint="eastAsia" w:ascii="宋体" w:hAnsi="宋体" w:eastAsia="宋体" w:cs="宋体"/>
                <w:sz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REF _Ref73885802 \h  \* MERGEFORMAT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5.投标承诺函</w:t>
            </w:r>
            <w:r>
              <w:rPr>
                <w:rFonts w:hint="eastAsia" w:ascii="宋体" w:hAnsi="宋体" w:eastAsia="宋体" w:cs="宋体"/>
                <w:sz w:val="24"/>
                <w:highlight w:val="none"/>
              </w:rPr>
              <w:fldChar w:fldCharType="end"/>
            </w:r>
            <w:r>
              <w:rPr>
                <w:rFonts w:hint="eastAsia" w:ascii="宋体" w:hAnsi="宋体" w:eastAsia="宋体" w:cs="宋体"/>
                <w:sz w:val="24"/>
                <w:highlight w:val="none"/>
              </w:rPr>
            </w:r>
            <w:r/>
          </w:p>
        </w:tc>
      </w:tr>
      <w:tr>
        <w:trPr>
          <w:trHeight w:val="449"/>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54"/>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54"/>
              <w:jc w:val="left"/>
              <w:spacing w:line="360" w:lineRule="auto"/>
              <w:tabs>
                <w:tab w:val="left" w:pos="60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投标单位情况表</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54"/>
              <w:jc w:val="left"/>
              <w:spacing w:line="360" w:lineRule="auto"/>
              <w:tabs>
                <w:tab w:val="left" w:pos="600" w:leader="none"/>
              </w:tabs>
              <w:rPr>
                <w:rFonts w:hint="eastAsia" w:ascii="宋体" w:hAnsi="宋体" w:eastAsia="宋体" w:cs="宋体"/>
                <w:sz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REF _Ref73885808 \h  \* MERGEFORMAT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6.投标单位情况表</w:t>
            </w:r>
            <w:r>
              <w:rPr>
                <w:rFonts w:hint="eastAsia" w:ascii="宋体" w:hAnsi="宋体" w:eastAsia="宋体" w:cs="宋体"/>
                <w:sz w:val="24"/>
                <w:highlight w:val="none"/>
              </w:rPr>
              <w:fldChar w:fldCharType="end"/>
            </w:r>
            <w:r>
              <w:rPr>
                <w:rFonts w:hint="eastAsia" w:ascii="宋体" w:hAnsi="宋体" w:eastAsia="宋体" w:cs="宋体"/>
                <w:sz w:val="24"/>
                <w:highlight w:val="none"/>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54"/>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54"/>
              <w:jc w:val="left"/>
              <w:spacing w:line="360" w:lineRule="auto"/>
              <w:tabs>
                <w:tab w:val="left" w:pos="600" w:leader="none"/>
              </w:tabs>
              <w:rPr>
                <w:rFonts w:hint="eastAsia" w:ascii="宋体" w:hAnsi="宋体" w:eastAsia="宋体" w:cs="宋体"/>
                <w:sz w:val="24"/>
                <w:highlight w:val="none"/>
              </w:rPr>
            </w:pPr>
            <w:r>
              <w:rPr>
                <w:rFonts w:hint="eastAsia" w:ascii="宋体" w:hAnsi="宋体" w:eastAsia="宋体" w:cs="宋体"/>
                <w:sz w:val="24"/>
                <w:highlight w:val="none"/>
              </w:rPr>
              <w:t xml:space="preserve">偏离表（技术、商务）</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54"/>
              <w:jc w:val="left"/>
              <w:spacing w:line="360" w:lineRule="auto"/>
              <w:tabs>
                <w:tab w:val="left" w:pos="600" w:leader="none"/>
              </w:tabs>
              <w:rPr>
                <w:rFonts w:hint="eastAsia" w:ascii="宋体" w:hAnsi="宋体" w:eastAsia="宋体" w:cs="宋体"/>
                <w:sz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REF _Ref444589069 \h  \* MERGEFORMAT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7.偏离表（技术、商务）</w:t>
            </w:r>
            <w:r>
              <w:rPr>
                <w:rFonts w:hint="eastAsia" w:ascii="宋体" w:hAnsi="宋体" w:eastAsia="宋体" w:cs="宋体"/>
                <w:sz w:val="24"/>
                <w:highlight w:val="none"/>
              </w:rPr>
              <w:fldChar w:fldCharType="end"/>
            </w:r>
            <w:r>
              <w:rPr>
                <w:rFonts w:hint="eastAsia" w:ascii="宋体" w:hAnsi="宋体" w:eastAsia="宋体" w:cs="宋体"/>
                <w:sz w:val="24"/>
                <w:highlight w:val="none"/>
              </w:rPr>
            </w:r>
            <w:r/>
          </w:p>
        </w:tc>
      </w:tr>
      <w:tr>
        <w:trPr>
          <w:trHeight w:val="7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54"/>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54"/>
              <w:jc w:val="left"/>
              <w:spacing w:line="360" w:lineRule="auto"/>
              <w:tabs>
                <w:tab w:val="left" w:pos="600" w:leader="none"/>
              </w:tabs>
              <w:rPr>
                <w:rFonts w:hint="eastAsia" w:ascii="宋体" w:hAnsi="宋体" w:eastAsia="宋体" w:cs="宋体"/>
                <w:sz w:val="24"/>
                <w:highlight w:val="none"/>
              </w:rPr>
            </w:pPr>
            <w:r>
              <w:rPr>
                <w:rFonts w:hint="eastAsia" w:ascii="宋体" w:hAnsi="宋体" w:eastAsia="宋体" w:cs="宋体"/>
                <w:sz w:val="24"/>
                <w:highlight w:val="none"/>
              </w:rPr>
              <w:t xml:space="preserve">人员配置表</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54"/>
              <w:jc w:val="left"/>
              <w:spacing w:line="360" w:lineRule="auto"/>
              <w:tabs>
                <w:tab w:val="left" w:pos="600" w:leader="none"/>
              </w:tabs>
              <w:rPr>
                <w:rFonts w:hint="eastAsia" w:ascii="宋体" w:hAnsi="宋体" w:eastAsia="宋体" w:cs="宋体"/>
                <w:sz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REF _Ref444589078 \h  \* MERGEFORMAT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8.人员配置表</w:t>
            </w:r>
            <w:r>
              <w:rPr>
                <w:rFonts w:hint="eastAsia" w:ascii="宋体" w:hAnsi="宋体" w:eastAsia="宋体" w:cs="宋体"/>
                <w:sz w:val="24"/>
                <w:highlight w:val="none"/>
              </w:rPr>
              <w:fldChar w:fldCharType="end"/>
            </w:r>
            <w:r>
              <w:rPr>
                <w:rFonts w:hint="eastAsia" w:ascii="宋体" w:hAnsi="宋体" w:eastAsia="宋体" w:cs="宋体"/>
                <w:sz w:val="24"/>
                <w:highlight w:val="none"/>
              </w:rPr>
            </w:r>
            <w:r/>
          </w:p>
        </w:tc>
      </w:tr>
      <w:tr>
        <w:trPr>
          <w:trHeight w:val="513"/>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54"/>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54"/>
              <w:jc w:val="left"/>
              <w:spacing w:line="360" w:lineRule="auto"/>
              <w:tabs>
                <w:tab w:val="left" w:pos="600" w:leader="none"/>
              </w:tabs>
              <w:rPr>
                <w:rFonts w:hint="eastAsia" w:ascii="宋体" w:hAnsi="宋体" w:eastAsia="宋体" w:cs="宋体"/>
                <w:sz w:val="24"/>
                <w:highlight w:val="none"/>
              </w:rPr>
            </w:pPr>
            <w:r>
              <w:rPr>
                <w:rFonts w:hint="eastAsia" w:ascii="宋体" w:hAnsi="宋体" w:eastAsia="宋体" w:cs="宋体"/>
                <w:sz w:val="24"/>
                <w:highlight w:val="none"/>
              </w:rPr>
              <w:t xml:space="preserve">类似业绩一览表</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54"/>
              <w:jc w:val="left"/>
              <w:spacing w:line="360" w:lineRule="auto"/>
              <w:tabs>
                <w:tab w:val="left" w:pos="600" w:leader="none"/>
              </w:tabs>
              <w:rPr>
                <w:rFonts w:hint="eastAsia" w:ascii="宋体" w:hAnsi="宋体" w:eastAsia="宋体" w:cs="宋体"/>
                <w:sz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REF _Ref65507737 \h  \* MERGEFORMAT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9.类似业绩一览表</w:t>
            </w:r>
            <w:r>
              <w:rPr>
                <w:rFonts w:hint="eastAsia" w:ascii="宋体" w:hAnsi="宋体" w:eastAsia="宋体" w:cs="宋体"/>
                <w:sz w:val="24"/>
                <w:highlight w:val="none"/>
              </w:rPr>
              <w:fldChar w:fldCharType="end"/>
            </w:r>
            <w:r>
              <w:rPr>
                <w:rFonts w:hint="eastAsia" w:ascii="宋体" w:hAnsi="宋体" w:eastAsia="宋体" w:cs="宋体"/>
                <w:sz w:val="24"/>
                <w:highlight w:val="none"/>
              </w:rPr>
            </w:r>
            <w:r/>
          </w:p>
        </w:tc>
      </w:tr>
      <w:tr>
        <w:trPr>
          <w:trHeight w:val="488"/>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54"/>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54"/>
              <w:jc w:val="left"/>
              <w:spacing w:line="360" w:lineRule="auto"/>
              <w:tabs>
                <w:tab w:val="left" w:pos="600" w:leader="none"/>
              </w:tabs>
              <w:rPr>
                <w:rFonts w:hint="eastAsia" w:ascii="宋体" w:hAnsi="宋体" w:eastAsia="宋体" w:cs="宋体"/>
                <w:sz w:val="24"/>
                <w:highlight w:val="none"/>
              </w:rPr>
            </w:pPr>
            <w:r>
              <w:rPr>
                <w:rFonts w:hint="eastAsia" w:ascii="宋体" w:hAnsi="宋体" w:eastAsia="宋体" w:cs="宋体"/>
                <w:sz w:val="24"/>
                <w:highlight w:val="none"/>
              </w:rPr>
              <w:t xml:space="preserve">残疾人福利性单位声明函</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54"/>
              <w:jc w:val="left"/>
              <w:spacing w:line="360" w:lineRule="auto"/>
              <w:tabs>
                <w:tab w:val="left" w:pos="600" w:leader="none"/>
              </w:tabs>
              <w:rPr>
                <w:rFonts w:hint="eastAsia" w:ascii="宋体" w:hAnsi="宋体" w:eastAsia="宋体" w:cs="宋体"/>
                <w:sz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REF _Ref73885827 \h  \* MERGEFORMAT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10.残疾人福利性单位声明函</w:t>
            </w:r>
            <w:r>
              <w:rPr>
                <w:rFonts w:hint="eastAsia" w:ascii="宋体" w:hAnsi="宋体" w:eastAsia="宋体" w:cs="宋体"/>
                <w:sz w:val="24"/>
                <w:highlight w:val="none"/>
              </w:rPr>
              <w:fldChar w:fldCharType="end"/>
            </w:r>
            <w:r>
              <w:rPr>
                <w:rFonts w:hint="eastAsia" w:ascii="宋体" w:hAnsi="宋体" w:eastAsia="宋体" w:cs="宋体"/>
                <w:sz w:val="24"/>
                <w:highlight w:val="none"/>
              </w:rPr>
            </w:r>
            <w:r/>
          </w:p>
        </w:tc>
      </w:tr>
      <w:tr>
        <w:trPr>
          <w:trHeight w:val="523"/>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54"/>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54"/>
              <w:jc w:val="left"/>
              <w:spacing w:line="360" w:lineRule="auto"/>
              <w:tabs>
                <w:tab w:val="left" w:pos="600" w:leader="none"/>
              </w:tabs>
              <w:rPr>
                <w:rFonts w:hint="eastAsia" w:ascii="宋体" w:hAnsi="宋体" w:eastAsia="宋体" w:cs="宋体"/>
                <w:sz w:val="24"/>
                <w:highlight w:val="none"/>
              </w:rPr>
            </w:pPr>
            <w:r>
              <w:rPr>
                <w:rFonts w:hint="eastAsia" w:ascii="宋体" w:hAnsi="宋体" w:eastAsia="宋体" w:cs="宋体"/>
                <w:sz w:val="24"/>
                <w:highlight w:val="none"/>
              </w:rPr>
              <w:t xml:space="preserve">中小企业声明函</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54"/>
              <w:jc w:val="left"/>
              <w:spacing w:line="360" w:lineRule="auto"/>
              <w:tabs>
                <w:tab w:val="left" w:pos="600" w:leader="none"/>
              </w:tabs>
              <w:rPr>
                <w:rFonts w:hint="eastAsia" w:ascii="宋体" w:hAnsi="宋体" w:eastAsia="宋体" w:cs="宋体"/>
                <w:sz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REF _Ref73885831 \h  \* MERGEFORMAT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11.中小企业声明函</w:t>
            </w:r>
            <w:r>
              <w:rPr>
                <w:rFonts w:hint="eastAsia" w:ascii="宋体" w:hAnsi="宋体" w:eastAsia="宋体" w:cs="宋体"/>
                <w:sz w:val="24"/>
                <w:highlight w:val="none"/>
              </w:rPr>
              <w:fldChar w:fldCharType="end"/>
            </w:r>
            <w:r>
              <w:rPr>
                <w:rFonts w:hint="eastAsia" w:ascii="宋体" w:hAnsi="宋体" w:eastAsia="宋体" w:cs="宋体"/>
                <w:sz w:val="24"/>
                <w:highlight w:val="none"/>
              </w:rPr>
            </w:r>
            <w:r/>
          </w:p>
        </w:tc>
      </w:tr>
      <w:tr>
        <w:trPr>
          <w:trHeight w:val="523"/>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54"/>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54"/>
              <w:jc w:val="left"/>
              <w:spacing w:line="360" w:lineRule="auto"/>
              <w:tabs>
                <w:tab w:val="left" w:pos="600" w:leader="none"/>
              </w:tabs>
              <w:rPr>
                <w:rFonts w:hint="eastAsia" w:ascii="宋体" w:hAnsi="宋体" w:eastAsia="宋体" w:cs="宋体"/>
                <w:sz w:val="24"/>
                <w:highlight w:val="none"/>
              </w:rPr>
            </w:pPr>
            <w:r>
              <w:rPr>
                <w:rFonts w:hint="eastAsia" w:ascii="宋体" w:hAnsi="宋体" w:eastAsia="宋体" w:cs="宋体"/>
                <w:sz w:val="24"/>
                <w:highlight w:val="none"/>
              </w:rPr>
              <w:t xml:space="preserve">远程参与开标会议诚信承诺书</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54"/>
              <w:jc w:val="left"/>
              <w:spacing w:line="360" w:lineRule="auto"/>
              <w:tabs>
                <w:tab w:val="left" w:pos="600" w:leader="none"/>
              </w:tabs>
              <w:rPr>
                <w:rFonts w:hint="eastAsia" w:ascii="宋体" w:hAnsi="宋体" w:eastAsia="宋体" w:cs="宋体"/>
                <w:sz w:val="24"/>
                <w:highlight w:val="none"/>
              </w:rPr>
            </w:pPr>
            <w:r>
              <w:rPr>
                <w:rFonts w:hint="eastAsia" w:ascii="宋体" w:hAnsi="宋体" w:eastAsia="宋体" w:cs="宋体"/>
                <w:sz w:val="24"/>
                <w:highlight w:val="none"/>
              </w:rPr>
              <w:t xml:space="preserve">12.远程参与开标会议诚信承诺书</w:t>
            </w:r>
            <w:r>
              <w:rPr>
                <w:rFonts w:hint="eastAsia" w:ascii="宋体" w:hAnsi="宋体" w:eastAsia="宋体" w:cs="宋体"/>
                <w:sz w:val="24"/>
                <w:highlight w:val="none"/>
              </w:rPr>
            </w:r>
            <w:r/>
          </w:p>
        </w:tc>
      </w:tr>
      <w:tr>
        <w:trPr>
          <w:trHeight w:val="523"/>
        </w:trPr>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top"/>
            <w:vMerge w:val="continue"/>
            <w:textDirection w:val="lrTb"/>
            <w:noWrap w:val="false"/>
          </w:tcPr>
          <w:p>
            <w:pPr>
              <w:pStyle w:val="654"/>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58" w:type="dxa"/>
            <w:vAlign w:val="center"/>
            <w:textDirection w:val="lrTb"/>
            <w:noWrap w:val="false"/>
          </w:tcPr>
          <w:p>
            <w:pPr>
              <w:pStyle w:val="654"/>
              <w:jc w:val="left"/>
              <w:spacing w:line="360" w:lineRule="auto"/>
              <w:tabs>
                <w:tab w:val="left" w:pos="600" w:leader="none"/>
              </w:tabs>
              <w:rPr>
                <w:rFonts w:hint="eastAsia" w:ascii="宋体" w:hAnsi="宋体" w:eastAsia="宋体" w:cs="宋体"/>
                <w:sz w:val="24"/>
                <w:highlight w:val="none"/>
              </w:rPr>
            </w:pPr>
            <w:r>
              <w:rPr>
                <w:rFonts w:hint="eastAsia" w:ascii="宋体" w:hAnsi="宋体" w:eastAsia="宋体" w:cs="宋体"/>
                <w:sz w:val="24"/>
                <w:highlight w:val="none"/>
              </w:rPr>
              <w:t xml:space="preserve">封面</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3" w:type="dxa"/>
            <w:vAlign w:val="center"/>
            <w:textDirection w:val="lrTb"/>
            <w:noWrap w:val="false"/>
          </w:tcPr>
          <w:p>
            <w:pPr>
              <w:pStyle w:val="654"/>
              <w:jc w:val="left"/>
              <w:spacing w:line="360" w:lineRule="auto"/>
              <w:tabs>
                <w:tab w:val="left" w:pos="600" w:leader="none"/>
              </w:tabs>
              <w:rPr>
                <w:rFonts w:hint="eastAsia" w:ascii="宋体" w:hAnsi="宋体" w:eastAsia="宋体" w:cs="宋体"/>
                <w:sz w:val="24"/>
                <w:highlight w:val="none"/>
              </w:rPr>
            </w:pPr>
            <w:r>
              <w:rPr>
                <w:rFonts w:hint="eastAsia" w:ascii="宋体" w:hAnsi="宋体" w:eastAsia="宋体" w:cs="宋体"/>
                <w:sz w:val="24"/>
                <w:highlight w:val="none"/>
              </w:rPr>
              <w:t xml:space="preserve">13.封面</w:t>
            </w:r>
            <w:r>
              <w:rPr>
                <w:rFonts w:hint="eastAsia" w:ascii="宋体" w:hAnsi="宋体" w:eastAsia="宋体" w:cs="宋体"/>
                <w:sz w:val="24"/>
                <w:highlight w:val="none"/>
              </w:rPr>
            </w:r>
            <w:r/>
          </w:p>
        </w:tc>
      </w:tr>
    </w:tbl>
    <w:p>
      <w:pPr>
        <w:pStyle w:val="654"/>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r>
      <w:r/>
    </w:p>
    <w:p>
      <w:pPr>
        <w:pStyle w:val="656"/>
        <w:rPr>
          <w:rFonts w:hint="eastAsia" w:ascii="宋体" w:hAnsi="宋体" w:eastAsia="宋体" w:cs="宋体"/>
          <w:highlight w:val="none"/>
        </w:rPr>
      </w:pPr>
      <w:r/>
      <w:bookmarkStart w:id="22" w:name="_Toc353290868"/>
      <w:r/>
      <w:bookmarkEnd w:id="22"/>
      <w:r/>
      <w:bookmarkStart w:id="23" w:name="_Toc201062488"/>
      <w:r/>
      <w:bookmarkEnd w:id="23"/>
      <w:r/>
      <w:bookmarkStart w:id="24" w:name="_Toc356916346"/>
      <w:r/>
      <w:bookmarkEnd w:id="24"/>
      <w:r/>
      <w:bookmarkStart w:id="25" w:name="_Ref419285149"/>
      <w:r/>
      <w:bookmarkEnd w:id="25"/>
      <w:r/>
      <w:bookmarkStart w:id="26" w:name="_Toc173137867"/>
      <w:r/>
      <w:bookmarkEnd w:id="26"/>
      <w:r/>
      <w:bookmarkStart w:id="27" w:name="_Ref67219972"/>
      <w:r/>
      <w:bookmarkStart w:id="28" w:name="_Ref65507673"/>
      <w:r/>
      <w:bookmarkStart w:id="29" w:name="_Ref444588922"/>
      <w:r/>
      <w:bookmarkStart w:id="30" w:name="_Toc471296029"/>
      <w:r/>
      <w:bookmarkStart w:id="31" w:name="_Ref67219986"/>
      <w:r/>
      <w:bookmarkStart w:id="32" w:name="_Toc60923706"/>
      <w:r/>
      <w:bookmarkStart w:id="33" w:name="_Toc356916304"/>
      <w:r/>
      <w:bookmarkEnd w:id="33"/>
      <w:r/>
      <w:bookmarkStart w:id="34" w:name="_Toc173137766"/>
      <w:r/>
      <w:bookmarkEnd w:id="34"/>
      <w:r>
        <w:rPr>
          <w:rFonts w:hint="eastAsia" w:ascii="宋体" w:hAnsi="宋体" w:eastAsia="宋体" w:cs="宋体"/>
          <w:highlight w:val="none"/>
        </w:rPr>
        <w:t xml:space="preserve">1.（投标方）法定代表人授权委托书</w:t>
      </w:r>
      <w:bookmarkEnd w:id="27"/>
      <w:r/>
      <w:bookmarkEnd w:id="28"/>
      <w:r/>
      <w:bookmarkEnd w:id="29"/>
      <w:r/>
      <w:bookmarkEnd w:id="30"/>
      <w:r/>
      <w:bookmarkEnd w:id="31"/>
      <w:r/>
      <w:bookmarkEnd w:id="32"/>
      <w:r>
        <w:rPr>
          <w:rFonts w:hint="eastAsia" w:ascii="宋体" w:hAnsi="宋体" w:eastAsia="宋体" w:cs="宋体"/>
          <w:highlight w:val="none"/>
        </w:rPr>
      </w:r>
      <w:r/>
    </w:p>
    <w:p>
      <w:pPr>
        <w:pStyle w:val="654"/>
        <w:ind w:firstLine="2244"/>
        <w:spacing w:line="400" w:lineRule="exact"/>
        <w:rPr>
          <w:rFonts w:hint="eastAsia" w:ascii="宋体" w:hAnsi="宋体" w:eastAsia="宋体" w:cs="宋体"/>
          <w:highlight w:val="none"/>
        </w:rPr>
      </w:pPr>
      <w:r>
        <w:rPr>
          <w:rFonts w:hint="eastAsia" w:ascii="宋体" w:hAnsi="宋体" w:eastAsia="宋体" w:cs="宋体"/>
          <w:highlight w:val="none"/>
        </w:rPr>
      </w:r>
      <w:r/>
    </w:p>
    <w:p>
      <w:pPr>
        <w:pStyle w:val="654"/>
        <w:ind w:firstLine="640"/>
        <w:jc w:val="center"/>
        <w:spacing w:line="40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授权委托书</w:t>
      </w:r>
      <w:r>
        <w:rPr>
          <w:rFonts w:hint="eastAsia" w:ascii="宋体" w:hAnsi="宋体" w:eastAsia="宋体" w:cs="宋体"/>
          <w:b/>
          <w:sz w:val="32"/>
          <w:szCs w:val="32"/>
          <w:highlight w:val="none"/>
        </w:rPr>
      </w:r>
      <w:r/>
    </w:p>
    <w:p>
      <w:pPr>
        <w:pStyle w:val="654"/>
        <w:ind w:firstLine="640"/>
        <w:jc w:val="center"/>
        <w:spacing w:line="40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654"/>
        <w:ind w:firstLine="640"/>
        <w:jc w:val="center"/>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65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本授权委托书声明：我</w:t>
      </w:r>
      <w:r>
        <w:rPr>
          <w:rFonts w:hint="eastAsia" w:ascii="宋体" w:hAnsi="宋体" w:eastAsia="宋体" w:cs="宋体"/>
          <w:sz w:val="24"/>
          <w:highlight w:val="none"/>
          <w:u w:val="single"/>
        </w:rPr>
        <w:t xml:space="preserve">（姓名）</w:t>
      </w: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（投标单位名称）</w:t>
      </w:r>
      <w:r>
        <w:rPr>
          <w:rFonts w:hint="eastAsia" w:ascii="宋体" w:hAnsi="宋体" w:eastAsia="宋体" w:cs="宋体"/>
          <w:sz w:val="24"/>
          <w:highlight w:val="none"/>
        </w:rPr>
        <w:t xml:space="preserve">的法定代表人，现授权委托（单位名称）的</w:t>
      </w:r>
      <w:r>
        <w:rPr>
          <w:rFonts w:hint="eastAsia" w:ascii="宋体" w:hAnsi="宋体" w:eastAsia="宋体" w:cs="宋体"/>
          <w:sz w:val="24"/>
          <w:highlight w:val="none"/>
          <w:u w:val="single"/>
        </w:rPr>
        <w:t xml:space="preserve">（姓名）</w:t>
      </w:r>
      <w:r>
        <w:rPr>
          <w:rFonts w:hint="eastAsia" w:ascii="宋体" w:hAnsi="宋体" w:eastAsia="宋体" w:cs="宋体"/>
          <w:sz w:val="24"/>
          <w:highlight w:val="none"/>
        </w:rPr>
        <w:t xml:space="preserve">为我公司被授权人，以本公司的名义参加江苏建协全过程工程咨询有限公司组织实施的编号</w:t>
      </w:r>
      <w:r>
        <w:rPr>
          <w:rFonts w:hint="eastAsia" w:ascii="宋体" w:hAnsi="宋体" w:eastAsia="宋体" w:cs="宋体"/>
          <w:sz w:val="24"/>
          <w:highlight w:val="none"/>
          <w:u w:val="single"/>
          <w:lang w:eastAsia="zh-CN"/>
        </w:rPr>
        <w:t xml:space="preserve">JSZC-320583-JXCG-G2024-0075</w:t>
      </w:r>
      <w:r>
        <w:rPr>
          <w:rFonts w:hint="eastAsia" w:ascii="宋体" w:hAnsi="宋体" w:eastAsia="宋体" w:cs="宋体"/>
          <w:sz w:val="24"/>
          <w:highlight w:val="none"/>
        </w:rPr>
        <w:t xml:space="preserve">的招标活动。被授权人在开标、评标、合同谈判过程中所签署的一切文件和处理与这有关的一切事务，我均予以承认。</w:t>
      </w:r>
      <w:r>
        <w:rPr>
          <w:rFonts w:hint="eastAsia" w:ascii="宋体" w:hAnsi="宋体" w:eastAsia="宋体" w:cs="宋体"/>
          <w:sz w:val="24"/>
          <w:highlight w:val="none"/>
        </w:rPr>
      </w:r>
      <w:r/>
    </w:p>
    <w:p>
      <w:pPr>
        <w:pStyle w:val="65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被授权人在授权委托书有效期内签署的所有文件不因授权委托的撤销而失效，除非有撤销授权委托的书面通知，本授权委托书自投标开始至合同履行完毕止。</w:t>
      </w:r>
      <w:r>
        <w:rPr>
          <w:rFonts w:hint="eastAsia" w:ascii="宋体" w:hAnsi="宋体" w:eastAsia="宋体" w:cs="宋体"/>
          <w:sz w:val="24"/>
          <w:highlight w:val="none"/>
        </w:rPr>
      </w:r>
      <w:r/>
    </w:p>
    <w:p>
      <w:pPr>
        <w:pStyle w:val="65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被授权人无转委托权。特此委托。</w:t>
      </w:r>
      <w:r>
        <w:rPr>
          <w:rFonts w:hint="eastAsia" w:ascii="宋体" w:hAnsi="宋体" w:eastAsia="宋体" w:cs="宋体"/>
          <w:sz w:val="24"/>
          <w:highlight w:val="none"/>
        </w:rPr>
      </w:r>
      <w:r/>
    </w:p>
    <w:p>
      <w:pPr>
        <w:pStyle w:val="654"/>
        <w:ind w:firstLine="480"/>
        <w:jc w:val="righ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投标单位：（盖章）</w:t>
      </w:r>
      <w:r>
        <w:rPr>
          <w:rFonts w:hint="eastAsia" w:ascii="宋体" w:hAnsi="宋体" w:eastAsia="宋体" w:cs="宋体"/>
          <w:sz w:val="24"/>
          <w:highlight w:val="none"/>
        </w:rPr>
      </w:r>
      <w:r/>
    </w:p>
    <w:p>
      <w:pPr>
        <w:pStyle w:val="654"/>
        <w:ind w:firstLine="480"/>
        <w:jc w:val="righ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法定代表人：（签字）</w:t>
      </w:r>
      <w:r>
        <w:rPr>
          <w:rFonts w:hint="eastAsia" w:ascii="宋体" w:hAnsi="宋体" w:eastAsia="宋体" w:cs="宋体"/>
          <w:sz w:val="24"/>
          <w:highlight w:val="none"/>
        </w:rPr>
      </w:r>
      <w:r/>
    </w:p>
    <w:p>
      <w:pPr>
        <w:pStyle w:val="654"/>
        <w:ind w:firstLine="480"/>
        <w:jc w:val="righ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被授权人：（签字）</w:t>
      </w:r>
      <w:r>
        <w:rPr>
          <w:rFonts w:hint="eastAsia" w:ascii="宋体" w:hAnsi="宋体" w:eastAsia="宋体" w:cs="宋体"/>
          <w:sz w:val="24"/>
          <w:highlight w:val="none"/>
        </w:rPr>
      </w:r>
      <w:r/>
    </w:p>
    <w:p>
      <w:pPr>
        <w:pStyle w:val="654"/>
        <w:ind w:firstLine="480"/>
        <w:jc w:val="right"/>
        <w:spacing w:line="360" w:lineRule="auto"/>
        <w:rPr>
          <w:rFonts w:hint="eastAsia" w:ascii="宋体" w:hAnsi="宋体" w:eastAsia="宋体" w:cs="宋体"/>
          <w:szCs w:val="21"/>
          <w:highlight w:val="none"/>
        </w:rPr>
      </w:pPr>
      <w:r>
        <w:rPr>
          <w:rFonts w:hint="eastAsia" w:ascii="宋体" w:hAnsi="宋体" w:eastAsia="宋体" w:cs="宋体"/>
          <w:sz w:val="24"/>
          <w:highlight w:val="none"/>
        </w:rPr>
        <w:t xml:space="preserve">年          月         日</w:t>
      </w:r>
      <w:r>
        <w:rPr>
          <w:rFonts w:hint="eastAsia" w:ascii="宋体" w:hAnsi="宋体" w:eastAsia="宋体" w:cs="宋体"/>
          <w:szCs w:val="21"/>
          <w:highlight w:val="none"/>
        </w:rPr>
      </w:r>
      <w:r/>
    </w:p>
    <w:p>
      <w:pPr>
        <w:pStyle w:val="656"/>
        <w:rPr>
          <w:rFonts w:hint="eastAsia" w:ascii="宋体" w:hAnsi="宋体" w:eastAsia="宋体" w:cs="宋体"/>
          <w:highlight w:val="none"/>
        </w:rPr>
      </w:pPr>
      <w:r/>
      <w:bookmarkStart w:id="35" w:name="_Toc471296030"/>
      <w:r/>
      <w:bookmarkStart w:id="36" w:name="_Toc60923707"/>
      <w:r/>
      <w:bookmarkStart w:id="37" w:name="_Ref360464493"/>
      <w:r/>
      <w:bookmarkEnd w:id="37"/>
      <w:r/>
      <w:bookmarkStart w:id="38" w:name="_Ref444588944"/>
      <w:r>
        <w:rPr>
          <w:rFonts w:hint="eastAsia" w:ascii="宋体" w:hAnsi="宋体" w:eastAsia="宋体" w:cs="宋体"/>
          <w:highlight w:val="none"/>
        </w:rPr>
        <w:br w:type="page" w:clear="all"/>
      </w:r>
      <w:r>
        <w:rPr>
          <w:rFonts w:hint="eastAsia" w:ascii="宋体" w:hAnsi="宋体" w:eastAsia="宋体" w:cs="宋体"/>
          <w:highlight w:val="none"/>
        </w:rPr>
        <w:t xml:space="preserve">2.投标声明函</w:t>
      </w:r>
      <w:bookmarkEnd w:id="35"/>
      <w:r/>
      <w:bookmarkEnd w:id="36"/>
      <w:r/>
      <w:bookmarkEnd w:id="38"/>
      <w:r>
        <w:rPr>
          <w:rFonts w:hint="eastAsia" w:ascii="宋体" w:hAnsi="宋体" w:eastAsia="宋体" w:cs="宋体"/>
          <w:highlight w:val="none"/>
        </w:rPr>
      </w:r>
      <w:r/>
    </w:p>
    <w:p>
      <w:pPr>
        <w:pStyle w:val="757"/>
        <w:jc w:val="center"/>
        <w:spacing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投标声明函</w:t>
      </w:r>
      <w:r>
        <w:rPr>
          <w:rFonts w:hint="eastAsia" w:ascii="宋体" w:hAnsi="宋体" w:eastAsia="宋体" w:cs="宋体"/>
          <w:sz w:val="36"/>
          <w:szCs w:val="36"/>
          <w:highlight w:val="none"/>
        </w:rPr>
      </w:r>
      <w:r/>
    </w:p>
    <w:p>
      <w:pPr>
        <w:pStyle w:val="757"/>
        <w:jc w:val="cente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5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致：___________________________(采购人名称） </w:t>
      </w:r>
      <w:r>
        <w:rPr>
          <w:rFonts w:hint="eastAsia" w:ascii="宋体" w:hAnsi="宋体" w:eastAsia="宋体" w:cs="宋体"/>
          <w:sz w:val="24"/>
          <w:szCs w:val="24"/>
          <w:highlight w:val="none"/>
        </w:rPr>
      </w:r>
      <w:r/>
    </w:p>
    <w:p>
      <w:pPr>
        <w:pStyle w:val="757"/>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我们收到贵公司</w:t>
      </w:r>
      <w:r>
        <w:rPr>
          <w:rFonts w:hint="eastAsia" w:ascii="宋体" w:hAnsi="宋体" w:eastAsia="宋体" w:cs="宋体"/>
          <w:sz w:val="24"/>
          <w:szCs w:val="24"/>
          <w:highlight w:val="none"/>
          <w:u w:val="single"/>
          <w:lang w:eastAsia="zh-CN"/>
        </w:rPr>
        <w:t xml:space="preserve">JSZC-320583-JXCG-G2024-0075</w:t>
      </w:r>
      <w:r>
        <w:rPr>
          <w:rFonts w:hint="eastAsia" w:ascii="宋体" w:hAnsi="宋体" w:eastAsia="宋体" w:cs="宋体"/>
          <w:sz w:val="24"/>
          <w:szCs w:val="24"/>
          <w:highlight w:val="none"/>
        </w:rPr>
        <w:t xml:space="preserve">号招标文件，经仔细阅读和研究，我们同意招标文件中各款要求并决定参加投标。</w:t>
      </w:r>
      <w:r>
        <w:rPr>
          <w:rFonts w:hint="eastAsia" w:ascii="宋体" w:hAnsi="宋体" w:eastAsia="宋体" w:cs="宋体"/>
          <w:sz w:val="24"/>
          <w:szCs w:val="24"/>
          <w:highlight w:val="none"/>
        </w:rPr>
      </w:r>
      <w:r/>
    </w:p>
    <w:p>
      <w:pPr>
        <w:pStyle w:val="654"/>
        <w:ind w:firstLine="480"/>
        <w:jc w:val="left"/>
        <w:spacing w:line="360" w:lineRule="auto"/>
        <w:rPr>
          <w:rFonts w:hint="eastAsia" w:ascii="宋体" w:hAnsi="宋体" w:eastAsia="宋体" w:cs="宋体"/>
          <w:sz w:val="24"/>
          <w:highlight w:val="none"/>
        </w:rPr>
      </w:pPr>
      <w:r/>
      <w:bookmarkStart w:id="39" w:name="_Ref360464497"/>
      <w:r/>
      <w:bookmarkEnd w:id="39"/>
      <w:r/>
      <w:bookmarkStart w:id="40" w:name="_Toc313432879"/>
      <w:r/>
      <w:bookmarkEnd w:id="40"/>
      <w:r/>
      <w:bookmarkStart w:id="41" w:name="_Ref419285158"/>
      <w:r/>
      <w:bookmarkEnd w:id="41"/>
      <w:r/>
      <w:bookmarkStart w:id="42" w:name="_Ref444588995"/>
      <w:r/>
      <w:bookmarkStart w:id="43" w:name="_Toc471296031"/>
      <w:r>
        <w:rPr>
          <w:rFonts w:hint="eastAsia" w:ascii="宋体" w:hAnsi="宋体" w:eastAsia="宋体" w:cs="宋体"/>
          <w:sz w:val="24"/>
          <w:highlight w:val="none"/>
        </w:rPr>
        <w:t xml:space="preserve">1、我单位郑重声明参加政府采购活动前3年内在经营活动中没有重大违法记录。（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sz w:val="24"/>
          <w:highlight w:val="none"/>
        </w:rPr>
      </w:r>
      <w:r/>
    </w:p>
    <w:p>
      <w:pPr>
        <w:pStyle w:val="654"/>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我们愿意按照招标文件的一切要求，提供以上标段项目的所有内容，我们的投标报价包括完成该项工作所需的一切人工费用，包括但不限于服装、胸卡、办公设备、巡检器材、各种税费、人工、保险、劳保、维护、利润、税金、政策性文件规定及合同包含的所有风险、责任等各项应有费用。</w:t>
      </w:r>
      <w:r>
        <w:rPr>
          <w:rFonts w:hint="eastAsia" w:ascii="宋体" w:hAnsi="宋体" w:eastAsia="宋体" w:cs="宋体"/>
          <w:sz w:val="24"/>
          <w:highlight w:val="none"/>
        </w:rPr>
      </w:r>
      <w:r/>
    </w:p>
    <w:p>
      <w:pPr>
        <w:pStyle w:val="75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3、我们同意按招标文件中的规定，本投标书的有效期限为开标后</w:t>
      </w:r>
      <w:r>
        <w:rPr>
          <w:rFonts w:hint="eastAsia" w:ascii="宋体" w:hAnsi="宋体" w:eastAsia="宋体" w:cs="宋体"/>
          <w:sz w:val="24"/>
          <w:szCs w:val="24"/>
          <w:highlight w:val="none"/>
          <w:u w:val="single"/>
        </w:rPr>
        <w:t xml:space="preserve">  60  </w:t>
      </w:r>
      <w:r>
        <w:rPr>
          <w:rFonts w:hint="eastAsia" w:ascii="宋体" w:hAnsi="宋体" w:eastAsia="宋体" w:cs="宋体"/>
          <w:sz w:val="24"/>
          <w:szCs w:val="24"/>
          <w:highlight w:val="none"/>
        </w:rPr>
        <w:t xml:space="preserve">天。</w:t>
      </w:r>
      <w:r>
        <w:rPr>
          <w:rFonts w:hint="eastAsia" w:ascii="宋体" w:hAnsi="宋体" w:eastAsia="宋体" w:cs="宋体"/>
          <w:sz w:val="24"/>
          <w:szCs w:val="24"/>
          <w:highlight w:val="none"/>
        </w:rPr>
      </w:r>
      <w:r/>
    </w:p>
    <w:p>
      <w:pPr>
        <w:pStyle w:val="75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4、我们认为你们有权决定中标者，还认为你们有权接受或拒绝所有的投标者。</w:t>
      </w:r>
      <w:r>
        <w:rPr>
          <w:rFonts w:hint="eastAsia" w:ascii="宋体" w:hAnsi="宋体" w:eastAsia="宋体" w:cs="宋体"/>
          <w:sz w:val="24"/>
          <w:szCs w:val="24"/>
          <w:highlight w:val="none"/>
        </w:rPr>
      </w:r>
      <w:r/>
    </w:p>
    <w:p>
      <w:pPr>
        <w:pStyle w:val="654"/>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5、我们愿意提供招标代理人在招标文件中要求的所有评标资料，</w:t>
      </w:r>
      <w:r>
        <w:rPr>
          <w:rFonts w:hint="eastAsia" w:ascii="宋体" w:hAnsi="宋体" w:eastAsia="宋体" w:cs="宋体"/>
          <w:b/>
          <w:sz w:val="24"/>
          <w:highlight w:val="none"/>
        </w:rPr>
        <w:t xml:space="preserve">如果因为评标资料不全或上传的评标资料扫描件模糊而造成的评审扣分由我们自行承担后果</w:t>
      </w:r>
      <w:r>
        <w:rPr>
          <w:rFonts w:hint="eastAsia" w:ascii="宋体" w:hAnsi="宋体" w:eastAsia="宋体" w:cs="宋体"/>
          <w:sz w:val="24"/>
          <w:highlight w:val="none"/>
        </w:rPr>
        <w:t xml:space="preserve">。我们也同意提供可能另外要求的与其投标有关的任何证据或资料，我们承诺该项目投标资料在开标后的全过程中保持有效。</w:t>
      </w:r>
      <w:r>
        <w:rPr>
          <w:rFonts w:hint="eastAsia" w:ascii="宋体" w:hAnsi="宋体" w:eastAsia="宋体" w:cs="宋体"/>
          <w:sz w:val="24"/>
          <w:highlight w:val="none"/>
        </w:rPr>
      </w:r>
      <w:r/>
    </w:p>
    <w:p>
      <w:pPr>
        <w:pStyle w:val="654"/>
        <w:ind w:firstLine="480"/>
        <w:jc w:val="left"/>
        <w:spacing w:line="360" w:lineRule="auto"/>
        <w:rPr>
          <w:rFonts w:hint="eastAsia" w:ascii="宋体" w:hAnsi="宋体" w:eastAsia="宋体" w:cs="宋体"/>
          <w:b/>
          <w:color w:val="000000"/>
          <w:sz w:val="24"/>
          <w:highlight w:val="none"/>
        </w:rPr>
      </w:pPr>
      <w:r>
        <w:rPr>
          <w:rFonts w:hint="eastAsia" w:ascii="宋体" w:hAnsi="宋体" w:eastAsia="宋体" w:cs="宋体"/>
          <w:sz w:val="24"/>
          <w:highlight w:val="none"/>
        </w:rPr>
        <w:t xml:space="preserve">6、如果我们中标，我们承诺</w:t>
      </w:r>
      <w:r>
        <w:rPr>
          <w:rFonts w:hint="eastAsia" w:ascii="宋体" w:hAnsi="宋体" w:eastAsia="宋体" w:cs="宋体"/>
          <w:bCs/>
          <w:color w:val="000000"/>
          <w:sz w:val="24"/>
          <w:highlight w:val="none"/>
        </w:rPr>
        <w:t xml:space="preserve">在与甲方签合同前根据实际需求打印纸质投标文件作为归档备案使用</w:t>
      </w:r>
      <w:r>
        <w:rPr>
          <w:rFonts w:hint="eastAsia" w:ascii="宋体" w:hAnsi="宋体" w:eastAsia="宋体" w:cs="宋体"/>
          <w:b/>
          <w:bCs/>
          <w:color w:val="000000"/>
          <w:sz w:val="24"/>
          <w:highlight w:val="none"/>
        </w:rPr>
        <w:t xml:space="preserve">（纸质投标文件保证与网络投标文件一致，如因纸质文件与网络投标文件不一致所可能造成的后果与责任全部由我单位承担）。</w:t>
      </w:r>
      <w:r>
        <w:rPr>
          <w:rFonts w:hint="eastAsia" w:ascii="宋体" w:hAnsi="宋体" w:eastAsia="宋体" w:cs="宋体"/>
          <w:b/>
          <w:color w:val="000000"/>
          <w:sz w:val="24"/>
          <w:highlight w:val="none"/>
        </w:rPr>
      </w:r>
      <w:r/>
    </w:p>
    <w:p>
      <w:pPr>
        <w:pStyle w:val="75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7、如果我们中标，我们愿意遵守招标文件和中标通知书的规定，在规定期限和地点与采购方签订合同，我们将严格履行招标文件中规定的每一项要求，按期、按质、按量履行合同的义务。</w:t>
      </w:r>
      <w:r>
        <w:rPr>
          <w:rFonts w:hint="eastAsia" w:ascii="宋体" w:hAnsi="宋体" w:eastAsia="宋体" w:cs="宋体"/>
          <w:sz w:val="24"/>
          <w:szCs w:val="24"/>
          <w:highlight w:val="none"/>
        </w:rPr>
      </w:r>
      <w:r/>
    </w:p>
    <w:p>
      <w:pPr>
        <w:pStyle w:val="75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我们愿意遵守招标通告及招标文件中所列的收费标准。如果我们中标我们愿意在签订采购合同前按项目预算金额支付中标服务费，以差额累计法计取（按预算金额100万元以下收取1.5%；100-500万元收取1.1%；500-1000万元收取0.8%；1000-5000万元收取0.5%；5000万元以上收取0.25%，每个项目不满3000元按照3000元收取）。</w:t>
      </w:r>
      <w:r>
        <w:rPr>
          <w:rFonts w:hint="eastAsia" w:ascii="宋体" w:hAnsi="宋体" w:eastAsia="宋体" w:cs="宋体"/>
          <w:sz w:val="24"/>
          <w:szCs w:val="24"/>
          <w:highlight w:val="none"/>
        </w:rPr>
      </w:r>
      <w:r/>
    </w:p>
    <w:p>
      <w:pPr>
        <w:pStyle w:val="75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9、综合说明：</w:t>
      </w:r>
      <w:r>
        <w:rPr>
          <w:rFonts w:hint="eastAsia" w:ascii="宋体" w:hAnsi="宋体" w:eastAsia="宋体" w:cs="宋体"/>
          <w:sz w:val="24"/>
          <w:szCs w:val="24"/>
          <w:highlight w:val="none"/>
        </w:rPr>
      </w:r>
      <w:r/>
    </w:p>
    <w:p>
      <w:pPr>
        <w:pStyle w:val="654"/>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（1）伴随服务及配合措施；</w:t>
      </w:r>
      <w:r>
        <w:rPr>
          <w:rFonts w:hint="eastAsia" w:ascii="宋体" w:hAnsi="宋体" w:eastAsia="宋体" w:cs="宋体"/>
          <w:sz w:val="24"/>
          <w:highlight w:val="none"/>
        </w:rPr>
      </w:r>
      <w:r/>
    </w:p>
    <w:p>
      <w:pPr>
        <w:pStyle w:val="654"/>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（2）要求甲方提供的配合；</w:t>
      </w:r>
      <w:r>
        <w:rPr>
          <w:rFonts w:hint="eastAsia" w:ascii="宋体" w:hAnsi="宋体" w:eastAsia="宋体" w:cs="宋体"/>
          <w:sz w:val="24"/>
          <w:highlight w:val="none"/>
        </w:rPr>
      </w:r>
      <w:r/>
    </w:p>
    <w:p>
      <w:pPr>
        <w:pStyle w:val="654"/>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（3）对招标文件有不同意见的偏离说明；</w:t>
      </w:r>
      <w:r>
        <w:rPr>
          <w:rFonts w:hint="eastAsia" w:ascii="宋体" w:hAnsi="宋体" w:eastAsia="宋体" w:cs="宋体"/>
          <w:sz w:val="24"/>
          <w:highlight w:val="none"/>
        </w:rPr>
      </w:r>
      <w:r/>
    </w:p>
    <w:p>
      <w:pPr>
        <w:pStyle w:val="654"/>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（4）其它说明。</w:t>
      </w:r>
      <w:r>
        <w:rPr>
          <w:rFonts w:hint="eastAsia" w:ascii="宋体" w:hAnsi="宋体" w:eastAsia="宋体" w:cs="宋体"/>
          <w:sz w:val="24"/>
          <w:highlight w:val="none"/>
        </w:rPr>
      </w:r>
      <w:r/>
    </w:p>
    <w:p>
      <w:pPr>
        <w:pStyle w:val="75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10、所有有关本次投标的函电，请按下列方法联系</w:t>
      </w:r>
      <w:r>
        <w:rPr>
          <w:rFonts w:hint="eastAsia" w:ascii="宋体" w:hAnsi="宋体" w:eastAsia="宋体" w:cs="宋体"/>
          <w:sz w:val="24"/>
          <w:szCs w:val="24"/>
          <w:highlight w:val="none"/>
        </w:rPr>
      </w:r>
      <w:r/>
    </w:p>
    <w:p>
      <w:pPr>
        <w:pStyle w:val="75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rPr>
      </w:r>
      <w:r/>
    </w:p>
    <w:p>
      <w:pPr>
        <w:pStyle w:val="75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rPr>
      </w:r>
      <w:r/>
    </w:p>
    <w:p>
      <w:pPr>
        <w:pStyle w:val="75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rPr>
      </w:r>
      <w:r/>
    </w:p>
    <w:p>
      <w:pPr>
        <w:pStyle w:val="75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rPr>
      </w:r>
      <w:r/>
    </w:p>
    <w:p>
      <w:pPr>
        <w:pStyle w:val="757"/>
        <w:ind w:firstLine="48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投标单位：（单位盖章）</w:t>
      </w:r>
      <w:r>
        <w:rPr>
          <w:rFonts w:hint="eastAsia" w:ascii="宋体" w:hAnsi="宋体" w:eastAsia="宋体" w:cs="宋体"/>
          <w:sz w:val="24"/>
          <w:szCs w:val="24"/>
          <w:highlight w:val="none"/>
        </w:rPr>
      </w:r>
      <w:r/>
    </w:p>
    <w:p>
      <w:pPr>
        <w:pStyle w:val="757"/>
        <w:ind w:firstLine="48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法定代表人或授权委托人：（签字并盖章）</w:t>
      </w:r>
      <w:r>
        <w:rPr>
          <w:rFonts w:hint="eastAsia" w:ascii="宋体" w:hAnsi="宋体" w:eastAsia="宋体" w:cs="宋体"/>
          <w:sz w:val="24"/>
          <w:szCs w:val="24"/>
          <w:highlight w:val="none"/>
        </w:rPr>
      </w:r>
      <w:r/>
    </w:p>
    <w:p>
      <w:pPr>
        <w:pStyle w:val="757"/>
        <w:ind w:firstLine="42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           日</w:t>
      </w:r>
      <w:r>
        <w:rPr>
          <w:rFonts w:hint="eastAsia" w:ascii="宋体" w:hAnsi="宋体" w:eastAsia="宋体" w:cs="宋体"/>
          <w:sz w:val="24"/>
          <w:szCs w:val="24"/>
          <w:highlight w:val="none"/>
        </w:rPr>
      </w:r>
      <w:r/>
    </w:p>
    <w:p>
      <w:pPr>
        <w:pStyle w:val="757"/>
        <w:ind w:firstLine="42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6"/>
        <w:rPr>
          <w:rFonts w:hint="eastAsia" w:ascii="宋体" w:hAnsi="宋体" w:eastAsia="宋体" w:cs="宋体"/>
          <w:highlight w:val="none"/>
        </w:rPr>
      </w:pPr>
      <w:r/>
      <w:bookmarkStart w:id="44" w:name="_Ref495310578"/>
      <w:r/>
      <w:bookmarkStart w:id="45" w:name="_Toc60923708"/>
      <w:r>
        <w:rPr>
          <w:rFonts w:hint="eastAsia" w:ascii="宋体" w:hAnsi="宋体" w:eastAsia="宋体" w:cs="宋体"/>
          <w:highlight w:val="none"/>
        </w:rPr>
        <w:t xml:space="preserve">3.开标一览表</w:t>
      </w:r>
      <w:bookmarkEnd w:id="42"/>
      <w:r/>
      <w:bookmarkEnd w:id="43"/>
      <w:r/>
      <w:bookmarkEnd w:id="44"/>
      <w:r/>
      <w:bookmarkEnd w:id="45"/>
      <w:r>
        <w:rPr>
          <w:rFonts w:hint="eastAsia" w:ascii="宋体" w:hAnsi="宋体" w:eastAsia="宋体" w:cs="宋体"/>
          <w:highlight w:val="none"/>
        </w:rPr>
      </w:r>
      <w:r/>
    </w:p>
    <w:p>
      <w:pPr>
        <w:pStyle w:val="654"/>
        <w:jc w:val="center"/>
        <w:rPr>
          <w:rFonts w:hint="eastAsia" w:ascii="宋体" w:hAnsi="宋体" w:eastAsia="宋体" w:cs="宋体"/>
          <w:szCs w:val="21"/>
          <w:highlight w:val="none"/>
        </w:rPr>
      </w:pPr>
      <w:r>
        <w:rPr>
          <w:rFonts w:hint="eastAsia" w:ascii="宋体" w:hAnsi="宋体" w:eastAsia="宋体" w:cs="宋体"/>
          <w:sz w:val="36"/>
          <w:szCs w:val="36"/>
          <w:highlight w:val="none"/>
        </w:rPr>
        <w:t xml:space="preserve">开标一览表</w:t>
      </w:r>
      <w:r>
        <w:rPr>
          <w:rFonts w:hint="eastAsia" w:ascii="宋体" w:hAnsi="宋体" w:eastAsia="宋体" w:cs="宋体"/>
          <w:szCs w:val="21"/>
          <w:highlight w:val="none"/>
        </w:rPr>
      </w:r>
      <w:r/>
    </w:p>
    <w:p>
      <w:pPr>
        <w:pStyle w:val="654"/>
        <w:jc w:val="left"/>
        <w:spacing w:before="100" w:beforeAutospacing="1" w:after="100" w:afterAutospacing="1"/>
        <w:widowControl/>
        <w:rPr>
          <w:rFonts w:hint="eastAsia" w:ascii="宋体" w:hAnsi="宋体" w:eastAsia="宋体" w:cs="宋体"/>
          <w:szCs w:val="21"/>
          <w:highlight w:val="none"/>
        </w:rPr>
      </w:pPr>
      <w:r/>
      <w:bookmarkStart w:id="46" w:name="_Toc471296032"/>
      <w:r/>
      <w:bookmarkStart w:id="47" w:name="_Ref444589006"/>
      <w:r>
        <w:rPr>
          <w:rFonts w:hint="eastAsia" w:ascii="宋体" w:hAnsi="宋体" w:eastAsia="宋体" w:cs="宋体"/>
          <w:szCs w:val="21"/>
          <w:highlight w:val="none"/>
        </w:rPr>
        <w:t xml:space="preserve">投标人全称（加盖公章）：供应商名称 </w:t>
      </w:r>
      <w:r>
        <w:rPr>
          <w:rFonts w:hint="eastAsia" w:ascii="宋体" w:hAnsi="宋体" w:eastAsia="宋体" w:cs="宋体"/>
          <w:szCs w:val="21"/>
          <w:highlight w:val="none"/>
        </w:rPr>
      </w:r>
      <w:r/>
    </w:p>
    <w:p>
      <w:pPr>
        <w:pStyle w:val="654"/>
        <w:jc w:val="left"/>
        <w:spacing w:before="100" w:beforeAutospacing="1" w:after="100" w:afterAutospacing="1"/>
        <w:widowControl/>
        <w:rPr>
          <w:rFonts w:hint="eastAsia" w:ascii="宋体" w:hAnsi="宋体" w:eastAsia="宋体" w:cs="宋体"/>
          <w:szCs w:val="21"/>
          <w:highlight w:val="none"/>
        </w:rPr>
      </w:pPr>
      <w:r>
        <w:rPr>
          <w:rFonts w:hint="eastAsia" w:ascii="宋体" w:hAnsi="宋体" w:eastAsia="宋体" w:cs="宋体"/>
          <w:szCs w:val="21"/>
          <w:highlight w:val="none"/>
        </w:rPr>
        <w:t xml:space="preserve">项目编号：项目编号 </w:t>
      </w:r>
      <w:r>
        <w:rPr>
          <w:rFonts w:hint="eastAsia" w:ascii="宋体" w:hAnsi="宋体" w:eastAsia="宋体" w:cs="宋体"/>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51"/>
        <w:gridCol w:w="4751"/>
      </w:tblGrid>
      <w:tr>
        <w:trPr/>
        <w:tc>
          <w:tcPr>
            <w:tcW w:w="4751" w:type="dxa"/>
            <w:vAlign w:val="top"/>
            <w:textDirection w:val="lrTb"/>
            <w:noWrap w:val="false"/>
          </w:tcPr>
          <w:p>
            <w:pPr>
              <w:pStyle w:val="654"/>
              <w:jc w:val="left"/>
              <w:spacing w:before="100" w:beforeAutospacing="1" w:after="100" w:afterAutospacing="1"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r>
            <w:r/>
          </w:p>
        </w:tc>
        <w:tc>
          <w:tcPr>
            <w:tcW w:w="4751" w:type="dxa"/>
            <w:vAlign w:val="top"/>
            <w:textDirection w:val="lrTb"/>
            <w:noWrap w:val="false"/>
          </w:tcPr>
          <w:p>
            <w:pPr>
              <w:pStyle w:val="654"/>
              <w:jc w:val="left"/>
              <w:spacing w:before="100" w:beforeAutospacing="1" w:after="100" w:afterAutospacing="1"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投标总报价</w:t>
            </w:r>
            <w:r>
              <w:rPr>
                <w:rFonts w:hint="eastAsia" w:ascii="宋体" w:hAnsi="宋体" w:eastAsia="宋体" w:cs="宋体"/>
                <w:szCs w:val="21"/>
                <w:highlight w:val="none"/>
              </w:rPr>
            </w:r>
            <w:r/>
          </w:p>
        </w:tc>
      </w:tr>
      <w:tr>
        <w:trPr/>
        <w:tc>
          <w:tcPr>
            <w:tcW w:w="4751" w:type="dxa"/>
            <w:vAlign w:val="top"/>
            <w:textDirection w:val="lrTb"/>
            <w:noWrap w:val="false"/>
          </w:tcPr>
          <w:p>
            <w:pPr>
              <w:pStyle w:val="654"/>
              <w:jc w:val="left"/>
              <w:spacing w:before="100" w:beforeAutospacing="1" w:after="100" w:afterAutospacing="1"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项目名称 </w:t>
            </w:r>
            <w:r>
              <w:rPr>
                <w:rFonts w:hint="eastAsia" w:ascii="宋体" w:hAnsi="宋体" w:eastAsia="宋体" w:cs="宋体"/>
                <w:szCs w:val="21"/>
                <w:highlight w:val="none"/>
              </w:rPr>
            </w:r>
            <w:r/>
          </w:p>
        </w:tc>
        <w:tc>
          <w:tcPr>
            <w:tcW w:w="4751" w:type="dxa"/>
            <w:vAlign w:val="top"/>
            <w:textDirection w:val="lrTb"/>
            <w:noWrap w:val="false"/>
          </w:tcPr>
          <w:p>
            <w:pPr>
              <w:pStyle w:val="654"/>
              <w:jc w:val="left"/>
              <w:spacing w:before="100" w:beforeAutospacing="1" w:after="100" w:afterAutospacing="1"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小写：   （元人民币）</w:t>
            </w:r>
            <w:r>
              <w:rPr>
                <w:rFonts w:hint="eastAsia" w:ascii="宋体" w:hAnsi="宋体" w:eastAsia="宋体" w:cs="宋体"/>
                <w:szCs w:val="21"/>
                <w:highlight w:val="none"/>
              </w:rPr>
            </w:r>
            <w:r/>
          </w:p>
        </w:tc>
      </w:tr>
      <w:tr>
        <w:trPr/>
        <w:tc>
          <w:tcPr>
            <w:tcW w:w="4751" w:type="dxa"/>
            <w:vAlign w:val="top"/>
            <w:textDirection w:val="lrTb"/>
            <w:noWrap w:val="false"/>
          </w:tcPr>
          <w:p>
            <w:pPr>
              <w:pStyle w:val="654"/>
              <w:jc w:val="left"/>
              <w:spacing w:before="100" w:beforeAutospacing="1" w:after="100" w:afterAutospacing="1"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投标报价大写</w:t>
            </w:r>
            <w:r>
              <w:rPr>
                <w:rFonts w:hint="eastAsia" w:ascii="宋体" w:hAnsi="宋体" w:eastAsia="宋体" w:cs="宋体"/>
                <w:szCs w:val="21"/>
                <w:highlight w:val="none"/>
              </w:rPr>
            </w:r>
            <w:r/>
          </w:p>
        </w:tc>
        <w:tc>
          <w:tcPr>
            <w:tcW w:w="4751" w:type="dxa"/>
            <w:vAlign w:val="top"/>
            <w:textDirection w:val="lrTb"/>
            <w:noWrap w:val="false"/>
          </w:tcPr>
          <w:p>
            <w:pPr>
              <w:pStyle w:val="654"/>
              <w:jc w:val="left"/>
              <w:spacing w:before="100" w:beforeAutospacing="1" w:after="100" w:afterAutospacing="1"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金额大写</w:t>
            </w:r>
            <w:r>
              <w:rPr>
                <w:rFonts w:hint="eastAsia" w:ascii="宋体" w:hAnsi="宋体" w:eastAsia="宋体" w:cs="宋体"/>
                <w:szCs w:val="21"/>
                <w:highlight w:val="none"/>
              </w:rPr>
            </w:r>
            <w:r/>
          </w:p>
        </w:tc>
      </w:tr>
    </w:tbl>
    <w:p>
      <w:pPr>
        <w:pStyle w:val="654"/>
        <w:jc w:val="righ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日期：  年  月 日</w:t>
      </w:r>
      <w:r>
        <w:rPr>
          <w:rFonts w:hint="eastAsia" w:ascii="宋体" w:hAnsi="宋体" w:eastAsia="宋体" w:cs="宋体"/>
          <w:szCs w:val="21"/>
          <w:highlight w:val="none"/>
        </w:rPr>
      </w:r>
      <w:r/>
    </w:p>
    <w:p>
      <w:pPr>
        <w:pStyle w:val="654"/>
        <w:spacing w:line="360" w:lineRule="auto"/>
        <w:rPr>
          <w:rFonts w:hint="eastAsia" w:ascii="宋体" w:hAnsi="宋体" w:eastAsia="宋体" w:cs="宋体"/>
          <w:szCs w:val="21"/>
          <w:highlight w:val="none"/>
        </w:rPr>
      </w:pPr>
      <w:r/>
      <w:bookmarkStart w:id="48" w:name="_Ref360464500"/>
      <w:r/>
      <w:bookmarkEnd w:id="48"/>
      <w:r>
        <w:rPr>
          <w:rFonts w:hint="eastAsia" w:ascii="宋体" w:hAnsi="宋体" w:eastAsia="宋体" w:cs="宋体"/>
          <w:szCs w:val="21"/>
          <w:highlight w:val="none"/>
        </w:rPr>
        <w:t xml:space="preserve">填写说明：</w:t>
      </w:r>
      <w:r>
        <w:rPr>
          <w:rFonts w:hint="eastAsia" w:ascii="宋体" w:hAnsi="宋体" w:eastAsia="宋体" w:cs="宋体"/>
          <w:szCs w:val="21"/>
          <w:highlight w:val="none"/>
        </w:rPr>
      </w:r>
      <w:r/>
    </w:p>
    <w:p>
      <w:pPr>
        <w:pStyle w:val="654"/>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1、开标一览表必须加盖投标人公章（复印件无效）。</w:t>
      </w:r>
      <w:r>
        <w:rPr>
          <w:rFonts w:hint="eastAsia" w:ascii="宋体" w:hAnsi="宋体" w:eastAsia="宋体" w:cs="宋体"/>
          <w:szCs w:val="21"/>
          <w:highlight w:val="none"/>
        </w:rPr>
      </w:r>
      <w:r/>
    </w:p>
    <w:p>
      <w:pPr>
        <w:pStyle w:val="717"/>
        <w:ind w:left="0" w:firstLine="0"/>
        <w:rPr>
          <w:rFonts w:hint="eastAsia" w:ascii="宋体" w:hAnsi="宋体" w:eastAsia="宋体" w:cs="宋体"/>
          <w:highlight w:val="none"/>
        </w:rPr>
      </w:pPr>
      <w:r>
        <w:rPr>
          <w:rFonts w:hint="eastAsia" w:ascii="宋体" w:hAnsi="宋体" w:eastAsia="宋体" w:cs="宋体"/>
          <w:szCs w:val="21"/>
          <w:highlight w:val="none"/>
        </w:rPr>
        <w:t xml:space="preserve">2、如有分包，投标人投任何一个包的标的，都需单独填写开标一览表。</w:t>
      </w:r>
      <w:r>
        <w:rPr>
          <w:rFonts w:hint="eastAsia" w:ascii="宋体" w:hAnsi="宋体" w:eastAsia="宋体" w:cs="宋体"/>
          <w:highlight w:val="none"/>
        </w:rPr>
      </w:r>
      <w:r/>
    </w:p>
    <w:p>
      <w:pPr>
        <w:pStyle w:val="656"/>
        <w:rPr>
          <w:rFonts w:hint="eastAsia" w:ascii="宋体" w:hAnsi="宋体" w:eastAsia="宋体" w:cs="宋体"/>
          <w:highlight w:val="none"/>
        </w:rPr>
      </w:pPr>
      <w:r/>
      <w:bookmarkStart w:id="49" w:name="_Toc60923709"/>
      <w:r/>
      <w:bookmarkStart w:id="50" w:name="_Ref495310584"/>
      <w:r>
        <w:rPr>
          <w:rFonts w:hint="eastAsia" w:ascii="宋体" w:hAnsi="宋体" w:eastAsia="宋体" w:cs="宋体"/>
          <w:highlight w:val="none"/>
        </w:rPr>
        <w:t xml:space="preserve">4.</w:t>
      </w:r>
      <w:bookmarkEnd w:id="46"/>
      <w:r/>
      <w:bookmarkEnd w:id="47"/>
      <w:r/>
      <w:bookmarkEnd w:id="49"/>
      <w:r/>
      <w:bookmarkEnd w:id="50"/>
      <w:r>
        <w:rPr>
          <w:rFonts w:hint="eastAsia" w:ascii="宋体" w:hAnsi="宋体" w:eastAsia="宋体" w:cs="宋体"/>
          <w:highlight w:val="none"/>
        </w:rPr>
        <w:t xml:space="preserve">公开分项报价</w:t>
      </w:r>
      <w:r>
        <w:rPr>
          <w:rFonts w:hint="eastAsia" w:ascii="宋体" w:hAnsi="宋体" w:eastAsia="宋体" w:cs="宋体"/>
          <w:highlight w:val="none"/>
        </w:rPr>
      </w:r>
      <w:r/>
    </w:p>
    <w:p>
      <w:pPr>
        <w:pStyle w:val="740"/>
        <w:ind w:left="-210" w:right="-210"/>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公开分项报价表</w:t>
      </w:r>
      <w:r>
        <w:rPr>
          <w:rFonts w:hint="eastAsia" w:ascii="宋体" w:hAnsi="宋体" w:eastAsia="宋体" w:cs="宋体"/>
          <w:color w:val="000000"/>
          <w:sz w:val="36"/>
          <w:szCs w:val="36"/>
          <w:highlight w:val="none"/>
        </w:rPr>
      </w:r>
      <w:r/>
    </w:p>
    <w:p>
      <w:pPr>
        <w:pStyle w:val="740"/>
        <w:ind w:left="-210" w:right="-210"/>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19"/>
        <w:gridCol w:w="6108"/>
        <w:gridCol w:w="857"/>
        <w:gridCol w:w="857"/>
      </w:tblGrid>
      <w:tr>
        <w:trPr>
          <w:trHeight w:val="534"/>
        </w:trPr>
        <w:tc>
          <w:tcPr>
            <w:tcW w:w="1119" w:type="dxa"/>
            <w:vAlign w:val="center"/>
            <w:textDirection w:val="lrTb"/>
            <w:noWrap w:val="false"/>
          </w:tcPr>
          <w:p>
            <w:pPr>
              <w:pStyle w:val="654"/>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rPr>
                <w:rFonts w:hint="eastAsia" w:ascii="宋体" w:hAnsi="宋体" w:eastAsia="宋体" w:cs="宋体"/>
                <w:b/>
                <w:sz w:val="24"/>
                <w:highlight w:val="none"/>
              </w:rPr>
            </w:r>
            <w:r/>
          </w:p>
        </w:tc>
        <w:tc>
          <w:tcPr>
            <w:tcW w:w="6108" w:type="dxa"/>
            <w:vAlign w:val="center"/>
            <w:textDirection w:val="lrTb"/>
            <w:noWrap w:val="false"/>
          </w:tcPr>
          <w:p>
            <w:pPr>
              <w:pStyle w:val="654"/>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内容</w:t>
            </w:r>
            <w:r>
              <w:rPr>
                <w:rFonts w:hint="eastAsia" w:ascii="宋体" w:hAnsi="宋体" w:eastAsia="宋体" w:cs="宋体"/>
                <w:b/>
                <w:sz w:val="24"/>
                <w:highlight w:val="none"/>
              </w:rPr>
            </w:r>
            <w:r/>
          </w:p>
        </w:tc>
        <w:tc>
          <w:tcPr>
            <w:tcW w:w="857" w:type="dxa"/>
            <w:vAlign w:val="center"/>
            <w:textDirection w:val="lrTb"/>
            <w:noWrap w:val="false"/>
          </w:tcPr>
          <w:p>
            <w:pPr>
              <w:pStyle w:val="654"/>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数量</w:t>
            </w:r>
            <w:r>
              <w:rPr>
                <w:rFonts w:hint="eastAsia" w:ascii="宋体" w:hAnsi="宋体" w:eastAsia="宋体" w:cs="宋体"/>
                <w:b/>
                <w:sz w:val="24"/>
                <w:highlight w:val="none"/>
              </w:rPr>
            </w:r>
            <w:r/>
          </w:p>
        </w:tc>
        <w:tc>
          <w:tcPr>
            <w:tcW w:w="857" w:type="dxa"/>
            <w:vAlign w:val="center"/>
            <w:textDirection w:val="lrTb"/>
            <w:noWrap w:val="false"/>
          </w:tcPr>
          <w:p>
            <w:pPr>
              <w:pStyle w:val="654"/>
              <w:jc w:val="cente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价格</w:t>
            </w:r>
            <w:r>
              <w:rPr>
                <w:rFonts w:hint="eastAsia" w:ascii="宋体" w:hAnsi="宋体" w:eastAsia="宋体" w:cs="宋体"/>
                <w:b/>
                <w:sz w:val="24"/>
                <w:highlight w:val="none"/>
              </w:rPr>
            </w:r>
            <w:r/>
          </w:p>
        </w:tc>
      </w:tr>
      <w:tr>
        <w:trPr>
          <w:trHeight w:val="463"/>
        </w:trPr>
        <w:tc>
          <w:tcPr>
            <w:tcW w:w="1119" w:type="dxa"/>
            <w:vAlign w:val="center"/>
            <w:textDirection w:val="lrTb"/>
            <w:noWrap w:val="false"/>
          </w:tcPr>
          <w:p>
            <w:pPr>
              <w:pStyle w:val="654"/>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6108" w:type="dxa"/>
            <w:vAlign w:val="center"/>
            <w:textDirection w:val="lrTb"/>
            <w:noWrap w:val="false"/>
          </w:tcPr>
          <w:p>
            <w:pPr>
              <w:pStyle w:val="654"/>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57" w:type="dxa"/>
            <w:vAlign w:val="top"/>
            <w:textDirection w:val="lrTb"/>
            <w:noWrap w:val="false"/>
          </w:tcPr>
          <w:p>
            <w:pPr>
              <w:pStyle w:val="654"/>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57" w:type="dxa"/>
            <w:vAlign w:val="center"/>
            <w:textDirection w:val="lrTb"/>
            <w:noWrap w:val="false"/>
          </w:tcPr>
          <w:p>
            <w:pPr>
              <w:pStyle w:val="654"/>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360"/>
        </w:trPr>
        <w:tc>
          <w:tcPr>
            <w:tcW w:w="1119" w:type="dxa"/>
            <w:vAlign w:val="center"/>
            <w:textDirection w:val="lrTb"/>
            <w:noWrap w:val="false"/>
          </w:tcPr>
          <w:p>
            <w:pPr>
              <w:pStyle w:val="654"/>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6108" w:type="dxa"/>
            <w:vAlign w:val="center"/>
            <w:textDirection w:val="lrTb"/>
            <w:noWrap w:val="false"/>
          </w:tcPr>
          <w:p>
            <w:pPr>
              <w:pStyle w:val="694"/>
              <w:spacing w:line="400" w:lineRule="exact"/>
              <w:rPr>
                <w:rFonts w:hint="eastAsia" w:ascii="宋体" w:hAnsi="宋体" w:eastAsia="宋体" w:cs="宋体"/>
                <w:szCs w:val="24"/>
                <w:highlight w:val="none"/>
              </w:rPr>
            </w:pPr>
            <w:r>
              <w:rPr>
                <w:rFonts w:hint="eastAsia" w:ascii="宋体" w:hAnsi="宋体" w:eastAsia="宋体" w:cs="宋体"/>
                <w:szCs w:val="24"/>
                <w:highlight w:val="none"/>
              </w:rPr>
            </w:r>
            <w:r/>
          </w:p>
        </w:tc>
        <w:tc>
          <w:tcPr>
            <w:tcW w:w="857" w:type="dxa"/>
            <w:vAlign w:val="top"/>
            <w:textDirection w:val="lrTb"/>
            <w:noWrap w:val="false"/>
          </w:tcPr>
          <w:p>
            <w:pPr>
              <w:pStyle w:val="654"/>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57" w:type="dxa"/>
            <w:vAlign w:val="center"/>
            <w:textDirection w:val="lrTb"/>
            <w:noWrap w:val="false"/>
          </w:tcPr>
          <w:p>
            <w:pPr>
              <w:pStyle w:val="654"/>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360"/>
        </w:trPr>
        <w:tc>
          <w:tcPr>
            <w:tcW w:w="1119" w:type="dxa"/>
            <w:vAlign w:val="center"/>
            <w:textDirection w:val="lrTb"/>
            <w:noWrap w:val="false"/>
          </w:tcPr>
          <w:p>
            <w:pPr>
              <w:pStyle w:val="654"/>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6108" w:type="dxa"/>
            <w:vAlign w:val="center"/>
            <w:textDirection w:val="lrTb"/>
            <w:noWrap w:val="false"/>
          </w:tcPr>
          <w:p>
            <w:pPr>
              <w:pStyle w:val="694"/>
              <w:spacing w:line="400" w:lineRule="exact"/>
              <w:rPr>
                <w:rFonts w:hint="eastAsia" w:ascii="宋体" w:hAnsi="宋体" w:eastAsia="宋体" w:cs="宋体"/>
                <w:szCs w:val="24"/>
                <w:highlight w:val="none"/>
              </w:rPr>
            </w:pPr>
            <w:r>
              <w:rPr>
                <w:rFonts w:hint="eastAsia" w:ascii="宋体" w:hAnsi="宋体" w:eastAsia="宋体" w:cs="宋体"/>
                <w:szCs w:val="24"/>
                <w:highlight w:val="none"/>
              </w:rPr>
            </w:r>
            <w:r/>
          </w:p>
        </w:tc>
        <w:tc>
          <w:tcPr>
            <w:tcW w:w="857" w:type="dxa"/>
            <w:vAlign w:val="top"/>
            <w:textDirection w:val="lrTb"/>
            <w:noWrap w:val="false"/>
          </w:tcPr>
          <w:p>
            <w:pPr>
              <w:pStyle w:val="654"/>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57" w:type="dxa"/>
            <w:vAlign w:val="center"/>
            <w:textDirection w:val="lrTb"/>
            <w:noWrap w:val="false"/>
          </w:tcPr>
          <w:p>
            <w:pPr>
              <w:pStyle w:val="654"/>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360"/>
        </w:trPr>
        <w:tc>
          <w:tcPr>
            <w:tcW w:w="1119" w:type="dxa"/>
            <w:vAlign w:val="center"/>
            <w:textDirection w:val="lrTb"/>
            <w:noWrap w:val="false"/>
          </w:tcPr>
          <w:p>
            <w:pPr>
              <w:pStyle w:val="654"/>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W w:w="6108" w:type="dxa"/>
            <w:vAlign w:val="center"/>
            <w:textDirection w:val="lrTb"/>
            <w:noWrap w:val="false"/>
          </w:tcPr>
          <w:p>
            <w:pPr>
              <w:pStyle w:val="654"/>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57" w:type="dxa"/>
            <w:vAlign w:val="top"/>
            <w:textDirection w:val="lrTb"/>
            <w:noWrap w:val="false"/>
          </w:tcPr>
          <w:p>
            <w:pPr>
              <w:pStyle w:val="654"/>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57" w:type="dxa"/>
            <w:vAlign w:val="center"/>
            <w:textDirection w:val="lrTb"/>
            <w:noWrap w:val="false"/>
          </w:tcPr>
          <w:p>
            <w:pPr>
              <w:pStyle w:val="654"/>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360"/>
        </w:trPr>
        <w:tc>
          <w:tcPr>
            <w:tcW w:w="1119" w:type="dxa"/>
            <w:vAlign w:val="center"/>
            <w:textDirection w:val="lrTb"/>
            <w:noWrap w:val="false"/>
          </w:tcPr>
          <w:p>
            <w:pPr>
              <w:pStyle w:val="654"/>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rPr>
            </w:r>
            <w:r/>
          </w:p>
        </w:tc>
        <w:tc>
          <w:tcPr>
            <w:tcW w:w="6108" w:type="dxa"/>
            <w:vAlign w:val="center"/>
            <w:textDirection w:val="lrTb"/>
            <w:noWrap w:val="false"/>
          </w:tcPr>
          <w:p>
            <w:pPr>
              <w:pStyle w:val="654"/>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57" w:type="dxa"/>
            <w:vAlign w:val="top"/>
            <w:textDirection w:val="lrTb"/>
            <w:noWrap w:val="false"/>
          </w:tcPr>
          <w:p>
            <w:pPr>
              <w:pStyle w:val="654"/>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57" w:type="dxa"/>
            <w:vAlign w:val="center"/>
            <w:textDirection w:val="lrTb"/>
            <w:noWrap w:val="false"/>
          </w:tcPr>
          <w:p>
            <w:pPr>
              <w:pStyle w:val="654"/>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360"/>
        </w:trPr>
        <w:tc>
          <w:tcPr>
            <w:tcW w:w="1119" w:type="dxa"/>
            <w:vAlign w:val="center"/>
            <w:textDirection w:val="lrTb"/>
            <w:noWrap w:val="false"/>
          </w:tcPr>
          <w:p>
            <w:pPr>
              <w:pStyle w:val="654"/>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tc>
        <w:tc>
          <w:tcPr>
            <w:tcW w:w="6108" w:type="dxa"/>
            <w:vAlign w:val="center"/>
            <w:textDirection w:val="lrTb"/>
            <w:noWrap w:val="false"/>
          </w:tcPr>
          <w:p>
            <w:pPr>
              <w:pStyle w:val="654"/>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7" w:type="dxa"/>
            <w:vAlign w:val="top"/>
            <w:textDirection w:val="lrTb"/>
            <w:noWrap w:val="false"/>
          </w:tcPr>
          <w:p>
            <w:pPr>
              <w:pStyle w:val="654"/>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857" w:type="dxa"/>
            <w:vAlign w:val="center"/>
            <w:textDirection w:val="lrTb"/>
            <w:noWrap w:val="false"/>
          </w:tcPr>
          <w:p>
            <w:pPr>
              <w:pStyle w:val="654"/>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360"/>
        </w:trPr>
        <w:tc>
          <w:tcPr>
            <w:tcW w:w="1119" w:type="dxa"/>
            <w:vAlign w:val="center"/>
            <w:textDirection w:val="lrTb"/>
            <w:noWrap w:val="false"/>
          </w:tcPr>
          <w:p>
            <w:pPr>
              <w:pStyle w:val="740"/>
              <w:ind w:left="29" w:right="-21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最终报价</w:t>
            </w:r>
            <w:r>
              <w:rPr>
                <w:rFonts w:hint="eastAsia" w:ascii="宋体" w:hAnsi="宋体" w:eastAsia="宋体" w:cs="宋体"/>
                <w:color w:val="000000"/>
                <w:sz w:val="24"/>
                <w:szCs w:val="24"/>
                <w:highlight w:val="none"/>
              </w:rPr>
            </w:r>
            <w:r/>
          </w:p>
        </w:tc>
        <w:tc>
          <w:tcPr>
            <w:gridSpan w:val="3"/>
            <w:tcW w:w="7822" w:type="dxa"/>
            <w:vAlign w:val="top"/>
            <w:textDirection w:val="lrTb"/>
            <w:noWrap w:val="false"/>
          </w:tcPr>
          <w:p>
            <w:pPr>
              <w:pStyle w:val="654"/>
              <w:jc w:val="center"/>
              <w:spacing w:line="40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金额大写：人民币元（¥：）</w:t>
            </w:r>
            <w:r>
              <w:rPr>
                <w:rFonts w:hint="eastAsia" w:ascii="宋体" w:hAnsi="宋体" w:eastAsia="宋体" w:cs="宋体"/>
                <w:sz w:val="24"/>
                <w:highlight w:val="none"/>
              </w:rPr>
            </w:r>
            <w:r/>
          </w:p>
        </w:tc>
      </w:tr>
    </w:tbl>
    <w:p>
      <w:pPr>
        <w:pStyle w:val="82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投标人：（单位盖章）</w:t>
      </w:r>
      <w:r>
        <w:rPr>
          <w:rFonts w:hint="eastAsia" w:ascii="宋体" w:hAnsi="宋体" w:eastAsia="宋体" w:cs="宋体"/>
          <w:color w:val="000000"/>
          <w:sz w:val="24"/>
          <w:szCs w:val="24"/>
          <w:highlight w:val="none"/>
        </w:rPr>
      </w:r>
      <w:r/>
    </w:p>
    <w:p>
      <w:pPr>
        <w:pStyle w:val="82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法定代表人或被授权人：（签字或盖章）              日期：   年   月  日</w:t>
      </w:r>
      <w:r>
        <w:rPr>
          <w:rFonts w:hint="eastAsia" w:ascii="宋体" w:hAnsi="宋体" w:eastAsia="宋体" w:cs="宋体"/>
          <w:color w:val="000000"/>
          <w:sz w:val="24"/>
          <w:szCs w:val="24"/>
          <w:highlight w:val="none"/>
        </w:rPr>
      </w:r>
      <w:r/>
    </w:p>
    <w:p>
      <w:pPr>
        <w:pStyle w:val="65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4"/>
        <w:rPr>
          <w:rFonts w:hint="eastAsia" w:ascii="宋体" w:hAnsi="宋体" w:eastAsia="宋体" w:cs="宋体"/>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sz w:val="24"/>
          <w:highlight w:val="none"/>
        </w:rPr>
        <w:t xml:space="preserve">本表中的报价为综合报价，应包括完成该项工作所需的一切费用，包含但不限于人工、材料、机械、管理、维护、保险、利润、税金、通讯器材、办公设备、检测仪器、政策性文件规定及合同包含的所有风险、责任等各项应有费用</w:t>
      </w:r>
      <w:r>
        <w:rPr>
          <w:rFonts w:hint="eastAsia" w:ascii="宋体" w:hAnsi="宋体" w:eastAsia="宋体" w:cs="宋体"/>
          <w:color w:val="000000"/>
          <w:sz w:val="24"/>
          <w:highlight w:val="none"/>
        </w:rPr>
        <w:t xml:space="preserve">。</w:t>
      </w:r>
      <w:r>
        <w:rPr>
          <w:rFonts w:hint="eastAsia" w:ascii="宋体" w:hAnsi="宋体" w:eastAsia="宋体" w:cs="宋体"/>
          <w:sz w:val="24"/>
          <w:highlight w:val="none"/>
        </w:rPr>
      </w:r>
      <w:r/>
    </w:p>
    <w:p>
      <w:pPr>
        <w:pStyle w:val="654"/>
        <w:ind w:right="210" w:firstLine="425"/>
        <w:jc w:val="right"/>
        <w:spacing w:line="400" w:lineRule="exact"/>
        <w:rPr>
          <w:rFonts w:hint="eastAsia" w:ascii="宋体" w:hAnsi="宋体" w:eastAsia="宋体" w:cs="宋体"/>
          <w:sz w:val="24"/>
          <w:highlight w:val="none"/>
        </w:rPr>
      </w:pPr>
      <w:r/>
      <w:bookmarkStart w:id="51" w:name="_Ref371413755"/>
      <w:r/>
      <w:bookmarkEnd w:id="51"/>
      <w:r>
        <w:rPr>
          <w:rFonts w:hint="eastAsia" w:ascii="宋体" w:hAnsi="宋体" w:eastAsia="宋体" w:cs="宋体"/>
          <w:sz w:val="24"/>
          <w:highlight w:val="none"/>
        </w:rPr>
        <w:t xml:space="preserve">投标单位：（单位盖章）</w:t>
      </w:r>
      <w:r>
        <w:rPr>
          <w:rFonts w:hint="eastAsia" w:ascii="宋体" w:hAnsi="宋体" w:eastAsia="宋体" w:cs="宋体"/>
          <w:sz w:val="24"/>
          <w:highlight w:val="none"/>
        </w:rPr>
      </w:r>
      <w:r/>
    </w:p>
    <w:p>
      <w:pPr>
        <w:pStyle w:val="654"/>
        <w:jc w:val="righ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法定代表人或授权委托人：（签字或盖章）</w:t>
      </w:r>
      <w:r>
        <w:rPr>
          <w:rFonts w:hint="eastAsia" w:ascii="宋体" w:hAnsi="宋体" w:eastAsia="宋体" w:cs="宋体"/>
          <w:sz w:val="24"/>
          <w:highlight w:val="none"/>
        </w:rPr>
      </w:r>
      <w:r/>
    </w:p>
    <w:p>
      <w:pPr>
        <w:pStyle w:val="654"/>
        <w:jc w:val="righ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年月日</w:t>
      </w:r>
      <w:r>
        <w:rPr>
          <w:rFonts w:hint="eastAsia" w:ascii="宋体" w:hAnsi="宋体" w:eastAsia="宋体" w:cs="宋体"/>
          <w:sz w:val="24"/>
          <w:highlight w:val="none"/>
        </w:rPr>
      </w:r>
      <w:r/>
    </w:p>
    <w:p>
      <w:pPr>
        <w:pStyle w:val="654"/>
        <w:jc w:val="right"/>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656"/>
        <w:rPr>
          <w:rFonts w:hint="eastAsia" w:ascii="宋体" w:hAnsi="宋体" w:eastAsia="宋体" w:cs="宋体"/>
          <w:highlight w:val="none"/>
        </w:rPr>
      </w:pPr>
      <w:r/>
      <w:bookmarkStart w:id="52" w:name="_Ref433185082"/>
      <w:r/>
      <w:bookmarkEnd w:id="52"/>
      <w:r/>
      <w:bookmarkStart w:id="53" w:name="_Ref360464503"/>
      <w:r/>
      <w:bookmarkEnd w:id="53"/>
      <w:r/>
      <w:bookmarkStart w:id="54" w:name="_Ref360464511"/>
      <w:r/>
      <w:bookmarkEnd w:id="54"/>
      <w:r/>
      <w:bookmarkStart w:id="55" w:name="_Ref444589046"/>
      <w:r/>
      <w:bookmarkStart w:id="56" w:name="_Toc471296035"/>
      <w:r>
        <w:rPr>
          <w:rFonts w:hint="eastAsia" w:ascii="宋体" w:hAnsi="宋体" w:eastAsia="宋体" w:cs="宋体"/>
          <w:highlight w:val="none"/>
        </w:rPr>
        <w:br w:type="page" w:clear="all"/>
      </w:r>
      <w:bookmarkStart w:id="57" w:name="_Ref495310597"/>
      <w:r/>
      <w:bookmarkStart w:id="58" w:name="_Ref67220111"/>
      <w:r/>
      <w:bookmarkStart w:id="59" w:name="_Toc60923710"/>
      <w:r>
        <w:rPr>
          <w:rFonts w:hint="eastAsia" w:ascii="宋体" w:hAnsi="宋体" w:eastAsia="宋体" w:cs="宋体"/>
          <w:highlight w:val="none"/>
        </w:rPr>
        <w:t xml:space="preserve">5.</w:t>
      </w:r>
      <w:bookmarkEnd w:id="57"/>
      <w:r/>
      <w:bookmarkEnd w:id="58"/>
      <w:r/>
      <w:bookmarkEnd w:id="59"/>
      <w:r>
        <w:rPr>
          <w:rFonts w:hint="eastAsia" w:ascii="宋体" w:hAnsi="宋体" w:eastAsia="宋体" w:cs="宋体"/>
          <w:highlight w:val="none"/>
        </w:rPr>
        <w:t xml:space="preserve">投标承诺函</w:t>
      </w:r>
      <w:r>
        <w:rPr>
          <w:rFonts w:hint="eastAsia" w:ascii="宋体" w:hAnsi="宋体" w:eastAsia="宋体" w:cs="宋体"/>
          <w:highlight w:val="none"/>
        </w:rPr>
      </w:r>
      <w:r/>
    </w:p>
    <w:p>
      <w:pPr>
        <w:pStyle w:val="654"/>
        <w:jc w:val="center"/>
        <w:spacing w:line="28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654"/>
        <w:jc w:val="cente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投标承诺函</w:t>
      </w:r>
      <w:r>
        <w:rPr>
          <w:rFonts w:hint="eastAsia" w:ascii="宋体" w:hAnsi="宋体" w:eastAsia="宋体" w:cs="宋体"/>
          <w:sz w:val="32"/>
          <w:szCs w:val="32"/>
          <w:highlight w:val="none"/>
        </w:rPr>
      </w:r>
      <w:r/>
    </w:p>
    <w:p>
      <w:pPr>
        <w:pStyle w:val="654"/>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654"/>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致：___________________________(采购人名称）</w:t>
      </w:r>
      <w:r>
        <w:rPr>
          <w:rFonts w:hint="eastAsia" w:ascii="宋体" w:hAnsi="宋体" w:eastAsia="宋体" w:cs="宋体"/>
          <w:sz w:val="24"/>
          <w:highlight w:val="none"/>
        </w:rPr>
      </w:r>
      <w:r/>
    </w:p>
    <w:p>
      <w:pPr>
        <w:pStyle w:val="654"/>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我单位自愿参加___________________（项目名称）的投标，并做出如下承诺：</w:t>
      </w:r>
      <w:r>
        <w:rPr>
          <w:rFonts w:hint="eastAsia" w:ascii="宋体" w:hAnsi="宋体" w:eastAsia="宋体" w:cs="宋体"/>
          <w:sz w:val="24"/>
          <w:highlight w:val="none"/>
        </w:rPr>
      </w:r>
      <w:r/>
    </w:p>
    <w:p>
      <w:pPr>
        <w:pStyle w:val="654"/>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一、除不可抗力外，我单位如果发生以下行为，将在行为发生的10个工作日内，向贵方支付本采购文件公布的预算价的2%作为违约赔偿金。</w:t>
      </w:r>
      <w:r>
        <w:rPr>
          <w:rFonts w:hint="eastAsia" w:ascii="宋体" w:hAnsi="宋体" w:eastAsia="宋体" w:cs="宋体"/>
          <w:sz w:val="24"/>
          <w:highlight w:val="none"/>
        </w:rPr>
      </w:r>
      <w:r/>
    </w:p>
    <w:p>
      <w:pPr>
        <w:pStyle w:val="654"/>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1、在采购文件规定的投标(响应)有效期内实质上修改或撤回投标；</w:t>
      </w:r>
      <w:r>
        <w:rPr>
          <w:rFonts w:hint="eastAsia" w:ascii="宋体" w:hAnsi="宋体" w:eastAsia="宋体" w:cs="宋体"/>
          <w:sz w:val="24"/>
          <w:highlight w:val="none"/>
        </w:rPr>
      </w:r>
      <w:r/>
    </w:p>
    <w:p>
      <w:pPr>
        <w:pStyle w:val="654"/>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2、中标(成交)后不依法与采购人签订合同；</w:t>
      </w:r>
      <w:r>
        <w:rPr>
          <w:rFonts w:hint="eastAsia" w:ascii="宋体" w:hAnsi="宋体" w:eastAsia="宋体" w:cs="宋体"/>
          <w:sz w:val="24"/>
          <w:highlight w:val="none"/>
        </w:rPr>
      </w:r>
      <w:r/>
    </w:p>
    <w:p>
      <w:pPr>
        <w:pStyle w:val="654"/>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3、在投标（响应）文件中提供虚假材料；</w:t>
      </w:r>
      <w:r>
        <w:rPr>
          <w:rFonts w:hint="eastAsia" w:ascii="宋体" w:hAnsi="宋体" w:eastAsia="宋体" w:cs="宋体"/>
          <w:sz w:val="24"/>
          <w:highlight w:val="none"/>
        </w:rPr>
      </w:r>
      <w:r/>
    </w:p>
    <w:p>
      <w:pPr>
        <w:pStyle w:val="654"/>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4、恶意串通；</w:t>
      </w:r>
      <w:r>
        <w:rPr>
          <w:rFonts w:hint="eastAsia" w:ascii="宋体" w:hAnsi="宋体" w:eastAsia="宋体" w:cs="宋体"/>
          <w:sz w:val="24"/>
          <w:highlight w:val="none"/>
        </w:rPr>
      </w:r>
      <w:r/>
    </w:p>
    <w:p>
      <w:pPr>
        <w:pStyle w:val="654"/>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5、其他违法违规情形。</w:t>
      </w:r>
      <w:r>
        <w:rPr>
          <w:rFonts w:hint="eastAsia" w:ascii="宋体" w:hAnsi="宋体" w:eastAsia="宋体" w:cs="宋体"/>
          <w:sz w:val="24"/>
          <w:highlight w:val="none"/>
        </w:rPr>
      </w:r>
      <w:r/>
    </w:p>
    <w:p>
      <w:pPr>
        <w:pStyle w:val="654"/>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二、我单位知晓上述行为的法律后果，承认本承诺书作为贵方要求我单位履行违约赔偿义务的依据作用。</w:t>
      </w:r>
      <w:r>
        <w:rPr>
          <w:rFonts w:hint="eastAsia" w:ascii="宋体" w:hAnsi="宋体" w:eastAsia="宋体" w:cs="宋体"/>
          <w:sz w:val="24"/>
          <w:highlight w:val="none"/>
        </w:rPr>
      </w:r>
      <w:r/>
    </w:p>
    <w:p>
      <w:pPr>
        <w:pStyle w:val="654"/>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654"/>
        <w:ind w:firstLine="480"/>
        <w:jc w:val="righ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投标单位（单位盖章）：</w:t>
      </w:r>
      <w:r>
        <w:rPr>
          <w:rFonts w:hint="eastAsia" w:ascii="宋体" w:hAnsi="宋体" w:eastAsia="宋体" w:cs="宋体"/>
          <w:sz w:val="24"/>
          <w:highlight w:val="none"/>
        </w:rPr>
      </w:r>
      <w:r/>
    </w:p>
    <w:p>
      <w:pPr>
        <w:pStyle w:val="757"/>
        <w:ind w:firstLine="48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法定代表人或授权委托人：（签字并盖章）</w:t>
      </w:r>
      <w:r>
        <w:rPr>
          <w:rFonts w:hint="eastAsia" w:ascii="宋体" w:hAnsi="宋体" w:eastAsia="宋体" w:cs="宋体"/>
          <w:sz w:val="24"/>
          <w:szCs w:val="24"/>
          <w:highlight w:val="none"/>
        </w:rPr>
      </w:r>
      <w:r/>
    </w:p>
    <w:p>
      <w:pPr>
        <w:pStyle w:val="717"/>
        <w:ind w:firstLine="0"/>
        <w:jc w:val="righ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年月日</w:t>
      </w:r>
      <w:r>
        <w:rPr>
          <w:rFonts w:hint="eastAsia" w:ascii="宋体" w:hAnsi="宋体" w:eastAsia="宋体" w:cs="宋体"/>
          <w:sz w:val="24"/>
          <w:highlight w:val="none"/>
        </w:rPr>
      </w:r>
      <w:r/>
    </w:p>
    <w:p>
      <w:pPr>
        <w:pStyle w:val="654"/>
        <w:jc w:val="right"/>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717"/>
        <w:rPr>
          <w:rFonts w:hint="eastAsia" w:ascii="宋体" w:hAnsi="宋体" w:eastAsia="宋体" w:cs="宋体"/>
          <w:highlight w:val="none"/>
        </w:rPr>
      </w:pPr>
      <w:r>
        <w:rPr>
          <w:rFonts w:hint="eastAsia" w:ascii="宋体" w:hAnsi="宋体" w:eastAsia="宋体" w:cs="宋体"/>
          <w:highlight w:val="none"/>
        </w:rPr>
      </w:r>
      <w:r/>
    </w:p>
    <w:p>
      <w:pPr>
        <w:pStyle w:val="654"/>
        <w:jc w:val="left"/>
        <w:widowControl/>
        <w:rPr>
          <w:rFonts w:hint="eastAsia" w:ascii="宋体" w:hAnsi="宋体" w:eastAsia="宋体" w:cs="宋体"/>
          <w:szCs w:val="21"/>
          <w:highlight w:val="none"/>
        </w:rPr>
      </w:pPr>
      <w:r>
        <w:rPr>
          <w:rFonts w:hint="eastAsia" w:ascii="宋体" w:hAnsi="宋体" w:eastAsia="宋体" w:cs="宋体"/>
          <w:szCs w:val="21"/>
          <w:highlight w:val="none"/>
        </w:rPr>
      </w:r>
      <w:r/>
    </w:p>
    <w:p>
      <w:pPr>
        <w:pStyle w:val="656"/>
        <w:rPr>
          <w:rFonts w:hint="eastAsia" w:ascii="宋体" w:hAnsi="宋体" w:eastAsia="宋体" w:cs="宋体"/>
          <w:highlight w:val="none"/>
        </w:rPr>
      </w:pPr>
      <w:r/>
      <w:bookmarkStart w:id="60" w:name="_Ref495310620"/>
      <w:r/>
      <w:bookmarkStart w:id="61" w:name="_Ref495565585"/>
      <w:r/>
      <w:bookmarkStart w:id="62" w:name="_Toc60923712"/>
      <w:r/>
      <w:bookmarkStart w:id="63" w:name="_Ref73885808"/>
      <w:r/>
      <w:bookmarkStart w:id="64" w:name="_Ref65507720"/>
      <w:r/>
      <w:bookmarkStart w:id="65" w:name="_Ref67220117"/>
      <w:r>
        <w:rPr>
          <w:rFonts w:hint="eastAsia" w:ascii="宋体" w:hAnsi="宋体" w:eastAsia="宋体" w:cs="宋体"/>
          <w:highlight w:val="none"/>
        </w:rPr>
        <w:br w:type="page" w:clear="all"/>
      </w:r>
      <w:r>
        <w:rPr>
          <w:rFonts w:hint="eastAsia" w:ascii="宋体" w:hAnsi="宋体" w:eastAsia="宋体" w:cs="宋体"/>
          <w:highlight w:val="none"/>
        </w:rPr>
        <w:t xml:space="preserve">6.投标单位情况表</w:t>
      </w:r>
      <w:bookmarkEnd w:id="55"/>
      <w:r/>
      <w:bookmarkEnd w:id="56"/>
      <w:r/>
      <w:bookmarkEnd w:id="60"/>
      <w:r/>
      <w:bookmarkEnd w:id="61"/>
      <w:r/>
      <w:bookmarkEnd w:id="62"/>
      <w:r/>
      <w:bookmarkEnd w:id="63"/>
      <w:r/>
      <w:bookmarkEnd w:id="64"/>
      <w:r/>
      <w:bookmarkEnd w:id="65"/>
      <w:r>
        <w:rPr>
          <w:rFonts w:hint="eastAsia" w:ascii="宋体" w:hAnsi="宋体" w:eastAsia="宋体" w:cs="宋体"/>
          <w:highlight w:val="none"/>
        </w:rPr>
      </w:r>
      <w:r/>
    </w:p>
    <w:tbl>
      <w:tblPr>
        <w:tblW w:w="9262" w:type="dxa"/>
        <w:tblInd w:w="-10" w:type="dxa"/>
        <w:tblLayout w:type="autofit"/>
        <w:tblCellMar>
          <w:left w:w="108" w:type="dxa"/>
          <w:top w:w="0" w:type="dxa"/>
          <w:right w:w="108" w:type="dxa"/>
          <w:bottom w:w="0" w:type="dxa"/>
        </w:tblCellMar>
        <w:tblLook w:val="04A0" w:firstRow="1" w:lastRow="0" w:firstColumn="1" w:lastColumn="0" w:noHBand="0" w:noVBand="1"/>
      </w:tblPr>
      <w:tblGrid>
        <w:gridCol w:w="2982"/>
        <w:gridCol w:w="1971"/>
        <w:gridCol w:w="1527"/>
        <w:gridCol w:w="1547"/>
        <w:gridCol w:w="1235"/>
      </w:tblGrid>
      <w:tr>
        <w:trP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成立日期</w:t>
            </w:r>
            <w:r>
              <w:rPr>
                <w:rFonts w:hint="eastAsia" w:ascii="宋体" w:hAnsi="宋体" w:eastAsia="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企业地址</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注册资本</w:t>
            </w:r>
            <w:r>
              <w:rPr>
                <w:rFonts w:hint="eastAsia" w:ascii="宋体" w:hAnsi="宋体" w:eastAsia="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r>
      <w:tr>
        <w:trPr>
          <w:trHeight w:val="44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经营范围</w:t>
            </w:r>
            <w:r>
              <w:rPr>
                <w:rFonts w:hint="eastAsia" w:ascii="宋体" w:hAnsi="宋体" w:eastAsia="宋体" w:cs="宋体"/>
                <w:szCs w:val="21"/>
                <w:highlight w:val="none"/>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5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职工人数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74"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其中：有中高级以上职称的人数</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35"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4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资产总计</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净资产</w:t>
            </w:r>
            <w:r>
              <w:rPr>
                <w:rFonts w:hint="eastAsia" w:ascii="宋体" w:hAnsi="宋体" w:eastAsia="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r>
      <w:tr>
        <w:trPr>
          <w:trHeight w:val="46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股东权益</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销售收入</w:t>
            </w:r>
            <w:r>
              <w:rPr>
                <w:rFonts w:hint="eastAsia" w:ascii="宋体" w:hAnsi="宋体" w:eastAsia="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5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实现利润</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销售数量</w:t>
            </w:r>
            <w:r>
              <w:rPr>
                <w:rFonts w:hint="eastAsia" w:ascii="宋体" w:hAnsi="宋体" w:eastAsia="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营业面积</w:t>
            </w:r>
            <w:r>
              <w:rPr>
                <w:rFonts w:hint="eastAsia" w:ascii="宋体" w:hAnsi="宋体" w:eastAsia="宋体" w:cs="宋体"/>
                <w:szCs w:val="21"/>
                <w:highlight w:val="none"/>
              </w:rPr>
            </w:r>
            <w:r/>
          </w:p>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（含厂房面积）</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971"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平方米</w:t>
            </w:r>
            <w:r>
              <w:rPr>
                <w:rFonts w:hint="eastAsia" w:ascii="宋体" w:hAnsi="宋体" w:eastAsia="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其中：</w:t>
            </w:r>
            <w:r>
              <w:rPr>
                <w:rFonts w:hint="eastAsia" w:ascii="宋体" w:hAnsi="宋体" w:eastAsia="宋体" w:cs="宋体"/>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自有面积平方米</w:t>
            </w:r>
            <w:r>
              <w:rPr>
                <w:rFonts w:hint="eastAsia" w:ascii="宋体" w:hAnsi="宋体" w:eastAsia="宋体" w:cs="宋体"/>
                <w:szCs w:val="21"/>
                <w:highlight w:val="none"/>
              </w:rPr>
            </w:r>
            <w:r/>
          </w:p>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承租面积平方米</w:t>
            </w:r>
            <w:r>
              <w:rPr>
                <w:rFonts w:hint="eastAsia" w:ascii="宋体" w:hAnsi="宋体" w:eastAsia="宋体" w:cs="宋体"/>
                <w:szCs w:val="21"/>
                <w:highlight w:val="none"/>
              </w:rPr>
            </w:r>
            <w:r/>
          </w:p>
        </w:tc>
      </w:tr>
      <w:tr>
        <w:trPr>
          <w:trHeight w:val="58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单位简历及内设机构情况</w:t>
            </w:r>
            <w:r>
              <w:rPr>
                <w:rFonts w:hint="eastAsia" w:ascii="宋体" w:hAnsi="宋体" w:eastAsia="宋体" w:cs="宋体"/>
                <w:szCs w:val="21"/>
                <w:highlight w:val="none"/>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123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单位优势及特长</w:t>
            </w:r>
            <w:r>
              <w:rPr>
                <w:rFonts w:hint="eastAsia" w:ascii="宋体" w:hAnsi="宋体" w:eastAsia="宋体" w:cs="宋体"/>
                <w:szCs w:val="21"/>
                <w:highlight w:val="none"/>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142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近三年来完成或正在履行的重大合同情况</w:t>
            </w:r>
            <w:r>
              <w:rPr>
                <w:rFonts w:hint="eastAsia" w:ascii="宋体" w:hAnsi="宋体" w:eastAsia="宋体" w:cs="宋体"/>
                <w:szCs w:val="21"/>
                <w:highlight w:val="none"/>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654"/>
              <w:rPr>
                <w:rFonts w:hint="eastAsia" w:ascii="宋体" w:hAnsi="宋体" w:eastAsia="宋体" w:cs="宋体"/>
                <w:highlight w:val="none"/>
              </w:rPr>
            </w:pPr>
            <w:r>
              <w:rPr>
                <w:rFonts w:hint="eastAsia" w:ascii="宋体" w:hAnsi="宋体" w:eastAsia="宋体" w:cs="宋体"/>
                <w:highlight w:val="none"/>
              </w:rPr>
            </w:r>
            <w:r/>
          </w:p>
          <w:p>
            <w:pPr>
              <w:pStyle w:val="654"/>
              <w:rPr>
                <w:rFonts w:hint="eastAsia" w:ascii="宋体" w:hAnsi="宋体" w:eastAsia="宋体" w:cs="宋体"/>
                <w:highlight w:val="none"/>
              </w:rPr>
            </w:pPr>
            <w:r>
              <w:rPr>
                <w:rFonts w:hint="eastAsia" w:ascii="宋体" w:hAnsi="宋体" w:eastAsia="宋体" w:cs="宋体"/>
                <w:highlight w:val="none"/>
              </w:rPr>
            </w:r>
            <w:r/>
          </w:p>
        </w:tc>
      </w:tr>
      <w:tr>
        <w:trPr>
          <w:trHeight w:val="124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最近2年内在经营过程中受到何种奖励或处分</w:t>
            </w:r>
            <w:r>
              <w:rPr>
                <w:rFonts w:hint="eastAsia" w:ascii="宋体" w:hAnsi="宋体" w:eastAsia="宋体" w:cs="宋体"/>
                <w:szCs w:val="21"/>
                <w:highlight w:val="none"/>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156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最近3年内有无因售假、售劣或是其他原因被消费者投诉或起诉的情况及说明</w:t>
            </w:r>
            <w:r>
              <w:rPr>
                <w:rFonts w:hint="eastAsia" w:ascii="宋体" w:hAnsi="宋体" w:eastAsia="宋体" w:cs="宋体"/>
                <w:szCs w:val="21"/>
                <w:highlight w:val="none"/>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125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其他需要说明的情况</w:t>
            </w:r>
            <w:r>
              <w:rPr>
                <w:rFonts w:hint="eastAsia" w:ascii="宋体" w:hAnsi="宋体" w:eastAsia="宋体" w:cs="宋体"/>
                <w:szCs w:val="21"/>
                <w:highlight w:val="none"/>
              </w:rPr>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80" w:type="dxa"/>
            <w:vAlign w:val="top"/>
            <w:textDirection w:val="lrTb"/>
            <w:noWrap w:val="false"/>
          </w:tcPr>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654"/>
              <w:spacing w:line="280" w:lineRule="exact"/>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654"/>
        <w:spacing w:line="28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654"/>
        <w:ind w:right="210" w:firstLine="425"/>
        <w:jc w:val="righ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投标单位：（单位盖章）</w:t>
      </w:r>
      <w:r>
        <w:rPr>
          <w:rFonts w:hint="eastAsia" w:ascii="宋体" w:hAnsi="宋体" w:eastAsia="宋体" w:cs="宋体"/>
          <w:szCs w:val="21"/>
          <w:highlight w:val="none"/>
        </w:rPr>
      </w:r>
      <w:r/>
    </w:p>
    <w:p>
      <w:pPr>
        <w:pStyle w:val="654"/>
        <w:jc w:val="righ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法定代表人或授权委托人：（签字或盖章）</w:t>
      </w:r>
      <w:r>
        <w:rPr>
          <w:rFonts w:hint="eastAsia" w:ascii="宋体" w:hAnsi="宋体" w:eastAsia="宋体" w:cs="宋体"/>
          <w:szCs w:val="21"/>
          <w:highlight w:val="none"/>
        </w:rPr>
      </w:r>
      <w:r/>
    </w:p>
    <w:p>
      <w:pPr>
        <w:pStyle w:val="654"/>
        <w:ind w:firstLine="6930"/>
        <w:spacing w:line="280" w:lineRule="exact"/>
        <w:rPr>
          <w:rFonts w:hint="eastAsia" w:ascii="宋体" w:hAnsi="宋体" w:eastAsia="宋体" w:cs="宋体"/>
          <w:b/>
          <w:sz w:val="24"/>
          <w:highlight w:val="none"/>
        </w:rPr>
      </w:pPr>
      <w:r>
        <w:rPr>
          <w:rFonts w:hint="eastAsia" w:ascii="宋体" w:hAnsi="宋体" w:eastAsia="宋体" w:cs="宋体"/>
          <w:szCs w:val="21"/>
          <w:highlight w:val="none"/>
        </w:rPr>
        <w:t xml:space="preserve">年月日</w:t>
      </w:r>
      <w:r>
        <w:rPr>
          <w:rFonts w:hint="eastAsia" w:ascii="宋体" w:hAnsi="宋体" w:eastAsia="宋体" w:cs="宋体"/>
          <w:b/>
          <w:sz w:val="24"/>
          <w:highlight w:val="none"/>
        </w:rPr>
      </w:r>
      <w:r/>
    </w:p>
    <w:p>
      <w:pPr>
        <w:pStyle w:val="656"/>
        <w:rPr>
          <w:rFonts w:hint="eastAsia" w:ascii="宋体" w:hAnsi="宋体" w:eastAsia="宋体" w:cs="宋体"/>
          <w:highlight w:val="none"/>
        </w:rPr>
      </w:pPr>
      <w:r/>
      <w:bookmarkStart w:id="66" w:name="_Ref360464517"/>
      <w:r/>
      <w:bookmarkEnd w:id="66"/>
      <w:r/>
      <w:bookmarkStart w:id="67" w:name="_Toc60923713"/>
      <w:r/>
      <w:bookmarkStart w:id="68" w:name="_Ref444589069"/>
      <w:r/>
      <w:bookmarkStart w:id="69" w:name="_Toc471296036"/>
      <w:r>
        <w:rPr>
          <w:rFonts w:hint="eastAsia" w:ascii="宋体" w:hAnsi="宋体" w:eastAsia="宋体" w:cs="宋体"/>
          <w:highlight w:val="none"/>
        </w:rPr>
        <w:t xml:space="preserve">7.偏离表（技术、商务）</w:t>
      </w:r>
      <w:bookmarkEnd w:id="67"/>
      <w:r/>
      <w:bookmarkEnd w:id="68"/>
      <w:r/>
      <w:bookmarkEnd w:id="69"/>
      <w:r>
        <w:rPr>
          <w:rFonts w:hint="eastAsia" w:ascii="宋体" w:hAnsi="宋体" w:eastAsia="宋体" w:cs="宋体"/>
          <w:highlight w:val="none"/>
        </w:rPr>
      </w:r>
      <w:r/>
    </w:p>
    <w:p>
      <w:pPr>
        <w:pStyle w:val="654"/>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偏离表（技术、商务）</w:t>
      </w:r>
      <w:r>
        <w:rPr>
          <w:rFonts w:hint="eastAsia" w:ascii="宋体" w:hAnsi="宋体" w:eastAsia="宋体" w:cs="宋体"/>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409"/>
        <w:gridCol w:w="2410"/>
        <w:gridCol w:w="2552"/>
      </w:tblGrid>
      <w:tr>
        <w:trPr/>
        <w:tc>
          <w:tcPr>
            <w:tcW w:w="2235" w:type="dxa"/>
            <w:vAlign w:val="top"/>
            <w:textDirection w:val="lrTb"/>
            <w:noWrap w:val="false"/>
          </w:tcPr>
          <w:p>
            <w:pPr>
              <w:pStyle w:val="67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rPr>
            </w:r>
            <w:r/>
          </w:p>
        </w:tc>
        <w:tc>
          <w:tcPr>
            <w:tcW w:w="2409" w:type="dxa"/>
            <w:vAlign w:val="top"/>
            <w:textDirection w:val="lrTb"/>
            <w:noWrap w:val="false"/>
          </w:tcPr>
          <w:p>
            <w:pPr>
              <w:pStyle w:val="67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招标要求</w:t>
            </w:r>
            <w:r>
              <w:rPr>
                <w:rFonts w:hint="eastAsia" w:ascii="宋体" w:hAnsi="宋体" w:eastAsia="宋体" w:cs="宋体"/>
                <w:color w:val="000000"/>
                <w:sz w:val="21"/>
                <w:szCs w:val="21"/>
                <w:highlight w:val="none"/>
              </w:rPr>
            </w:r>
            <w:r/>
          </w:p>
        </w:tc>
        <w:tc>
          <w:tcPr>
            <w:tcW w:w="2410" w:type="dxa"/>
            <w:vAlign w:val="top"/>
            <w:textDirection w:val="lrTb"/>
            <w:noWrap w:val="false"/>
          </w:tcPr>
          <w:p>
            <w:pPr>
              <w:pStyle w:val="67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投标内容</w:t>
            </w:r>
            <w:r>
              <w:rPr>
                <w:rFonts w:hint="eastAsia" w:ascii="宋体" w:hAnsi="宋体" w:eastAsia="宋体" w:cs="宋体"/>
                <w:color w:val="000000"/>
                <w:sz w:val="21"/>
                <w:szCs w:val="21"/>
                <w:highlight w:val="none"/>
              </w:rPr>
            </w:r>
            <w:r/>
          </w:p>
        </w:tc>
        <w:tc>
          <w:tcPr>
            <w:tcW w:w="2552" w:type="dxa"/>
            <w:vAlign w:val="top"/>
            <w:textDirection w:val="lrTb"/>
            <w:noWrap w:val="false"/>
          </w:tcPr>
          <w:p>
            <w:pPr>
              <w:pStyle w:val="678"/>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偏离说明</w:t>
            </w:r>
            <w:r>
              <w:rPr>
                <w:rFonts w:hint="eastAsia" w:ascii="宋体" w:hAnsi="宋体" w:eastAsia="宋体" w:cs="宋体"/>
                <w:color w:val="000000"/>
                <w:sz w:val="21"/>
                <w:szCs w:val="21"/>
                <w:highlight w:val="none"/>
              </w:rPr>
            </w:r>
            <w:r/>
          </w:p>
        </w:tc>
      </w:tr>
      <w:tr>
        <w:trPr/>
        <w:tc>
          <w:tcPr>
            <w:tcW w:w="2235" w:type="dxa"/>
            <w:vAlign w:val="top"/>
            <w:textDirection w:val="lrTb"/>
            <w:noWrap w:val="false"/>
          </w:tcPr>
          <w:p>
            <w:pPr>
              <w:pStyle w:val="67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09" w:type="dxa"/>
            <w:vAlign w:val="top"/>
            <w:textDirection w:val="lrTb"/>
            <w:noWrap w:val="false"/>
          </w:tcPr>
          <w:p>
            <w:pPr>
              <w:pStyle w:val="67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10" w:type="dxa"/>
            <w:vAlign w:val="top"/>
            <w:textDirection w:val="lrTb"/>
            <w:noWrap w:val="false"/>
          </w:tcPr>
          <w:p>
            <w:pPr>
              <w:pStyle w:val="67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52" w:type="dxa"/>
            <w:vAlign w:val="top"/>
            <w:textDirection w:val="lrTb"/>
            <w:noWrap w:val="false"/>
          </w:tcPr>
          <w:p>
            <w:pPr>
              <w:pStyle w:val="67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235" w:type="dxa"/>
            <w:vAlign w:val="top"/>
            <w:textDirection w:val="lrTb"/>
            <w:noWrap w:val="false"/>
          </w:tcPr>
          <w:p>
            <w:pPr>
              <w:pStyle w:val="67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09" w:type="dxa"/>
            <w:vAlign w:val="top"/>
            <w:textDirection w:val="lrTb"/>
            <w:noWrap w:val="false"/>
          </w:tcPr>
          <w:p>
            <w:pPr>
              <w:pStyle w:val="67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10" w:type="dxa"/>
            <w:vAlign w:val="top"/>
            <w:textDirection w:val="lrTb"/>
            <w:noWrap w:val="false"/>
          </w:tcPr>
          <w:p>
            <w:pPr>
              <w:pStyle w:val="67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52" w:type="dxa"/>
            <w:vAlign w:val="top"/>
            <w:textDirection w:val="lrTb"/>
            <w:noWrap w:val="false"/>
          </w:tcPr>
          <w:p>
            <w:pPr>
              <w:pStyle w:val="67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235" w:type="dxa"/>
            <w:vAlign w:val="top"/>
            <w:textDirection w:val="lrTb"/>
            <w:noWrap w:val="false"/>
          </w:tcPr>
          <w:p>
            <w:pPr>
              <w:pStyle w:val="67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09" w:type="dxa"/>
            <w:vAlign w:val="top"/>
            <w:textDirection w:val="lrTb"/>
            <w:noWrap w:val="false"/>
          </w:tcPr>
          <w:p>
            <w:pPr>
              <w:pStyle w:val="67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10" w:type="dxa"/>
            <w:vAlign w:val="top"/>
            <w:textDirection w:val="lrTb"/>
            <w:noWrap w:val="false"/>
          </w:tcPr>
          <w:p>
            <w:pPr>
              <w:pStyle w:val="67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52" w:type="dxa"/>
            <w:vAlign w:val="top"/>
            <w:textDirection w:val="lrTb"/>
            <w:noWrap w:val="false"/>
          </w:tcPr>
          <w:p>
            <w:pPr>
              <w:pStyle w:val="678"/>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42"/>
        <w:ind w:left="-210" w:right="-210"/>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注：投标人可根据招标内容自行调整</w:t>
      </w:r>
      <w:r>
        <w:rPr>
          <w:rFonts w:hint="eastAsia" w:ascii="宋体" w:hAnsi="宋体" w:eastAsia="宋体" w:cs="宋体"/>
          <w:b/>
          <w:color w:val="000000"/>
          <w:sz w:val="21"/>
          <w:szCs w:val="21"/>
          <w:highlight w:val="none"/>
        </w:rPr>
      </w:r>
      <w:r/>
    </w:p>
    <w:p>
      <w:pPr>
        <w:pStyle w:val="678"/>
        <w:ind w:right="105" w:firstLine="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投标人：（公章）</w:t>
      </w:r>
      <w:r>
        <w:rPr>
          <w:rFonts w:hint="eastAsia" w:ascii="宋体" w:hAnsi="宋体" w:eastAsia="宋体" w:cs="宋体"/>
          <w:color w:val="000000"/>
          <w:sz w:val="21"/>
          <w:szCs w:val="21"/>
          <w:highlight w:val="none"/>
        </w:rPr>
      </w:r>
      <w:r/>
    </w:p>
    <w:p>
      <w:pPr>
        <w:pStyle w:val="678"/>
        <w:ind w:firstLine="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法定代表人或被授权人：（签字或盖章）                  </w:t>
      </w:r>
      <w:r>
        <w:rPr>
          <w:rFonts w:hint="eastAsia" w:ascii="宋体" w:hAnsi="宋体" w:eastAsia="宋体" w:cs="宋体"/>
          <w:color w:val="000000"/>
          <w:sz w:val="21"/>
          <w:szCs w:val="21"/>
          <w:highlight w:val="none"/>
        </w:rPr>
      </w:r>
      <w:r/>
    </w:p>
    <w:p>
      <w:pPr>
        <w:pStyle w:val="678"/>
        <w:ind w:firstLine="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日期：年  月  日</w:t>
      </w:r>
      <w:r>
        <w:rPr>
          <w:rFonts w:hint="eastAsia" w:ascii="宋体" w:hAnsi="宋体" w:eastAsia="宋体" w:cs="宋体"/>
          <w:color w:val="000000"/>
          <w:sz w:val="21"/>
          <w:szCs w:val="21"/>
          <w:highlight w:val="none"/>
        </w:rPr>
      </w:r>
      <w:r/>
    </w:p>
    <w:p>
      <w:pPr>
        <w:pStyle w:val="654"/>
        <w:ind w:right="358"/>
        <w:spacing w:line="28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656"/>
        <w:rPr>
          <w:rFonts w:hint="eastAsia" w:ascii="宋体" w:hAnsi="宋体" w:eastAsia="宋体" w:cs="宋体"/>
          <w:highlight w:val="none"/>
        </w:rPr>
      </w:pPr>
      <w:r/>
      <w:bookmarkStart w:id="70" w:name="_Ref360464520"/>
      <w:r/>
      <w:bookmarkEnd w:id="70"/>
      <w:r/>
      <w:bookmarkStart w:id="71" w:name="_Toc60923714"/>
      <w:r/>
      <w:bookmarkStart w:id="72" w:name="_Ref444589078"/>
      <w:r/>
      <w:bookmarkStart w:id="73" w:name="_Toc471296037"/>
      <w:r>
        <w:rPr>
          <w:rFonts w:hint="eastAsia" w:ascii="宋体" w:hAnsi="宋体" w:eastAsia="宋体" w:cs="宋体"/>
          <w:highlight w:val="none"/>
        </w:rPr>
        <w:t xml:space="preserve">8.人员配置表</w:t>
      </w:r>
      <w:bookmarkEnd w:id="71"/>
      <w:r/>
      <w:bookmarkEnd w:id="72"/>
      <w:r/>
      <w:bookmarkEnd w:id="73"/>
      <w:r>
        <w:rPr>
          <w:rFonts w:hint="eastAsia" w:ascii="宋体" w:hAnsi="宋体" w:eastAsia="宋体" w:cs="宋体"/>
          <w:highlight w:val="none"/>
        </w:rPr>
      </w:r>
      <w:r/>
    </w:p>
    <w:p>
      <w:pPr>
        <w:pStyle w:val="654"/>
        <w:jc w:val="center"/>
        <w:rPr>
          <w:rFonts w:hint="eastAsia" w:ascii="宋体" w:hAnsi="宋体" w:eastAsia="宋体" w:cs="宋体"/>
          <w:sz w:val="32"/>
          <w:szCs w:val="32"/>
          <w:highlight w:val="none"/>
        </w:rPr>
      </w:pPr>
      <w:r/>
      <w:bookmarkStart w:id="74" w:name="_Ref501546468"/>
      <w:r/>
      <w:bookmarkStart w:id="75" w:name="_Toc60923715"/>
      <w:r>
        <w:rPr>
          <w:rFonts w:hint="eastAsia" w:ascii="宋体" w:hAnsi="宋体" w:eastAsia="宋体" w:cs="宋体"/>
          <w:sz w:val="32"/>
          <w:szCs w:val="32"/>
          <w:highlight w:val="none"/>
        </w:rPr>
        <w:t xml:space="preserve">人员配置表</w:t>
      </w:r>
      <w:r>
        <w:rPr>
          <w:rFonts w:hint="eastAsia" w:ascii="宋体" w:hAnsi="宋体" w:eastAsia="宋体" w:cs="宋体"/>
          <w:sz w:val="32"/>
          <w:szCs w:val="32"/>
          <w:highlight w:val="none"/>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907"/>
        <w:gridCol w:w="2268"/>
        <w:gridCol w:w="2409"/>
        <w:gridCol w:w="2127"/>
      </w:tblGrid>
      <w:tr>
        <w:trPr/>
        <w:tc>
          <w:tcPr>
            <w:tcW w:w="895" w:type="dxa"/>
            <w:vAlign w:val="center"/>
            <w:textDirection w:val="lrTb"/>
            <w:noWrap w:val="false"/>
          </w:tcPr>
          <w:p>
            <w:pPr>
              <w:pStyle w:val="757"/>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1907" w:type="dxa"/>
            <w:vAlign w:val="center"/>
            <w:textDirection w:val="lrTb"/>
            <w:noWrap w:val="false"/>
          </w:tcPr>
          <w:p>
            <w:pPr>
              <w:pStyle w:val="757"/>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rPr>
                <w:rFonts w:hint="eastAsia" w:ascii="宋体" w:hAnsi="宋体" w:eastAsia="宋体" w:cs="宋体"/>
                <w:sz w:val="21"/>
                <w:szCs w:val="21"/>
                <w:highlight w:val="none"/>
              </w:rPr>
            </w:r>
            <w:r/>
          </w:p>
        </w:tc>
        <w:tc>
          <w:tcPr>
            <w:tcW w:w="2268" w:type="dxa"/>
            <w:vAlign w:val="center"/>
            <w:textDirection w:val="lrTb"/>
            <w:noWrap w:val="false"/>
          </w:tcPr>
          <w:p>
            <w:pPr>
              <w:pStyle w:val="757"/>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身份证号码</w:t>
            </w:r>
            <w:r>
              <w:rPr>
                <w:rFonts w:hint="eastAsia" w:ascii="宋体" w:hAnsi="宋体" w:eastAsia="宋体" w:cs="宋体"/>
                <w:sz w:val="21"/>
                <w:szCs w:val="21"/>
                <w:highlight w:val="none"/>
              </w:rPr>
            </w:r>
            <w:r/>
          </w:p>
        </w:tc>
        <w:tc>
          <w:tcPr>
            <w:tcW w:w="2409" w:type="dxa"/>
            <w:vAlign w:val="center"/>
            <w:textDirection w:val="lrTb"/>
            <w:noWrap w:val="false"/>
          </w:tcPr>
          <w:p>
            <w:pPr>
              <w:pStyle w:val="757"/>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拟在本项目中担任的职务（岗位）</w:t>
            </w:r>
            <w:r>
              <w:rPr>
                <w:rFonts w:hint="eastAsia" w:ascii="宋体" w:hAnsi="宋体" w:eastAsia="宋体" w:cs="宋体"/>
                <w:sz w:val="21"/>
                <w:szCs w:val="21"/>
                <w:highlight w:val="none"/>
              </w:rPr>
            </w:r>
            <w:r/>
          </w:p>
        </w:tc>
        <w:tc>
          <w:tcPr>
            <w:tcW w:w="2127" w:type="dxa"/>
            <w:vAlign w:val="center"/>
            <w:textDirection w:val="lrTb"/>
            <w:noWrap w:val="false"/>
          </w:tcPr>
          <w:p>
            <w:pPr>
              <w:pStyle w:val="757"/>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rPr>
                <w:rFonts w:hint="eastAsia" w:ascii="宋体" w:hAnsi="宋体" w:eastAsia="宋体" w:cs="宋体"/>
                <w:sz w:val="21"/>
                <w:szCs w:val="21"/>
                <w:highlight w:val="none"/>
              </w:rPr>
            </w:r>
            <w:r/>
          </w:p>
        </w:tc>
      </w:tr>
      <w:tr>
        <w:trPr>
          <w:trHeight w:val="438"/>
        </w:trPr>
        <w:tc>
          <w:tcPr>
            <w:tcW w:w="895" w:type="dxa"/>
            <w:vAlign w:val="top"/>
            <w:textDirection w:val="lrTb"/>
            <w:noWrap w:val="false"/>
          </w:tcPr>
          <w:p>
            <w:pPr>
              <w:pStyle w:val="757"/>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907"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68"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09"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127"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95" w:type="dxa"/>
            <w:vAlign w:val="top"/>
            <w:textDirection w:val="lrTb"/>
            <w:noWrap w:val="false"/>
          </w:tcPr>
          <w:p>
            <w:pPr>
              <w:pStyle w:val="757"/>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907"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68"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09"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127"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95" w:type="dxa"/>
            <w:vAlign w:val="top"/>
            <w:textDirection w:val="lrTb"/>
            <w:noWrap w:val="false"/>
          </w:tcPr>
          <w:p>
            <w:pPr>
              <w:pStyle w:val="757"/>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907"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68"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09"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127"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95" w:type="dxa"/>
            <w:vAlign w:val="top"/>
            <w:textDirection w:val="lrTb"/>
            <w:noWrap w:val="false"/>
          </w:tcPr>
          <w:p>
            <w:pPr>
              <w:pStyle w:val="757"/>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1907"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68"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09"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127"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95" w:type="dxa"/>
            <w:vAlign w:val="top"/>
            <w:textDirection w:val="lrTb"/>
            <w:noWrap w:val="false"/>
          </w:tcPr>
          <w:p>
            <w:pPr>
              <w:pStyle w:val="757"/>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1907"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68"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09"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127"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95" w:type="dxa"/>
            <w:vAlign w:val="top"/>
            <w:textDirection w:val="lrTb"/>
            <w:noWrap w:val="false"/>
          </w:tcPr>
          <w:p>
            <w:pPr>
              <w:pStyle w:val="757"/>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1907"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68"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09"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127" w:type="dxa"/>
            <w:vAlign w:val="top"/>
            <w:textDirection w:val="lrTb"/>
            <w:noWrap w:val="false"/>
          </w:tcPr>
          <w:p>
            <w:pPr>
              <w:pStyle w:val="7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742"/>
        <w:ind w:left="-210" w:right="-210"/>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注：投标人可根据招标内容自行调整</w:t>
      </w:r>
      <w:r>
        <w:rPr>
          <w:rFonts w:hint="eastAsia" w:ascii="宋体" w:hAnsi="宋体" w:eastAsia="宋体" w:cs="宋体"/>
          <w:b/>
          <w:color w:val="000000"/>
          <w:sz w:val="21"/>
          <w:szCs w:val="21"/>
          <w:highlight w:val="none"/>
        </w:rPr>
      </w:r>
      <w:r/>
    </w:p>
    <w:p>
      <w:pPr>
        <w:pStyle w:val="757"/>
        <w:ind w:firstLine="359"/>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投标人：（公章）</w:t>
      </w:r>
      <w:r>
        <w:rPr>
          <w:rFonts w:hint="eastAsia" w:ascii="宋体" w:hAnsi="宋体" w:eastAsia="宋体" w:cs="宋体"/>
          <w:sz w:val="21"/>
          <w:szCs w:val="21"/>
          <w:highlight w:val="none"/>
        </w:rPr>
      </w:r>
      <w:r/>
    </w:p>
    <w:p>
      <w:pPr>
        <w:pStyle w:val="757"/>
        <w:ind w:firstLine="359"/>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法定代表人或授权委托人：（签字或盖章）</w:t>
      </w:r>
      <w:r>
        <w:rPr>
          <w:rFonts w:hint="eastAsia" w:ascii="宋体" w:hAnsi="宋体" w:eastAsia="宋体" w:cs="宋体"/>
          <w:sz w:val="21"/>
          <w:szCs w:val="21"/>
          <w:highlight w:val="none"/>
        </w:rPr>
      </w:r>
      <w:r/>
    </w:p>
    <w:p>
      <w:pPr>
        <w:pStyle w:val="757"/>
        <w:ind w:firstLine="359"/>
        <w:jc w:val="right"/>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日期： 年  月 日</w:t>
      </w:r>
      <w:r>
        <w:rPr>
          <w:rFonts w:hint="eastAsia" w:ascii="宋体" w:hAnsi="宋体" w:eastAsia="宋体" w:cs="宋体"/>
          <w:b/>
          <w:sz w:val="21"/>
          <w:szCs w:val="21"/>
          <w:highlight w:val="none"/>
        </w:rPr>
      </w:r>
      <w:r/>
    </w:p>
    <w:p>
      <w:pPr>
        <w:pStyle w:val="656"/>
        <w:rPr>
          <w:rFonts w:hint="eastAsia" w:ascii="宋体" w:hAnsi="宋体" w:eastAsia="宋体" w:cs="宋体"/>
          <w:highlight w:val="none"/>
        </w:rPr>
      </w:pPr>
      <w:r/>
      <w:bookmarkStart w:id="76" w:name="_Ref65507737"/>
      <w:r>
        <w:rPr>
          <w:rFonts w:hint="eastAsia" w:ascii="宋体" w:hAnsi="宋体" w:eastAsia="宋体" w:cs="宋体"/>
          <w:highlight w:val="none"/>
        </w:rPr>
        <w:t xml:space="preserve">9.类似业绩一览表</w:t>
      </w:r>
      <w:bookmarkEnd w:id="74"/>
      <w:r/>
      <w:bookmarkEnd w:id="75"/>
      <w:r/>
      <w:bookmarkEnd w:id="76"/>
      <w:r>
        <w:rPr>
          <w:rFonts w:hint="eastAsia" w:ascii="宋体" w:hAnsi="宋体" w:eastAsia="宋体" w:cs="宋体"/>
          <w:highlight w:val="none"/>
        </w:rPr>
      </w:r>
      <w:r/>
    </w:p>
    <w:p>
      <w:pPr>
        <w:pStyle w:val="654"/>
        <w:ind w:left="-42" w:right="357"/>
        <w:spacing w:line="400" w:lineRule="exact"/>
        <w:rPr>
          <w:rFonts w:hint="eastAsia" w:ascii="宋体" w:hAnsi="宋体" w:eastAsia="宋体" w:cs="宋体"/>
          <w:b/>
          <w:highlight w:val="none"/>
        </w:rPr>
      </w:pPr>
      <w:r>
        <w:rPr>
          <w:rFonts w:hint="eastAsia" w:ascii="宋体" w:hAnsi="宋体" w:eastAsia="宋体" w:cs="宋体"/>
          <w:b/>
          <w:highlight w:val="none"/>
        </w:rPr>
      </w:r>
      <w:r/>
    </w:p>
    <w:p>
      <w:pPr>
        <w:pStyle w:val="654"/>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类似业绩一览表</w:t>
      </w:r>
      <w:r>
        <w:rPr>
          <w:rFonts w:hint="eastAsia" w:ascii="宋体" w:hAnsi="宋体" w:eastAsia="宋体" w:cs="宋体"/>
          <w:b/>
          <w:sz w:val="36"/>
          <w:szCs w:val="36"/>
          <w:highlight w:val="none"/>
        </w:rPr>
      </w:r>
      <w:r/>
    </w:p>
    <w:p>
      <w:pPr>
        <w:pStyle w:val="654"/>
        <w:spacing w:line="360" w:lineRule="auto"/>
        <w:rPr>
          <w:rFonts w:hint="eastAsia" w:ascii="宋体" w:hAnsi="宋体" w:eastAsia="宋体" w:cs="宋体"/>
          <w:highlight w:val="none"/>
        </w:rPr>
      </w:pPr>
      <w:r>
        <w:rPr>
          <w:rFonts w:hint="eastAsia" w:ascii="宋体" w:hAnsi="宋体" w:eastAsia="宋体" w:cs="宋体"/>
          <w:highlight w:val="none"/>
        </w:rPr>
      </w:r>
      <w:r/>
    </w:p>
    <w:p>
      <w:pPr>
        <w:pStyle w:val="654"/>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投标单位名称：_________________________</w:t>
      </w:r>
      <w:r>
        <w:rPr>
          <w:rFonts w:hint="eastAsia" w:ascii="宋体" w:hAnsi="宋体" w:eastAsia="宋体" w:cs="宋体"/>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W w:w="1003" w:type="dxa"/>
            <w:vAlign w:val="center"/>
            <w:textDirection w:val="lrTb"/>
            <w:noWrap w:val="false"/>
          </w:tcPr>
          <w:p>
            <w:pPr>
              <w:pStyle w:val="654"/>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W w:w="1622" w:type="dxa"/>
            <w:vAlign w:val="center"/>
            <w:textDirection w:val="lrTb"/>
            <w:noWrap w:val="false"/>
          </w:tcPr>
          <w:p>
            <w:pPr>
              <w:pStyle w:val="654"/>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r>
            <w:r/>
          </w:p>
        </w:tc>
        <w:tc>
          <w:tcPr>
            <w:tcW w:w="1622" w:type="dxa"/>
            <w:vAlign w:val="center"/>
            <w:textDirection w:val="lrTb"/>
            <w:noWrap w:val="false"/>
          </w:tcPr>
          <w:p>
            <w:pPr>
              <w:pStyle w:val="654"/>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合同期</w:t>
            </w:r>
            <w:r>
              <w:rPr>
                <w:rFonts w:hint="eastAsia" w:ascii="宋体" w:hAnsi="宋体" w:eastAsia="宋体" w:cs="宋体"/>
                <w:szCs w:val="21"/>
                <w:highlight w:val="none"/>
              </w:rPr>
            </w:r>
            <w:r/>
          </w:p>
        </w:tc>
        <w:tc>
          <w:tcPr>
            <w:tcW w:w="1930" w:type="dxa"/>
            <w:vAlign w:val="center"/>
            <w:textDirection w:val="lrTb"/>
            <w:noWrap w:val="false"/>
          </w:tcPr>
          <w:p>
            <w:pPr>
              <w:pStyle w:val="654"/>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合同金额</w:t>
            </w:r>
            <w:r>
              <w:rPr>
                <w:rFonts w:hint="eastAsia" w:ascii="宋体" w:hAnsi="宋体" w:eastAsia="宋体" w:cs="宋体"/>
                <w:szCs w:val="21"/>
                <w:highlight w:val="none"/>
              </w:rPr>
            </w:r>
            <w:r/>
          </w:p>
        </w:tc>
        <w:tc>
          <w:tcPr>
            <w:tcW w:w="1698" w:type="dxa"/>
            <w:vAlign w:val="center"/>
            <w:textDirection w:val="lrTb"/>
            <w:noWrap w:val="false"/>
          </w:tcPr>
          <w:p>
            <w:pPr>
              <w:pStyle w:val="654"/>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项目经理</w:t>
            </w:r>
            <w:r>
              <w:rPr>
                <w:rFonts w:hint="eastAsia" w:ascii="宋体" w:hAnsi="宋体" w:eastAsia="宋体" w:cs="宋体"/>
                <w:szCs w:val="21"/>
                <w:highlight w:val="none"/>
              </w:rPr>
            </w:r>
            <w:r/>
          </w:p>
        </w:tc>
        <w:tc>
          <w:tcPr>
            <w:tcW w:w="1467" w:type="dxa"/>
            <w:vAlign w:val="center"/>
            <w:textDirection w:val="lrTb"/>
            <w:noWrap w:val="false"/>
          </w:tcPr>
          <w:p>
            <w:pPr>
              <w:pStyle w:val="654"/>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备注</w:t>
            </w:r>
            <w:r>
              <w:rPr>
                <w:rFonts w:hint="eastAsia" w:ascii="宋体" w:hAnsi="宋体" w:eastAsia="宋体" w:cs="宋体"/>
                <w:szCs w:val="21"/>
                <w:highlight w:val="none"/>
              </w:rPr>
            </w:r>
            <w:r/>
          </w:p>
        </w:tc>
      </w:tr>
      <w:tr>
        <w:trPr>
          <w:cantSplit/>
          <w:trHeight w:val="510" w:hRule="exact"/>
        </w:trPr>
        <w:tc>
          <w:tcPr>
            <w:tcW w:w="1003" w:type="dxa"/>
            <w:vAlign w:val="center"/>
            <w:textDirection w:val="lrTb"/>
            <w:noWrap w:val="false"/>
          </w:tcPr>
          <w:p>
            <w:pPr>
              <w:pStyle w:val="654"/>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W w:w="1622"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622"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930"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698"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67"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510" w:hRule="exact"/>
        </w:trPr>
        <w:tc>
          <w:tcPr>
            <w:tcW w:w="1003" w:type="dxa"/>
            <w:vAlign w:val="center"/>
            <w:textDirection w:val="lrTb"/>
            <w:noWrap w:val="false"/>
          </w:tcPr>
          <w:p>
            <w:pPr>
              <w:pStyle w:val="654"/>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tcW w:w="1622"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622"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930"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698"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67"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510" w:hRule="exact"/>
        </w:trPr>
        <w:tc>
          <w:tcPr>
            <w:tcW w:w="1003" w:type="dxa"/>
            <w:vAlign w:val="center"/>
            <w:textDirection w:val="lrTb"/>
            <w:noWrap w:val="false"/>
          </w:tcPr>
          <w:p>
            <w:pPr>
              <w:pStyle w:val="654"/>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W w:w="1622"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622"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930"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698"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67"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510" w:hRule="exact"/>
        </w:trPr>
        <w:tc>
          <w:tcPr>
            <w:tcW w:w="1003" w:type="dxa"/>
            <w:vAlign w:val="center"/>
            <w:textDirection w:val="lrTb"/>
            <w:noWrap w:val="false"/>
          </w:tcPr>
          <w:p>
            <w:pPr>
              <w:pStyle w:val="654"/>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W w:w="1622"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622"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930"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698"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67"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510" w:hRule="exact"/>
        </w:trPr>
        <w:tc>
          <w:tcPr>
            <w:tcW w:w="1003" w:type="dxa"/>
            <w:vAlign w:val="center"/>
            <w:textDirection w:val="lrTb"/>
            <w:noWrap w:val="false"/>
          </w:tcPr>
          <w:p>
            <w:pPr>
              <w:pStyle w:val="654"/>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W w:w="1622"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622"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930"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698"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67"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510" w:hRule="exact"/>
        </w:trPr>
        <w:tc>
          <w:tcPr>
            <w:tcW w:w="1003" w:type="dxa"/>
            <w:vAlign w:val="center"/>
            <w:textDirection w:val="tbRlV"/>
            <w:noWrap w:val="false"/>
          </w:tcPr>
          <w:p>
            <w:pPr>
              <w:pStyle w:val="654"/>
              <w:ind w:left="113" w:right="113"/>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622"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622"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930"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698"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67" w:type="dxa"/>
            <w:vAlign w:val="center"/>
            <w:textDirection w:val="lrTb"/>
            <w:noWrap w:val="false"/>
          </w:tcPr>
          <w:p>
            <w:pPr>
              <w:pStyle w:val="654"/>
              <w:ind w:left="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510" w:hRule="exact"/>
        </w:trPr>
        <w:tc>
          <w:tcPr>
            <w:tcW w:w="1003" w:type="dxa"/>
            <w:vAlign w:val="center"/>
            <w:textDirection w:val="lrTb"/>
            <w:noWrap w:val="false"/>
          </w:tcPr>
          <w:p>
            <w:pPr>
              <w:pStyle w:val="654"/>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622" w:type="dxa"/>
            <w:vAlign w:val="center"/>
            <w:textDirection w:val="lrTb"/>
            <w:noWrap w:val="false"/>
          </w:tcPr>
          <w:p>
            <w:pPr>
              <w:pStyle w:val="654"/>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622" w:type="dxa"/>
            <w:vAlign w:val="center"/>
            <w:textDirection w:val="lrTb"/>
            <w:noWrap w:val="false"/>
          </w:tcPr>
          <w:p>
            <w:pPr>
              <w:pStyle w:val="654"/>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930" w:type="dxa"/>
            <w:vAlign w:val="center"/>
            <w:textDirection w:val="lrTb"/>
            <w:noWrap w:val="false"/>
          </w:tcPr>
          <w:p>
            <w:pPr>
              <w:pStyle w:val="654"/>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698" w:type="dxa"/>
            <w:vAlign w:val="center"/>
            <w:textDirection w:val="lrTb"/>
            <w:noWrap w:val="false"/>
          </w:tcPr>
          <w:p>
            <w:pPr>
              <w:pStyle w:val="654"/>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67" w:type="dxa"/>
            <w:vAlign w:val="center"/>
            <w:textDirection w:val="lrTb"/>
            <w:noWrap w:val="false"/>
          </w:tcPr>
          <w:p>
            <w:pPr>
              <w:pStyle w:val="654"/>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654"/>
        <w:ind w:left="420" w:right="357" w:hanging="400"/>
        <w:spacing w:before="120"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注：投标人应提供双方签订的服务合同复印件，且需加盖投标单位印章后方为有效。否则将不作为评标的依据。</w:t>
      </w:r>
      <w:r>
        <w:rPr>
          <w:rFonts w:hint="eastAsia" w:ascii="宋体" w:hAnsi="宋体" w:eastAsia="宋体" w:cs="宋体"/>
          <w:b/>
          <w:bCs/>
          <w:szCs w:val="21"/>
          <w:highlight w:val="none"/>
        </w:rPr>
      </w:r>
      <w:r/>
    </w:p>
    <w:p>
      <w:pPr>
        <w:pStyle w:val="654"/>
        <w:ind w:left="420" w:right="357" w:hanging="400"/>
        <w:spacing w:before="120"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654"/>
        <w:ind w:right="210" w:firstLine="425"/>
        <w:jc w:val="righ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投标单位：（单位盖章）</w:t>
      </w:r>
      <w:r>
        <w:rPr>
          <w:rFonts w:hint="eastAsia" w:ascii="宋体" w:hAnsi="宋体" w:eastAsia="宋体" w:cs="宋体"/>
          <w:szCs w:val="21"/>
          <w:highlight w:val="none"/>
        </w:rPr>
      </w:r>
      <w:r/>
    </w:p>
    <w:p>
      <w:pPr>
        <w:pStyle w:val="654"/>
        <w:jc w:val="righ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法定代表人或授权委托人：（签字或盖章）</w:t>
      </w:r>
      <w:r>
        <w:rPr>
          <w:rFonts w:hint="eastAsia" w:ascii="宋体" w:hAnsi="宋体" w:eastAsia="宋体" w:cs="宋体"/>
          <w:szCs w:val="21"/>
          <w:highlight w:val="none"/>
        </w:rPr>
      </w:r>
      <w:r/>
    </w:p>
    <w:p>
      <w:pPr>
        <w:pStyle w:val="654"/>
        <w:ind w:left="420" w:right="357" w:firstLine="6405"/>
        <w:spacing w:before="120"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年    月     日</w:t>
      </w:r>
      <w:r>
        <w:rPr>
          <w:rFonts w:hint="eastAsia" w:ascii="宋体" w:hAnsi="宋体" w:eastAsia="宋体" w:cs="宋体"/>
          <w:szCs w:val="21"/>
          <w:highlight w:val="none"/>
        </w:rPr>
      </w:r>
      <w:r/>
    </w:p>
    <w:p>
      <w:pPr>
        <w:pStyle w:val="654"/>
        <w:jc w:val="left"/>
        <w:widowControl/>
        <w:rPr>
          <w:rFonts w:hint="eastAsia" w:ascii="宋体" w:hAnsi="宋体" w:eastAsia="宋体" w:cs="宋体"/>
          <w:szCs w:val="21"/>
          <w:highlight w:val="none"/>
        </w:rPr>
      </w:pPr>
      <w:r>
        <w:rPr>
          <w:rFonts w:hint="eastAsia" w:ascii="宋体" w:hAnsi="宋体" w:eastAsia="宋体" w:cs="宋体"/>
          <w:szCs w:val="21"/>
          <w:highlight w:val="none"/>
        </w:rPr>
      </w:r>
      <w:r/>
    </w:p>
    <w:p>
      <w:pPr>
        <w:pStyle w:val="656"/>
        <w:rPr>
          <w:rFonts w:hint="eastAsia" w:ascii="宋体" w:hAnsi="宋体" w:eastAsia="宋体" w:cs="宋体"/>
          <w:highlight w:val="none"/>
        </w:rPr>
      </w:pPr>
      <w:r/>
      <w:bookmarkStart w:id="77" w:name="_Ref360464530"/>
      <w:r/>
      <w:bookmarkEnd w:id="77"/>
      <w:r/>
      <w:bookmarkStart w:id="78" w:name="_Toc60923716"/>
      <w:r/>
      <w:bookmarkStart w:id="79" w:name="_Ref65507742"/>
      <w:r/>
      <w:bookmarkStart w:id="80" w:name="_Ref73885827"/>
      <w:r/>
      <w:bookmarkStart w:id="81" w:name="_Ref67220134"/>
      <w:r>
        <w:rPr>
          <w:rFonts w:hint="eastAsia" w:ascii="宋体" w:hAnsi="宋体" w:eastAsia="宋体" w:cs="宋体"/>
          <w:highlight w:val="none"/>
        </w:rPr>
        <w:br w:type="page" w:clear="all"/>
      </w:r>
      <w:r>
        <w:rPr>
          <w:rFonts w:hint="eastAsia" w:ascii="宋体" w:hAnsi="宋体" w:eastAsia="宋体" w:cs="宋体"/>
          <w:highlight w:val="none"/>
        </w:rPr>
        <w:t xml:space="preserve">10.残疾人福利性单位声明函</w:t>
      </w:r>
      <w:bookmarkEnd w:id="78"/>
      <w:r/>
      <w:bookmarkEnd w:id="79"/>
      <w:r/>
      <w:bookmarkEnd w:id="80"/>
      <w:r/>
      <w:bookmarkEnd w:id="81"/>
      <w:r>
        <w:rPr>
          <w:rFonts w:hint="eastAsia" w:ascii="宋体" w:hAnsi="宋体" w:eastAsia="宋体" w:cs="宋体"/>
          <w:highlight w:val="none"/>
        </w:rPr>
      </w:r>
      <w:r/>
    </w:p>
    <w:p>
      <w:pPr>
        <w:pStyle w:val="654"/>
        <w:jc w:val="center"/>
        <w:spacing w:line="400" w:lineRule="exact"/>
        <w:rPr>
          <w:rFonts w:hint="eastAsia" w:ascii="宋体" w:hAnsi="宋体" w:eastAsia="宋体" w:cs="宋体"/>
          <w:sz w:val="32"/>
          <w:szCs w:val="32"/>
          <w:highlight w:val="none"/>
          <w:lang w:val="zh-CN"/>
        </w:rPr>
      </w:pPr>
      <w:r/>
      <w:bookmarkStart w:id="82" w:name="OLE_LINK13"/>
      <w:r/>
      <w:bookmarkStart w:id="83" w:name="OLE_LINK14"/>
      <w:r>
        <w:rPr>
          <w:rFonts w:hint="eastAsia" w:ascii="宋体" w:hAnsi="宋体" w:eastAsia="宋体" w:cs="宋体"/>
          <w:sz w:val="32"/>
          <w:szCs w:val="32"/>
          <w:highlight w:val="none"/>
          <w:lang w:val="zh-CN"/>
        </w:rPr>
      </w:r>
      <w:r/>
    </w:p>
    <w:p>
      <w:pPr>
        <w:pStyle w:val="654"/>
        <w:jc w:val="center"/>
        <w:spacing w:line="400" w:lineRule="exact"/>
        <w:rPr>
          <w:rFonts w:hint="eastAsia" w:ascii="宋体" w:hAnsi="宋体" w:eastAsia="宋体" w:cs="宋体"/>
          <w:sz w:val="32"/>
          <w:szCs w:val="32"/>
          <w:highlight w:val="none"/>
          <w:lang w:val="zh-CN"/>
        </w:rPr>
      </w:pPr>
      <w:r>
        <w:rPr>
          <w:rFonts w:hint="eastAsia" w:ascii="宋体" w:hAnsi="宋体" w:eastAsia="宋体" w:cs="宋体"/>
          <w:sz w:val="32"/>
          <w:szCs w:val="32"/>
          <w:highlight w:val="none"/>
          <w:lang w:val="zh-CN"/>
        </w:rPr>
        <w:t xml:space="preserve">残疾人福利性单位声明函</w:t>
      </w:r>
      <w:r>
        <w:rPr>
          <w:rFonts w:hint="eastAsia" w:ascii="宋体" w:hAnsi="宋体" w:eastAsia="宋体" w:cs="宋体"/>
          <w:sz w:val="32"/>
          <w:szCs w:val="32"/>
          <w:highlight w:val="none"/>
          <w:lang w:val="zh-CN"/>
        </w:rPr>
      </w:r>
      <w:r/>
    </w:p>
    <w:p>
      <w:pPr>
        <w:pStyle w:val="654"/>
        <w:spacing w:line="580" w:lineRule="exact"/>
        <w:rPr>
          <w:rFonts w:hint="eastAsia" w:ascii="宋体" w:hAnsi="宋体" w:eastAsia="宋体" w:cs="宋体"/>
          <w:b/>
          <w:spacing w:val="6"/>
          <w:szCs w:val="32"/>
          <w:highlight w:val="none"/>
        </w:rPr>
      </w:pPr>
      <w:r/>
      <w:bookmarkEnd w:id="82"/>
      <w:r/>
      <w:bookmarkEnd w:id="83"/>
      <w:r>
        <w:rPr>
          <w:rFonts w:hint="eastAsia" w:ascii="宋体" w:hAnsi="宋体" w:eastAsia="宋体" w:cs="宋体"/>
          <w:b/>
          <w:spacing w:val="6"/>
          <w:szCs w:val="32"/>
          <w:highlight w:val="none"/>
        </w:rPr>
      </w:r>
      <w:r/>
    </w:p>
    <w:p>
      <w:pPr>
        <w:pStyle w:val="654"/>
        <w:ind w:firstLine="444"/>
        <w:spacing w:line="580" w:lineRule="exact"/>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本单位郑重声明，根据《财政部  民政部  中国残疾人联合会关于促进残疾人就业政府采购政策的通知》（财库</w:t>
      </w:r>
      <w:r>
        <w:rPr>
          <w:rFonts w:hint="eastAsia" w:ascii="宋体" w:hAnsi="宋体" w:eastAsia="宋体" w:cs="宋体"/>
          <w:szCs w:val="21"/>
          <w:highlight w:val="none"/>
        </w:rPr>
        <w:t xml:space="preserve">〔2017〕141</w:t>
      </w:r>
      <w:r>
        <w:rPr>
          <w:rFonts w:hint="eastAsia" w:ascii="宋体" w:hAnsi="宋体" w:eastAsia="宋体" w:cs="宋体"/>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Cs w:val="21"/>
          <w:highlight w:val="none"/>
        </w:rPr>
      </w:r>
      <w:r/>
    </w:p>
    <w:p>
      <w:pPr>
        <w:pStyle w:val="654"/>
        <w:ind w:firstLine="444"/>
        <w:spacing w:line="580" w:lineRule="exact"/>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本单位对上述声明的真实性负责。如有虚假，将依法承担相应责任。</w:t>
      </w:r>
      <w:r>
        <w:rPr>
          <w:rFonts w:hint="eastAsia" w:ascii="宋体" w:hAnsi="宋体" w:eastAsia="宋体" w:cs="宋体"/>
          <w:spacing w:val="6"/>
          <w:szCs w:val="21"/>
          <w:highlight w:val="none"/>
        </w:rPr>
      </w:r>
      <w:r/>
    </w:p>
    <w:p>
      <w:pPr>
        <w:pStyle w:val="654"/>
        <w:ind w:firstLine="444"/>
        <w:spacing w:line="580" w:lineRule="exact"/>
        <w:rPr>
          <w:rFonts w:hint="eastAsia" w:ascii="宋体" w:hAnsi="宋体" w:eastAsia="宋体" w:cs="宋体"/>
          <w:spacing w:val="6"/>
          <w:szCs w:val="21"/>
          <w:highlight w:val="none"/>
        </w:rPr>
      </w:pPr>
      <w:r>
        <w:rPr>
          <w:rFonts w:hint="eastAsia" w:ascii="宋体" w:hAnsi="宋体" w:eastAsia="宋体" w:cs="宋体"/>
          <w:spacing w:val="6"/>
          <w:szCs w:val="21"/>
          <w:highlight w:val="none"/>
        </w:rPr>
      </w:r>
      <w:r/>
    </w:p>
    <w:p>
      <w:pPr>
        <w:pStyle w:val="654"/>
        <w:ind w:firstLine="444"/>
        <w:spacing w:line="580" w:lineRule="exact"/>
        <w:rPr>
          <w:rFonts w:hint="eastAsia" w:ascii="宋体" w:hAnsi="宋体" w:eastAsia="宋体" w:cs="宋体"/>
          <w:spacing w:val="6"/>
          <w:szCs w:val="21"/>
          <w:highlight w:val="none"/>
        </w:rPr>
      </w:pPr>
      <w:r>
        <w:rPr>
          <w:rFonts w:hint="eastAsia" w:ascii="宋体" w:hAnsi="宋体" w:eastAsia="宋体" w:cs="宋体"/>
          <w:spacing w:val="6"/>
          <w:szCs w:val="21"/>
          <w:highlight w:val="none"/>
        </w:rPr>
      </w:r>
      <w:r/>
    </w:p>
    <w:p>
      <w:pPr>
        <w:pStyle w:val="654"/>
        <w:ind w:right="210" w:firstLine="425"/>
        <w:jc w:val="righ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投标单位：（单位盖章）</w:t>
      </w:r>
      <w:r>
        <w:rPr>
          <w:rFonts w:hint="eastAsia" w:ascii="宋体" w:hAnsi="宋体" w:eastAsia="宋体" w:cs="宋体"/>
          <w:szCs w:val="21"/>
          <w:highlight w:val="none"/>
        </w:rPr>
      </w:r>
      <w:r/>
    </w:p>
    <w:p>
      <w:pPr>
        <w:pStyle w:val="654"/>
        <w:jc w:val="right"/>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法定代表人或授权委托人：（签字或盖章）</w:t>
      </w:r>
      <w:r>
        <w:rPr>
          <w:rFonts w:hint="eastAsia" w:ascii="宋体" w:hAnsi="宋体" w:eastAsia="宋体" w:cs="宋体"/>
          <w:szCs w:val="21"/>
          <w:highlight w:val="none"/>
        </w:rPr>
      </w:r>
      <w:r/>
    </w:p>
    <w:p>
      <w:pPr>
        <w:pStyle w:val="654"/>
        <w:ind w:right="1560" w:firstLine="420"/>
        <w:jc w:val="center"/>
        <w:spacing w:line="580" w:lineRule="exact"/>
        <w:tabs>
          <w:tab w:val="left" w:pos="4860" w:leader="none"/>
        </w:tabs>
        <w:rPr>
          <w:rFonts w:hint="eastAsia" w:ascii="宋体" w:hAnsi="宋体" w:eastAsia="宋体" w:cs="宋体"/>
          <w:spacing w:val="6"/>
          <w:szCs w:val="21"/>
          <w:highlight w:val="none"/>
        </w:rPr>
      </w:pPr>
      <w:r>
        <w:rPr>
          <w:rFonts w:hint="eastAsia" w:ascii="宋体" w:hAnsi="宋体" w:eastAsia="宋体" w:cs="宋体"/>
          <w:szCs w:val="21"/>
          <w:highlight w:val="none"/>
        </w:rPr>
        <w:t xml:space="preserve">                                                         年月日</w:t>
      </w:r>
      <w:r>
        <w:rPr>
          <w:rFonts w:hint="eastAsia" w:ascii="宋体" w:hAnsi="宋体" w:eastAsia="宋体" w:cs="宋体"/>
          <w:spacing w:val="6"/>
          <w:szCs w:val="21"/>
          <w:highlight w:val="none"/>
        </w:rPr>
      </w:r>
      <w:r/>
    </w:p>
    <w:p>
      <w:pPr>
        <w:pStyle w:val="740"/>
        <w:jc w:val="right"/>
        <w:spacing w:line="400"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r>
      <w:r/>
    </w:p>
    <w:p>
      <w:pPr>
        <w:pStyle w:val="740"/>
        <w:jc w:val="right"/>
        <w:spacing w:line="400"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r>
      <w:r/>
    </w:p>
    <w:p>
      <w:pPr>
        <w:pStyle w:val="740"/>
        <w:jc w:val="right"/>
        <w:spacing w:line="400"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r>
      <w:r/>
    </w:p>
    <w:p>
      <w:pPr>
        <w:pStyle w:val="740"/>
        <w:jc w:val="right"/>
        <w:spacing w:line="400"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r>
      <w:r/>
    </w:p>
    <w:p>
      <w:pPr>
        <w:pStyle w:val="740"/>
        <w:jc w:val="right"/>
        <w:spacing w:line="400"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r>
      <w:r/>
    </w:p>
    <w:p>
      <w:pPr>
        <w:pStyle w:val="740"/>
        <w:jc w:val="right"/>
        <w:spacing w:line="400"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r>
      <w:r/>
    </w:p>
    <w:p>
      <w:pPr>
        <w:pStyle w:val="740"/>
        <w:jc w:val="right"/>
        <w:spacing w:line="400"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r>
      <w:r/>
    </w:p>
    <w:p>
      <w:pPr>
        <w:pStyle w:val="740"/>
        <w:jc w:val="right"/>
        <w:spacing w:line="400"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r>
      <w:r/>
    </w:p>
    <w:p>
      <w:pPr>
        <w:pStyle w:val="740"/>
        <w:jc w:val="right"/>
        <w:spacing w:line="400"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r>
      <w:r/>
    </w:p>
    <w:p>
      <w:pPr>
        <w:pStyle w:val="740"/>
        <w:jc w:val="right"/>
        <w:spacing w:line="400"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r>
      <w:r/>
    </w:p>
    <w:p>
      <w:pPr>
        <w:pStyle w:val="740"/>
        <w:jc w:val="right"/>
        <w:spacing w:line="400"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r>
      <w:r/>
    </w:p>
    <w:p>
      <w:pPr>
        <w:pStyle w:val="740"/>
        <w:jc w:val="right"/>
        <w:spacing w:line="400"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r>
      <w:r/>
    </w:p>
    <w:p>
      <w:pPr>
        <w:pStyle w:val="740"/>
        <w:jc w:val="right"/>
        <w:spacing w:line="400" w:lineRule="exac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r>
      <w:r/>
    </w:p>
    <w:p>
      <w:pPr>
        <w:pStyle w:val="740"/>
        <w:jc w:val="righ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56"/>
        <w:rPr>
          <w:rFonts w:hint="eastAsia" w:ascii="宋体" w:hAnsi="宋体" w:eastAsia="宋体" w:cs="宋体"/>
          <w:highlight w:val="none"/>
        </w:rPr>
      </w:pPr>
      <w:r/>
      <w:bookmarkStart w:id="84" w:name="_Toc60923717"/>
      <w:r/>
      <w:bookmarkStart w:id="85" w:name="_Ref501546496"/>
      <w:r/>
      <w:bookmarkStart w:id="86" w:name="_Ref73885831"/>
      <w:r/>
      <w:bookmarkStart w:id="87" w:name="_Ref67220137"/>
      <w:r/>
      <w:bookmarkStart w:id="88" w:name="_Ref65507746"/>
      <w:r>
        <w:rPr>
          <w:rFonts w:hint="eastAsia" w:ascii="宋体" w:hAnsi="宋体" w:eastAsia="宋体" w:cs="宋体"/>
          <w:highlight w:val="none"/>
        </w:rPr>
        <w:t xml:space="preserve">11.中小企业声明函</w:t>
      </w:r>
      <w:bookmarkEnd w:id="84"/>
      <w:r/>
      <w:bookmarkEnd w:id="85"/>
      <w:r/>
      <w:bookmarkEnd w:id="86"/>
      <w:r/>
      <w:bookmarkEnd w:id="87"/>
      <w:r/>
      <w:bookmarkEnd w:id="88"/>
      <w:r>
        <w:rPr>
          <w:rFonts w:hint="eastAsia" w:ascii="宋体" w:hAnsi="宋体" w:eastAsia="宋体" w:cs="宋体"/>
          <w:highlight w:val="none"/>
        </w:rPr>
      </w:r>
      <w:r/>
    </w:p>
    <w:p>
      <w:pPr>
        <w:pStyle w:val="740"/>
        <w:jc w:val="center"/>
        <w:spacing w:line="400" w:lineRule="exact"/>
        <w:rPr>
          <w:rFonts w:hint="eastAsia" w:ascii="宋体" w:hAnsi="宋体" w:eastAsia="宋体" w:cs="宋体"/>
          <w:highlight w:val="none"/>
        </w:rPr>
      </w:pPr>
      <w:r>
        <w:rPr>
          <w:rFonts w:hint="eastAsia" w:ascii="宋体" w:hAnsi="宋体" w:eastAsia="宋体" w:cs="宋体"/>
          <w:highlight w:val="none"/>
        </w:rPr>
        <w:t xml:space="preserve">中小企业声明函（工程、服务）</w:t>
      </w:r>
      <w:r>
        <w:rPr>
          <w:rFonts w:hint="eastAsia" w:ascii="宋体" w:hAnsi="宋体" w:eastAsia="宋体" w:cs="宋体"/>
          <w:highlight w:val="none"/>
        </w:rPr>
      </w:r>
      <w:r/>
    </w:p>
    <w:p>
      <w:pPr>
        <w:pStyle w:val="74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0"/>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本公司（联合体）郑重声明，根据《政府采购促进中小企业发展管理办法》（财库﹝2020﹞46 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hint="eastAsia" w:ascii="宋体" w:hAnsi="宋体" w:eastAsia="宋体" w:cs="宋体"/>
          <w:sz w:val="21"/>
          <w:szCs w:val="21"/>
          <w:highlight w:val="none"/>
        </w:rPr>
      </w:r>
      <w:r/>
    </w:p>
    <w:p>
      <w:pPr>
        <w:pStyle w:val="740"/>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 </w:t>
      </w:r>
      <w:r>
        <w:rPr>
          <w:rFonts w:hint="eastAsia" w:ascii="宋体" w:hAnsi="宋体" w:eastAsia="宋体" w:cs="宋体"/>
          <w:sz w:val="21"/>
          <w:szCs w:val="21"/>
          <w:highlight w:val="none"/>
          <w:u w:val="single"/>
        </w:rPr>
        <w:t xml:space="preserve">（标的名称）</w:t>
      </w:r>
      <w:r>
        <w:rPr>
          <w:rFonts w:hint="eastAsia" w:ascii="宋体" w:hAnsi="宋体" w:eastAsia="宋体" w:cs="宋体"/>
          <w:sz w:val="21"/>
          <w:szCs w:val="21"/>
          <w:highlight w:val="none"/>
        </w:rPr>
        <w:t xml:space="preserve"> ，属于</w:t>
      </w:r>
      <w:r>
        <w:rPr>
          <w:rFonts w:hint="eastAsia" w:ascii="宋体" w:hAnsi="宋体" w:eastAsia="宋体" w:cs="宋体"/>
          <w:sz w:val="21"/>
          <w:szCs w:val="21"/>
          <w:highlight w:val="none"/>
          <w:u w:val="single"/>
        </w:rPr>
        <w:t xml:space="preserve">（采购文件中明确的所属行业</w:t>
      </w:r>
      <w:r>
        <w:rPr>
          <w:rFonts w:hint="eastAsia" w:ascii="宋体" w:hAnsi="宋体" w:eastAsia="宋体" w:cs="宋体"/>
          <w:sz w:val="21"/>
          <w:szCs w:val="21"/>
          <w:highlight w:val="none"/>
        </w:rPr>
        <w:t xml:space="preserve">）； 承建（承接）企业为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，从业人员 人，营业 收入为 万元，资产总额为 万元 1，属于（中型企业、 小型企业、微型企业）；</w:t>
      </w:r>
      <w:r>
        <w:rPr>
          <w:rFonts w:hint="eastAsia" w:ascii="宋体" w:hAnsi="宋体" w:eastAsia="宋体" w:cs="宋体"/>
          <w:sz w:val="21"/>
          <w:szCs w:val="21"/>
          <w:highlight w:val="none"/>
        </w:rPr>
      </w:r>
      <w:r/>
    </w:p>
    <w:p>
      <w:pPr>
        <w:pStyle w:val="740"/>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2. </w:t>
      </w:r>
      <w:r>
        <w:rPr>
          <w:rFonts w:hint="eastAsia" w:ascii="宋体" w:hAnsi="宋体" w:eastAsia="宋体" w:cs="宋体"/>
          <w:sz w:val="21"/>
          <w:szCs w:val="21"/>
          <w:highlight w:val="none"/>
          <w:u w:val="single"/>
        </w:rPr>
        <w:t xml:space="preserve">（标的名称）</w:t>
      </w:r>
      <w:r>
        <w:rPr>
          <w:rFonts w:hint="eastAsia" w:ascii="宋体" w:hAnsi="宋体" w:eastAsia="宋体" w:cs="宋体"/>
          <w:sz w:val="21"/>
          <w:szCs w:val="21"/>
          <w:highlight w:val="none"/>
        </w:rPr>
        <w:t xml:space="preserve"> ，属于</w:t>
      </w:r>
      <w:r>
        <w:rPr>
          <w:rFonts w:hint="eastAsia" w:ascii="宋体" w:hAnsi="宋体" w:eastAsia="宋体" w:cs="宋体"/>
          <w:sz w:val="21"/>
          <w:szCs w:val="21"/>
          <w:highlight w:val="none"/>
          <w:u w:val="single"/>
        </w:rPr>
        <w:t xml:space="preserve">（采购文件中明确的所属行业）</w:t>
      </w:r>
      <w:r>
        <w:rPr>
          <w:rFonts w:hint="eastAsia" w:ascii="宋体" w:hAnsi="宋体" w:eastAsia="宋体" w:cs="宋体"/>
          <w:sz w:val="21"/>
          <w:szCs w:val="21"/>
          <w:highlight w:val="none"/>
        </w:rPr>
        <w:t xml:space="preserve">； 承建（承接）企业为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，从业人员 人，营业 收入为 万元，资产总额为 万元，属于（中型企业、 小型企业、微型企业）； </w:t>
      </w:r>
      <w:r>
        <w:rPr>
          <w:rFonts w:hint="eastAsia" w:ascii="宋体" w:hAnsi="宋体" w:eastAsia="宋体" w:cs="宋体"/>
          <w:sz w:val="21"/>
          <w:szCs w:val="21"/>
          <w:highlight w:val="none"/>
        </w:rPr>
      </w:r>
      <w:r/>
    </w:p>
    <w:p>
      <w:pPr>
        <w:pStyle w:val="740"/>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740"/>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 为大企业的情形，也不存在与大企业的负责人为同一人的情形。 本企业对上述声明内容的真实性负责。如有虚假，将依法承担相应责任。 </w:t>
      </w:r>
      <w:r>
        <w:rPr>
          <w:rFonts w:hint="eastAsia" w:ascii="宋体" w:hAnsi="宋体" w:eastAsia="宋体" w:cs="宋体"/>
          <w:sz w:val="21"/>
          <w:szCs w:val="21"/>
          <w:highlight w:val="none"/>
        </w:rPr>
      </w:r>
      <w:r/>
    </w:p>
    <w:p>
      <w:pPr>
        <w:pStyle w:val="740"/>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企业名称（盖章）： </w:t>
      </w:r>
      <w:r>
        <w:rPr>
          <w:rFonts w:hint="eastAsia" w:ascii="宋体" w:hAnsi="宋体" w:eastAsia="宋体" w:cs="宋体"/>
          <w:sz w:val="21"/>
          <w:szCs w:val="21"/>
          <w:highlight w:val="none"/>
        </w:rPr>
      </w:r>
      <w:r/>
    </w:p>
    <w:p>
      <w:pPr>
        <w:pStyle w:val="740"/>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rPr>
      </w:r>
      <w:r/>
    </w:p>
    <w:p>
      <w:pPr>
        <w:pStyle w:val="740"/>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40"/>
        <w:ind w:firstLine="360"/>
        <w:jc w:val="left"/>
        <w:spacing w:line="360" w:lineRule="auto"/>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 1 从业人员、营业收入、资产总额填报上一年度数据，无上一年度数据的新成立企业可不填报。</w:t>
      </w:r>
      <w:r>
        <w:rPr>
          <w:rFonts w:hint="eastAsia" w:ascii="宋体" w:hAnsi="宋体" w:eastAsia="宋体" w:cs="宋体"/>
          <w:sz w:val="18"/>
          <w:szCs w:val="18"/>
          <w:highlight w:val="none"/>
        </w:rPr>
      </w:r>
      <w:r/>
    </w:p>
    <w:p>
      <w:pPr>
        <w:pStyle w:val="740"/>
        <w:ind w:firstLine="360"/>
        <w:jc w:val="left"/>
        <w:spacing w:line="360" w:lineRule="auto"/>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2.本次招标项目所属</w:t>
      </w:r>
      <w:r>
        <w:rPr>
          <w:rFonts w:hint="eastAsia" w:ascii="宋体" w:hAnsi="宋体" w:eastAsia="宋体" w:cs="宋体"/>
          <w:b/>
          <w:sz w:val="18"/>
          <w:szCs w:val="18"/>
          <w:highlight w:val="none"/>
        </w:rPr>
        <w:t xml:space="preserve">其他未列明行业</w:t>
      </w:r>
      <w:r>
        <w:rPr>
          <w:rFonts w:hint="eastAsia" w:ascii="宋体" w:hAnsi="宋体" w:eastAsia="宋体" w:cs="宋体"/>
          <w:sz w:val="18"/>
          <w:szCs w:val="18"/>
          <w:highlight w:val="none"/>
        </w:rPr>
        <w:t xml:space="preserve">。中小微企业划型标准请根据《中小企业划型标准规定》（工信部联企业〔2011〕300号）。</w:t>
      </w:r>
      <w:r>
        <w:rPr>
          <w:rFonts w:hint="eastAsia" w:ascii="宋体" w:hAnsi="宋体" w:eastAsia="宋体" w:cs="宋体"/>
          <w:sz w:val="18"/>
          <w:szCs w:val="18"/>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注：1．中小企业划分标准详见工信部联企业〔2011〕300号通知中的《中小企业划型标准规定》。</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2．如供应商认定本企业为小型或微型企业，则需根据“工信部联企业〔2011〕300号”通知中的《中小企业划型标准规定》填报“中小企业声明函”。</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中小微企业在投标文件中，提供企业注册地经信部门出具的中小微企业认定书，或签署《中小企业声明函》附带最新一期的企业纳税证明、社保缴纳证明，证实企业的规模类型。未在投标文件中提供中小微企业认定书或《中小企业声明函》及附件资料的，不享受促进中小微企业发展的相关政府采购政策。</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4．一个项目中包含多项货物采购的，按其中可以认定为小微企业生产产品的价格或价值部分给予价格折扣。</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5．工信部联企业[2011]300号）规定的划分标准详见网址： http://www.miit.gov.cn/n11293472/n11295006/n11297232/14484942.html </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 </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关于印发中小企业划型标准规定的通知</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工信部联企业〔2011〕300号</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各省、自治区、直辖市人民政府，国务院各部委、各直属机构及有关单位：</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工业和信息化部　国家统计局</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国家发展和改革委员会　财政部</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二○一一年六月十八日</w:t>
      </w:r>
      <w:r>
        <w:rPr>
          <w:rFonts w:hint="eastAsia" w:ascii="宋体" w:hAnsi="宋体" w:eastAsia="宋体" w:cs="宋体"/>
          <w:sz w:val="21"/>
          <w:szCs w:val="21"/>
          <w:highlight w:val="none"/>
        </w:rPr>
      </w:r>
      <w:r/>
    </w:p>
    <w:p>
      <w:pPr>
        <w:pStyle w:val="740"/>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中小企业划型标准规定</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一、根据《中华人民共和国中小企业促进法》和《国务院关于进一步促进中小企业发展的若干意见》(国发〔2009〕36号)，制定本规定。</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二、中小企业划分为中型、小型、微型三种类型，具体标准根据企业从业人员、营业收入、资产总额等指标，结合行业特点制定。</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四、各行业划型标准为：</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五、企业类型的划分以统计部门的统计数据为依据。</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六、本规定适用于在中华人民共和国境内依法设立的各类所有制和各种组织形式的企业。个体工商户和本规定以外的行业，参照本规定进行划型。</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八、本规定由工业和信息化部、国家统计局会同有关部门根据《国民经济行业分类》修订情况和企业发展变化情况适时修订。</w:t>
      </w:r>
      <w:r>
        <w:rPr>
          <w:rFonts w:hint="eastAsia" w:ascii="宋体" w:hAnsi="宋体" w:eastAsia="宋体" w:cs="宋体"/>
          <w:sz w:val="21"/>
          <w:szCs w:val="21"/>
          <w:highlight w:val="none"/>
        </w:rPr>
      </w:r>
      <w:r/>
    </w:p>
    <w:p>
      <w:pPr>
        <w:pStyle w:val="74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九、本规定由工业和信息化部、国家统计局会同有关部门负责解释。</w:t>
      </w:r>
      <w:r>
        <w:rPr>
          <w:rFonts w:hint="eastAsia" w:ascii="宋体" w:hAnsi="宋体" w:eastAsia="宋体" w:cs="宋体"/>
          <w:sz w:val="21"/>
          <w:szCs w:val="21"/>
          <w:highlight w:val="none"/>
        </w:rPr>
      </w:r>
      <w:r/>
    </w:p>
    <w:p>
      <w:pPr>
        <w:pStyle w:val="654"/>
        <w:rPr>
          <w:rFonts w:hint="eastAsia" w:ascii="宋体" w:hAnsi="宋体" w:eastAsia="宋体" w:cs="宋体"/>
          <w:szCs w:val="21"/>
          <w:highlight w:val="none"/>
        </w:rPr>
      </w:pPr>
      <w:r>
        <w:rPr>
          <w:rFonts w:hint="eastAsia" w:ascii="宋体" w:hAnsi="宋体" w:eastAsia="宋体" w:cs="宋体"/>
          <w:szCs w:val="21"/>
          <w:highlight w:val="none"/>
        </w:rPr>
        <w:t xml:space="preserve">　　十、本规定自发布之日起执行，原国家经贸委、原国家计委、财政部和国家统计局2003年颁布的《中小企业标准暂行规定》同时废止。</w:t>
      </w:r>
      <w:r>
        <w:rPr>
          <w:rFonts w:hint="eastAsia" w:ascii="宋体" w:hAnsi="宋体" w:eastAsia="宋体" w:cs="宋体"/>
          <w:szCs w:val="21"/>
          <w:highlight w:val="none"/>
        </w:rPr>
      </w:r>
      <w:r/>
    </w:p>
    <w:p>
      <w:pPr>
        <w:pStyle w:val="654"/>
        <w:spacing w:line="360" w:lineRule="auto"/>
        <w:rPr>
          <w:rFonts w:hint="eastAsia" w:ascii="宋体" w:hAnsi="宋体" w:eastAsia="宋体" w:cs="宋体"/>
          <w:sz w:val="30"/>
          <w:szCs w:val="30"/>
          <w:highlight w:val="none"/>
        </w:rPr>
      </w:pPr>
      <w:r>
        <w:rPr>
          <w:rFonts w:hint="eastAsia" w:ascii="宋体" w:hAnsi="宋体" w:eastAsia="宋体" w:cs="宋体"/>
          <w:szCs w:val="21"/>
          <w:highlight w:val="none"/>
        </w:rPr>
        <w:br w:type="page" w:clear="all"/>
      </w:r>
      <w:r>
        <w:rPr>
          <w:rFonts w:hint="eastAsia" w:ascii="宋体" w:hAnsi="宋体" w:eastAsia="宋体" w:cs="宋体"/>
          <w:b/>
          <w:bCs/>
          <w:sz w:val="32"/>
          <w:szCs w:val="32"/>
          <w:highlight w:val="none"/>
        </w:rPr>
        <w:t xml:space="preserve">12.</w:t>
      </w:r>
      <w:r>
        <w:rPr>
          <w:rFonts w:hint="eastAsia" w:ascii="宋体" w:hAnsi="宋体" w:eastAsia="宋体" w:cs="宋体"/>
          <w:b/>
          <w:bCs/>
          <w:sz w:val="32"/>
          <w:szCs w:val="32"/>
          <w:highlight w:val="none"/>
          <w:lang w:val="zh-CN"/>
        </w:rPr>
        <w:t xml:space="preserve">远程参与开标会议诚信承诺书</w:t>
      </w:r>
      <w:r>
        <w:rPr>
          <w:rFonts w:hint="eastAsia" w:ascii="宋体" w:hAnsi="宋体" w:eastAsia="宋体" w:cs="宋体"/>
          <w:sz w:val="30"/>
          <w:szCs w:val="30"/>
          <w:highlight w:val="none"/>
        </w:rPr>
      </w:r>
      <w:r/>
    </w:p>
    <w:p>
      <w:pPr>
        <w:pStyle w:val="691"/>
        <w:ind w:right="-252"/>
        <w:jc w:val="center"/>
        <w:spacing w:line="360" w:lineRule="auto"/>
        <w:rPr>
          <w:rFonts w:hint="eastAsia" w:ascii="宋体" w:hAnsi="宋体" w:eastAsia="宋体" w:cs="宋体"/>
          <w:b/>
          <w:szCs w:val="30"/>
          <w:highlight w:val="none"/>
        </w:rPr>
      </w:pPr>
      <w:r>
        <w:rPr>
          <w:rFonts w:hint="eastAsia" w:ascii="宋体" w:hAnsi="宋体" w:eastAsia="宋体" w:cs="宋体"/>
          <w:b/>
          <w:szCs w:val="30"/>
          <w:highlight w:val="none"/>
        </w:rPr>
      </w:r>
      <w:r/>
    </w:p>
    <w:p>
      <w:pPr>
        <w:pStyle w:val="691"/>
        <w:ind w:right="-252"/>
        <w:jc w:val="center"/>
        <w:spacing w:line="360" w:lineRule="auto"/>
        <w:rPr>
          <w:rFonts w:hint="eastAsia" w:ascii="宋体" w:hAnsi="宋体" w:eastAsia="宋体" w:cs="宋体"/>
          <w:sz w:val="21"/>
          <w:szCs w:val="21"/>
          <w:highlight w:val="none"/>
        </w:rPr>
      </w:pPr>
      <w:r>
        <w:rPr>
          <w:rFonts w:hint="eastAsia" w:ascii="宋体" w:hAnsi="宋体" w:eastAsia="宋体" w:cs="宋体"/>
          <w:b/>
          <w:szCs w:val="30"/>
          <w:highlight w:val="none"/>
        </w:rPr>
        <w:t xml:space="preserve">远程参与开标会议诚信承诺书</w:t>
      </w:r>
      <w:r>
        <w:rPr>
          <w:rFonts w:hint="eastAsia" w:ascii="宋体" w:hAnsi="宋体" w:eastAsia="宋体" w:cs="宋体"/>
          <w:sz w:val="21"/>
          <w:szCs w:val="21"/>
          <w:highlight w:val="none"/>
        </w:rPr>
      </w:r>
      <w:r/>
    </w:p>
    <w:p>
      <w:pPr>
        <w:pStyle w:val="654"/>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致:</w:t>
      </w:r>
      <w:r>
        <w:rPr>
          <w:rFonts w:hint="eastAsia" w:ascii="宋体" w:hAnsi="宋体" w:eastAsia="宋体" w:cs="宋体"/>
          <w:iCs/>
          <w:highlight w:val="none"/>
          <w:u w:val="single"/>
        </w:rPr>
        <w:t xml:space="preserve"> （采购人名称）</w:t>
      </w:r>
      <w:r>
        <w:rPr>
          <w:rFonts w:hint="eastAsia" w:ascii="宋体" w:hAnsi="宋体" w:eastAsia="宋体" w:cs="宋体"/>
          <w:i/>
          <w:iCs/>
          <w:highlight w:val="none"/>
          <w:u w:val="single"/>
        </w:rPr>
        <w:t xml:space="preserve">、</w:t>
      </w:r>
      <w:r>
        <w:rPr>
          <w:rFonts w:hint="eastAsia" w:ascii="宋体" w:hAnsi="宋体" w:eastAsia="宋体" w:cs="宋体"/>
          <w:szCs w:val="21"/>
          <w:highlight w:val="none"/>
          <w:u w:val="single"/>
        </w:rPr>
        <w:t xml:space="preserve">江苏建协全过程工程咨询有限公司</w:t>
      </w:r>
      <w:r>
        <w:rPr>
          <w:rFonts w:hint="eastAsia" w:ascii="宋体" w:hAnsi="宋体" w:eastAsia="宋体" w:cs="宋体"/>
          <w:highlight w:val="none"/>
        </w:rPr>
      </w:r>
      <w:r/>
    </w:p>
    <w:p>
      <w:pPr>
        <w:pStyle w:val="654"/>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我方郑重承诺:遵循公开、公平、公正和诚实守信的原则，参加本次远程开标会议，是我方真实意思的表达。</w:t>
      </w:r>
      <w:r>
        <w:rPr>
          <w:rFonts w:hint="eastAsia" w:ascii="宋体" w:hAnsi="宋体" w:eastAsia="宋体" w:cs="宋体"/>
          <w:highlight w:val="none"/>
        </w:rPr>
      </w:r>
      <w:r/>
    </w:p>
    <w:p>
      <w:pPr>
        <w:pStyle w:val="654"/>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一、不出借、买卖、伪造、涂改企业和从业人员的资质证书、营业执照、资格业绩、印章以及其他相关资信证明文件,严禁其他企业或个人以我公司的名义投标（响应）。</w:t>
      </w:r>
      <w:r>
        <w:rPr>
          <w:rFonts w:hint="eastAsia" w:ascii="宋体" w:hAnsi="宋体" w:eastAsia="宋体" w:cs="宋体"/>
          <w:highlight w:val="none"/>
        </w:rPr>
      </w:r>
      <w:r/>
    </w:p>
    <w:p>
      <w:pPr>
        <w:pStyle w:val="654"/>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二、严格遵守法律、法规和采购文件规定的投标（响应）程序。不隐瞒真实情况，不弄虚作假，不骗取投标（响应）和中标（成交）资格。</w:t>
      </w:r>
      <w:r>
        <w:rPr>
          <w:rFonts w:hint="eastAsia" w:ascii="宋体" w:hAnsi="宋体" w:eastAsia="宋体" w:cs="宋体"/>
          <w:highlight w:val="none"/>
        </w:rPr>
      </w:r>
      <w:r/>
    </w:p>
    <w:p>
      <w:pPr>
        <w:pStyle w:val="654"/>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三、坚决抵制和杜绝串标、围标、哄抬报价、贿赂、回扣等违法投标（响应）和不正当竞争行为。</w:t>
      </w:r>
      <w:r>
        <w:rPr>
          <w:rFonts w:hint="eastAsia" w:ascii="宋体" w:hAnsi="宋体" w:eastAsia="宋体" w:cs="宋体"/>
          <w:highlight w:val="none"/>
        </w:rPr>
      </w:r>
      <w:r/>
    </w:p>
    <w:p>
      <w:pPr>
        <w:pStyle w:val="654"/>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四、依法经营，公平竞争，不采取违法、违规或不正当手段损害、侵犯同行企业的正当权益。</w:t>
      </w:r>
      <w:r>
        <w:rPr>
          <w:rFonts w:hint="eastAsia" w:ascii="宋体" w:hAnsi="宋体" w:eastAsia="宋体" w:cs="宋体"/>
          <w:highlight w:val="none"/>
        </w:rPr>
      </w:r>
      <w:r/>
    </w:p>
    <w:p>
      <w:pPr>
        <w:pStyle w:val="654"/>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rFonts w:hint="eastAsia" w:ascii="宋体" w:hAnsi="宋体" w:eastAsia="宋体" w:cs="宋体"/>
          <w:highlight w:val="none"/>
        </w:rPr>
      </w:r>
      <w:r/>
    </w:p>
    <w:p>
      <w:pPr>
        <w:pStyle w:val="654"/>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rFonts w:hint="eastAsia" w:ascii="宋体" w:hAnsi="宋体" w:eastAsia="宋体" w:cs="宋体"/>
          <w:highlight w:val="none"/>
        </w:rPr>
      </w:r>
      <w:r/>
    </w:p>
    <w:p>
      <w:pPr>
        <w:pStyle w:val="654"/>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七、不向采购人或评审专家或相关人员行贿，以牟取中标。</w:t>
      </w:r>
      <w:r>
        <w:rPr>
          <w:rFonts w:hint="eastAsia" w:ascii="宋体" w:hAnsi="宋体" w:eastAsia="宋体" w:cs="宋体"/>
          <w:highlight w:val="none"/>
        </w:rPr>
      </w:r>
      <w:r/>
    </w:p>
    <w:p>
      <w:pPr>
        <w:pStyle w:val="654"/>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八、我方将在法律、法规框架允许的范围内就有关评审过程中的事项向管理人员提出咨询或疑问。</w:t>
      </w:r>
      <w:r>
        <w:rPr>
          <w:rFonts w:hint="eastAsia" w:ascii="宋体" w:hAnsi="宋体" w:eastAsia="宋体" w:cs="宋体"/>
          <w:highlight w:val="none"/>
        </w:rPr>
      </w:r>
      <w:r/>
    </w:p>
    <w:p>
      <w:pPr>
        <w:pStyle w:val="654"/>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rPr>
          <w:rFonts w:hint="eastAsia" w:ascii="宋体" w:hAnsi="宋体" w:eastAsia="宋体" w:cs="宋体"/>
          <w:highlight w:val="none"/>
        </w:rPr>
      </w:r>
      <w:r/>
    </w:p>
    <w:p>
      <w:pPr>
        <w:pStyle w:val="654"/>
        <w:spacing w:line="360" w:lineRule="auto"/>
        <w:rPr>
          <w:rFonts w:hint="eastAsia" w:ascii="宋体" w:hAnsi="宋体" w:eastAsia="宋体" w:cs="宋体"/>
          <w:b/>
          <w:highlight w:val="none"/>
        </w:rPr>
      </w:pPr>
      <w:r>
        <w:rPr>
          <w:rFonts w:hint="eastAsia" w:ascii="宋体" w:hAnsi="宋体" w:eastAsia="宋体" w:cs="宋体"/>
          <w:b/>
          <w:highlight w:val="none"/>
        </w:rPr>
      </w:r>
      <w:r/>
    </w:p>
    <w:p>
      <w:pPr>
        <w:pStyle w:val="654"/>
        <w:jc w:val="left"/>
        <w:spacing w:line="360" w:lineRule="auto"/>
        <w:rPr>
          <w:rFonts w:hint="eastAsia" w:ascii="宋体" w:hAnsi="宋体" w:eastAsia="宋体" w:cs="宋体"/>
          <w:b/>
          <w:highlight w:val="none"/>
        </w:rPr>
      </w:pPr>
      <w:r>
        <w:rPr>
          <w:rFonts w:hint="eastAsia" w:ascii="宋体" w:hAnsi="宋体" w:eastAsia="宋体" w:cs="宋体"/>
          <w:b/>
          <w:highlight w:val="none"/>
        </w:rPr>
      </w:r>
      <w:r/>
    </w:p>
    <w:p>
      <w:pPr>
        <w:pStyle w:val="691"/>
        <w:ind w:left="3400" w:firstLine="425"/>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投标人</w:t>
      </w:r>
      <w:r>
        <w:rPr>
          <w:rFonts w:hint="eastAsia" w:ascii="宋体" w:hAnsi="宋体" w:eastAsia="宋体" w:cs="宋体"/>
          <w:sz w:val="21"/>
          <w:szCs w:val="21"/>
          <w:highlight w:val="none"/>
        </w:rPr>
        <w:t xml:space="preserve">：（单位盖章）</w:t>
      </w:r>
      <w:r>
        <w:rPr>
          <w:rFonts w:hint="eastAsia" w:ascii="宋体" w:hAnsi="宋体" w:eastAsia="宋体" w:cs="宋体"/>
          <w:sz w:val="21"/>
          <w:szCs w:val="21"/>
          <w:highlight w:val="none"/>
        </w:rPr>
      </w:r>
      <w:r/>
    </w:p>
    <w:p>
      <w:pPr>
        <w:pStyle w:val="691"/>
        <w:ind w:left="382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sz w:val="21"/>
          <w:szCs w:val="21"/>
          <w:highlight w:val="none"/>
        </w:rPr>
      </w:r>
      <w:r/>
    </w:p>
    <w:p>
      <w:pPr>
        <w:pStyle w:val="691"/>
        <w:ind w:right="-252" w:firstLine="3885"/>
        <w:spacing w:line="360" w:lineRule="auto"/>
        <w:rPr>
          <w:rFonts w:hint="eastAsia" w:ascii="宋体" w:hAnsi="宋体" w:eastAsia="宋体" w:cs="宋体"/>
          <w:sz w:val="30"/>
          <w:szCs w:val="30"/>
          <w:highlight w:val="none"/>
          <w:lang w:val="zh-CN"/>
        </w:rPr>
      </w:pPr>
      <w:r>
        <w:rPr>
          <w:rFonts w:hint="eastAsia" w:ascii="宋体" w:hAnsi="宋体" w:eastAsia="宋体" w:cs="宋体"/>
          <w:sz w:val="21"/>
          <w:szCs w:val="21"/>
          <w:highlight w:val="none"/>
        </w:rPr>
        <w:t xml:space="preserve">年     月     日</w:t>
      </w:r>
      <w:r>
        <w:rPr>
          <w:rFonts w:hint="eastAsia" w:ascii="宋体" w:hAnsi="宋体" w:eastAsia="宋体" w:cs="宋体"/>
          <w:sz w:val="21"/>
          <w:szCs w:val="21"/>
          <w:highlight w:val="none"/>
        </w:rPr>
        <w:br w:type="page" w:clear="all"/>
      </w:r>
      <w:r>
        <w:rPr>
          <w:rFonts w:hint="eastAsia" w:ascii="宋体" w:hAnsi="宋体" w:eastAsia="宋体" w:cs="宋体"/>
          <w:b/>
          <w:bCs/>
          <w:sz w:val="32"/>
          <w:szCs w:val="32"/>
          <w:highlight w:val="none"/>
        </w:rPr>
        <w:t xml:space="preserve">13</w:t>
      </w:r>
      <w:r>
        <w:rPr>
          <w:rFonts w:hint="eastAsia" w:ascii="宋体" w:hAnsi="宋体" w:eastAsia="宋体" w:cs="宋体"/>
          <w:b/>
          <w:bCs/>
          <w:sz w:val="32"/>
          <w:szCs w:val="32"/>
          <w:highlight w:val="none"/>
          <w:lang w:val="zh-CN"/>
        </w:rPr>
        <w:t xml:space="preserve">、 </w:t>
      </w:r>
      <w:r>
        <w:rPr>
          <w:rFonts w:hint="eastAsia" w:ascii="宋体" w:hAnsi="宋体" w:eastAsia="宋体" w:cs="宋体"/>
          <w:b/>
          <w:bCs/>
          <w:sz w:val="32"/>
          <w:szCs w:val="32"/>
          <w:highlight w:val="none"/>
        </w:rPr>
        <w:t xml:space="preserve">封面</w:t>
      </w:r>
      <w:r>
        <w:rPr>
          <w:rFonts w:hint="eastAsia" w:ascii="宋体" w:hAnsi="宋体" w:eastAsia="宋体" w:cs="宋体"/>
          <w:sz w:val="30"/>
          <w:szCs w:val="30"/>
          <w:highlight w:val="none"/>
          <w:lang w:val="zh-CN"/>
        </w:rPr>
      </w:r>
      <w:r/>
    </w:p>
    <w:p>
      <w:pPr>
        <w:pStyle w:val="654"/>
        <w:jc w:val="center"/>
        <w:rPr>
          <w:rFonts w:hint="eastAsia" w:ascii="宋体" w:hAnsi="宋体" w:eastAsia="宋体" w:cs="宋体"/>
          <w:b/>
          <w:sz w:val="72"/>
          <w:szCs w:val="21"/>
          <w:highlight w:val="none"/>
        </w:rPr>
      </w:pPr>
      <w:r>
        <w:rPr>
          <w:rFonts w:hint="eastAsia" w:ascii="宋体" w:hAnsi="宋体" w:eastAsia="宋体" w:cs="宋体"/>
          <w:b/>
          <w:sz w:val="72"/>
          <w:szCs w:val="21"/>
          <w:highlight w:val="none"/>
        </w:rPr>
      </w:r>
      <w:r/>
    </w:p>
    <w:p>
      <w:pPr>
        <w:pStyle w:val="654"/>
        <w:jc w:val="center"/>
        <w:rPr>
          <w:rFonts w:hint="eastAsia" w:ascii="宋体" w:hAnsi="宋体" w:eastAsia="宋体" w:cs="宋体"/>
          <w:b/>
          <w:sz w:val="72"/>
          <w:szCs w:val="21"/>
          <w:highlight w:val="none"/>
        </w:rPr>
      </w:pPr>
      <w:r>
        <w:rPr>
          <w:rFonts w:hint="eastAsia" w:ascii="宋体" w:hAnsi="宋体" w:eastAsia="宋体" w:cs="宋体"/>
          <w:b/>
          <w:sz w:val="72"/>
          <w:szCs w:val="21"/>
          <w:highlight w:val="none"/>
        </w:rPr>
      </w:r>
      <w:r/>
    </w:p>
    <w:p>
      <w:pPr>
        <w:pStyle w:val="654"/>
        <w:jc w:val="center"/>
        <w:rPr>
          <w:rFonts w:hint="eastAsia" w:ascii="宋体" w:hAnsi="宋体" w:eastAsia="宋体" w:cs="宋体"/>
          <w:b/>
          <w:sz w:val="72"/>
          <w:szCs w:val="21"/>
          <w:highlight w:val="none"/>
        </w:rPr>
      </w:pPr>
      <w:r>
        <w:rPr>
          <w:rFonts w:hint="eastAsia" w:ascii="宋体" w:hAnsi="宋体" w:eastAsia="宋体" w:cs="宋体"/>
          <w:b/>
          <w:sz w:val="72"/>
          <w:szCs w:val="21"/>
          <w:highlight w:val="none"/>
        </w:rPr>
        <w:t xml:space="preserve">投  标  文  件</w:t>
      </w:r>
      <w:r>
        <w:rPr>
          <w:rFonts w:hint="eastAsia" w:ascii="宋体" w:hAnsi="宋体" w:eastAsia="宋体" w:cs="宋体"/>
          <w:b/>
          <w:sz w:val="72"/>
          <w:szCs w:val="21"/>
          <w:highlight w:val="none"/>
        </w:rPr>
      </w:r>
      <w:r/>
    </w:p>
    <w:p>
      <w:pPr>
        <w:pStyle w:val="654"/>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654"/>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654"/>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654"/>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823"/>
        <w:rPr>
          <w:rFonts w:hint="eastAsia" w:ascii="宋体" w:hAnsi="宋体" w:eastAsia="宋体" w:cs="宋体"/>
          <w:highlight w:val="none"/>
        </w:rPr>
      </w:pPr>
      <w:r>
        <w:rPr>
          <w:rFonts w:hint="eastAsia" w:ascii="宋体" w:hAnsi="宋体" w:eastAsia="宋体" w:cs="宋体"/>
          <w:highlight w:val="none"/>
        </w:rPr>
      </w:r>
      <w:r/>
    </w:p>
    <w:p>
      <w:pPr>
        <w:pStyle w:val="654"/>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654"/>
        <w:ind w:firstLine="1083"/>
        <w:jc w:val="left"/>
        <w:spacing w:line="360" w:lineRule="auto"/>
        <w:rPr>
          <w:rFonts w:hint="eastAsia" w:ascii="宋体" w:hAnsi="宋体" w:eastAsia="宋体" w:cs="宋体"/>
          <w:b/>
          <w:sz w:val="36"/>
          <w:szCs w:val="21"/>
          <w:highlight w:val="none"/>
        </w:rPr>
      </w:pPr>
      <w:r>
        <w:rPr>
          <w:rFonts w:hint="eastAsia" w:ascii="宋体" w:hAnsi="宋体" w:eastAsia="宋体" w:cs="宋体"/>
          <w:b/>
          <w:sz w:val="36"/>
          <w:szCs w:val="21"/>
          <w:highlight w:val="none"/>
        </w:rPr>
        <w:t xml:space="preserve">项 目 名 称：</w:t>
      </w:r>
      <w:r>
        <w:rPr>
          <w:rFonts w:hint="eastAsia" w:ascii="宋体" w:hAnsi="宋体" w:eastAsia="宋体" w:cs="宋体"/>
          <w:b/>
          <w:sz w:val="36"/>
          <w:szCs w:val="21"/>
          <w:highlight w:val="none"/>
        </w:rPr>
      </w:r>
      <w:r/>
    </w:p>
    <w:p>
      <w:pPr>
        <w:pStyle w:val="654"/>
        <w:ind w:firstLine="1083"/>
        <w:jc w:val="left"/>
        <w:spacing w:line="360" w:lineRule="auto"/>
        <w:rPr>
          <w:rFonts w:hint="eastAsia" w:ascii="宋体" w:hAnsi="宋体" w:eastAsia="宋体" w:cs="宋体"/>
          <w:b/>
          <w:sz w:val="36"/>
          <w:szCs w:val="21"/>
          <w:highlight w:val="none"/>
        </w:rPr>
      </w:pPr>
      <w:r>
        <w:rPr>
          <w:rFonts w:hint="eastAsia" w:ascii="宋体" w:hAnsi="宋体" w:eastAsia="宋体" w:cs="宋体"/>
          <w:b/>
          <w:sz w:val="36"/>
          <w:szCs w:val="21"/>
          <w:highlight w:val="none"/>
        </w:rPr>
        <w:t xml:space="preserve">项 目 编 号：</w:t>
      </w:r>
      <w:r>
        <w:rPr>
          <w:rFonts w:hint="eastAsia" w:ascii="宋体" w:hAnsi="宋体" w:eastAsia="宋体" w:cs="宋体"/>
          <w:b/>
          <w:sz w:val="36"/>
          <w:szCs w:val="21"/>
          <w:highlight w:val="none"/>
        </w:rPr>
      </w:r>
      <w:r/>
    </w:p>
    <w:p>
      <w:pPr>
        <w:pStyle w:val="654"/>
        <w:ind w:firstLine="1083"/>
        <w:jc w:val="left"/>
        <w:spacing w:line="360" w:lineRule="auto"/>
        <w:rPr>
          <w:rFonts w:hint="eastAsia" w:ascii="宋体" w:hAnsi="宋体" w:eastAsia="宋体" w:cs="宋体"/>
          <w:b/>
          <w:sz w:val="36"/>
          <w:szCs w:val="21"/>
          <w:highlight w:val="none"/>
        </w:rPr>
      </w:pPr>
      <w:r>
        <w:rPr>
          <w:rFonts w:hint="eastAsia" w:ascii="宋体" w:hAnsi="宋体" w:eastAsia="宋体" w:cs="宋体"/>
          <w:b/>
          <w:sz w:val="36"/>
          <w:szCs w:val="21"/>
          <w:highlight w:val="none"/>
        </w:rPr>
        <w:t xml:space="preserve">采 购 单 位</w:t>
      </w:r>
      <w:r>
        <w:rPr>
          <w:rFonts w:hint="eastAsia" w:ascii="宋体" w:hAnsi="宋体" w:eastAsia="宋体" w:cs="宋体"/>
          <w:bCs/>
          <w:sz w:val="36"/>
          <w:szCs w:val="21"/>
          <w:highlight w:val="none"/>
        </w:rPr>
        <w:t xml:space="preserve">：</w:t>
      </w:r>
      <w:r>
        <w:rPr>
          <w:rFonts w:hint="eastAsia" w:ascii="宋体" w:hAnsi="宋体" w:eastAsia="宋体" w:cs="宋体"/>
          <w:b/>
          <w:sz w:val="36"/>
          <w:szCs w:val="21"/>
          <w:highlight w:val="none"/>
        </w:rPr>
      </w:r>
      <w:r/>
    </w:p>
    <w:p>
      <w:pPr>
        <w:pStyle w:val="654"/>
        <w:ind w:firstLine="1083"/>
        <w:jc w:val="left"/>
        <w:spacing w:line="360" w:lineRule="auto"/>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rPr>
        <w:t xml:space="preserve">供应商名称 ：</w:t>
      </w:r>
      <w:r>
        <w:rPr>
          <w:rFonts w:hint="eastAsia" w:ascii="宋体" w:hAnsi="宋体" w:eastAsia="宋体" w:cs="宋体"/>
          <w:b/>
          <w:sz w:val="36"/>
          <w:szCs w:val="21"/>
          <w:highlight w:val="none"/>
          <w:u w:val="single"/>
        </w:rPr>
        <w:t xml:space="preserve">（加盖公章）</w:t>
      </w:r>
      <w:r>
        <w:rPr>
          <w:rFonts w:hint="eastAsia" w:ascii="宋体" w:hAnsi="宋体" w:eastAsia="宋体" w:cs="宋体"/>
          <w:b/>
          <w:sz w:val="36"/>
          <w:szCs w:val="21"/>
          <w:highlight w:val="none"/>
          <w:u w:val="single"/>
        </w:rPr>
      </w:r>
      <w:r/>
    </w:p>
    <w:p>
      <w:pPr>
        <w:pStyle w:val="654"/>
        <w:ind w:firstLine="1083"/>
        <w:jc w:val="left"/>
        <w:spacing w:line="360" w:lineRule="auto"/>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rPr>
        <w:t xml:space="preserve">日      期 ：</w:t>
      </w:r>
      <w:r>
        <w:rPr>
          <w:rFonts w:hint="eastAsia" w:ascii="宋体" w:hAnsi="宋体" w:eastAsia="宋体" w:cs="宋体"/>
          <w:b/>
          <w:sz w:val="36"/>
          <w:szCs w:val="21"/>
          <w:highlight w:val="none"/>
          <w:u w:val="single"/>
        </w:rPr>
      </w:r>
      <w:r/>
    </w:p>
    <w:p>
      <w:pPr>
        <w:pStyle w:val="691"/>
        <w:ind w:right="-252" w:firstLine="388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54"/>
        <w:rPr>
          <w:rFonts w:hint="eastAsia" w:ascii="宋体" w:hAnsi="宋体" w:eastAsia="宋体" w:cs="宋体"/>
          <w:highlight w:val="none"/>
        </w:rPr>
      </w:pPr>
      <w:r>
        <w:rPr>
          <w:rFonts w:hint="eastAsia" w:ascii="宋体" w:hAnsi="宋体" w:eastAsia="宋体" w:cs="宋体"/>
          <w:highlight w:val="none"/>
        </w:rPr>
      </w:r>
      <w:r/>
    </w:p>
    <w:p>
      <w:pPr>
        <w:pStyle w:val="654"/>
        <w:rPr>
          <w:rFonts w:hint="eastAsia" w:ascii="宋体" w:hAnsi="宋体" w:eastAsia="宋体" w:cs="宋体"/>
          <w:highlight w:val="none"/>
        </w:rPr>
      </w:pPr>
      <w:r>
        <w:rPr>
          <w:rFonts w:hint="eastAsia" w:ascii="宋体" w:hAnsi="宋体" w:eastAsia="宋体" w:cs="宋体"/>
          <w:highlight w:val="none"/>
        </w:rPr>
      </w:r>
      <w:r/>
    </w:p>
    <w:p>
      <w:pPr>
        <w:pStyle w:val="654"/>
        <w:rPr>
          <w:rFonts w:hint="eastAsia" w:ascii="宋体" w:hAnsi="宋体" w:eastAsia="宋体" w:cs="宋体"/>
          <w:highlight w:val="none"/>
        </w:rPr>
      </w:pPr>
      <w:r>
        <w:rPr>
          <w:rFonts w:hint="eastAsia" w:ascii="宋体" w:hAnsi="宋体" w:eastAsia="宋体" w:cs="宋体"/>
          <w:highlight w:val="none"/>
        </w:rPr>
      </w:r>
      <w:r/>
    </w:p>
    <w:p>
      <w:pPr>
        <w:pStyle w:val="654"/>
        <w:rPr>
          <w:rFonts w:hint="eastAsia" w:ascii="宋体" w:hAnsi="宋体" w:eastAsia="宋体" w:cs="宋体"/>
          <w:highlight w:val="none"/>
        </w:rPr>
      </w:pPr>
      <w:r>
        <w:rPr>
          <w:rFonts w:hint="eastAsia" w:ascii="宋体" w:hAnsi="宋体" w:eastAsia="宋体" w:cs="宋体"/>
          <w:highlight w:val="none"/>
        </w:rPr>
      </w:r>
      <w:r/>
    </w:p>
    <w:p>
      <w:pPr>
        <w:pStyle w:val="654"/>
        <w:rPr>
          <w:rFonts w:hint="eastAsia" w:ascii="宋体" w:hAnsi="宋体" w:eastAsia="宋体" w:cs="宋体"/>
          <w:highlight w:val="none"/>
        </w:rPr>
      </w:pPr>
      <w:r>
        <w:rPr>
          <w:rFonts w:hint="eastAsia" w:ascii="宋体" w:hAnsi="宋体" w:eastAsia="宋体" w:cs="宋体"/>
          <w:highlight w:val="none"/>
        </w:rPr>
      </w:r>
      <w:r/>
    </w:p>
    <w:p>
      <w:pPr>
        <w:pStyle w:val="654"/>
        <w:rPr>
          <w:rFonts w:hint="eastAsia" w:ascii="宋体" w:hAnsi="宋体" w:eastAsia="宋体" w:cs="宋体"/>
          <w:highlight w:val="none"/>
        </w:rPr>
      </w:pPr>
      <w:r>
        <w:rPr>
          <w:rFonts w:hint="eastAsia" w:ascii="宋体" w:hAnsi="宋体" w:eastAsia="宋体" w:cs="宋体"/>
          <w:highlight w:val="none"/>
        </w:rPr>
      </w:r>
      <w:r/>
    </w:p>
    <w:p>
      <w:pPr>
        <w:pStyle w:val="654"/>
        <w:rPr>
          <w:rFonts w:hint="eastAsia" w:ascii="宋体" w:hAnsi="宋体" w:eastAsia="宋体" w:cs="宋体"/>
          <w:highlight w:val="none"/>
        </w:rPr>
      </w:pPr>
      <w:r>
        <w:rPr>
          <w:rFonts w:hint="eastAsia" w:ascii="宋体" w:hAnsi="宋体" w:eastAsia="宋体" w:cs="宋体"/>
          <w:highlight w:val="none"/>
        </w:rPr>
      </w:r>
      <w:r/>
    </w:p>
    <w:p>
      <w:pPr>
        <w:pStyle w:val="655"/>
        <w:jc w:val="center"/>
        <w:rPr>
          <w:rFonts w:hint="eastAsia" w:ascii="宋体" w:hAnsi="宋体" w:eastAsia="宋体" w:cs="宋体"/>
          <w:highlight w:val="none"/>
        </w:rPr>
      </w:pPr>
      <w:r/>
      <w:bookmarkStart w:id="89" w:name="_Toc10893"/>
      <w:r/>
      <w:bookmarkStart w:id="90" w:name="_Toc8652608"/>
      <w:r/>
      <w:bookmarkStart w:id="91" w:name="_Toc116111018"/>
      <w:r/>
      <w:bookmarkStart w:id="92" w:name="_Toc8652804"/>
      <w:r>
        <w:rPr>
          <w:rFonts w:hint="eastAsia" w:ascii="宋体" w:hAnsi="宋体" w:eastAsia="宋体" w:cs="宋体"/>
          <w:highlight w:val="none"/>
        </w:rPr>
        <w:t xml:space="preserve">第四章 招标书</w:t>
      </w:r>
      <w:bookmarkEnd w:id="14"/>
      <w:r/>
      <w:bookmarkEnd w:id="15"/>
      <w:r/>
      <w:bookmarkEnd w:id="89"/>
      <w:r/>
      <w:bookmarkEnd w:id="90"/>
      <w:r/>
      <w:bookmarkEnd w:id="91"/>
      <w:r/>
      <w:bookmarkEnd w:id="92"/>
      <w:r>
        <w:rPr>
          <w:rFonts w:hint="eastAsia" w:ascii="宋体" w:hAnsi="宋体" w:eastAsia="宋体" w:cs="宋体"/>
          <w:highlight w:val="none"/>
        </w:rPr>
      </w:r>
      <w:r/>
    </w:p>
    <w:p>
      <w:pPr>
        <w:pStyle w:val="654"/>
        <w:ind w:firstLine="480"/>
        <w:spacing w:line="360" w:lineRule="auto"/>
        <w:rPr>
          <w:rFonts w:hint="eastAsia" w:ascii="宋体" w:hAnsi="宋体" w:eastAsia="宋体" w:cs="宋体"/>
          <w:color w:val="000000"/>
          <w:sz w:val="24"/>
          <w:szCs w:val="24"/>
          <w:highlight w:val="none"/>
        </w:rPr>
      </w:pPr>
      <w:r/>
      <w:bookmarkStart w:id="93" w:name="_Toc477186800"/>
      <w:r/>
      <w:bookmarkStart w:id="94" w:name="_Toc477186553"/>
      <w:r>
        <w:rPr>
          <w:rFonts w:hint="eastAsia" w:ascii="宋体" w:hAnsi="宋体" w:eastAsia="宋体" w:cs="宋体"/>
          <w:color w:val="000000"/>
          <w:sz w:val="24"/>
          <w:szCs w:val="24"/>
          <w:highlight w:val="none"/>
        </w:rPr>
        <w:t xml:space="preserve">受</w:t>
      </w:r>
      <w:r>
        <w:rPr>
          <w:rFonts w:hint="eastAsia" w:ascii="宋体" w:hAnsi="宋体" w:eastAsia="宋体" w:cs="宋体"/>
          <w:bCs/>
          <w:color w:val="000000"/>
          <w:sz w:val="24"/>
          <w:szCs w:val="24"/>
          <w:highlight w:val="none"/>
          <w:u w:val="single"/>
        </w:rPr>
        <w:t xml:space="preserve">昆山市自然资源和规划局</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u w:val="single"/>
        </w:rPr>
        <w:t xml:space="preserve">江苏建协全过程工程咨询有限公司</w:t>
      </w:r>
      <w:r>
        <w:rPr>
          <w:rFonts w:hint="eastAsia" w:ascii="宋体" w:hAnsi="宋体" w:eastAsia="宋体" w:cs="宋体"/>
          <w:color w:val="000000"/>
          <w:sz w:val="24"/>
          <w:szCs w:val="24"/>
          <w:highlight w:val="none"/>
        </w:rPr>
        <w:t xml:space="preserve">作为采购代理机构，为委托人拟采购的</w:t>
      </w:r>
      <w:r>
        <w:rPr>
          <w:rFonts w:hint="eastAsia" w:ascii="宋体" w:hAnsi="宋体" w:eastAsia="宋体" w:cs="宋体"/>
          <w:color w:val="000000"/>
          <w:sz w:val="24"/>
          <w:szCs w:val="24"/>
          <w:highlight w:val="none"/>
          <w:u w:val="single"/>
          <w:lang w:eastAsia="zh-CN"/>
        </w:rPr>
        <w:t xml:space="preserve">2024年度昆山市森林草地湿地沙化普查项目</w:t>
      </w:r>
      <w:r>
        <w:rPr>
          <w:rFonts w:hint="eastAsia" w:ascii="宋体" w:hAnsi="宋体" w:eastAsia="宋体" w:cs="宋体"/>
          <w:color w:val="000000"/>
          <w:sz w:val="24"/>
          <w:szCs w:val="24"/>
          <w:highlight w:val="none"/>
        </w:rPr>
        <w:t xml:space="preserve">进行国内公开招标。</w:t>
      </w:r>
      <w:r>
        <w:rPr>
          <w:rFonts w:hint="eastAsia" w:ascii="宋体" w:hAnsi="宋体" w:eastAsia="宋体" w:cs="宋体"/>
          <w:color w:val="000000"/>
          <w:sz w:val="24"/>
          <w:szCs w:val="24"/>
          <w:highlight w:val="none"/>
        </w:rPr>
      </w:r>
      <w:r/>
    </w:p>
    <w:p>
      <w:pPr>
        <w:pStyle w:val="654"/>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b/>
          <w:sz w:val="24"/>
          <w:szCs w:val="24"/>
          <w:highlight w:val="none"/>
        </w:rPr>
        <w:t xml:space="preserve">一、招标编号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JSZC-320583-JXCG-G2024-0075</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rPr>
      </w:r>
      <w:r/>
    </w:p>
    <w:p>
      <w:pPr>
        <w:pStyle w:val="654"/>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b/>
          <w:sz w:val="24"/>
          <w:szCs w:val="24"/>
          <w:highlight w:val="none"/>
        </w:rPr>
        <w:t xml:space="preserve">二、项目名称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2024年度昆山市森林草地湿地沙化普查项目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4"/>
        <w:ind w:firstLine="470"/>
        <w:rPr>
          <w:rFonts w:hint="eastAsia" w:ascii="宋体" w:hAnsi="宋体" w:eastAsia="宋体" w:cs="宋体"/>
          <w:color w:val="000000"/>
          <w:sz w:val="24"/>
          <w:szCs w:val="24"/>
          <w:highlight w:val="none"/>
        </w:rPr>
      </w:pPr>
      <w:r>
        <w:rPr>
          <w:rFonts w:hint="eastAsia" w:ascii="宋体" w:hAnsi="宋体" w:eastAsia="宋体" w:cs="宋体"/>
          <w:b/>
          <w:sz w:val="24"/>
          <w:szCs w:val="24"/>
          <w:highlight w:val="none"/>
        </w:rPr>
        <w:t xml:space="preserve">三、</w:t>
      </w:r>
      <w:r>
        <w:rPr>
          <w:rFonts w:hint="eastAsia" w:ascii="宋体" w:hAnsi="宋体" w:eastAsia="宋体" w:cs="宋体"/>
          <w:b/>
          <w:bCs/>
          <w:sz w:val="24"/>
          <w:szCs w:val="24"/>
          <w:highlight w:val="none"/>
        </w:rPr>
        <w:t xml:space="preserve">项目概况</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为贯彻落实《自然资源部 国家林业和草原局关于开展全国森林草原湿地荒漠化普查工作的通知》（自然资发〔2024〕78号）、《江苏省白然资源厅江苏省林业局关于开展全省森林草地湿地沙化普查工作的通知》（苏自然资函〔2024〕540号），依据《全国森林草原湿地荒漠化普查技术规程》、《全国森林草原湿地荒漠化普查技术方案》、《全省森林草原湿地荒漠化普查实施方案》，开展昆山市2024年森林草地湿地沙化普查（以下简称“林草湿沙普查”）。</w:t>
      </w:r>
      <w:r>
        <w:rPr>
          <w:rFonts w:hint="eastAsia" w:ascii="宋体" w:hAnsi="宋体" w:eastAsia="宋体" w:cs="宋体"/>
          <w:color w:val="000000"/>
          <w:sz w:val="24"/>
          <w:szCs w:val="24"/>
          <w:highlight w:val="none"/>
        </w:rPr>
      </w:r>
      <w:r/>
    </w:p>
    <w:p>
      <w:pPr>
        <w:pStyle w:val="654"/>
        <w:ind w:firstLine="470"/>
        <w:rPr>
          <w:rFonts w:hint="eastAsia" w:ascii="宋体" w:hAnsi="宋体" w:eastAsia="宋体" w:cs="宋体"/>
          <w:b/>
          <w:sz w:val="24"/>
          <w:szCs w:val="24"/>
          <w:highlight w:val="none"/>
        </w:rPr>
      </w:pPr>
      <w:r/>
      <w:bookmarkStart w:id="95" w:name="_Toc54020992"/>
      <w:r/>
      <w:bookmarkStart w:id="96" w:name="_Toc67231871"/>
      <w:r/>
      <w:bookmarkStart w:id="97" w:name="_Toc54024582"/>
      <w:r>
        <w:rPr>
          <w:rFonts w:hint="eastAsia" w:ascii="宋体" w:hAnsi="宋体" w:eastAsia="宋体" w:cs="宋体"/>
          <w:b/>
          <w:sz w:val="24"/>
          <w:szCs w:val="24"/>
          <w:highlight w:val="none"/>
        </w:rPr>
        <w:t xml:space="preserve">四、</w:t>
      </w:r>
      <w:bookmarkEnd w:id="95"/>
      <w:r/>
      <w:bookmarkEnd w:id="96"/>
      <w:r/>
      <w:bookmarkEnd w:id="97"/>
      <w:r>
        <w:rPr>
          <w:rFonts w:hint="eastAsia" w:ascii="宋体" w:hAnsi="宋体" w:eastAsia="宋体" w:cs="宋体"/>
          <w:b/>
          <w:sz w:val="24"/>
          <w:szCs w:val="24"/>
          <w:highlight w:val="none"/>
        </w:rPr>
        <w:t xml:space="preserve">工作任务</w:t>
      </w:r>
      <w:r>
        <w:rPr>
          <w:rFonts w:hint="eastAsia" w:ascii="宋体" w:hAnsi="宋体" w:eastAsia="宋体" w:cs="宋体"/>
          <w:b/>
          <w:sz w:val="24"/>
          <w:szCs w:val="24"/>
          <w:highlight w:val="none"/>
        </w:rPr>
      </w:r>
      <w:r/>
    </w:p>
    <w:p>
      <w:pPr>
        <w:pStyle w:val="654"/>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1、地类对接</w:t>
      </w:r>
      <w:r>
        <w:rPr>
          <w:rFonts w:hint="eastAsia" w:ascii="宋体" w:hAnsi="宋体" w:eastAsia="宋体" w:cs="宋体"/>
          <w:b/>
          <w:bCs/>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严格按照《国土调查与林草湿调查地类对接技术方案》（自然资办函〔2024〕1057号）等相关技术规定，地类对接工作以国土变更调查成果为基础，共同开展地类对接工作，坚持以实际现状认定地类，解决林草湿调查监测植被覆盖类型与国土调查地类不一致问题。依据《国土空间调查、规划、用途管制用地用海分类指南》的统一标准，按照国土调查以实地现状认定地类原则，逐一核实确认和调查举证，形成地类对接共同认定成果，纳入2024年度国土变更调查成果。</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对于一级类不一致的变化图斑，采用国土云调查平台，结合森林覆盖率及林保规划林地落界成果，核实林草湿一级地类（植被覆盖类型）不一致图斑，对属性因子进行更新。</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对于二级类不一致的变化图斑，结合影像、档案资料、现地调查等核实林草湿二级地类（植被覆盖类型）不一致图斑，对属性因子进行更新，经自然资源部门确认后，纳入年度变更。</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2、图斑监测</w:t>
      </w:r>
      <w:r>
        <w:rPr>
          <w:rFonts w:hint="eastAsia" w:ascii="宋体" w:hAnsi="宋体" w:eastAsia="宋体" w:cs="宋体"/>
          <w:b/>
          <w:bCs/>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国家下发的变化图斑为基础，结合收集的年度造林绿化、建设项目用地、林木采伐、生态保护修复、林业灾害损失等业务管理资料，开展森林、草地、湿地图斑监测，包括变化图斑验证核实、图斑补充区划和相关属性因子完善并更新林草湿资源底图，依据相关批准文件变更省级以上重点公益林，获取2024年森林、草地、湿地资源现状和变化数据。</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3、图斑调查</w:t>
      </w:r>
      <w:r>
        <w:rPr>
          <w:rFonts w:hint="eastAsia" w:ascii="宋体" w:hAnsi="宋体" w:eastAsia="宋体" w:cs="宋体"/>
          <w:b/>
          <w:bCs/>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以全国国土变更调查成果</w:t>
      </w:r>
      <w:r>
        <w:rPr>
          <w:rFonts w:hint="eastAsia" w:ascii="宋体" w:hAnsi="宋体" w:eastAsia="宋体" w:cs="宋体"/>
          <w:color w:val="000000"/>
          <w:sz w:val="24"/>
          <w:szCs w:val="24"/>
          <w:highlight w:val="none"/>
        </w:rPr>
        <w:t xml:space="preserve">和共同认定的不一致图斑为基础，开展林地、草地、湿地的属性调查，林地基于23年定期调查数据进行更新，草地为变更调查数据库的草地图斑，湿地按照湿地保护法，包含全口径湿地图斑，包括:一是，“三调”工作分类“湿地”中的“红树林地”、“森林沼泽”、“灌丛沼泽”、“沼泽草地”、“沿海滩涂”、“内陆滩涂”“沼泽地”等7个二级地类，二是，“水域”中“河流水面”、“湖泊水面”、“水库水面”、“坑塘水面”(不含养殖水面)、“沟渠”等5个二级地类，三是，浅海水域(“以海洋基础测绘成果中的零米等深线及5米、10米等深线插值推算”)</w:t>
      </w:r>
      <w:r>
        <w:rPr>
          <w:rFonts w:hint="eastAsia" w:ascii="宋体" w:hAnsi="宋体" w:eastAsia="宋体" w:cs="宋体"/>
          <w:color w:val="000000"/>
          <w:sz w:val="24"/>
          <w:szCs w:val="24"/>
          <w:highlight w:val="none"/>
        </w:rPr>
      </w:r>
      <w:r/>
    </w:p>
    <w:p>
      <w:pPr>
        <w:pStyle w:val="654"/>
        <w:ind w:firstLine="47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五、技术标准与依据</w:t>
      </w:r>
      <w:r>
        <w:rPr>
          <w:rFonts w:hint="eastAsia" w:ascii="宋体" w:hAnsi="宋体" w:eastAsia="宋体" w:cs="宋体"/>
          <w:b/>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bookmarkStart w:id="98" w:name="_Toc67672385"/>
      <w:r/>
      <w:bookmarkStart w:id="99" w:name="_Toc67232091"/>
      <w:r>
        <w:rPr>
          <w:rFonts w:hint="eastAsia" w:ascii="宋体" w:hAnsi="宋体" w:eastAsia="宋体" w:cs="宋体"/>
          <w:color w:val="000000"/>
          <w:sz w:val="24"/>
          <w:szCs w:val="24"/>
          <w:highlight w:val="none"/>
        </w:rPr>
        <w:t xml:space="preserve">林草生态综合监测主要依据包括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土地利用现状分类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GB/T 21010-2017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《国土空间调查、规划、用途管制用地用海分类指南》、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第三次全国国土调查技术规程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TD/T 1055-2019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《全</w:t>
      </w:r>
      <w:r>
        <w:rPr>
          <w:rFonts w:hint="eastAsia" w:ascii="宋体" w:hAnsi="宋体" w:eastAsia="宋体" w:cs="宋体"/>
          <w:color w:val="000000"/>
          <w:sz w:val="24"/>
          <w:szCs w:val="24"/>
          <w:highlight w:val="none"/>
          <w:lang w:val="en-US" w:eastAsia="zh-CN"/>
        </w:rPr>
        <w:t xml:space="preserve">省</w:t>
      </w:r>
      <w:r>
        <w:rPr>
          <w:rFonts w:hint="eastAsia" w:ascii="宋体" w:hAnsi="宋体" w:eastAsia="宋体" w:cs="宋体"/>
          <w:color w:val="000000"/>
          <w:sz w:val="24"/>
          <w:szCs w:val="24"/>
          <w:highlight w:val="none"/>
        </w:rPr>
        <w:t xml:space="preserve">森林草原湿地</w:t>
      </w:r>
      <w:r>
        <w:rPr>
          <w:rFonts w:hint="eastAsia" w:ascii="宋体" w:hAnsi="宋体" w:eastAsia="宋体" w:cs="宋体"/>
          <w:color w:val="000000"/>
          <w:sz w:val="24"/>
          <w:szCs w:val="24"/>
          <w:highlight w:val="none"/>
          <w:lang w:val="en-US" w:eastAsia="zh-CN"/>
        </w:rPr>
        <w:t xml:space="preserve">沙</w:t>
      </w:r>
      <w:r>
        <w:rPr>
          <w:rFonts w:hint="eastAsia" w:ascii="宋体" w:hAnsi="宋体" w:eastAsia="宋体" w:cs="宋体"/>
          <w:color w:val="000000"/>
          <w:sz w:val="24"/>
          <w:szCs w:val="24"/>
          <w:highlight w:val="none"/>
        </w:rPr>
        <w:t xml:space="preserve">化普查</w:t>
      </w:r>
      <w:r>
        <w:rPr>
          <w:rFonts w:hint="eastAsia" w:ascii="宋体" w:hAnsi="宋体" w:eastAsia="宋体" w:cs="宋体"/>
          <w:color w:val="000000"/>
          <w:sz w:val="24"/>
          <w:szCs w:val="24"/>
          <w:highlight w:val="none"/>
          <w:lang w:val="en-US" w:eastAsia="zh-CN"/>
        </w:rPr>
        <w:t xml:space="preserve">实施方案</w:t>
      </w:r>
      <w:r>
        <w:rPr>
          <w:rFonts w:hint="eastAsia" w:ascii="宋体" w:hAnsi="宋体" w:eastAsia="宋体" w:cs="宋体"/>
          <w:color w:val="000000"/>
          <w:sz w:val="24"/>
          <w:szCs w:val="24"/>
          <w:highlight w:val="none"/>
        </w:rPr>
        <w:t xml:space="preserve">》、《全国森林草原湿地荒漠化普查技术规程》、《全国森林草原湿地荒漠化普查技术方案》。</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b/>
          <w:bCs/>
          <w:color w:val="000000"/>
          <w:sz w:val="24"/>
          <w:szCs w:val="24"/>
          <w:highlight w:val="none"/>
        </w:rPr>
      </w:pPr>
      <w:r/>
      <w:bookmarkEnd w:id="98"/>
      <w:r/>
      <w:bookmarkEnd w:id="99"/>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、成果要求</w:t>
      </w:r>
      <w:r>
        <w:rPr>
          <w:rFonts w:hint="eastAsia" w:ascii="宋体" w:hAnsi="宋体" w:eastAsia="宋体" w:cs="宋体"/>
          <w:b/>
          <w:bCs/>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主要成果类型包括数据库成果、成果报告、图件成果和表格成果等。</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1、地类认定</w:t>
      </w:r>
      <w:r>
        <w:rPr>
          <w:rFonts w:hint="eastAsia" w:ascii="宋体" w:hAnsi="宋体" w:eastAsia="宋体" w:cs="宋体"/>
          <w:b/>
          <w:bCs/>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主要成果包括数据成果和文字成果。</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（1）数据成果</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县级调查单元按照年度变更调查数据库更新统一标准要求、技术方法及质量要求等，依据双方共同认定且通过国家级核查结果，形成增量更新数据和数据库;对于采用高清遥感影像举证的，还应提交对应的高清遥感影像成果。</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（2）文字成果</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省级自然资源主管部门会和同级林草部门共同形成监测成果认定报告，报告中应包括预判图斑的认定方法、分歧解决方式、共同认定并修改的图斑面积、协同做好认定工作的意见和建议等内容全面反映监测成果认定工作。</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2、图斑监测</w:t>
      </w:r>
      <w:r>
        <w:rPr>
          <w:rFonts w:hint="eastAsia" w:ascii="宋体" w:hAnsi="宋体" w:eastAsia="宋体" w:cs="宋体"/>
          <w:b/>
          <w:bCs/>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（1）数据库成果</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建立林草湿荒图斑监测数据库，主要包括遥感影像数据库、林草湿地表覆盖变化判读数据库、林草湿变化图斑核实数据库、林草湿图斑更新数据库等。</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（2）表格成果</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编写林草资源统计表，主要包括林草湿资源的种类、数量、质量、结构、分布等现状及年度变化统计表等。</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（3）图件成果</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生成资源现状图，主要包括林草湿分布图、森林分布图、草原分布图、湿地分布图以及重点区域资源分布图等。</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（4）成果报告</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主要包括全国林草湿沙年度调查监测报告等。</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3、图斑调查</w:t>
      </w:r>
      <w:r>
        <w:rPr>
          <w:rFonts w:hint="eastAsia" w:ascii="宋体" w:hAnsi="宋体" w:eastAsia="宋体" w:cs="宋体"/>
          <w:b/>
          <w:bCs/>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（1）数据库成果</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主要包括森林、草原、湿地图斑数据库等成果数据库。</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（2）成果报告</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森林、草原和湿地调查成果报告。</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（3）图件成果</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生成各项专题图件成果，包括：林草资源分布图。包括林草植被分布图、森林分布图、草地分布图和湿地分布图。</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（4）表格成果</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主要包括森林草原湿地调查监测成果统计表、生态评价统计表和重点区域统计表。</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 进度要求</w:t>
      </w:r>
      <w:r>
        <w:rPr>
          <w:rFonts w:hint="eastAsia" w:ascii="宋体" w:hAnsi="宋体" w:eastAsia="宋体" w:cs="宋体"/>
          <w:b/>
          <w:bCs/>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sz w:val="24"/>
          <w:highlight w:val="none"/>
        </w:rPr>
        <w:t xml:space="preserve">地类认定</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过高清影像、实地举证等方法进行核实，开展不一致认定，2024年9月20日前通过县级核查，分批次按照要求上报至省级，同时开展相应的整改工作；2024年10月底前通过省级核查，分批次上报部规划院，2024年12月底前，完成补充举证和核实整改，直至通过国家级复核。</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2、图斑监测</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收集年度造林、用地、采伐、生态保护修复、灾害损失等档案资料并上图等各类资源增减变化档案资料，结合国家下发的变化图斑，于12月底前完成核实举证、图斑补充和底图更新工作。</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3、图斑调查</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 w:val="24"/>
          <w:szCs w:val="24"/>
          <w:highlight w:val="none"/>
        </w:rPr>
        <w:t xml:space="preserve">2024年11月底前，完成森林、草地、湿地图斑的区划和外业调查，于同年12月底前完成核实举证、图斑补充和底图更新工作，2025年4月底底前完成省级检查验收工作。</w:t>
      </w:r>
      <w:r>
        <w:rPr>
          <w:rFonts w:hint="eastAsia" w:ascii="宋体" w:hAnsi="宋体" w:eastAsia="宋体" w:cs="宋体"/>
          <w:color w:val="000000"/>
          <w:szCs w:val="21"/>
          <w:highlight w:val="none"/>
        </w:rPr>
      </w:r>
      <w:r/>
    </w:p>
    <w:p>
      <w:pPr>
        <w:pStyle w:val="655"/>
        <w:jc w:val="center"/>
        <w:rPr>
          <w:rFonts w:hint="eastAsia" w:ascii="宋体" w:hAnsi="宋体" w:eastAsia="宋体" w:cs="宋体"/>
          <w:highlight w:val="none"/>
        </w:rPr>
      </w:pPr>
      <w:r/>
      <w:bookmarkStart w:id="100" w:name="_Toc8652805"/>
      <w:r/>
      <w:bookmarkStart w:id="101" w:name="_Toc8652610"/>
      <w:r/>
      <w:bookmarkStart w:id="102" w:name="_Toc116111019"/>
      <w:r>
        <w:rPr>
          <w:rFonts w:hint="eastAsia" w:ascii="宋体" w:hAnsi="宋体" w:eastAsia="宋体" w:cs="宋体"/>
          <w:highlight w:val="none"/>
        </w:rPr>
        <w:br w:type="page" w:clear="all"/>
      </w:r>
      <w:bookmarkStart w:id="103" w:name="_Toc1489"/>
      <w:r>
        <w:rPr>
          <w:rFonts w:hint="eastAsia" w:ascii="宋体" w:hAnsi="宋体" w:eastAsia="宋体" w:cs="宋体"/>
          <w:highlight w:val="none"/>
        </w:rPr>
        <w:t xml:space="preserve">第五章 合同主要条款</w:t>
      </w:r>
      <w:bookmarkEnd w:id="93"/>
      <w:r/>
      <w:bookmarkEnd w:id="94"/>
      <w:r/>
      <w:bookmarkEnd w:id="100"/>
      <w:r/>
      <w:bookmarkEnd w:id="101"/>
      <w:r/>
      <w:bookmarkEnd w:id="102"/>
      <w:r/>
      <w:bookmarkEnd w:id="103"/>
      <w:r/>
      <w:bookmarkStart w:id="104" w:name="_Toc477186554"/>
      <w:r/>
      <w:bookmarkStart w:id="105" w:name="_Toc477186801"/>
      <w:r>
        <w:rPr>
          <w:rFonts w:hint="eastAsia" w:ascii="宋体" w:hAnsi="宋体" w:eastAsia="宋体" w:cs="宋体"/>
          <w:highlight w:val="none"/>
        </w:rPr>
      </w:r>
      <w:r/>
    </w:p>
    <w:p>
      <w:pPr>
        <w:pStyle w:val="654"/>
        <w:spacing w:line="360" w:lineRule="auto"/>
        <w:rPr>
          <w:rFonts w:hint="eastAsia" w:ascii="宋体" w:hAnsi="宋体" w:eastAsia="宋体" w:cs="宋体"/>
          <w:color w:val="000000"/>
          <w:sz w:val="24"/>
          <w:highlight w:val="none"/>
        </w:rPr>
      </w:pPr>
      <w:r/>
      <w:bookmarkStart w:id="106" w:name="_Toc8652611"/>
      <w:r/>
      <w:bookmarkStart w:id="107" w:name="_Toc8652806"/>
      <w:r>
        <w:rPr>
          <w:rFonts w:hint="eastAsia" w:ascii="宋体" w:hAnsi="宋体" w:eastAsia="宋体" w:cs="宋体"/>
          <w:color w:val="000000"/>
          <w:sz w:val="24"/>
          <w:highlight w:val="none"/>
        </w:rPr>
        <w:t xml:space="preserve">甲方：昆山市自然资源和规划局</w:t>
      </w:r>
      <w:r>
        <w:rPr>
          <w:rFonts w:hint="eastAsia" w:ascii="宋体" w:hAnsi="宋体" w:eastAsia="宋体" w:cs="宋体"/>
          <w:color w:val="000000"/>
          <w:sz w:val="24"/>
          <w:highlight w:val="none"/>
        </w:rPr>
      </w:r>
      <w:r/>
    </w:p>
    <w:p>
      <w:pPr>
        <w:pStyle w:val="65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地址：昆山市同丰西路188号</w:t>
      </w:r>
      <w:r>
        <w:rPr>
          <w:rFonts w:hint="eastAsia" w:ascii="宋体" w:hAnsi="宋体" w:eastAsia="宋体" w:cs="宋体"/>
          <w:color w:val="000000"/>
          <w:sz w:val="24"/>
          <w:highlight w:val="none"/>
        </w:rPr>
      </w:r>
      <w:r/>
    </w:p>
    <w:p>
      <w:pPr>
        <w:pStyle w:val="65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电话/传真：0512-57757835</w:t>
      </w:r>
      <w:r>
        <w:rPr>
          <w:rFonts w:hint="eastAsia" w:ascii="宋体" w:hAnsi="宋体" w:eastAsia="宋体" w:cs="宋体"/>
          <w:color w:val="000000"/>
          <w:sz w:val="24"/>
          <w:highlight w:val="none"/>
        </w:rPr>
      </w:r>
      <w:r/>
    </w:p>
    <w:p>
      <w:pPr>
        <w:pStyle w:val="65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87"/>
        <w:ind w:left="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乙方：</w:t>
      </w:r>
      <w:r>
        <w:rPr>
          <w:rFonts w:hint="eastAsia" w:ascii="宋体" w:hAnsi="宋体" w:eastAsia="宋体" w:cs="宋体"/>
          <w:color w:val="000000"/>
          <w:szCs w:val="24"/>
          <w:highlight w:val="none"/>
        </w:rPr>
      </w:r>
      <w:r/>
    </w:p>
    <w:p>
      <w:pPr>
        <w:pStyle w:val="687"/>
        <w:ind w:left="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地址： </w:t>
      </w:r>
      <w:r>
        <w:rPr>
          <w:rFonts w:hint="eastAsia" w:ascii="宋体" w:hAnsi="宋体" w:eastAsia="宋体" w:cs="宋体"/>
          <w:color w:val="000000"/>
          <w:szCs w:val="24"/>
          <w:highlight w:val="none"/>
        </w:rPr>
      </w:r>
      <w:r/>
    </w:p>
    <w:p>
      <w:pPr>
        <w:pStyle w:val="687"/>
        <w:ind w:left="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电话/传真：</w:t>
      </w:r>
      <w:r>
        <w:rPr>
          <w:rFonts w:hint="eastAsia" w:ascii="宋体" w:hAnsi="宋体" w:eastAsia="宋体" w:cs="宋体"/>
          <w:color w:val="000000"/>
          <w:szCs w:val="24"/>
          <w:highlight w:val="none"/>
        </w:rPr>
      </w:r>
      <w:r/>
    </w:p>
    <w:p>
      <w:pPr>
        <w:pStyle w:val="654"/>
        <w:ind w:firstLine="480"/>
        <w:spacing w:before="100" w:beforeAutospacing="1" w:after="100" w:afterAutospacing="1"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甲方委托乙方</w:t>
      </w:r>
      <w:r>
        <w:rPr>
          <w:rFonts w:hint="eastAsia" w:ascii="宋体" w:hAnsi="宋体" w:eastAsia="宋体" w:cs="宋体"/>
          <w:color w:val="000000"/>
          <w:sz w:val="24"/>
          <w:highlight w:val="none"/>
          <w:lang w:val="en-US" w:eastAsia="zh-CN"/>
        </w:rPr>
        <w:t xml:space="preserve">开展</w:t>
      </w:r>
      <w:r>
        <w:rPr>
          <w:rFonts w:hint="eastAsia" w:ascii="宋体" w:hAnsi="宋体" w:eastAsia="宋体" w:cs="宋体"/>
          <w:color w:val="000000"/>
          <w:sz w:val="24"/>
          <w:highlight w:val="none"/>
          <w:u w:val="single"/>
          <w:lang w:eastAsia="zh-CN"/>
        </w:rPr>
        <w:t xml:space="preserve">2024年度昆山市森林草地湿地沙化普查项目</w:t>
      </w:r>
      <w:r>
        <w:rPr>
          <w:rFonts w:hint="eastAsia" w:ascii="宋体" w:hAnsi="宋体" w:eastAsia="宋体" w:cs="宋体"/>
          <w:color w:val="000000"/>
          <w:sz w:val="24"/>
          <w:highlight w:val="none"/>
        </w:rPr>
        <w:t xml:space="preserve">，双方经平等协商，在真实、充分地表达各自意愿的基础上，根据《中华人民共和国民法典》等相关规定，达成如下协议，双方共同恪守。</w:t>
      </w:r>
      <w:r>
        <w:rPr>
          <w:rFonts w:hint="eastAsia" w:ascii="宋体" w:hAnsi="宋体" w:eastAsia="宋体" w:cs="宋体"/>
          <w:color w:val="000000"/>
          <w:sz w:val="24"/>
          <w:highlight w:val="none"/>
        </w:rPr>
      </w:r>
      <w:r/>
    </w:p>
    <w:p>
      <w:pPr>
        <w:pStyle w:val="654"/>
        <w:ind w:right="26" w:firstLine="470"/>
        <w:spacing w:line="360" w:lineRule="auto"/>
        <w:rPr>
          <w:rFonts w:hint="eastAsia" w:ascii="宋体" w:hAnsi="宋体" w:eastAsia="宋体" w:cs="宋体"/>
          <w:color w:val="000000"/>
          <w:sz w:val="24"/>
          <w:highlight w:val="none"/>
          <w:u w:val="single"/>
        </w:rPr>
      </w:pPr>
      <w:r>
        <w:rPr>
          <w:rFonts w:hint="eastAsia" w:ascii="宋体" w:hAnsi="宋体" w:eastAsia="宋体" w:cs="宋体"/>
          <w:b/>
          <w:color w:val="000000"/>
          <w:sz w:val="24"/>
          <w:highlight w:val="none"/>
        </w:rPr>
        <w:t xml:space="preserve">第一条</w:t>
      </w:r>
      <w:r>
        <w:rPr>
          <w:rFonts w:hint="eastAsia" w:ascii="宋体" w:hAnsi="宋体" w:eastAsia="宋体" w:cs="宋体"/>
          <w:color w:val="000000"/>
          <w:sz w:val="24"/>
          <w:highlight w:val="none"/>
        </w:rPr>
        <w:t xml:space="preserve">  项目基本情况</w:t>
      </w:r>
      <w:r>
        <w:rPr>
          <w:rFonts w:hint="eastAsia" w:ascii="宋体" w:hAnsi="宋体" w:eastAsia="宋体" w:cs="宋体"/>
          <w:color w:val="000000"/>
          <w:sz w:val="24"/>
          <w:highlight w:val="none"/>
          <w:u w:val="single"/>
        </w:rPr>
      </w:r>
      <w:r/>
    </w:p>
    <w:p>
      <w:pPr>
        <w:pStyle w:val="731"/>
        <w:numPr>
          <w:ilvl w:val="0"/>
          <w:numId w:val="3"/>
        </w:numPr>
        <w:ind w:right="26"/>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u w:val="single"/>
          <w:lang w:eastAsia="zh-CN"/>
        </w:rPr>
        <w:t xml:space="preserve">2024年度昆山市森林草地湿地沙化普查项目</w:t>
      </w:r>
      <w:r>
        <w:rPr>
          <w:rFonts w:hint="eastAsia" w:ascii="宋体" w:hAnsi="宋体" w:eastAsia="宋体" w:cs="宋体"/>
          <w:color w:val="000000"/>
          <w:highlight w:val="none"/>
          <w:u w:val="single"/>
        </w:rPr>
      </w:r>
      <w:r/>
    </w:p>
    <w:p>
      <w:pPr>
        <w:pStyle w:val="731"/>
        <w:numPr>
          <w:ilvl w:val="0"/>
          <w:numId w:val="3"/>
        </w:numPr>
        <w:ind w:right="26"/>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（项目编号：</w:t>
      </w:r>
      <w:r>
        <w:rPr>
          <w:rFonts w:hint="eastAsia" w:ascii="宋体" w:hAnsi="宋体" w:eastAsia="宋体" w:cs="宋体"/>
          <w:color w:val="000000"/>
          <w:highlight w:val="none"/>
          <w:u w:val="single"/>
          <w:lang w:eastAsia="zh-CN"/>
        </w:rPr>
        <w:t xml:space="preserve">JSZC-320583-JXCG-G2024-0075</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rPr>
      </w:r>
      <w:r/>
    </w:p>
    <w:p>
      <w:pPr>
        <w:pStyle w:val="654"/>
        <w:numPr>
          <w:ilvl w:val="0"/>
          <w:numId w:val="3"/>
        </w:numPr>
        <w:ind w:left="885" w:right="26" w:hanging="405"/>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服务期限：</w:t>
      </w:r>
      <w:r>
        <w:rPr>
          <w:rFonts w:hint="eastAsia" w:ascii="宋体" w:hAnsi="宋体" w:eastAsia="宋体" w:cs="宋体"/>
          <w:color w:val="000000"/>
          <w:sz w:val="24"/>
          <w:szCs w:val="22"/>
          <w:highlight w:val="none"/>
          <w:u w:val="single"/>
          <w:lang w:val="en-US" w:eastAsia="zh-CN"/>
        </w:rPr>
        <w:t xml:space="preserve">至2025年年底</w:t>
      </w:r>
      <w:r>
        <w:rPr>
          <w:rFonts w:hint="eastAsia" w:ascii="宋体" w:hAnsi="宋体" w:eastAsia="宋体" w:cs="宋体"/>
          <w:color w:val="000000"/>
          <w:sz w:val="24"/>
          <w:szCs w:val="22"/>
          <w:highlight w:val="none"/>
          <w:u w:val="single"/>
        </w:rPr>
        <w:t xml:space="preserve">。</w:t>
      </w:r>
      <w:r>
        <w:rPr>
          <w:rFonts w:hint="eastAsia" w:ascii="宋体" w:hAnsi="宋体" w:eastAsia="宋体" w:cs="宋体"/>
          <w:sz w:val="24"/>
          <w:highlight w:val="none"/>
        </w:rPr>
        <w:t xml:space="preserve">（具体时间以甲方通知为准）</w:t>
      </w:r>
      <w:r>
        <w:rPr>
          <w:rFonts w:hint="eastAsia" w:ascii="宋体" w:hAnsi="宋体" w:eastAsia="宋体" w:cs="宋体"/>
          <w:color w:val="000000"/>
          <w:sz w:val="24"/>
          <w:szCs w:val="22"/>
          <w:highlight w:val="none"/>
        </w:rPr>
      </w:r>
      <w:r/>
    </w:p>
    <w:p>
      <w:pPr>
        <w:pStyle w:val="654"/>
        <w:ind w:right="26"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3．项目地点：</w:t>
      </w:r>
      <w:r>
        <w:rPr>
          <w:rFonts w:hint="eastAsia" w:ascii="宋体" w:hAnsi="宋体" w:eastAsia="宋体" w:cs="宋体"/>
          <w:color w:val="000000"/>
          <w:sz w:val="24"/>
          <w:highlight w:val="none"/>
          <w:u w:val="single"/>
        </w:rPr>
        <w:t xml:space="preserve">江苏省昆山市。</w:t>
      </w:r>
      <w:r>
        <w:rPr>
          <w:rFonts w:hint="eastAsia" w:ascii="宋体" w:hAnsi="宋体" w:eastAsia="宋体" w:cs="宋体"/>
          <w:color w:val="000000"/>
          <w:sz w:val="24"/>
          <w:highlight w:val="none"/>
          <w:u w:val="single"/>
        </w:rPr>
      </w:r>
      <w:r/>
    </w:p>
    <w:p>
      <w:pPr>
        <w:pStyle w:val="654"/>
        <w:ind w:right="26"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4．涉及面积：</w:t>
      </w:r>
      <w:r>
        <w:rPr>
          <w:rFonts w:hint="eastAsia" w:ascii="宋体" w:hAnsi="宋体" w:eastAsia="宋体" w:cs="宋体"/>
          <w:color w:val="000000"/>
          <w:sz w:val="24"/>
          <w:highlight w:val="none"/>
          <w:u w:val="single"/>
        </w:rPr>
        <w:t xml:space="preserve">全域。</w:t>
      </w:r>
      <w:r>
        <w:rPr>
          <w:rFonts w:hint="eastAsia" w:ascii="宋体" w:hAnsi="宋体" w:eastAsia="宋体" w:cs="宋体"/>
          <w:color w:val="000000"/>
          <w:sz w:val="24"/>
          <w:highlight w:val="none"/>
          <w:u w:val="single"/>
        </w:rPr>
      </w:r>
      <w:r/>
    </w:p>
    <w:p>
      <w:pPr>
        <w:pStyle w:val="654"/>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color w:val="000000"/>
          <w:sz w:val="24"/>
          <w:szCs w:val="24"/>
          <w:highlight w:val="none"/>
        </w:rPr>
        <w:t xml:space="preserve">第二条  </w:t>
      </w:r>
      <w:r>
        <w:rPr>
          <w:rFonts w:hint="eastAsia" w:ascii="宋体" w:hAnsi="宋体" w:eastAsia="宋体" w:cs="宋体"/>
          <w:b w:val="0"/>
          <w:bCs/>
          <w:color w:val="000000"/>
          <w:sz w:val="24"/>
          <w:szCs w:val="24"/>
          <w:highlight w:val="none"/>
          <w:lang w:val="en-US" w:eastAsia="zh-CN"/>
        </w:rPr>
        <w:t xml:space="preserve">项目概况</w:t>
      </w:r>
      <w:r>
        <w:rPr>
          <w:rFonts w:hint="eastAsia" w:ascii="宋体" w:hAnsi="宋体" w:eastAsia="宋体" w:cs="宋体"/>
          <w:b w:val="0"/>
          <w:bCs/>
          <w:color w:val="000000"/>
          <w:sz w:val="24"/>
          <w:szCs w:val="24"/>
          <w:highlight w:val="none"/>
          <w:lang w:val="en-US" w:eastAsia="zh-CN"/>
        </w:rPr>
      </w:r>
      <w:r/>
    </w:p>
    <w:p>
      <w:pPr>
        <w:pStyle w:val="654"/>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sz w:val="24"/>
          <w:szCs w:val="24"/>
          <w:highlight w:val="none"/>
        </w:rPr>
        <w:t xml:space="preserve">为贯彻落实</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自然资源部</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国家林业和草原局关于开展全国森林草原湿地荒漠化普查工作的通知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自然资发〔2024〕78号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、《江苏省白然资源厅江苏省林业局关于开展全省森林草地湿地沙化普查工作的通知》（苏</w:t>
      </w:r>
      <w:r>
        <w:rPr>
          <w:rFonts w:hint="eastAsia" w:ascii="宋体" w:hAnsi="宋体" w:eastAsia="宋体" w:cs="宋体"/>
          <w:sz w:val="24"/>
          <w:szCs w:val="24"/>
          <w:highlight w:val="none"/>
          <w:lang w:val="en-US" w:eastAsia="zh-CN"/>
        </w:rPr>
        <w:t xml:space="preserve">自然</w:t>
      </w:r>
      <w:r>
        <w:rPr>
          <w:rFonts w:hint="eastAsia" w:ascii="宋体" w:hAnsi="宋体" w:eastAsia="宋体" w:cs="宋体"/>
          <w:sz w:val="24"/>
          <w:szCs w:val="24"/>
          <w:highlight w:val="none"/>
        </w:rPr>
        <w:t xml:space="preserve">资</w:t>
      </w:r>
      <w:r>
        <w:rPr>
          <w:rFonts w:hint="eastAsia" w:ascii="宋体" w:hAnsi="宋体" w:eastAsia="宋体" w:cs="宋体"/>
          <w:sz w:val="24"/>
          <w:szCs w:val="24"/>
          <w:highlight w:val="none"/>
          <w:lang w:val="en-US" w:eastAsia="zh-CN"/>
        </w:rPr>
        <w:t xml:space="preserve">函</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540</w:t>
      </w:r>
      <w:r>
        <w:rPr>
          <w:rFonts w:hint="eastAsia" w:ascii="宋体" w:hAnsi="宋体" w:eastAsia="宋体" w:cs="宋体"/>
          <w:sz w:val="24"/>
          <w:szCs w:val="24"/>
          <w:highlight w:val="none"/>
        </w:rPr>
        <w:t xml:space="preserve">号），依据《全国森林草原湿地荒漠化普查技术规程》、《全国森林草原湿地荒漠化普查技术方案》、《全省森林草原湿地荒漠化普查实施方案》，开展</w:t>
      </w:r>
      <w:r>
        <w:rPr>
          <w:rFonts w:hint="eastAsia" w:ascii="宋体" w:hAnsi="宋体" w:eastAsia="宋体" w:cs="宋体"/>
          <w:sz w:val="24"/>
          <w:szCs w:val="24"/>
          <w:highlight w:val="none"/>
          <w:lang w:val="en-US" w:eastAsia="zh-CN"/>
        </w:rPr>
        <w:t xml:space="preserve">昆山</w:t>
      </w:r>
      <w:r>
        <w:rPr>
          <w:rFonts w:hint="eastAsia" w:ascii="宋体" w:hAnsi="宋体" w:eastAsia="宋体" w:cs="宋体"/>
          <w:sz w:val="24"/>
          <w:szCs w:val="24"/>
          <w:highlight w:val="none"/>
        </w:rPr>
        <w:t xml:space="preserve">市202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年森林草地湿地沙化普查（以下简称“林草</w:t>
      </w:r>
      <w:r>
        <w:rPr>
          <w:rFonts w:hint="eastAsia" w:ascii="宋体" w:hAnsi="宋体" w:eastAsia="宋体" w:cs="宋体"/>
          <w:sz w:val="24"/>
          <w:szCs w:val="24"/>
          <w:highlight w:val="none"/>
          <w:lang w:val="en-US" w:eastAsia="zh-CN"/>
        </w:rPr>
        <w:t xml:space="preserve">湿沙普查</w:t>
      </w:r>
      <w:r>
        <w:rPr>
          <w:rFonts w:hint="eastAsia" w:ascii="宋体" w:hAnsi="宋体" w:eastAsia="宋体" w:cs="宋体"/>
          <w:sz w:val="24"/>
          <w:szCs w:val="24"/>
          <w:highlight w:val="none"/>
        </w:rPr>
        <w:t xml:space="preserve">”）。</w:t>
      </w:r>
      <w:r>
        <w:rPr>
          <w:rFonts w:hint="eastAsia" w:ascii="宋体" w:hAnsi="宋体" w:eastAsia="宋体" w:cs="宋体"/>
          <w:b w:val="0"/>
          <w:bCs/>
          <w:color w:val="000000"/>
          <w:sz w:val="24"/>
          <w:szCs w:val="24"/>
          <w:highlight w:val="none"/>
          <w:lang w:val="en-US" w:eastAsia="zh-CN"/>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条 </w:t>
      </w:r>
      <w:r>
        <w:rPr>
          <w:rFonts w:hint="eastAsia" w:ascii="宋体" w:hAnsi="宋体" w:eastAsia="宋体" w:cs="宋体"/>
          <w:color w:val="000000"/>
          <w:sz w:val="24"/>
          <w:szCs w:val="24"/>
          <w:highlight w:val="none"/>
        </w:rPr>
        <w:t xml:space="preserve">建设内容</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cs="宋体"/>
          <w:sz w:val="24"/>
          <w:highlight w:val="none"/>
        </w:rPr>
        <w:t xml:space="preserve">1、地类对接</w:t>
      </w:r>
      <w:r>
        <w:rPr>
          <w:rFonts w:hint="eastAsia" w:ascii="宋体" w:hAnsi="宋体" w:eastAsia="宋体" w:cs="宋体"/>
          <w:b w:val="0"/>
          <w:bCs w:val="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highlight w:val="none"/>
        </w:rPr>
        <w:t xml:space="preserve">严格按照《国土调查与林草湿调查地类对接技术方案》（自然资办函〔2024〕1057号）等相关技术规定，地类对接工作以国土变更调查成果为基础，共同开展地类对接工作，坚持以实际现状认定地类，解决林草湿调查监测植被覆盖类型与国土调查地类不一致问题。依据《国土空间调查、规划、用途管制用地用海分类指南》的统一标准，按照国土调查以实地现状认定地类原则，逐一核实确认和调查举证，形成地类对接共同认定成果，纳入2024年度国土变更调查成果。</w:t>
      </w:r>
      <w:r>
        <w:rPr>
          <w:rFonts w:hint="eastAsia" w:ascii="宋体" w:hAnsi="宋体" w:eastAsia="宋体" w:cs="宋体"/>
          <w:sz w:val="24"/>
          <w:szCs w:val="24"/>
          <w:highlight w:val="none"/>
        </w:rPr>
      </w:r>
      <w:r/>
    </w:p>
    <w:p>
      <w:pPr>
        <w:pStyle w:val="654"/>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对于一级类不一致的变化图斑，采用国土云调查平台，结合森林覆盖率及林保规划林地落界成果，核实林草湿一级地类（植被覆盖类型）不一致图斑，对属性因子进行更新。</w:t>
      </w:r>
      <w:r>
        <w:rPr>
          <w:rFonts w:hint="eastAsia" w:ascii="宋体" w:hAnsi="宋体" w:eastAsia="宋体" w:cs="宋体"/>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对于二级类不一致的变化图斑，结合影像、档案资料、现地调查等核实林草湿二级地类（植被覆盖类型）不一致图斑，对属性因子进行更新，经自然资源部门确认后，纳入年度变更。</w:t>
      </w:r>
      <w:r>
        <w:rPr>
          <w:rFonts w:hint="eastAsia" w:ascii="宋体" w:hAnsi="宋体" w:eastAsia="宋体" w:cs="宋体"/>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val="0"/>
          <w:bCs w:val="0"/>
          <w:sz w:val="24"/>
          <w:szCs w:val="24"/>
          <w:highlight w:val="none"/>
          <w:lang w:val="en-US" w:eastAsia="zh-CN"/>
        </w:rPr>
        <w:t xml:space="preserve">2、图斑监测</w:t>
      </w:r>
      <w:r>
        <w:rPr>
          <w:rFonts w:hint="eastAsia" w:ascii="宋体" w:hAnsi="宋体" w:eastAsia="宋体" w:cs="宋体"/>
          <w:b w:val="0"/>
          <w:bCs w:val="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b w:val="0"/>
          <w:bCs/>
          <w:sz w:val="24"/>
          <w:szCs w:val="24"/>
          <w:highlight w:val="none"/>
          <w:lang w:val="en-US" w:eastAsia="zh-CN" w:bidi="ar-SA"/>
        </w:rPr>
        <w:t xml:space="preserve">以国家下发的变化图斑为基础，结合收集的年度造林绿化、建设项目用地、林木采伐、生态保护修复、林业灾害损失等业务管理资料，开展森林、草地、湿地图斑监测，包括变化图斑验证核实、图斑补充区划和相关属性因子完善并更新林草湿资源底图，依据相关批准文件变更省级以上重点公益林，获取2024年森林、草地、湿地资源现状和变化数据。</w:t>
      </w:r>
      <w:r>
        <w:rPr>
          <w:rFonts w:hint="eastAsia" w:ascii="宋体" w:hAnsi="宋体" w:eastAsia="宋体" w:cs="宋体"/>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val="0"/>
          <w:bCs w:val="0"/>
          <w:sz w:val="24"/>
          <w:szCs w:val="24"/>
          <w:highlight w:val="none"/>
          <w:lang w:val="en-US" w:eastAsia="zh-CN"/>
        </w:rPr>
        <w:t xml:space="preserve">3、图斑调查</w:t>
      </w:r>
      <w:r>
        <w:rPr>
          <w:rFonts w:hint="eastAsia" w:ascii="宋体" w:hAnsi="宋体" w:eastAsia="宋体" w:cs="宋体"/>
          <w:b w:val="0"/>
          <w:bCs w:val="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以全国国土变更调查成果</w:t>
      </w:r>
      <w:r>
        <w:rPr>
          <w:rFonts w:hint="eastAsia" w:ascii="宋体" w:hAnsi="宋体" w:eastAsia="宋体" w:cs="宋体"/>
          <w:sz w:val="24"/>
          <w:szCs w:val="24"/>
          <w:highlight w:val="none"/>
          <w:lang w:val="en-US" w:eastAsia="zh-CN"/>
        </w:rPr>
        <w:t xml:space="preserve">和共同认定的不一致图斑为基础，开展林地、草地、湿地的属性调查，林地基于23年定期调查数据进行更新，草地为变更调查数据库的草地图斑，湿地按照湿地保护法，包含全口径湿地图斑，包括:一是，“三调”工作分类“湿地”中的“红树林地”、“森林沼泽”、“灌丛沼泽”、“沼泽草地”、“沿海滩涂”、“内陆滩涂”“沼泽地”等7个二级地类，二是，“水域”中“河流水面”、“湖泊水面”、“水库水面”、“坑塘水面”(不含养殖水面)、“沟渠”等5个二级地类，三是，浅海水域(“以海洋基础测绘成果中的零米等深线及5米、10米等深线插值推算”)</w:t>
      </w:r>
      <w:r>
        <w:rPr>
          <w:rFonts w:hint="eastAsia" w:ascii="宋体" w:hAnsi="宋体" w:eastAsia="宋体" w:cs="宋体"/>
          <w:sz w:val="24"/>
          <w:szCs w:val="24"/>
          <w:highlight w:val="none"/>
          <w:lang w:val="en-US" w:eastAsia="zh-CN"/>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第四条 </w:t>
      </w:r>
      <w:r>
        <w:rPr>
          <w:rFonts w:hint="eastAsia" w:ascii="宋体" w:hAnsi="宋体" w:eastAsia="宋体" w:cs="宋体"/>
          <w:color w:val="000000"/>
          <w:sz w:val="24"/>
          <w:szCs w:val="24"/>
          <w:highlight w:val="none"/>
        </w:rPr>
        <w:t xml:space="preserve">预期成果</w:t>
      </w:r>
      <w:r>
        <w:rPr>
          <w:rFonts w:hint="eastAsia" w:ascii="宋体" w:hAnsi="宋体" w:eastAsia="宋体" w:cs="宋体"/>
          <w:color w:val="000000"/>
          <w:sz w:val="24"/>
          <w:szCs w:val="24"/>
          <w:highlight w:val="none"/>
        </w:rPr>
      </w:r>
      <w:r/>
    </w:p>
    <w:p>
      <w:pPr>
        <w:pStyle w:val="654"/>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val="0"/>
          <w:bCs w:val="0"/>
          <w:sz w:val="24"/>
          <w:szCs w:val="24"/>
          <w:highlight w:val="none"/>
          <w:lang w:val="en-US" w:eastAsia="zh-CN"/>
        </w:rPr>
        <w:t xml:space="preserve">1、地类认定</w:t>
      </w:r>
      <w:r>
        <w:rPr>
          <w:rFonts w:hint="eastAsia" w:ascii="宋体" w:hAnsi="宋体" w:eastAsia="宋体" w:cs="宋体"/>
          <w:b w:val="0"/>
          <w:bCs w:val="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主要成果包括数据成果和文字成果。</w:t>
      </w:r>
      <w:r>
        <w:rPr>
          <w:rFonts w:hint="eastAsia" w:ascii="宋体" w:hAnsi="宋体" w:eastAsia="宋体" w:cs="宋体"/>
          <w:sz w:val="24"/>
          <w:szCs w:val="24"/>
          <w:highlight w:val="none"/>
          <w:lang w:val="en-US" w:eastAsia="zh-CN"/>
        </w:rPr>
      </w:r>
      <w:r/>
    </w:p>
    <w:p>
      <w:pPr>
        <w:pStyle w:val="654"/>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val="0"/>
          <w:bCs w:val="0"/>
          <w:sz w:val="24"/>
          <w:szCs w:val="24"/>
          <w:highlight w:val="none"/>
          <w:lang w:val="en-US" w:eastAsia="zh-CN"/>
        </w:rPr>
        <w:t xml:space="preserve">（1）数据成果</w:t>
      </w:r>
      <w:r>
        <w:rPr>
          <w:rFonts w:hint="eastAsia" w:ascii="宋体" w:hAnsi="宋体" w:eastAsia="宋体" w:cs="宋体"/>
          <w:b w:val="0"/>
          <w:bCs w:val="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县级调查单元按照年度变更调查数据库更新统一标准要求、技术方法及质量要求等，依据双方共同认定且通过国家级核查结果，形成增量更新数据和数据库;对于采用高清遥感影像举证的，还应提交对应的高清遥感影像成果。</w:t>
      </w:r>
      <w:r>
        <w:rPr>
          <w:rFonts w:hint="eastAsia" w:ascii="宋体" w:hAnsi="宋体" w:eastAsia="宋体" w:cs="宋体"/>
          <w:sz w:val="24"/>
          <w:szCs w:val="24"/>
          <w:highlight w:val="none"/>
          <w:lang w:val="en-US" w:eastAsia="zh-CN"/>
        </w:rPr>
      </w:r>
      <w:r/>
    </w:p>
    <w:p>
      <w:pPr>
        <w:pStyle w:val="654"/>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val="0"/>
          <w:bCs w:val="0"/>
          <w:sz w:val="24"/>
          <w:szCs w:val="24"/>
          <w:highlight w:val="none"/>
          <w:lang w:val="en-US" w:eastAsia="zh-CN"/>
        </w:rPr>
        <w:t xml:space="preserve">（2）文字成果</w:t>
      </w:r>
      <w:r>
        <w:rPr>
          <w:rFonts w:hint="eastAsia" w:ascii="宋体" w:hAnsi="宋体" w:eastAsia="宋体" w:cs="宋体"/>
          <w:b w:val="0"/>
          <w:bCs w:val="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各省级自然资源主管部门会和同级林草部门共同形成监测成果认定报告，报告中应包括预判图斑的认定方法、分歧解决方式、共同认定并修改的图斑面积、协同做好认定工作的意见和建议等内容全面反映监测成果认定工作。</w:t>
      </w:r>
      <w:r>
        <w:rPr>
          <w:rFonts w:hint="eastAsia" w:ascii="宋体" w:hAnsi="宋体" w:eastAsia="宋体" w:cs="宋体"/>
          <w:sz w:val="24"/>
          <w:szCs w:val="24"/>
          <w:highlight w:val="none"/>
          <w:lang w:val="en-US" w:eastAsia="zh-CN"/>
        </w:rPr>
      </w:r>
      <w:r/>
    </w:p>
    <w:p>
      <w:pPr>
        <w:pStyle w:val="654"/>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val="0"/>
          <w:bCs w:val="0"/>
          <w:sz w:val="24"/>
          <w:szCs w:val="24"/>
          <w:highlight w:val="none"/>
          <w:lang w:val="en-US" w:eastAsia="zh-CN"/>
        </w:rPr>
        <w:t xml:space="preserve">2、图斑监测</w:t>
      </w:r>
      <w:r>
        <w:rPr>
          <w:rFonts w:hint="eastAsia" w:ascii="宋体" w:hAnsi="宋体" w:eastAsia="宋体" w:cs="宋体"/>
          <w:b w:val="0"/>
          <w:bCs w:val="0"/>
          <w:sz w:val="24"/>
          <w:szCs w:val="24"/>
          <w:highlight w:val="none"/>
          <w:lang w:val="en-US" w:eastAsia="zh-CN"/>
        </w:rPr>
      </w:r>
      <w:r/>
    </w:p>
    <w:p>
      <w:pPr>
        <w:pStyle w:val="654"/>
        <w:numPr>
          <w:ilvl w:val="0"/>
          <w:numId w:val="0"/>
        </w:numPr>
        <w:ind w:firstLine="480"/>
        <w:keepLines w:val="0"/>
        <w:keepNext w:val="0"/>
        <w:pageBreakBefore w:val="0"/>
        <w:spacing w:line="360" w:lineRule="auto"/>
        <w:widowControl w:val="off"/>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数据库成果</w:t>
      </w:r>
      <w:r>
        <w:rPr>
          <w:rFonts w:hint="eastAsia" w:ascii="宋体" w:hAnsi="宋体" w:eastAsia="宋体" w:cs="宋体"/>
          <w:b w:val="0"/>
          <w:bCs/>
          <w:sz w:val="24"/>
          <w:szCs w:val="24"/>
          <w:highlight w:val="none"/>
        </w:rPr>
      </w:r>
      <w:r/>
    </w:p>
    <w:p>
      <w:pPr>
        <w:pStyle w:val="654"/>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建立</w:t>
      </w:r>
      <w:r>
        <w:rPr>
          <w:rFonts w:hint="eastAsia" w:ascii="宋体" w:hAnsi="宋体" w:eastAsia="宋体" w:cs="宋体"/>
          <w:sz w:val="24"/>
          <w:szCs w:val="24"/>
          <w:highlight w:val="none"/>
        </w:rPr>
        <w:t xml:space="preserve">林草湿荒图斑监测数据库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主要包括遥感影像数据库、林草湿地表覆盖变化判读数据库、林草湿变化图斑核实数据库、林草湿图斑更新数据库等。</w:t>
      </w:r>
      <w:r>
        <w:rPr>
          <w:rFonts w:hint="eastAsia" w:ascii="宋体" w:hAnsi="宋体" w:eastAsia="宋体" w:cs="宋体"/>
          <w:sz w:val="24"/>
          <w:szCs w:val="24"/>
          <w:highlight w:val="none"/>
        </w:rPr>
      </w:r>
      <w:r/>
    </w:p>
    <w:p>
      <w:pPr>
        <w:pStyle w:val="654"/>
        <w:numPr>
          <w:ilvl w:val="0"/>
          <w:numId w:val="0"/>
        </w:numPr>
        <w:ind w:firstLine="48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表格成果</w:t>
      </w:r>
      <w:r>
        <w:rPr>
          <w:rFonts w:hint="eastAsia" w:ascii="宋体" w:hAnsi="宋体" w:eastAsia="宋体" w:cs="宋体"/>
          <w:b w:val="0"/>
          <w:bCs/>
          <w:sz w:val="24"/>
          <w:szCs w:val="24"/>
          <w:highlight w:val="none"/>
        </w:rPr>
      </w:r>
      <w:r/>
    </w:p>
    <w:p>
      <w:pPr>
        <w:pStyle w:val="654"/>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编写</w:t>
      </w:r>
      <w:r>
        <w:rPr>
          <w:rFonts w:hint="eastAsia" w:ascii="宋体" w:hAnsi="宋体" w:eastAsia="宋体" w:cs="宋体"/>
          <w:sz w:val="24"/>
          <w:szCs w:val="24"/>
          <w:highlight w:val="none"/>
        </w:rPr>
        <w:t xml:space="preserve">林草资源统计表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主要包括林草湿资源的种类、数量、质量、结构、分布等现状及年度变化统计表等。</w:t>
      </w:r>
      <w:r>
        <w:rPr>
          <w:rFonts w:hint="eastAsia" w:ascii="宋体" w:hAnsi="宋体" w:eastAsia="宋体" w:cs="宋体"/>
          <w:sz w:val="24"/>
          <w:szCs w:val="24"/>
          <w:highlight w:val="none"/>
        </w:rPr>
      </w:r>
      <w:r/>
    </w:p>
    <w:p>
      <w:pPr>
        <w:pStyle w:val="654"/>
        <w:ind w:firstLine="482"/>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图件成果</w:t>
      </w:r>
      <w:r>
        <w:rPr>
          <w:rFonts w:hint="eastAsia" w:ascii="宋体" w:hAnsi="宋体" w:eastAsia="宋体" w:cs="宋体"/>
          <w:b w:val="0"/>
          <w:bCs/>
          <w:sz w:val="24"/>
          <w:szCs w:val="24"/>
          <w:highlight w:val="none"/>
        </w:rPr>
      </w:r>
      <w:r/>
    </w:p>
    <w:p>
      <w:pPr>
        <w:pStyle w:val="654"/>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生成</w:t>
      </w:r>
      <w:r>
        <w:rPr>
          <w:rFonts w:hint="eastAsia" w:ascii="宋体" w:hAnsi="宋体" w:eastAsia="宋体" w:cs="宋体"/>
          <w:sz w:val="24"/>
          <w:szCs w:val="24"/>
          <w:highlight w:val="none"/>
        </w:rPr>
        <w:t xml:space="preserve">资源现状图</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主要包括林草湿分布图、森林分布图、草原分布图、湿地分布图以及重点区域资源分布图等。</w:t>
      </w:r>
      <w:r>
        <w:rPr>
          <w:rFonts w:hint="eastAsia" w:ascii="宋体" w:hAnsi="宋体" w:eastAsia="宋体" w:cs="宋体"/>
          <w:sz w:val="24"/>
          <w:szCs w:val="24"/>
          <w:highlight w:val="none"/>
        </w:rPr>
      </w:r>
      <w:r/>
    </w:p>
    <w:p>
      <w:pPr>
        <w:pStyle w:val="654"/>
        <w:ind w:firstLine="482"/>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成果报告</w:t>
      </w:r>
      <w:r>
        <w:rPr>
          <w:rFonts w:hint="eastAsia" w:ascii="宋体" w:hAnsi="宋体" w:eastAsia="宋体" w:cs="宋体"/>
          <w:b w:val="0"/>
          <w:bCs/>
          <w:sz w:val="24"/>
          <w:szCs w:val="24"/>
          <w:highlight w:val="none"/>
        </w:rPr>
      </w:r>
      <w:r/>
    </w:p>
    <w:p>
      <w:pPr>
        <w:pStyle w:val="654"/>
        <w:ind w:firstLine="480"/>
        <w:spacing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主要包括全国林草湿</w:t>
      </w:r>
      <w:r>
        <w:rPr>
          <w:rFonts w:hint="eastAsia" w:ascii="宋体" w:hAnsi="宋体" w:eastAsia="宋体" w:cs="宋体"/>
          <w:sz w:val="24"/>
          <w:szCs w:val="24"/>
          <w:highlight w:val="none"/>
          <w:lang w:val="en-US" w:eastAsia="zh-CN"/>
        </w:rPr>
        <w:t xml:space="preserve">沙</w:t>
      </w:r>
      <w:r>
        <w:rPr>
          <w:rFonts w:hint="eastAsia" w:ascii="宋体" w:hAnsi="宋体" w:eastAsia="宋体" w:cs="宋体"/>
          <w:sz w:val="24"/>
          <w:szCs w:val="24"/>
          <w:highlight w:val="none"/>
        </w:rPr>
        <w:t xml:space="preserve">年度调查监测报告等。</w:t>
      </w:r>
      <w:r>
        <w:rPr>
          <w:rFonts w:hint="eastAsia" w:ascii="宋体" w:hAnsi="宋体" w:eastAsia="宋体" w:cs="宋体"/>
          <w:sz w:val="24"/>
          <w:szCs w:val="24"/>
          <w:highlight w:val="none"/>
          <w:lang w:eastAsia="zh-CN"/>
        </w:rPr>
      </w:r>
      <w:r/>
    </w:p>
    <w:p>
      <w:pPr>
        <w:pStyle w:val="654"/>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val="0"/>
          <w:bCs w:val="0"/>
          <w:sz w:val="24"/>
          <w:szCs w:val="24"/>
          <w:highlight w:val="none"/>
          <w:lang w:val="en-US" w:eastAsia="zh-CN"/>
        </w:rPr>
        <w:t xml:space="preserve">3、图斑调查</w:t>
      </w:r>
      <w:r>
        <w:rPr>
          <w:rFonts w:hint="eastAsia" w:ascii="宋体" w:hAnsi="宋体" w:eastAsia="宋体" w:cs="宋体"/>
          <w:b w:val="0"/>
          <w:bCs w:val="0"/>
          <w:sz w:val="24"/>
          <w:szCs w:val="24"/>
          <w:highlight w:val="none"/>
          <w:lang w:val="en-US" w:eastAsia="zh-CN"/>
        </w:rPr>
      </w:r>
      <w:r/>
    </w:p>
    <w:p>
      <w:pPr>
        <w:pStyle w:val="654"/>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数据库成果</w:t>
      </w:r>
      <w:r>
        <w:rPr>
          <w:rFonts w:hint="eastAsia" w:ascii="宋体" w:hAnsi="宋体" w:eastAsia="宋体" w:cs="宋体"/>
          <w:b w:val="0"/>
          <w:bCs w:val="0"/>
          <w:sz w:val="24"/>
          <w:szCs w:val="24"/>
          <w:highlight w:val="none"/>
        </w:rPr>
      </w:r>
      <w:r/>
    </w:p>
    <w:p>
      <w:pPr>
        <w:pStyle w:val="654"/>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主要包括</w:t>
      </w:r>
      <w:r>
        <w:rPr>
          <w:rFonts w:hint="eastAsia" w:ascii="宋体" w:hAnsi="宋体" w:eastAsia="宋体" w:cs="宋体"/>
          <w:sz w:val="24"/>
          <w:szCs w:val="24"/>
          <w:highlight w:val="none"/>
          <w:lang w:val="en-US" w:eastAsia="zh-CN"/>
        </w:rPr>
        <w:t xml:space="preserve">森林、草原、湿地图斑数据库等成果数据库。</w:t>
      </w:r>
      <w:r>
        <w:rPr>
          <w:rFonts w:hint="eastAsia" w:ascii="宋体" w:hAnsi="宋体" w:eastAsia="宋体" w:cs="宋体"/>
          <w:sz w:val="24"/>
          <w:szCs w:val="24"/>
          <w:highlight w:val="none"/>
        </w:rPr>
      </w:r>
      <w:r/>
    </w:p>
    <w:p>
      <w:pPr>
        <w:pStyle w:val="654"/>
        <w:numPr>
          <w:ilvl w:val="0"/>
          <w:numId w:val="0"/>
        </w:numPr>
        <w:keepLines w:val="0"/>
        <w:keepNext w:val="0"/>
        <w:pageBreakBefore w:val="0"/>
        <w:spacing w:line="360" w:lineRule="auto"/>
        <w:widowControl w:val="off"/>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lang w:val="en-US" w:eastAsia="zh-CN"/>
        </w:rPr>
        <w:t xml:space="preserve">（2）成果报告</w:t>
      </w:r>
      <w:r>
        <w:rPr>
          <w:rFonts w:hint="eastAsia" w:ascii="宋体" w:hAnsi="宋体" w:eastAsia="宋体" w:cs="宋体"/>
          <w:b w:val="0"/>
          <w:bCs w:val="0"/>
          <w:sz w:val="24"/>
          <w:szCs w:val="24"/>
          <w:highlight w:val="none"/>
        </w:rPr>
      </w:r>
      <w:r/>
    </w:p>
    <w:p>
      <w:pPr>
        <w:pStyle w:val="654"/>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森林、草原和湿地调查成果报告</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r>
      <w:r/>
    </w:p>
    <w:p>
      <w:pPr>
        <w:pStyle w:val="654"/>
        <w:numPr>
          <w:ilvl w:val="0"/>
          <w:numId w:val="0"/>
        </w:num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val="0"/>
          <w:bCs w:val="0"/>
          <w:sz w:val="24"/>
          <w:szCs w:val="24"/>
          <w:highlight w:val="none"/>
          <w:lang w:val="en-US" w:eastAsia="zh-CN"/>
        </w:rPr>
        <w:t xml:space="preserve">（3）图件成果</w:t>
      </w:r>
      <w:r>
        <w:rPr>
          <w:rFonts w:hint="eastAsia" w:ascii="宋体" w:hAnsi="宋体" w:eastAsia="宋体" w:cs="宋体"/>
          <w:b w:val="0"/>
          <w:bCs w:val="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生成各项专题图件成果，包括：林草资源分布图。包括林草植被分布图、森林分布图、草地分布图和湿地分布图。</w:t>
      </w:r>
      <w:r>
        <w:rPr>
          <w:rFonts w:hint="eastAsia" w:ascii="宋体" w:hAnsi="宋体" w:eastAsia="宋体" w:cs="宋体"/>
          <w:sz w:val="24"/>
          <w:szCs w:val="24"/>
          <w:highlight w:val="none"/>
          <w:lang w:val="en-US" w:eastAsia="zh-CN"/>
        </w:rPr>
      </w:r>
      <w:r/>
    </w:p>
    <w:p>
      <w:pPr>
        <w:pStyle w:val="654"/>
        <w:numPr>
          <w:ilvl w:val="0"/>
          <w:numId w:val="0"/>
        </w:numPr>
        <w:keepLines w:val="0"/>
        <w:keepNext w:val="0"/>
        <w:pageBreakBefore w:val="0"/>
        <w:spacing w:line="360" w:lineRule="auto"/>
        <w:widowControl w:val="off"/>
        <w:rPr>
          <w:rFonts w:hint="eastAsia" w:ascii="宋体" w:hAnsi="宋体" w:eastAsia="宋体" w:cs="宋体"/>
          <w:b w:val="0"/>
          <w:bCs w:val="0"/>
          <w:sz w:val="24"/>
          <w:szCs w:val="24"/>
          <w:highlight w:val="none"/>
          <w:lang w:eastAsia="zh-CN"/>
        </w:rPr>
        <w:outlineLvl w:val="9"/>
      </w:pPr>
      <w:r>
        <w:rPr>
          <w:rFonts w:hint="eastAsia" w:ascii="宋体" w:hAnsi="宋体" w:eastAsia="宋体" w:cs="宋体"/>
          <w:b w:val="0"/>
          <w:bCs w:val="0"/>
          <w:sz w:val="24"/>
          <w:szCs w:val="24"/>
          <w:highlight w:val="none"/>
          <w:lang w:val="en-US" w:eastAsia="zh-CN"/>
        </w:rPr>
        <w:t xml:space="preserve">（4）表格成果</w:t>
      </w:r>
      <w:r>
        <w:rPr>
          <w:rFonts w:hint="eastAsia" w:ascii="宋体" w:hAnsi="宋体" w:eastAsia="宋体" w:cs="宋体"/>
          <w:b w:val="0"/>
          <w:bCs w:val="0"/>
          <w:sz w:val="24"/>
          <w:szCs w:val="24"/>
          <w:highlight w:val="none"/>
          <w:lang w:eastAsia="zh-CN"/>
        </w:rPr>
      </w:r>
      <w:r/>
    </w:p>
    <w:p>
      <w:pPr>
        <w:pStyle w:val="654"/>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主要包括</w:t>
      </w:r>
      <w:r>
        <w:rPr>
          <w:rFonts w:hint="eastAsia" w:ascii="宋体" w:hAnsi="宋体" w:eastAsia="宋体" w:cs="宋体"/>
          <w:sz w:val="24"/>
          <w:szCs w:val="24"/>
          <w:highlight w:val="none"/>
          <w:lang w:val="en-US" w:eastAsia="zh-CN"/>
        </w:rPr>
        <w:t xml:space="preserve">森林草原湿地调查监测成果统计表、生态评价统计表和重点区域统计表。</w:t>
      </w:r>
      <w:r>
        <w:rPr>
          <w:rFonts w:hint="eastAsia" w:ascii="宋体" w:hAnsi="宋体" w:eastAsia="宋体" w:cs="宋体"/>
          <w:sz w:val="24"/>
          <w:szCs w:val="24"/>
          <w:highlight w:val="none"/>
          <w:lang w:eastAsia="zh-CN"/>
        </w:rPr>
      </w:r>
      <w:r/>
    </w:p>
    <w:p>
      <w:pPr>
        <w:pStyle w:val="654"/>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rPr>
        <w:t xml:space="preserve">第六条 </w:t>
      </w:r>
      <w:r>
        <w:rPr>
          <w:rFonts w:hint="eastAsia" w:ascii="宋体" w:hAnsi="宋体" w:eastAsia="宋体" w:cs="宋体"/>
          <w:color w:val="000000"/>
          <w:sz w:val="24"/>
          <w:szCs w:val="24"/>
          <w:highlight w:val="none"/>
        </w:rPr>
        <w:t xml:space="preserve">技术</w:t>
      </w:r>
      <w:r>
        <w:rPr>
          <w:rFonts w:hint="eastAsia" w:ascii="宋体" w:hAnsi="宋体" w:eastAsia="宋体" w:cs="宋体"/>
          <w:color w:val="000000"/>
          <w:sz w:val="24"/>
          <w:szCs w:val="24"/>
          <w:highlight w:val="none"/>
          <w:lang w:val="en-US" w:eastAsia="zh-CN"/>
        </w:rPr>
        <w:t xml:space="preserve">标准与依据</w:t>
      </w:r>
      <w:r>
        <w:rPr>
          <w:rFonts w:hint="eastAsia" w:ascii="宋体" w:hAnsi="宋体" w:eastAsia="宋体" w:cs="宋体"/>
          <w:color w:val="00000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rPr>
        <w:t xml:space="preserve">林草生态综合监测主要依据包括</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土地利用现状分类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GB/T 21010-2017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《国土空间调查、规划、用途管制用地用海分类指南》、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第三次全国国土调查技术规程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TD/T 1055-2019</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《全</w:t>
      </w:r>
      <w:r>
        <w:rPr>
          <w:rFonts w:hint="eastAsia" w:ascii="宋体" w:hAnsi="宋体" w:eastAsia="宋体" w:cs="宋体"/>
          <w:sz w:val="24"/>
          <w:szCs w:val="24"/>
          <w:highlight w:val="none"/>
          <w:lang w:val="en-US" w:eastAsia="zh-CN"/>
        </w:rPr>
        <w:t xml:space="preserve">省</w:t>
      </w:r>
      <w:r>
        <w:rPr>
          <w:rFonts w:hint="eastAsia" w:ascii="宋体" w:hAnsi="宋体" w:eastAsia="宋体" w:cs="宋体"/>
          <w:sz w:val="24"/>
          <w:szCs w:val="24"/>
          <w:highlight w:val="none"/>
        </w:rPr>
        <w:t xml:space="preserve">森林草原湿地</w:t>
      </w:r>
      <w:r>
        <w:rPr>
          <w:rFonts w:hint="eastAsia" w:ascii="宋体" w:hAnsi="宋体" w:eastAsia="宋体" w:cs="宋体"/>
          <w:sz w:val="24"/>
          <w:szCs w:val="24"/>
          <w:highlight w:val="none"/>
          <w:lang w:val="en-US" w:eastAsia="zh-CN"/>
        </w:rPr>
        <w:t xml:space="preserve">沙</w:t>
      </w:r>
      <w:r>
        <w:rPr>
          <w:rFonts w:hint="eastAsia" w:ascii="宋体" w:hAnsi="宋体" w:eastAsia="宋体" w:cs="宋体"/>
          <w:sz w:val="24"/>
          <w:szCs w:val="24"/>
          <w:highlight w:val="none"/>
        </w:rPr>
        <w:t xml:space="preserve">化普查</w:t>
      </w:r>
      <w:r>
        <w:rPr>
          <w:rFonts w:hint="eastAsia" w:ascii="宋体" w:hAnsi="宋体" w:eastAsia="宋体" w:cs="宋体"/>
          <w:sz w:val="24"/>
          <w:szCs w:val="24"/>
          <w:highlight w:val="none"/>
          <w:lang w:val="en-US" w:eastAsia="zh-CN"/>
        </w:rPr>
        <w:t xml:space="preserve">实施方案</w:t>
      </w:r>
      <w:r>
        <w:rPr>
          <w:rFonts w:hint="eastAsia" w:ascii="宋体" w:hAnsi="宋体" w:eastAsia="宋体" w:cs="宋体"/>
          <w:sz w:val="24"/>
          <w:szCs w:val="24"/>
          <w:highlight w:val="none"/>
        </w:rPr>
        <w:t xml:space="preserve">》、《全国森林草原湿地荒漠化普查技术规程》、《全国森林草原湿地荒漠化普查技术方案》。</w:t>
      </w:r>
      <w:r>
        <w:rPr>
          <w:rFonts w:hint="eastAsia" w:ascii="宋体" w:hAnsi="宋体" w:eastAsia="宋体" w:cs="宋体"/>
          <w:bCs/>
          <w:sz w:val="24"/>
          <w:szCs w:val="24"/>
          <w:highlight w:val="none"/>
        </w:rPr>
      </w:r>
      <w:r/>
    </w:p>
    <w:p>
      <w:pPr>
        <w:pStyle w:val="654"/>
        <w:ind w:right="26"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rPr>
        <w:t xml:space="preserve">第七条 </w:t>
      </w:r>
      <w:r>
        <w:rPr>
          <w:rFonts w:hint="eastAsia" w:ascii="宋体" w:hAnsi="宋体" w:eastAsia="宋体" w:cs="宋体"/>
          <w:color w:val="000000"/>
          <w:sz w:val="24"/>
          <w:szCs w:val="24"/>
          <w:highlight w:val="none"/>
        </w:rPr>
        <w:t xml:space="preserve">项目工期</w:t>
      </w:r>
      <w:r>
        <w:rPr>
          <w:rFonts w:hint="eastAsia" w:ascii="宋体" w:hAnsi="宋体" w:eastAsia="宋体" w:cs="宋体"/>
          <w:color w:val="000000"/>
          <w:sz w:val="24"/>
          <w:szCs w:val="24"/>
          <w:highlight w:val="none"/>
          <w:lang w:eastAsia="zh-CN"/>
        </w:rPr>
      </w:r>
      <w:r/>
    </w:p>
    <w:p>
      <w:pPr>
        <w:pStyle w:val="654"/>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val="0"/>
          <w:bCs w:val="0"/>
          <w:sz w:val="24"/>
          <w:szCs w:val="24"/>
          <w:highlight w:val="none"/>
          <w:lang w:val="en-US" w:eastAsia="zh-CN"/>
        </w:rPr>
        <w:t xml:space="preserve">1、地类认定</w:t>
      </w:r>
      <w:r>
        <w:rPr>
          <w:rFonts w:hint="eastAsia" w:ascii="宋体" w:hAnsi="宋体" w:eastAsia="宋体" w:cs="宋体"/>
          <w:b w:val="0"/>
          <w:bCs w:val="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通过高清影像、实地举证等方法进行核实，开展不一致认定，2024年9月20日前通过县级核查，分批次按照要求上报至省级，同时开展相应的整改工作；2024年10月底前通过省级核查，分批次上报部规划院，2024年12月底前，完成补充举证和核实整改，直至通过国家级复核。</w:t>
      </w:r>
      <w:r>
        <w:rPr>
          <w:rFonts w:hint="eastAsia" w:ascii="宋体" w:hAnsi="宋体" w:eastAsia="宋体" w:cs="宋体"/>
          <w:sz w:val="24"/>
          <w:szCs w:val="24"/>
          <w:highlight w:val="none"/>
          <w:lang w:val="en-US" w:eastAsia="zh-CN"/>
        </w:rPr>
      </w:r>
      <w:r/>
    </w:p>
    <w:p>
      <w:pPr>
        <w:pStyle w:val="654"/>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val="0"/>
          <w:bCs w:val="0"/>
          <w:sz w:val="24"/>
          <w:szCs w:val="24"/>
          <w:highlight w:val="none"/>
          <w:lang w:val="en-US" w:eastAsia="zh-CN"/>
        </w:rPr>
        <w:t xml:space="preserve">2、图斑监测</w:t>
      </w:r>
      <w:r>
        <w:rPr>
          <w:rFonts w:hint="eastAsia" w:ascii="宋体" w:hAnsi="宋体" w:eastAsia="宋体" w:cs="宋体"/>
          <w:b w:val="0"/>
          <w:bCs w:val="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eastAsia="zh-CN"/>
        </w:rPr>
        <w:t xml:space="preserve">收集年度造林、用地、采伐、生态保护修复、灾害损失等档案资料并上图等各类资源增减变化档案资料，结合国家下发的变化图斑，于</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lang w:eastAsia="zh-CN"/>
        </w:rPr>
        <w:t xml:space="preserve">月底前完成核实举证、图斑补充和底图更新工作。</w:t>
      </w:r>
      <w:r>
        <w:rPr>
          <w:rFonts w:hint="eastAsia" w:ascii="宋体" w:hAnsi="宋体" w:eastAsia="宋体" w:cs="宋体"/>
          <w:sz w:val="24"/>
          <w:szCs w:val="24"/>
          <w:highlight w:val="none"/>
          <w:lang w:val="en-US" w:eastAsia="zh-CN"/>
        </w:rPr>
      </w:r>
      <w:r/>
    </w:p>
    <w:p>
      <w:pPr>
        <w:pStyle w:val="654"/>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val="0"/>
          <w:bCs w:val="0"/>
          <w:sz w:val="24"/>
          <w:szCs w:val="24"/>
          <w:highlight w:val="none"/>
          <w:lang w:val="en-US" w:eastAsia="zh-CN"/>
        </w:rPr>
        <w:t xml:space="preserve">3、图斑调查</w:t>
      </w:r>
      <w:r>
        <w:rPr>
          <w:rFonts w:hint="eastAsia" w:ascii="宋体" w:hAnsi="宋体" w:eastAsia="宋体" w:cs="宋体"/>
          <w:b w:val="0"/>
          <w:bCs w:val="0"/>
          <w:sz w:val="24"/>
          <w:szCs w:val="24"/>
          <w:highlight w:val="none"/>
          <w:lang w:val="en-US" w:eastAsia="zh-CN"/>
        </w:rPr>
      </w:r>
      <w:r/>
    </w:p>
    <w:p>
      <w:pPr>
        <w:pStyle w:val="654"/>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2024年11月底前，完成森林、草地、湿地图斑的区划和外业调查，于同年12月底前完成</w:t>
      </w:r>
      <w:r>
        <w:rPr>
          <w:rFonts w:hint="eastAsia" w:ascii="宋体" w:hAnsi="宋体" w:eastAsia="宋体" w:cs="宋体"/>
          <w:sz w:val="24"/>
          <w:szCs w:val="24"/>
          <w:highlight w:val="none"/>
          <w:lang w:eastAsia="zh-CN"/>
        </w:rPr>
        <w:t xml:space="preserve">核实举证、图斑补充和底图更新工作，</w:t>
      </w:r>
      <w:r>
        <w:rPr>
          <w:rFonts w:hint="eastAsia" w:ascii="宋体" w:hAnsi="宋体" w:eastAsia="宋体" w:cs="宋体"/>
          <w:sz w:val="24"/>
          <w:szCs w:val="24"/>
          <w:highlight w:val="none"/>
          <w:lang w:val="en-US" w:eastAsia="zh-CN"/>
        </w:rPr>
        <w:t xml:space="preserve">2025年4月底底前完成省级检查验收工作。</w:t>
      </w:r>
      <w:r>
        <w:rPr>
          <w:rFonts w:hint="eastAsia" w:ascii="宋体" w:hAnsi="宋体" w:eastAsia="宋体" w:cs="宋体"/>
          <w:color w:val="000000"/>
          <w:sz w:val="24"/>
          <w:szCs w:val="24"/>
          <w:highlight w:val="none"/>
        </w:rPr>
        <w:t xml:space="preserve"> </w:t>
      </w:r>
      <w:r>
        <w:rPr>
          <w:rFonts w:hint="eastAsia" w:ascii="宋体" w:hAnsi="宋体" w:eastAsia="宋体" w:cs="宋体"/>
          <w:bCs/>
          <w:sz w:val="24"/>
          <w:szCs w:val="24"/>
          <w:highlight w:val="none"/>
        </w:rPr>
      </w:r>
      <w:r/>
    </w:p>
    <w:p>
      <w:pPr>
        <w:pStyle w:val="654"/>
        <w:ind w:right="26"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条 </w:t>
      </w:r>
      <w:r>
        <w:rPr>
          <w:rFonts w:hint="eastAsia" w:ascii="宋体" w:hAnsi="宋体" w:eastAsia="宋体" w:cs="宋体"/>
          <w:color w:val="000000"/>
          <w:sz w:val="24"/>
          <w:szCs w:val="24"/>
          <w:highlight w:val="none"/>
          <w:lang w:val="en-US" w:eastAsia="zh-CN"/>
        </w:rPr>
        <w:t xml:space="preserve">付款方式</w:t>
      </w:r>
      <w:r>
        <w:rPr>
          <w:rFonts w:hint="eastAsia" w:ascii="宋体" w:hAnsi="宋体" w:eastAsia="宋体" w:cs="宋体"/>
          <w:color w:val="000000"/>
          <w:sz w:val="24"/>
          <w:szCs w:val="24"/>
          <w:highlight w:val="none"/>
          <w:lang w:val="en-US" w:eastAsia="zh-CN"/>
        </w:rPr>
      </w:r>
      <w:r/>
    </w:p>
    <w:p>
      <w:pPr>
        <w:pStyle w:val="654"/>
        <w:ind w:right="26" w:firstLine="47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1、合同签订后30个工作日内，甲方向乙方支付合同额的</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rPr>
      </w:r>
      <w:r/>
    </w:p>
    <w:p>
      <w:pPr>
        <w:pStyle w:val="654"/>
        <w:ind w:right="26" w:firstLine="47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2、项目外业调查结束，外业成果提交甲方确认后，甲方向乙方支付合同额的</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rPr>
      </w:r>
      <w:r/>
    </w:p>
    <w:p>
      <w:pPr>
        <w:pStyle w:val="654"/>
        <w:ind w:right="26" w:firstLine="47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通过省级外业核查</w:t>
      </w:r>
      <w:r>
        <w:rPr>
          <w:rFonts w:hint="eastAsia" w:ascii="宋体" w:hAnsi="宋体" w:eastAsia="宋体" w:cs="宋体"/>
          <w:sz w:val="24"/>
          <w:szCs w:val="24"/>
          <w:highlight w:val="none"/>
        </w:rPr>
        <w:t xml:space="preserve">后，甲方向乙方支付合同额的</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rPr>
      </w:r>
      <w:r/>
    </w:p>
    <w:p>
      <w:pPr>
        <w:pStyle w:val="654"/>
        <w:ind w:right="26" w:firstLine="47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4、项目最终成果提交经甲方确认后，付清余款。</w:t>
      </w:r>
      <w:r>
        <w:rPr>
          <w:rFonts w:hint="eastAsia" w:ascii="宋体" w:hAnsi="宋体" w:eastAsia="宋体" w:cs="宋体"/>
          <w:sz w:val="24"/>
          <w:szCs w:val="24"/>
          <w:highlight w:val="none"/>
        </w:rPr>
      </w:r>
      <w:r/>
    </w:p>
    <w:p>
      <w:pPr>
        <w:pStyle w:val="654"/>
        <w:ind w:firstLine="482"/>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rPr>
        <w:t xml:space="preserve">第九条</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违约责任</w:t>
      </w:r>
      <w:r>
        <w:rPr>
          <w:rFonts w:hint="eastAsia" w:ascii="宋体" w:hAnsi="宋体" w:eastAsia="宋体" w:cs="宋体"/>
          <w:color w:val="000000"/>
          <w:sz w:val="24"/>
          <w:szCs w:val="24"/>
          <w:highlight w:val="none"/>
          <w:lang w:val="en-US" w:eastAsia="zh-CN"/>
        </w:rPr>
      </w:r>
      <w:r/>
    </w:p>
    <w:p>
      <w:pPr>
        <w:pStyle w:val="65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合同一方不履行合同义务或者履行合同义务不符合约定的，应当承担继续履行、采取补救措施或者赔偿损失等违约责任。</w:t>
      </w:r>
      <w:r>
        <w:rPr>
          <w:rFonts w:hint="eastAsia" w:ascii="宋体" w:hAnsi="宋体" w:eastAsia="宋体" w:cs="宋体"/>
          <w:bCs/>
          <w:color w:val="000000"/>
          <w:sz w:val="24"/>
          <w:szCs w:val="24"/>
          <w:highlight w:val="none"/>
        </w:rPr>
      </w:r>
      <w:r/>
    </w:p>
    <w:p>
      <w:pPr>
        <w:pStyle w:val="65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1、甲方违约责任</w:t>
      </w:r>
      <w:r>
        <w:rPr>
          <w:rFonts w:hint="eastAsia" w:ascii="宋体" w:hAnsi="宋体" w:eastAsia="宋体" w:cs="宋体"/>
          <w:bCs/>
          <w:color w:val="000000"/>
          <w:sz w:val="24"/>
          <w:szCs w:val="24"/>
          <w:highlight w:val="none"/>
        </w:rPr>
      </w:r>
      <w:r/>
    </w:p>
    <w:p>
      <w:pPr>
        <w:pStyle w:val="65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（1）在合同生效后，甲方无故要求终止服务的，应向乙方偿付合同总价款的5%，作为违约金，违约金不足以补偿损失的，乙方有权要求甲方补足。</w:t>
      </w:r>
      <w:r>
        <w:rPr>
          <w:rFonts w:hint="eastAsia" w:ascii="宋体" w:hAnsi="宋体" w:eastAsia="宋体" w:cs="宋体"/>
          <w:bCs/>
          <w:color w:val="000000"/>
          <w:sz w:val="24"/>
          <w:szCs w:val="24"/>
          <w:highlight w:val="none"/>
        </w:rPr>
      </w:r>
      <w:r/>
    </w:p>
    <w:p>
      <w:pPr>
        <w:pStyle w:val="65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（2）甲方逾期付款的应按照逾期付款金额的每天万分之一支付逾期付款违约金。</w:t>
      </w:r>
      <w:r>
        <w:rPr>
          <w:rFonts w:hint="eastAsia" w:ascii="宋体" w:hAnsi="宋体" w:eastAsia="宋体" w:cs="宋体"/>
          <w:bCs/>
          <w:color w:val="000000"/>
          <w:sz w:val="24"/>
          <w:szCs w:val="24"/>
          <w:highlight w:val="none"/>
        </w:rPr>
      </w:r>
      <w:r/>
    </w:p>
    <w:p>
      <w:pPr>
        <w:pStyle w:val="65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（3）甲方违反合同约定，拒绝接受乙方交付的合格服务的，应当承担乙方由此造成的损失。</w:t>
      </w:r>
      <w:r>
        <w:rPr>
          <w:rFonts w:hint="eastAsia" w:ascii="宋体" w:hAnsi="宋体" w:eastAsia="宋体" w:cs="宋体"/>
          <w:bCs/>
          <w:color w:val="000000"/>
          <w:sz w:val="24"/>
          <w:szCs w:val="24"/>
          <w:highlight w:val="none"/>
        </w:rPr>
      </w:r>
      <w:r/>
    </w:p>
    <w:p>
      <w:pPr>
        <w:pStyle w:val="65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2、乙方违约责任</w:t>
      </w:r>
      <w:r>
        <w:rPr>
          <w:rFonts w:hint="eastAsia" w:ascii="宋体" w:hAnsi="宋体" w:eastAsia="宋体" w:cs="宋体"/>
          <w:bCs/>
          <w:color w:val="000000"/>
          <w:sz w:val="24"/>
          <w:szCs w:val="24"/>
          <w:highlight w:val="none"/>
        </w:rPr>
      </w:r>
      <w:r/>
    </w:p>
    <w:p>
      <w:pPr>
        <w:pStyle w:val="65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（1）乙方不能服务，或服务不合格从而影响甲方按期正常使用的，甲方有权</w:t>
      </w:r>
      <w:r>
        <w:rPr>
          <w:rFonts w:hint="eastAsia" w:ascii="宋体" w:hAnsi="宋体" w:eastAsia="宋体" w:cs="宋体"/>
          <w:bCs/>
          <w:color w:val="000000"/>
          <w:sz w:val="24"/>
          <w:szCs w:val="24"/>
          <w:highlight w:val="none"/>
          <w:lang w:val="en-US"/>
        </w:rPr>
        <w:t xml:space="preserve">解除合同，乙方向甲方赔偿合同总价款</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rPr>
        <w:t xml:space="preserve">%的违约金，违约金不足以补偿损失的甲方有权要求乙方补足</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65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（2）乙方逾期提供服务的，应在服务前与甲方和招标代理协商，甲方仍需求的，乙方应立即提供服务并应按照合同金额的每天万分之</w:t>
      </w: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rPr>
        <w:t xml:space="preserve">支付逾期服务违约金，同时承担甲方因此遭致的损失费用。</w:t>
      </w:r>
      <w:r>
        <w:rPr>
          <w:rFonts w:hint="eastAsia" w:ascii="宋体" w:hAnsi="宋体" w:eastAsia="宋体" w:cs="宋体"/>
          <w:bCs/>
          <w:color w:val="000000"/>
          <w:sz w:val="24"/>
          <w:szCs w:val="24"/>
          <w:highlight w:val="none"/>
        </w:rPr>
      </w:r>
      <w:r/>
    </w:p>
    <w:p>
      <w:pPr>
        <w:pStyle w:val="654"/>
        <w:ind w:right="26" w:firstLine="47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第十条</w:t>
      </w:r>
      <w:r>
        <w:rPr>
          <w:rFonts w:hint="eastAsia" w:ascii="宋体" w:hAnsi="宋体" w:eastAsia="宋体" w:cs="宋体"/>
          <w:color w:val="000000"/>
          <w:sz w:val="24"/>
          <w:szCs w:val="24"/>
          <w:highlight w:val="none"/>
        </w:rPr>
        <w:t xml:space="preserve">  本合同未尽事宜，双方可签订补充协议，补充协议及双方认可的来往传真、会议纪要等，均可视为本合同有效组成部分。</w:t>
      </w:r>
      <w:r>
        <w:rPr>
          <w:rFonts w:hint="eastAsia" w:ascii="宋体" w:hAnsi="宋体" w:eastAsia="宋体" w:cs="宋体"/>
          <w:color w:val="000000"/>
          <w:sz w:val="24"/>
          <w:szCs w:val="24"/>
          <w:highlight w:val="none"/>
          <w:u w:val="single"/>
        </w:rPr>
      </w:r>
      <w:r/>
    </w:p>
    <w:p>
      <w:pPr>
        <w:pStyle w:val="65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第十一条  </w:t>
      </w:r>
      <w:r>
        <w:rPr>
          <w:rFonts w:hint="eastAsia" w:ascii="宋体" w:hAnsi="宋体" w:eastAsia="宋体" w:cs="宋体"/>
          <w:color w:val="000000"/>
          <w:sz w:val="24"/>
          <w:szCs w:val="24"/>
          <w:highlight w:val="none"/>
        </w:rPr>
        <w:t xml:space="preserve">双方因本合同而发生的争议，应协商、调解解决。协商、调解不成的，应依法向昆山市人民法院提起诉讼。</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第十二条</w:t>
      </w:r>
      <w:r>
        <w:rPr>
          <w:rFonts w:hint="eastAsia" w:ascii="宋体" w:hAnsi="宋体" w:eastAsia="宋体" w:cs="宋体"/>
          <w:color w:val="000000"/>
          <w:sz w:val="24"/>
          <w:szCs w:val="24"/>
          <w:highlight w:val="none"/>
        </w:rPr>
        <w:t xml:space="preserve">  本合同自双方签字盖章并经昆山市财政部门备案后生效。</w:t>
      </w:r>
      <w:r>
        <w:rPr>
          <w:rFonts w:hint="eastAsia" w:ascii="宋体" w:hAnsi="宋体" w:eastAsia="宋体" w:cs="宋体"/>
          <w:color w:val="000000"/>
          <w:sz w:val="24"/>
          <w:szCs w:val="24"/>
          <w:highlight w:val="none"/>
        </w:rPr>
      </w:r>
      <w:r/>
    </w:p>
    <w:p>
      <w:pPr>
        <w:pStyle w:val="654"/>
        <w:ind w:right="26"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第十三条  </w:t>
      </w: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u w:val="single"/>
        </w:rPr>
        <w:t xml:space="preserve">捌</w:t>
      </w:r>
      <w:r>
        <w:rPr>
          <w:rFonts w:hint="eastAsia" w:ascii="宋体" w:hAnsi="宋体" w:eastAsia="宋体" w:cs="宋体"/>
          <w:color w:val="000000"/>
          <w:sz w:val="24"/>
          <w:szCs w:val="24"/>
          <w:highlight w:val="none"/>
        </w:rPr>
        <w:t xml:space="preserve">份，甲方</w:t>
      </w:r>
      <w:r>
        <w:rPr>
          <w:rFonts w:hint="eastAsia" w:ascii="宋体" w:hAnsi="宋体" w:eastAsia="宋体" w:cs="宋体"/>
          <w:color w:val="000000"/>
          <w:sz w:val="24"/>
          <w:szCs w:val="24"/>
          <w:highlight w:val="none"/>
          <w:u w:val="single"/>
        </w:rPr>
        <w:t xml:space="preserve">叁</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u w:val="single"/>
        </w:rPr>
        <w:t xml:space="preserve">叁</w:t>
      </w:r>
      <w:r>
        <w:rPr>
          <w:rFonts w:hint="eastAsia" w:ascii="宋体" w:hAnsi="宋体" w:eastAsia="宋体" w:cs="宋体"/>
          <w:color w:val="000000"/>
          <w:sz w:val="24"/>
          <w:szCs w:val="24"/>
          <w:highlight w:val="none"/>
        </w:rPr>
        <w:t xml:space="preserve">份,备案机构和代理机构各</w:t>
      </w:r>
      <w:r>
        <w:rPr>
          <w:rFonts w:hint="eastAsia" w:ascii="宋体" w:hAnsi="宋体" w:eastAsia="宋体" w:cs="宋体"/>
          <w:color w:val="000000"/>
          <w:sz w:val="24"/>
          <w:szCs w:val="24"/>
          <w:highlight w:val="none"/>
          <w:u w:val="single"/>
        </w:rPr>
        <w:t xml:space="preserve">壹</w:t>
      </w:r>
      <w:r>
        <w:rPr>
          <w:rFonts w:hint="eastAsia" w:ascii="宋体" w:hAnsi="宋体" w:eastAsia="宋体" w:cs="宋体"/>
          <w:color w:val="000000"/>
          <w:sz w:val="24"/>
          <w:szCs w:val="24"/>
          <w:highlight w:val="none"/>
        </w:rPr>
        <w:t xml:space="preserve">份，具有同等法律效力。</w:t>
      </w:r>
      <w:r>
        <w:rPr>
          <w:rFonts w:hint="eastAsia" w:ascii="宋体" w:hAnsi="宋体" w:eastAsia="宋体" w:cs="宋体"/>
          <w:color w:val="000000"/>
          <w:sz w:val="24"/>
          <w:szCs w:val="24"/>
          <w:highlight w:val="none"/>
        </w:rPr>
      </w:r>
      <w:r/>
    </w:p>
    <w:p>
      <w:pPr>
        <w:pStyle w:val="654"/>
        <w:ind w:right="26" w:firstLine="462"/>
        <w:spacing w:line="360" w:lineRule="auto"/>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         </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法定代表人（授权代表）：                      法定代表人（授权代表）：</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签约日期：                                    签约日期：</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                                      开户行：</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帐户：                                        帐户：</w:t>
      </w: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4"/>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备案机构：</w:t>
      </w:r>
      <w:r>
        <w:rPr>
          <w:rFonts w:hint="eastAsia" w:ascii="宋体" w:hAnsi="宋体" w:eastAsia="宋体" w:cs="宋体"/>
          <w:sz w:val="24"/>
          <w:szCs w:val="24"/>
          <w:highlight w:val="none"/>
        </w:rPr>
      </w:r>
      <w:r/>
    </w:p>
    <w:p>
      <w:pPr>
        <w:pStyle w:val="654"/>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经办人：</w:t>
      </w:r>
      <w:r>
        <w:rPr>
          <w:rFonts w:hint="eastAsia" w:ascii="宋体" w:hAnsi="宋体" w:eastAsia="宋体" w:cs="宋体"/>
          <w:sz w:val="24"/>
          <w:szCs w:val="24"/>
          <w:highlight w:val="none"/>
        </w:rPr>
      </w:r>
      <w:r/>
    </w:p>
    <w:p>
      <w:pPr>
        <w:pStyle w:val="654"/>
        <w:ind w:firstLine="480"/>
        <w:spacing w:line="360" w:lineRule="auto"/>
        <w:rPr>
          <w:rFonts w:hint="eastAsia" w:ascii="宋体" w:hAnsi="宋体" w:eastAsia="宋体" w:cs="宋体"/>
          <w:b/>
          <w:sz w:val="44"/>
          <w:szCs w:val="20"/>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b/>
          <w:sz w:val="44"/>
          <w:szCs w:val="20"/>
          <w:highlight w:val="none"/>
        </w:rPr>
      </w:r>
      <w:r/>
    </w:p>
    <w:p>
      <w:pPr>
        <w:pStyle w:val="655"/>
        <w:jc w:val="center"/>
        <w:rPr>
          <w:rFonts w:hint="eastAsia" w:ascii="宋体" w:hAnsi="宋体" w:eastAsia="宋体" w:cs="宋体"/>
          <w:highlight w:val="none"/>
        </w:rPr>
      </w:pPr>
      <w:r/>
      <w:bookmarkStart w:id="108" w:name="_Toc116111020"/>
      <w:r>
        <w:rPr>
          <w:rFonts w:hint="eastAsia" w:ascii="宋体" w:hAnsi="宋体" w:eastAsia="宋体" w:cs="宋体"/>
          <w:highlight w:val="none"/>
        </w:rPr>
        <w:br w:type="page" w:clear="all"/>
      </w:r>
      <w:bookmarkStart w:id="109" w:name="_Toc23783"/>
      <w:r>
        <w:rPr>
          <w:rFonts w:hint="eastAsia" w:ascii="宋体" w:hAnsi="宋体" w:eastAsia="宋体" w:cs="宋体"/>
          <w:highlight w:val="none"/>
        </w:rPr>
        <w:t xml:space="preserve">第六章 评标方法、评分标准</w:t>
      </w:r>
      <w:bookmarkEnd w:id="104"/>
      <w:r/>
      <w:bookmarkEnd w:id="105"/>
      <w:r/>
      <w:bookmarkEnd w:id="106"/>
      <w:r/>
      <w:bookmarkEnd w:id="107"/>
      <w:r/>
      <w:bookmarkEnd w:id="108"/>
      <w:r/>
      <w:bookmarkEnd w:id="109"/>
      <w:r>
        <w:rPr>
          <w:rFonts w:hint="eastAsia" w:ascii="宋体" w:hAnsi="宋体" w:eastAsia="宋体" w:cs="宋体"/>
          <w:highlight w:val="none"/>
        </w:rPr>
      </w:r>
      <w:r/>
    </w:p>
    <w:p>
      <w:pPr>
        <w:pStyle w:val="654"/>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一、评标方法：</w:t>
      </w:r>
      <w:r>
        <w:rPr>
          <w:rFonts w:hint="eastAsia" w:ascii="宋体" w:hAnsi="宋体" w:eastAsia="宋体" w:cs="宋体"/>
          <w:b/>
          <w:bCs/>
          <w:color w:val="000000"/>
          <w:sz w:val="24"/>
          <w:highlight w:val="none"/>
        </w:rPr>
      </w:r>
      <w:r/>
    </w:p>
    <w:p>
      <w:pPr>
        <w:pStyle w:val="65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本次招标评标方法为综合评分法。即在最大限度地满足招标文件实质性要求前提下，按照招标文件中规定的各项因素进行综合评审后，以综合得分最高的投标人作为中标人的评标方法。</w:t>
      </w:r>
      <w:r>
        <w:rPr>
          <w:rFonts w:hint="eastAsia" w:ascii="宋体" w:hAnsi="宋体" w:eastAsia="宋体" w:cs="宋体"/>
          <w:sz w:val="24"/>
          <w:highlight w:val="none"/>
        </w:rPr>
      </w:r>
      <w:r/>
    </w:p>
    <w:p>
      <w:pPr>
        <w:pStyle w:val="65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综合评分的主要因素为：价格、人员配备、技术力量、项目方案、服务保障、投标人的综合情况、业绩、服务、承诺、对招标文件的响应程度，以及相应的比重或者数值等。总分值为100分，价格分值占总分值的比重为10%（权重），技术部分分值占总分值的比重为90%（权重）。</w:t>
      </w:r>
      <w:r>
        <w:rPr>
          <w:rFonts w:hint="eastAsia" w:ascii="宋体" w:hAnsi="宋体" w:eastAsia="宋体" w:cs="宋体"/>
          <w:sz w:val="24"/>
          <w:highlight w:val="none"/>
        </w:rPr>
      </w:r>
      <w:r/>
    </w:p>
    <w:p>
      <w:pPr>
        <w:pStyle w:val="65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w:t>
      </w:r>
      <w:r>
        <w:rPr>
          <w:rFonts w:hint="eastAsia" w:ascii="宋体" w:hAnsi="宋体" w:eastAsia="宋体" w:cs="宋体"/>
          <w:sz w:val="24"/>
          <w:highlight w:val="none"/>
        </w:rPr>
      </w:r>
      <w:r/>
    </w:p>
    <w:p>
      <w:pPr>
        <w:pStyle w:val="654"/>
        <w:ind w:firstLine="48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二、采购政策</w:t>
      </w:r>
      <w:r>
        <w:rPr>
          <w:rFonts w:hint="eastAsia" w:ascii="宋体" w:hAnsi="宋体" w:eastAsia="宋体" w:cs="宋体"/>
          <w:b/>
          <w:sz w:val="24"/>
          <w:highlight w:val="none"/>
        </w:rPr>
      </w:r>
      <w:r/>
    </w:p>
    <w:p>
      <w:pPr>
        <w:pStyle w:val="65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（一）小、微企业</w:t>
      </w:r>
      <w:r>
        <w:rPr>
          <w:rFonts w:hint="eastAsia" w:ascii="宋体" w:hAnsi="宋体" w:eastAsia="宋体" w:cs="宋体"/>
          <w:sz w:val="24"/>
          <w:highlight w:val="none"/>
        </w:rPr>
      </w:r>
      <w:r/>
    </w:p>
    <w:p>
      <w:pPr>
        <w:pStyle w:val="65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根据《政府采购促进中小企业发展管理办法》（财库﹝2020﹞46 号）的相关规定，对属于小型、微型企业的供应商给予价格扣除：</w:t>
      </w:r>
      <w:r>
        <w:rPr>
          <w:rFonts w:hint="eastAsia" w:ascii="宋体" w:hAnsi="宋体" w:eastAsia="宋体" w:cs="宋体"/>
          <w:sz w:val="24"/>
          <w:szCs w:val="24"/>
          <w:highlight w:val="none"/>
        </w:rPr>
      </w:r>
      <w:r/>
    </w:p>
    <w:p>
      <w:pPr>
        <w:pStyle w:val="654"/>
        <w:ind w:firstLine="480"/>
        <w:spacing w:line="360" w:lineRule="auto"/>
        <w:rPr>
          <w:rFonts w:hint="eastAsia" w:ascii="宋体" w:hAnsi="宋体" w:eastAsia="宋体" w:cs="宋体"/>
          <w:b/>
          <w:szCs w:val="21"/>
          <w:highlight w:val="none"/>
        </w:rPr>
      </w:pPr>
      <w:r>
        <w:rPr>
          <w:rFonts w:hint="eastAsia" w:ascii="宋体" w:hAnsi="宋体" w:eastAsia="宋体" w:cs="宋体"/>
          <w:sz w:val="24"/>
          <w:szCs w:val="24"/>
          <w:highlight w:val="none"/>
        </w:rPr>
        <w:t xml:space="preserve">如供应商认定本企业为小型或微型企业，则需根据《中小企业划型标准规定》（工信部联企业〔2011〕300号）填报《中小企业声明函》</w:t>
      </w:r>
      <w:r>
        <w:rPr>
          <w:rFonts w:hint="eastAsia" w:ascii="宋体" w:hAnsi="宋体" w:eastAsia="宋体" w:cs="宋体"/>
          <w:b/>
          <w:bCs/>
          <w:sz w:val="24"/>
          <w:szCs w:val="24"/>
          <w:highlight w:val="none"/>
        </w:rPr>
        <w:t xml:space="preserve">。</w:t>
      </w:r>
      <w:r>
        <w:rPr>
          <w:rFonts w:hint="eastAsia" w:ascii="宋体" w:hAnsi="宋体" w:eastAsia="宋体" w:cs="宋体"/>
          <w:b/>
          <w:sz w:val="24"/>
          <w:szCs w:val="24"/>
          <w:highlight w:val="none"/>
        </w:rPr>
        <w:t xml:space="preserve">加盖公章后的《中小企业声明函》电子件放置于响应文件三中提交，对其报价给予20%的扣除；扣除后的价格参与价格评审未提交则不享受相关小微企业价格扣除政策。</w:t>
      </w:r>
      <w:r>
        <w:rPr>
          <w:rFonts w:hint="eastAsia" w:ascii="宋体" w:hAnsi="宋体" w:eastAsia="宋体" w:cs="宋体"/>
          <w:b/>
          <w:szCs w:val="21"/>
          <w:highlight w:val="none"/>
        </w:rPr>
      </w:r>
      <w:r/>
    </w:p>
    <w:p>
      <w:pPr>
        <w:pStyle w:val="65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（二）残疾人福利性单位</w:t>
      </w:r>
      <w:r>
        <w:rPr>
          <w:rFonts w:hint="eastAsia" w:ascii="宋体" w:hAnsi="宋体" w:eastAsia="宋体" w:cs="宋体"/>
          <w:sz w:val="24"/>
          <w:highlight w:val="none"/>
        </w:rPr>
      </w:r>
      <w:r/>
    </w:p>
    <w:p>
      <w:pPr>
        <w:pStyle w:val="65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eastAsia="宋体" w:cs="宋体"/>
          <w:b/>
          <w:sz w:val="24"/>
          <w:highlight w:val="none"/>
        </w:rPr>
        <w:t xml:space="preserve">加盖公章后的《残疾人福利性单位声明函》电子件放置于投标文件中提交，未提交则不享受相关价格扣除政策。</w:t>
      </w:r>
      <w:r>
        <w:rPr>
          <w:rFonts w:hint="eastAsia" w:ascii="宋体" w:hAnsi="宋体" w:eastAsia="宋体" w:cs="宋体"/>
          <w:sz w:val="24"/>
          <w:highlight w:val="none"/>
        </w:rPr>
      </w:r>
      <w:r/>
    </w:p>
    <w:p>
      <w:pPr>
        <w:pStyle w:val="65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（三）监狱企业</w:t>
      </w:r>
      <w:r>
        <w:rPr>
          <w:rFonts w:hint="eastAsia" w:ascii="宋体" w:hAnsi="宋体" w:eastAsia="宋体" w:cs="宋体"/>
          <w:sz w:val="24"/>
          <w:highlight w:val="none"/>
        </w:rPr>
      </w:r>
      <w:r/>
    </w:p>
    <w:p>
      <w:pPr>
        <w:pStyle w:val="65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sz w:val="24"/>
          <w:highlight w:val="none"/>
        </w:rPr>
        <w:t xml:space="preserve">证明文件电子件放置于投标文件中提交，</w:t>
      </w:r>
      <w:r>
        <w:rPr>
          <w:rFonts w:hint="eastAsia" w:ascii="宋体" w:hAnsi="宋体" w:eastAsia="宋体" w:cs="宋体"/>
          <w:b/>
          <w:sz w:val="24"/>
          <w:highlight w:val="none"/>
        </w:rPr>
        <w:t xml:space="preserve">未提交则不享受相关价格扣除政策</w:t>
      </w:r>
      <w:r>
        <w:rPr>
          <w:rFonts w:hint="eastAsia" w:ascii="宋体" w:hAnsi="宋体" w:eastAsia="宋体" w:cs="宋体"/>
          <w:b/>
          <w:sz w:val="24"/>
          <w:highlight w:val="none"/>
        </w:rPr>
        <w:t xml:space="preserve">。</w:t>
      </w:r>
      <w:r>
        <w:rPr>
          <w:rFonts w:hint="eastAsia" w:ascii="宋体" w:hAnsi="宋体" w:eastAsia="宋体" w:cs="宋体"/>
          <w:sz w:val="24"/>
          <w:highlight w:val="none"/>
        </w:rPr>
      </w:r>
      <w:r/>
    </w:p>
    <w:p>
      <w:pPr>
        <w:pStyle w:val="65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注：若供应商提供的《中小企业声明函》 、《残疾人福利性单位声明函》及监狱企业认定证明等材料为虚假材料，按《政府采购法》相关规定处理并报请政府采购监管部门给予行政处罚。</w:t>
      </w:r>
      <w:r>
        <w:rPr>
          <w:rFonts w:hint="eastAsia" w:ascii="宋体" w:hAnsi="宋体" w:eastAsia="宋体" w:cs="宋体"/>
          <w:sz w:val="24"/>
          <w:highlight w:val="none"/>
        </w:rPr>
      </w:r>
      <w:r/>
    </w:p>
    <w:p>
      <w:pPr>
        <w:pStyle w:val="654"/>
        <w:ind w:firstLine="48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三、评分标准</w:t>
      </w:r>
      <w:r>
        <w:rPr>
          <w:rFonts w:hint="eastAsia" w:ascii="宋体" w:hAnsi="宋体" w:eastAsia="宋体" w:cs="宋体"/>
          <w:b/>
          <w:sz w:val="24"/>
          <w:highlight w:val="none"/>
        </w:rPr>
      </w:r>
      <w:r/>
    </w:p>
    <w:p>
      <w:pPr>
        <w:pStyle w:val="654"/>
        <w:ind w:firstLine="48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（一）价格（10分）</w:t>
      </w:r>
      <w:r>
        <w:rPr>
          <w:rFonts w:hint="eastAsia" w:ascii="宋体" w:hAnsi="宋体" w:eastAsia="宋体" w:cs="宋体"/>
          <w:b/>
          <w:sz w:val="24"/>
          <w:highlight w:val="none"/>
        </w:rPr>
      </w:r>
      <w:r/>
    </w:p>
    <w:p>
      <w:pPr>
        <w:pStyle w:val="65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1.投标总报价低于或等于财政预算价格的，为有效投标报价。超财政预算的投标报价为无效投标报价。无效投标报价的投标文件不进行评审，也不得中标。</w:t>
      </w:r>
      <w:r>
        <w:rPr>
          <w:rFonts w:hint="eastAsia" w:ascii="宋体" w:hAnsi="宋体" w:eastAsia="宋体" w:cs="宋体"/>
          <w:sz w:val="24"/>
          <w:highlight w:val="none"/>
        </w:rPr>
      </w:r>
      <w:r/>
    </w:p>
    <w:p>
      <w:pPr>
        <w:pStyle w:val="65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hint="eastAsia" w:ascii="宋体" w:hAnsi="宋体" w:eastAsia="宋体" w:cs="宋体"/>
          <w:sz w:val="24"/>
          <w:highlight w:val="none"/>
        </w:rPr>
      </w:r>
      <w:r/>
    </w:p>
    <w:p>
      <w:pPr>
        <w:pStyle w:val="65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3.价格分采用低价优先法计算，即满足招标文件要求且投标价格最低的投标报价为评标基准价，其价格分为满分10分。其他投标人的价格分统一按照下列公式计算：</w:t>
      </w:r>
      <w:r>
        <w:rPr>
          <w:rFonts w:hint="eastAsia" w:ascii="宋体" w:hAnsi="宋体" w:eastAsia="宋体" w:cs="宋体"/>
          <w:sz w:val="24"/>
          <w:highlight w:val="none"/>
        </w:rPr>
      </w:r>
      <w:r/>
    </w:p>
    <w:p>
      <w:pPr>
        <w:pStyle w:val="65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投标报价得分=（评标基准价/投标报价）*价格权重*100，小数点后保留两位。</w:t>
      </w:r>
      <w:r>
        <w:rPr>
          <w:rFonts w:hint="eastAsia" w:ascii="宋体" w:hAnsi="宋体" w:eastAsia="宋体" w:cs="宋体"/>
          <w:sz w:val="24"/>
          <w:highlight w:val="none"/>
        </w:rPr>
      </w:r>
      <w:r/>
    </w:p>
    <w:p>
      <w:pPr>
        <w:pStyle w:val="654"/>
        <w:ind w:firstLine="35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（二）商务及技术部分（90分）</w:t>
      </w:r>
      <w:r>
        <w:rPr>
          <w:rFonts w:hint="eastAsia" w:ascii="宋体" w:hAnsi="宋体" w:eastAsia="宋体" w:cs="宋体"/>
          <w:b/>
          <w:sz w:val="24"/>
          <w:highlight w:val="none"/>
        </w:rPr>
      </w:r>
      <w:r/>
    </w:p>
    <w:tbl>
      <w:tblPr>
        <w:tblW w:w="5339" w:type="pct"/>
        <w:jc w:val="center"/>
        <w:tblInd w:w="-43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9"/>
        <w:gridCol w:w="1534"/>
        <w:gridCol w:w="6376"/>
        <w:gridCol w:w="848"/>
      </w:tblGrid>
      <w:tr>
        <w:trPr>
          <w:trHeight w:val="312"/>
          <w:tblHeader/>
        </w:trPr>
        <w:tc>
          <w:tcPr>
            <w:tcW w:w="796" w:type="dxa"/>
            <w:vAlign w:val="center"/>
            <w:textDirection w:val="lrTb"/>
            <w:noWrap w:val="false"/>
          </w:tcPr>
          <w:p>
            <w:pPr>
              <w:pStyle w:val="654"/>
              <w:jc w:val="center"/>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评审类别</w:t>
            </w:r>
            <w:r>
              <w:rPr>
                <w:rFonts w:hint="eastAsia" w:ascii="宋体" w:hAnsi="宋体" w:eastAsia="宋体" w:cs="宋体"/>
                <w:b/>
                <w:bCs/>
                <w:color w:val="000000"/>
                <w:sz w:val="24"/>
                <w:highlight w:val="none"/>
              </w:rPr>
            </w:r>
            <w:r/>
          </w:p>
        </w:tc>
        <w:tc>
          <w:tcPr>
            <w:tcW w:w="736" w:type="dxa"/>
            <w:vAlign w:val="center"/>
            <w:textDirection w:val="lrTb"/>
            <w:noWrap w:val="false"/>
          </w:tcPr>
          <w:p>
            <w:pPr>
              <w:pStyle w:val="654"/>
              <w:jc w:val="center"/>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评审项</w:t>
            </w:r>
            <w:r>
              <w:rPr>
                <w:rFonts w:hint="eastAsia" w:ascii="宋体" w:hAnsi="宋体" w:eastAsia="宋体" w:cs="宋体"/>
                <w:b/>
                <w:bCs/>
                <w:color w:val="000000"/>
                <w:sz w:val="24"/>
                <w:highlight w:val="none"/>
              </w:rPr>
            </w:r>
            <w:r/>
          </w:p>
        </w:tc>
        <w:tc>
          <w:tcPr>
            <w:tcW w:w="3060" w:type="dxa"/>
            <w:vAlign w:val="center"/>
            <w:textDirection w:val="lrTb"/>
            <w:noWrap w:val="false"/>
          </w:tcPr>
          <w:p>
            <w:pPr>
              <w:pStyle w:val="654"/>
              <w:jc w:val="center"/>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评审规则</w:t>
            </w:r>
            <w:r>
              <w:rPr>
                <w:rFonts w:hint="eastAsia" w:ascii="宋体" w:hAnsi="宋体" w:eastAsia="宋体" w:cs="宋体"/>
                <w:b/>
                <w:bCs/>
                <w:color w:val="000000"/>
                <w:sz w:val="24"/>
                <w:highlight w:val="none"/>
              </w:rPr>
            </w:r>
            <w:r/>
          </w:p>
        </w:tc>
        <w:tc>
          <w:tcPr>
            <w:tcW w:w="407" w:type="dxa"/>
            <w:vAlign w:val="center"/>
            <w:textDirection w:val="lrTb"/>
            <w:noWrap w:val="false"/>
          </w:tcPr>
          <w:p>
            <w:pPr>
              <w:pStyle w:val="654"/>
              <w:jc w:val="center"/>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分值</w:t>
            </w:r>
            <w:r>
              <w:rPr>
                <w:rFonts w:hint="eastAsia" w:ascii="宋体" w:hAnsi="宋体" w:eastAsia="宋体" w:cs="宋体"/>
                <w:b/>
                <w:bCs/>
                <w:color w:val="000000"/>
                <w:sz w:val="24"/>
                <w:highlight w:val="none"/>
              </w:rPr>
            </w:r>
            <w:r/>
          </w:p>
        </w:tc>
      </w:tr>
      <w:tr>
        <w:trPr>
          <w:trHeight w:val="90"/>
        </w:trPr>
        <w:tc>
          <w:tcPr>
            <w:tcW w:w="796" w:type="dxa"/>
            <w:vAlign w:val="center"/>
            <w:vMerge w:val="restart"/>
            <w:textDirection w:val="lrTb"/>
            <w:noWrap w:val="false"/>
          </w:tcPr>
          <w:p>
            <w:pPr>
              <w:pStyle w:val="654"/>
              <w:jc w:val="center"/>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技术</w:t>
            </w:r>
            <w:r>
              <w:rPr>
                <w:rFonts w:hint="eastAsia" w:ascii="宋体" w:hAnsi="宋体" w:eastAsia="宋体" w:cs="宋体"/>
                <w:b/>
                <w:bCs/>
                <w:color w:val="000000"/>
                <w:sz w:val="24"/>
                <w:highlight w:val="none"/>
                <w:lang w:val="en-US" w:eastAsia="zh-CN"/>
              </w:rPr>
              <w:t xml:space="preserve">方案</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tc>
        <w:tc>
          <w:tcPr>
            <w:tcW w:w="736" w:type="dxa"/>
            <w:vAlign w:val="center"/>
            <w:textDirection w:val="lrTb"/>
            <w:noWrap w:val="false"/>
          </w:tcPr>
          <w:p>
            <w:pPr>
              <w:pStyle w:val="654"/>
              <w:jc w:val="left"/>
              <w:spacing w:line="360" w:lineRule="auto"/>
              <w:widowControl/>
              <w:rPr>
                <w:rFonts w:hint="eastAsia" w:ascii="宋体" w:hAnsi="宋体" w:eastAsia="宋体" w:cs="宋体"/>
                <w:color w:val="000000"/>
                <w:sz w:val="24"/>
                <w:highlight w:val="none"/>
              </w:rPr>
            </w:pPr>
            <w:r>
              <w:rPr>
                <w:rStyle w:val="824"/>
                <w:rFonts w:hint="eastAsia" w:ascii="宋体" w:hAnsi="宋体" w:eastAsia="宋体" w:cs="宋体"/>
                <w:color w:val="000000"/>
                <w:sz w:val="24"/>
                <w:highlight w:val="none"/>
                <w:lang w:val="zh-CN"/>
              </w:rPr>
              <w:t xml:space="preserve">背景及业务需求</w:t>
            </w:r>
            <w:r>
              <w:rPr>
                <w:rFonts w:hint="eastAsia" w:ascii="宋体" w:hAnsi="宋体" w:eastAsia="宋体" w:cs="宋体"/>
                <w:color w:val="000000"/>
                <w:sz w:val="24"/>
                <w:highlight w:val="none"/>
              </w:rPr>
            </w:r>
            <w:r/>
          </w:p>
        </w:tc>
        <w:tc>
          <w:tcPr>
            <w:tcW w:w="3060" w:type="dxa"/>
            <w:vAlign w:val="center"/>
            <w:textDirection w:val="lrTb"/>
            <w:noWrap w:val="false"/>
          </w:tcPr>
          <w:p>
            <w:pPr>
              <w:pStyle w:val="654"/>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Style w:val="824"/>
                <w:rFonts w:hint="eastAsia" w:ascii="宋体" w:hAnsi="宋体" w:eastAsia="宋体" w:cs="宋体"/>
                <w:color w:val="000000"/>
                <w:sz w:val="24"/>
                <w:highlight w:val="none"/>
                <w:lang w:val="en-US" w:eastAsia="zh-CN"/>
              </w:rPr>
              <w:t xml:space="preserve">对</w:t>
            </w:r>
            <w:r>
              <w:rPr>
                <w:rStyle w:val="824"/>
                <w:rFonts w:hint="eastAsia" w:ascii="宋体" w:hAnsi="宋体" w:eastAsia="宋体" w:cs="宋体"/>
                <w:color w:val="000000"/>
                <w:sz w:val="24"/>
                <w:highlight w:val="none"/>
                <w:lang w:val="zh-CN"/>
              </w:rPr>
              <w:t xml:space="preserve">本项目设立的背景及业务需求</w:t>
            </w:r>
            <w:r>
              <w:rPr>
                <w:rStyle w:val="824"/>
                <w:rFonts w:hint="eastAsia" w:ascii="宋体" w:hAnsi="宋体" w:eastAsia="宋体" w:cs="宋体"/>
                <w:color w:val="000000"/>
                <w:sz w:val="24"/>
                <w:highlight w:val="none"/>
                <w:lang w:val="en-US" w:eastAsia="zh-CN"/>
              </w:rPr>
              <w:t xml:space="preserve">能够深刻理解并进行详细阐述得3分；</w:t>
            </w:r>
            <w:r>
              <w:rPr>
                <w:rFonts w:hint="eastAsia" w:ascii="宋体" w:hAnsi="宋体" w:eastAsia="宋体" w:cs="宋体"/>
                <w:color w:val="000000"/>
                <w:sz w:val="24"/>
                <w:highlight w:val="none"/>
              </w:rPr>
            </w:r>
            <w:r/>
          </w:p>
        </w:tc>
        <w:tc>
          <w:tcPr>
            <w:tcW w:w="407" w:type="dxa"/>
            <w:vAlign w:val="center"/>
            <w:textDirection w:val="lrTb"/>
            <w:noWrap w:val="false"/>
          </w:tcPr>
          <w:p>
            <w:pPr>
              <w:pStyle w:val="654"/>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3分</w:t>
            </w:r>
            <w:r>
              <w:rPr>
                <w:rFonts w:hint="eastAsia" w:ascii="宋体" w:hAnsi="宋体" w:eastAsia="宋体" w:cs="宋体"/>
                <w:color w:val="000000"/>
                <w:sz w:val="24"/>
                <w:highlight w:val="none"/>
                <w:lang w:val="en-US" w:eastAsia="zh-CN"/>
              </w:rPr>
            </w:r>
            <w:r/>
          </w:p>
        </w:tc>
      </w:tr>
      <w:tr>
        <w:trPr>
          <w:trHeight w:val="936"/>
        </w:trPr>
        <w:tc>
          <w:tcPr>
            <w:tcW w:w="796" w:type="dxa"/>
            <w:vAlign w:val="center"/>
            <w:vMerge w:val="continue"/>
            <w:textDirection w:val="lrTb"/>
            <w:noWrap w:val="false"/>
          </w:tcPr>
          <w:p>
            <w:pPr>
              <w:pStyle w:val="654"/>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736" w:type="dxa"/>
            <w:vAlign w:val="center"/>
            <w:textDirection w:val="lrTb"/>
            <w:noWrap w:val="false"/>
          </w:tcPr>
          <w:p>
            <w:pPr>
              <w:pStyle w:val="654"/>
              <w:jc w:val="left"/>
              <w:spacing w:line="360" w:lineRule="auto"/>
              <w:widowControl/>
              <w:rPr>
                <w:rFonts w:hint="eastAsia" w:ascii="宋体" w:hAnsi="宋体" w:eastAsia="宋体" w:cs="宋体"/>
                <w:color w:val="000000"/>
                <w:sz w:val="24"/>
                <w:highlight w:val="none"/>
                <w:lang w:val="en-US"/>
              </w:rPr>
            </w:pPr>
            <w:r>
              <w:rPr>
                <w:rStyle w:val="824"/>
                <w:rFonts w:hint="eastAsia" w:ascii="宋体" w:hAnsi="宋体" w:eastAsia="宋体" w:cs="宋体"/>
                <w:color w:val="000000"/>
                <w:sz w:val="24"/>
                <w:highlight w:val="none"/>
                <w:lang w:val="en-US" w:eastAsia="zh-CN"/>
              </w:rPr>
              <w:t xml:space="preserve">重点、难点及针对性措施</w:t>
            </w:r>
            <w:r>
              <w:rPr>
                <w:rFonts w:hint="eastAsia" w:ascii="宋体" w:hAnsi="宋体" w:eastAsia="宋体" w:cs="宋体"/>
                <w:color w:val="000000"/>
                <w:sz w:val="24"/>
                <w:highlight w:val="none"/>
                <w:lang w:val="en-US"/>
              </w:rPr>
            </w:r>
            <w:r/>
          </w:p>
        </w:tc>
        <w:tc>
          <w:tcPr>
            <w:tcW w:w="3060" w:type="dxa"/>
            <w:vAlign w:val="center"/>
            <w:textDirection w:val="lrTb"/>
            <w:noWrap w:val="false"/>
          </w:tcPr>
          <w:p>
            <w:pPr>
              <w:pStyle w:val="654"/>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Style w:val="824"/>
                <w:rFonts w:hint="eastAsia" w:ascii="宋体" w:hAnsi="宋体" w:eastAsia="宋体" w:cs="宋体"/>
                <w:color w:val="000000"/>
                <w:sz w:val="24"/>
                <w:highlight w:val="none"/>
                <w:lang w:val="en-US" w:eastAsia="zh-CN"/>
              </w:rPr>
              <w:t xml:space="preserve">能够理解本项目的重点、难点，能够提出针对性合理措施得3分；</w:t>
            </w:r>
            <w:r>
              <w:rPr>
                <w:rFonts w:hint="eastAsia" w:ascii="宋体" w:hAnsi="宋体" w:eastAsia="宋体" w:cs="宋体"/>
                <w:color w:val="000000"/>
                <w:sz w:val="24"/>
                <w:highlight w:val="none"/>
              </w:rPr>
            </w:r>
            <w:r/>
          </w:p>
        </w:tc>
        <w:tc>
          <w:tcPr>
            <w:tcW w:w="407" w:type="dxa"/>
            <w:vAlign w:val="center"/>
            <w:textDirection w:val="lrTb"/>
            <w:noWrap w:val="false"/>
          </w:tcPr>
          <w:p>
            <w:pPr>
              <w:pStyle w:val="654"/>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3分</w:t>
            </w:r>
            <w:r>
              <w:rPr>
                <w:rFonts w:hint="eastAsia" w:ascii="宋体" w:hAnsi="宋体" w:eastAsia="宋体" w:cs="宋体"/>
                <w:color w:val="000000"/>
                <w:sz w:val="24"/>
                <w:highlight w:val="none"/>
                <w:lang w:val="en-US" w:eastAsia="zh-CN"/>
              </w:rPr>
            </w:r>
            <w:r/>
          </w:p>
        </w:tc>
      </w:tr>
      <w:tr>
        <w:trPr>
          <w:trHeight w:val="936"/>
        </w:trPr>
        <w:tc>
          <w:tcPr>
            <w:tcW w:w="796" w:type="dxa"/>
            <w:vAlign w:val="center"/>
            <w:vMerge w:val="continue"/>
            <w:textDirection w:val="lrTb"/>
            <w:noWrap w:val="false"/>
          </w:tcPr>
          <w:p>
            <w:pPr>
              <w:pStyle w:val="654"/>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736" w:type="dxa"/>
            <w:vAlign w:val="center"/>
            <w:textDirection w:val="lrTb"/>
            <w:noWrap w:val="false"/>
          </w:tcPr>
          <w:p>
            <w:pPr>
              <w:pStyle w:val="654"/>
              <w:jc w:val="left"/>
              <w:spacing w:line="360" w:lineRule="auto"/>
              <w:widowControl/>
              <w:rPr>
                <w:rFonts w:hint="eastAsia" w:ascii="宋体" w:hAnsi="宋体" w:eastAsia="宋体" w:cs="宋体"/>
                <w:color w:val="000000"/>
                <w:sz w:val="24"/>
                <w:highlight w:val="none"/>
                <w:lang w:val="en-US"/>
              </w:rPr>
            </w:pPr>
            <w:r>
              <w:rPr>
                <w:rStyle w:val="824"/>
                <w:rFonts w:hint="eastAsia" w:ascii="宋体" w:hAnsi="宋体" w:eastAsia="宋体" w:cs="宋体"/>
                <w:color w:val="000000"/>
                <w:sz w:val="24"/>
                <w:highlight w:val="none"/>
                <w:lang w:val="en-US" w:eastAsia="zh-CN"/>
              </w:rPr>
              <w:t xml:space="preserve">现状情况分析</w:t>
            </w:r>
            <w:r>
              <w:rPr>
                <w:rFonts w:hint="eastAsia" w:ascii="宋体" w:hAnsi="宋体" w:eastAsia="宋体" w:cs="宋体"/>
                <w:color w:val="000000"/>
                <w:sz w:val="24"/>
                <w:highlight w:val="none"/>
                <w:lang w:val="en-US"/>
              </w:rPr>
            </w:r>
            <w:r/>
          </w:p>
        </w:tc>
        <w:tc>
          <w:tcPr>
            <w:tcW w:w="3060" w:type="dxa"/>
            <w:vAlign w:val="center"/>
            <w:textDirection w:val="lrTb"/>
            <w:noWrap w:val="false"/>
          </w:tcPr>
          <w:p>
            <w:pPr>
              <w:pStyle w:val="654"/>
              <w:ind w:firstLine="480"/>
              <w:keepLines w:val="0"/>
              <w:keepNext w:val="0"/>
              <w:pageBreakBefore w:val="0"/>
              <w:spacing w:line="360" w:lineRule="auto"/>
              <w:rPr>
                <w:rStyle w:val="824"/>
                <w:rFonts w:hint="eastAsia" w:ascii="宋体" w:hAnsi="宋体" w:eastAsia="宋体" w:cs="宋体"/>
                <w:color w:val="000000"/>
                <w:sz w:val="24"/>
                <w:highlight w:val="none"/>
                <w:lang w:val="en-US" w:eastAsia="zh-CN"/>
              </w:rPr>
            </w:pPr>
            <w:r>
              <w:rPr>
                <w:rStyle w:val="824"/>
                <w:rFonts w:hint="eastAsia" w:ascii="宋体" w:hAnsi="宋体" w:eastAsia="宋体" w:cs="宋体"/>
                <w:color w:val="000000"/>
                <w:sz w:val="24"/>
                <w:highlight w:val="none"/>
                <w:lang w:val="en-US" w:eastAsia="zh-CN"/>
              </w:rPr>
              <w:t xml:space="preserve">能够结合最新的国土变更数据，详细分析昆山林草湿资源现状情况得3分；</w:t>
            </w:r>
            <w:r>
              <w:rPr>
                <w:rStyle w:val="824"/>
                <w:rFonts w:hint="eastAsia" w:ascii="宋体" w:hAnsi="宋体" w:eastAsia="宋体" w:cs="宋体"/>
                <w:color w:val="000000"/>
                <w:sz w:val="24"/>
                <w:highlight w:val="none"/>
                <w:lang w:val="en-US" w:eastAsia="zh-CN"/>
              </w:rPr>
            </w:r>
            <w:r/>
          </w:p>
          <w:p>
            <w:pPr>
              <w:pStyle w:val="654"/>
              <w:ind w:firstLine="480"/>
              <w:keepLines w:val="0"/>
              <w:keepNext w:val="0"/>
              <w:pageBreakBefore w:val="0"/>
              <w:spacing w:line="360" w:lineRule="auto"/>
              <w:rPr>
                <w:rStyle w:val="824"/>
                <w:rFonts w:hint="eastAsia" w:ascii="宋体" w:hAnsi="宋体" w:eastAsia="宋体" w:cs="宋体"/>
                <w:color w:val="000000"/>
                <w:sz w:val="24"/>
                <w:highlight w:val="none"/>
                <w:lang w:val="en-US" w:eastAsia="zh-CN"/>
              </w:rPr>
            </w:pPr>
            <w:r>
              <w:rPr>
                <w:rStyle w:val="824"/>
                <w:rFonts w:hint="eastAsia" w:ascii="宋体" w:hAnsi="宋体" w:eastAsia="宋体" w:cs="宋体"/>
                <w:color w:val="000000"/>
                <w:sz w:val="24"/>
                <w:highlight w:val="none"/>
                <w:lang w:val="en-US" w:eastAsia="zh-CN"/>
              </w:rPr>
              <w:t xml:space="preserve">能够结合2023年林草湿调查监测数据，详细分析昆山林草湿资源现状情况得3分；</w:t>
            </w:r>
            <w:r>
              <w:rPr>
                <w:rStyle w:val="824"/>
                <w:rFonts w:hint="eastAsia" w:ascii="宋体" w:hAnsi="宋体" w:eastAsia="宋体" w:cs="宋体"/>
                <w:color w:val="000000"/>
                <w:sz w:val="24"/>
                <w:highlight w:val="none"/>
                <w:lang w:val="en-US" w:eastAsia="zh-CN"/>
              </w:rPr>
            </w:r>
            <w:r/>
          </w:p>
          <w:p>
            <w:pPr>
              <w:pStyle w:val="654"/>
              <w:ind w:firstLine="480"/>
              <w:keepLines w:val="0"/>
              <w:keepNext w:val="0"/>
              <w:pageBreakBefore w:val="0"/>
              <w:spacing w:line="360" w:lineRule="auto"/>
              <w:rPr>
                <w:rFonts w:hint="eastAsia" w:ascii="宋体" w:hAnsi="宋体" w:eastAsia="宋体" w:cs="宋体"/>
                <w:highlight w:val="none"/>
              </w:rPr>
            </w:pPr>
            <w:r>
              <w:rPr>
                <w:rStyle w:val="824"/>
                <w:rFonts w:hint="eastAsia" w:ascii="宋体" w:hAnsi="宋体" w:eastAsia="宋体" w:cs="宋体"/>
                <w:color w:val="000000"/>
                <w:sz w:val="24"/>
                <w:highlight w:val="none"/>
                <w:lang w:val="en-US" w:eastAsia="zh-CN"/>
              </w:rPr>
              <w:t xml:space="preserve">能够结合森林资源管理“一张图”及森林督察数据，详细分析昆山林草湿资源现状情况得3分。</w:t>
            </w:r>
            <w:r>
              <w:rPr>
                <w:rFonts w:hint="eastAsia" w:ascii="宋体" w:hAnsi="宋体" w:eastAsia="宋体" w:cs="宋体"/>
                <w:highlight w:val="none"/>
              </w:rPr>
            </w:r>
            <w:r/>
          </w:p>
        </w:tc>
        <w:tc>
          <w:tcPr>
            <w:tcW w:w="407" w:type="dxa"/>
            <w:vAlign w:val="center"/>
            <w:textDirection w:val="lrTb"/>
            <w:noWrap w:val="false"/>
          </w:tcPr>
          <w:p>
            <w:pPr>
              <w:pStyle w:val="654"/>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9分</w:t>
            </w:r>
            <w:r>
              <w:rPr>
                <w:rFonts w:hint="eastAsia" w:ascii="宋体" w:hAnsi="宋体" w:eastAsia="宋体" w:cs="宋体"/>
                <w:color w:val="000000"/>
                <w:sz w:val="24"/>
                <w:highlight w:val="none"/>
                <w:lang w:val="en-US" w:eastAsia="zh-CN"/>
              </w:rPr>
            </w:r>
            <w:r/>
          </w:p>
        </w:tc>
      </w:tr>
      <w:tr>
        <w:trPr>
          <w:trHeight w:val="948"/>
        </w:trPr>
        <w:tc>
          <w:tcPr>
            <w:tcW w:w="796" w:type="dxa"/>
            <w:vAlign w:val="center"/>
            <w:textDirection w:val="lrTb"/>
            <w:noWrap w:val="false"/>
          </w:tcPr>
          <w:p>
            <w:pPr>
              <w:pStyle w:val="654"/>
              <w:jc w:val="left"/>
              <w:spacing w:line="360" w:lineRule="auto"/>
              <w:widowControl/>
              <w:rPr>
                <w:rFonts w:hint="eastAsia" w:ascii="宋体" w:hAnsi="宋体" w:eastAsia="宋体" w:cs="宋体"/>
                <w:b/>
                <w:bCs/>
                <w:color w:val="000000"/>
                <w:sz w:val="24"/>
                <w:highlight w:val="none"/>
              </w:rPr>
            </w:pPr>
            <w:r>
              <w:rPr>
                <w:rStyle w:val="824"/>
                <w:rFonts w:hint="eastAsia" w:ascii="宋体" w:hAnsi="宋体" w:eastAsia="宋体" w:cs="宋体"/>
                <w:b/>
                <w:bCs/>
                <w:color w:val="000000"/>
                <w:sz w:val="24"/>
                <w:highlight w:val="none"/>
                <w:lang w:val="en-US" w:eastAsia="zh-CN"/>
              </w:rPr>
              <w:t xml:space="preserve">合理化建议</w:t>
            </w:r>
            <w:r>
              <w:rPr>
                <w:rStyle w:val="824"/>
                <w:rFonts w:hint="eastAsia" w:ascii="宋体" w:hAnsi="宋体" w:eastAsia="宋体" w:cs="宋体"/>
                <w:b/>
                <w:bCs/>
                <w:color w:val="000000"/>
                <w:sz w:val="24"/>
                <w:highlight w:val="none"/>
              </w:rPr>
              <w:t xml:space="preserve">（</w:t>
            </w:r>
            <w:r>
              <w:rPr>
                <w:rStyle w:val="824"/>
                <w:rFonts w:hint="eastAsia" w:ascii="宋体" w:hAnsi="宋体" w:eastAsia="宋体" w:cs="宋体"/>
                <w:b/>
                <w:bCs/>
                <w:color w:val="000000"/>
                <w:sz w:val="24"/>
                <w:highlight w:val="none"/>
                <w:lang w:val="en-US" w:eastAsia="zh-CN"/>
              </w:rPr>
              <w:t xml:space="preserve">6</w:t>
            </w:r>
            <w:r>
              <w:rPr>
                <w:rStyle w:val="824"/>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tc>
        <w:tc>
          <w:tcPr>
            <w:tcW w:w="736" w:type="dxa"/>
            <w:vAlign w:val="center"/>
            <w:textDirection w:val="lrTb"/>
            <w:noWrap w:val="false"/>
          </w:tcPr>
          <w:p>
            <w:pPr>
              <w:pStyle w:val="654"/>
              <w:jc w:val="left"/>
              <w:spacing w:line="360" w:lineRule="auto"/>
              <w:widowControl/>
              <w:rPr>
                <w:rStyle w:val="824"/>
                <w:rFonts w:hint="eastAsia" w:ascii="宋体" w:hAnsi="宋体" w:eastAsia="宋体" w:cs="宋体"/>
                <w:color w:val="000000"/>
                <w:sz w:val="24"/>
                <w:highlight w:val="none"/>
                <w:lang w:val="en-US" w:eastAsia="zh-CN"/>
              </w:rPr>
            </w:pPr>
            <w:r>
              <w:rPr>
                <w:rStyle w:val="824"/>
                <w:rFonts w:hint="eastAsia" w:ascii="宋体" w:hAnsi="宋体" w:eastAsia="宋体" w:cs="宋体"/>
                <w:color w:val="000000"/>
                <w:sz w:val="24"/>
                <w:highlight w:val="none"/>
                <w:lang w:val="en-US" w:eastAsia="zh-CN"/>
              </w:rPr>
              <w:t xml:space="preserve">合理化建议</w:t>
            </w:r>
            <w:r>
              <w:rPr>
                <w:rStyle w:val="824"/>
                <w:rFonts w:hint="eastAsia" w:ascii="宋体" w:hAnsi="宋体" w:eastAsia="宋体" w:cs="宋体"/>
                <w:color w:val="000000"/>
                <w:sz w:val="24"/>
                <w:highlight w:val="none"/>
                <w:lang w:val="en-US" w:eastAsia="zh-CN"/>
              </w:rPr>
            </w:r>
            <w:r/>
          </w:p>
        </w:tc>
        <w:tc>
          <w:tcPr>
            <w:tcW w:w="3060" w:type="dxa"/>
            <w:vAlign w:val="center"/>
            <w:textDirection w:val="lrTb"/>
            <w:noWrap w:val="false"/>
          </w:tcPr>
          <w:p>
            <w:pPr>
              <w:pStyle w:val="654"/>
              <w:ind w:firstLine="480"/>
              <w:keepLines w:val="0"/>
              <w:keepNext w:val="0"/>
              <w:pageBreakBefore w:val="0"/>
              <w:spacing w:line="360" w:lineRule="auto"/>
              <w:rPr>
                <w:rStyle w:val="824"/>
                <w:rFonts w:hint="eastAsia" w:ascii="宋体" w:hAnsi="宋体" w:eastAsia="宋体" w:cs="宋体"/>
                <w:color w:val="000000"/>
                <w:sz w:val="24"/>
                <w:highlight w:val="none"/>
                <w:lang w:val="en-US" w:eastAsia="zh-CN"/>
              </w:rPr>
            </w:pPr>
            <w:r>
              <w:rPr>
                <w:rStyle w:val="824"/>
                <w:rFonts w:hint="eastAsia" w:ascii="宋体" w:hAnsi="宋体" w:eastAsia="宋体" w:cs="宋体"/>
                <w:color w:val="000000"/>
                <w:sz w:val="24"/>
                <w:highlight w:val="none"/>
                <w:lang w:val="en-US" w:eastAsia="zh-CN"/>
              </w:rPr>
              <w:t xml:space="preserve">针对本项目重点、难点进行分析并提出合理有效的建议，能结合国土变更、林草湿数据融合、历年林草湿调查监测及目前调查的紧迫性等方面进行阐述说明，并提出合理化建议。每项得2分，最高得6分。</w:t>
            </w:r>
            <w:r>
              <w:rPr>
                <w:rStyle w:val="824"/>
                <w:rFonts w:hint="eastAsia" w:ascii="宋体" w:hAnsi="宋体" w:eastAsia="宋体" w:cs="宋体"/>
                <w:color w:val="000000"/>
                <w:sz w:val="24"/>
                <w:highlight w:val="none"/>
                <w:lang w:val="en-US" w:eastAsia="zh-CN"/>
              </w:rPr>
            </w:r>
            <w:r/>
          </w:p>
        </w:tc>
        <w:tc>
          <w:tcPr>
            <w:tcW w:w="407" w:type="dxa"/>
            <w:vAlign w:val="center"/>
            <w:textDirection w:val="lrTb"/>
            <w:noWrap w:val="false"/>
          </w:tcPr>
          <w:p>
            <w:pPr>
              <w:pStyle w:val="654"/>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6分</w:t>
            </w:r>
            <w:r>
              <w:rPr>
                <w:rFonts w:hint="eastAsia" w:ascii="宋体" w:hAnsi="宋体" w:eastAsia="宋体" w:cs="宋体"/>
                <w:color w:val="000000"/>
                <w:sz w:val="24"/>
                <w:highlight w:val="none"/>
                <w:lang w:val="en-US" w:eastAsia="zh-CN"/>
              </w:rPr>
            </w:r>
            <w:r/>
          </w:p>
        </w:tc>
      </w:tr>
      <w:tr>
        <w:trPr>
          <w:trHeight w:val="948"/>
        </w:trPr>
        <w:tc>
          <w:tcPr>
            <w:tcW w:w="796" w:type="dxa"/>
            <w:vAlign w:val="center"/>
            <w:textDirection w:val="lrTb"/>
            <w:noWrap w:val="false"/>
          </w:tcPr>
          <w:p>
            <w:pPr>
              <w:pStyle w:val="654"/>
              <w:jc w:val="left"/>
              <w:spacing w:line="360" w:lineRule="auto"/>
              <w:widowControl/>
              <w:rPr>
                <w:rStyle w:val="824"/>
                <w:rFonts w:hint="eastAsia" w:ascii="宋体" w:hAnsi="宋体" w:eastAsia="宋体" w:cs="宋体"/>
                <w:b/>
                <w:bCs/>
                <w:color w:val="000000"/>
                <w:sz w:val="24"/>
                <w:highlight w:val="none"/>
                <w:lang w:val="en-US" w:eastAsia="zh-CN"/>
              </w:rPr>
            </w:pPr>
            <w:r>
              <w:rPr>
                <w:rStyle w:val="824"/>
                <w:rFonts w:hint="eastAsia" w:ascii="宋体" w:hAnsi="宋体" w:eastAsia="宋体" w:cs="宋体"/>
                <w:b/>
                <w:bCs/>
                <w:color w:val="000000"/>
                <w:sz w:val="24"/>
                <w:highlight w:val="none"/>
                <w:lang w:val="en-US" w:eastAsia="zh-CN"/>
              </w:rPr>
              <w:t xml:space="preserve">进度安排</w:t>
            </w:r>
            <w:r>
              <w:rPr>
                <w:rStyle w:val="824"/>
                <w:rFonts w:hint="eastAsia" w:ascii="宋体" w:hAnsi="宋体" w:eastAsia="宋体" w:cs="宋体"/>
                <w:b/>
                <w:bCs/>
                <w:color w:val="000000"/>
                <w:sz w:val="24"/>
                <w:highlight w:val="none"/>
              </w:rPr>
              <w:t xml:space="preserve">（</w:t>
            </w:r>
            <w:r>
              <w:rPr>
                <w:rStyle w:val="824"/>
                <w:rFonts w:hint="eastAsia" w:ascii="宋体" w:hAnsi="宋体" w:eastAsia="宋体" w:cs="宋体"/>
                <w:b/>
                <w:bCs/>
                <w:color w:val="000000"/>
                <w:sz w:val="24"/>
                <w:highlight w:val="none"/>
                <w:lang w:val="en-US" w:eastAsia="zh-CN"/>
              </w:rPr>
              <w:t xml:space="preserve">5</w:t>
            </w:r>
            <w:r>
              <w:rPr>
                <w:rStyle w:val="824"/>
                <w:rFonts w:hint="eastAsia" w:ascii="宋体" w:hAnsi="宋体" w:eastAsia="宋体" w:cs="宋体"/>
                <w:b/>
                <w:bCs/>
                <w:color w:val="000000"/>
                <w:sz w:val="24"/>
                <w:highlight w:val="none"/>
              </w:rPr>
              <w:t xml:space="preserve">分）</w:t>
            </w:r>
            <w:r>
              <w:rPr>
                <w:rStyle w:val="824"/>
                <w:rFonts w:hint="eastAsia" w:ascii="宋体" w:hAnsi="宋体" w:eastAsia="宋体" w:cs="宋体"/>
                <w:b/>
                <w:bCs/>
                <w:color w:val="000000"/>
                <w:sz w:val="24"/>
                <w:highlight w:val="none"/>
                <w:lang w:val="en-US" w:eastAsia="zh-CN"/>
              </w:rPr>
            </w:r>
            <w:r/>
          </w:p>
        </w:tc>
        <w:tc>
          <w:tcPr>
            <w:tcW w:w="736" w:type="dxa"/>
            <w:vAlign w:val="center"/>
            <w:textDirection w:val="lrTb"/>
            <w:noWrap w:val="false"/>
          </w:tcPr>
          <w:p>
            <w:pPr>
              <w:pStyle w:val="654"/>
              <w:jc w:val="left"/>
              <w:spacing w:line="360" w:lineRule="auto"/>
              <w:widowControl/>
              <w:rPr>
                <w:rStyle w:val="824"/>
                <w:rFonts w:hint="eastAsia" w:ascii="宋体" w:hAnsi="宋体" w:eastAsia="宋体" w:cs="宋体"/>
                <w:color w:val="000000"/>
                <w:sz w:val="24"/>
                <w:highlight w:val="none"/>
                <w:lang w:val="en-US" w:eastAsia="zh-CN"/>
              </w:rPr>
            </w:pPr>
            <w:r>
              <w:rPr>
                <w:rStyle w:val="824"/>
                <w:rFonts w:hint="eastAsia" w:ascii="宋体" w:hAnsi="宋体" w:eastAsia="宋体" w:cs="宋体"/>
                <w:color w:val="000000"/>
                <w:sz w:val="24"/>
                <w:highlight w:val="none"/>
                <w:lang w:val="en-US" w:eastAsia="zh-CN"/>
              </w:rPr>
              <w:t xml:space="preserve">进度安排</w:t>
            </w:r>
            <w:r>
              <w:rPr>
                <w:rStyle w:val="824"/>
                <w:rFonts w:hint="eastAsia" w:ascii="宋体" w:hAnsi="宋体" w:eastAsia="宋体" w:cs="宋体"/>
                <w:color w:val="000000"/>
                <w:sz w:val="24"/>
                <w:highlight w:val="none"/>
                <w:lang w:val="en-US" w:eastAsia="zh-CN"/>
              </w:rPr>
            </w:r>
            <w:r/>
          </w:p>
        </w:tc>
        <w:tc>
          <w:tcPr>
            <w:tcW w:w="3060" w:type="dxa"/>
            <w:vAlign w:val="center"/>
            <w:textDirection w:val="lrTb"/>
            <w:noWrap w:val="false"/>
          </w:tcPr>
          <w:p>
            <w:pPr>
              <w:pStyle w:val="654"/>
              <w:ind w:firstLine="480"/>
              <w:keepLines w:val="0"/>
              <w:keepNext w:val="0"/>
              <w:pageBreakBefore w:val="0"/>
              <w:spacing w:line="360" w:lineRule="auto"/>
              <w:rPr>
                <w:rStyle w:val="824"/>
                <w:rFonts w:hint="eastAsia" w:ascii="宋体" w:hAnsi="宋体" w:eastAsia="宋体" w:cs="宋体"/>
                <w:color w:val="000000"/>
                <w:sz w:val="24"/>
                <w:highlight w:val="none"/>
                <w:lang w:val="en-US" w:eastAsia="zh-CN"/>
              </w:rPr>
            </w:pPr>
            <w:r>
              <w:rPr>
                <w:rStyle w:val="824"/>
                <w:rFonts w:hint="eastAsia" w:ascii="宋体" w:hAnsi="宋体" w:eastAsia="宋体" w:cs="宋体"/>
                <w:color w:val="000000"/>
                <w:sz w:val="24"/>
                <w:highlight w:val="none"/>
                <w:lang w:val="en-US" w:eastAsia="zh-CN"/>
              </w:rPr>
              <w:t xml:space="preserve">对</w:t>
            </w:r>
            <w:r>
              <w:rPr>
                <w:rStyle w:val="824"/>
                <w:rFonts w:hint="eastAsia" w:ascii="宋体" w:hAnsi="宋体" w:eastAsia="宋体" w:cs="宋体"/>
                <w:color w:val="000000"/>
                <w:sz w:val="24"/>
                <w:highlight w:val="none"/>
                <w:lang w:val="zh-CN"/>
              </w:rPr>
              <w:t xml:space="preserve">人员安排、进度汇报情况、工期进度安排、工期滞后弥补办法、突发情况应急办法</w:t>
            </w:r>
            <w:r>
              <w:rPr>
                <w:rStyle w:val="824"/>
                <w:rFonts w:hint="eastAsia" w:ascii="宋体" w:hAnsi="宋体" w:eastAsia="宋体" w:cs="宋体"/>
                <w:color w:val="000000"/>
                <w:sz w:val="24"/>
                <w:highlight w:val="none"/>
                <w:lang w:val="en-US" w:eastAsia="zh-CN"/>
              </w:rPr>
              <w:t xml:space="preserve">进行详细安排，</w:t>
            </w:r>
            <w:r>
              <w:rPr>
                <w:rStyle w:val="824"/>
                <w:rFonts w:hint="eastAsia" w:ascii="宋体" w:hAnsi="宋体" w:eastAsia="宋体" w:cs="宋体"/>
                <w:color w:val="000000"/>
                <w:sz w:val="24"/>
                <w:highlight w:val="none"/>
                <w:lang w:val="zh-CN"/>
              </w:rPr>
              <w:t xml:space="preserve">每项得1分，最高得5分。</w:t>
            </w:r>
            <w:r>
              <w:rPr>
                <w:rStyle w:val="824"/>
                <w:rFonts w:hint="eastAsia" w:ascii="宋体" w:hAnsi="宋体" w:eastAsia="宋体" w:cs="宋体"/>
                <w:color w:val="000000"/>
                <w:sz w:val="24"/>
                <w:highlight w:val="none"/>
                <w:lang w:val="en-US" w:eastAsia="zh-CN"/>
              </w:rPr>
            </w:r>
            <w:r/>
          </w:p>
        </w:tc>
        <w:tc>
          <w:tcPr>
            <w:tcW w:w="407" w:type="dxa"/>
            <w:vAlign w:val="center"/>
            <w:textDirection w:val="lrTb"/>
            <w:noWrap w:val="false"/>
          </w:tcPr>
          <w:p>
            <w:pPr>
              <w:pStyle w:val="654"/>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5分</w:t>
            </w:r>
            <w:r>
              <w:rPr>
                <w:rFonts w:hint="eastAsia" w:ascii="宋体" w:hAnsi="宋体" w:eastAsia="宋体" w:cs="宋体"/>
                <w:color w:val="000000"/>
                <w:sz w:val="24"/>
                <w:highlight w:val="none"/>
                <w:lang w:val="en-US" w:eastAsia="zh-CN"/>
              </w:rPr>
            </w:r>
            <w:r/>
          </w:p>
        </w:tc>
      </w:tr>
      <w:tr>
        <w:trPr>
          <w:trHeight w:val="948"/>
        </w:trPr>
        <w:tc>
          <w:tcPr>
            <w:tcW w:w="796" w:type="dxa"/>
            <w:vAlign w:val="center"/>
            <w:textDirection w:val="lrTb"/>
            <w:noWrap w:val="false"/>
          </w:tcPr>
          <w:p>
            <w:pPr>
              <w:pStyle w:val="654"/>
              <w:spacing w:line="360" w:lineRule="auto"/>
              <w:rPr>
                <w:rStyle w:val="824"/>
                <w:rFonts w:hint="eastAsia" w:ascii="宋体" w:hAnsi="宋体" w:eastAsia="宋体" w:cs="宋体"/>
                <w:b/>
                <w:bCs/>
                <w:color w:val="000000"/>
                <w:sz w:val="24"/>
                <w:highlight w:val="none"/>
                <w:lang w:val="en-US" w:eastAsia="zh-CN"/>
              </w:rPr>
            </w:pPr>
            <w:r>
              <w:rPr>
                <w:rStyle w:val="824"/>
                <w:rFonts w:hint="eastAsia" w:ascii="宋体" w:hAnsi="宋体" w:eastAsia="宋体" w:cs="宋体"/>
                <w:b/>
                <w:bCs/>
                <w:color w:val="000000"/>
                <w:sz w:val="24"/>
                <w:highlight w:val="none"/>
              </w:rPr>
              <w:t xml:space="preserve">质量保证措施（</w:t>
            </w:r>
            <w:r>
              <w:rPr>
                <w:rStyle w:val="824"/>
                <w:rFonts w:hint="eastAsia" w:ascii="宋体" w:hAnsi="宋体" w:eastAsia="宋体" w:cs="宋体"/>
                <w:b/>
                <w:bCs/>
                <w:color w:val="000000"/>
                <w:sz w:val="24"/>
                <w:highlight w:val="none"/>
                <w:lang w:val="en-US" w:eastAsia="zh-CN"/>
              </w:rPr>
              <w:t xml:space="preserve">9</w:t>
            </w:r>
            <w:r>
              <w:rPr>
                <w:rStyle w:val="824"/>
                <w:rFonts w:hint="eastAsia" w:ascii="宋体" w:hAnsi="宋体" w:eastAsia="宋体" w:cs="宋体"/>
                <w:b/>
                <w:bCs/>
                <w:color w:val="000000"/>
                <w:sz w:val="24"/>
                <w:highlight w:val="none"/>
              </w:rPr>
              <w:t xml:space="preserve">分）</w:t>
            </w:r>
            <w:r>
              <w:rPr>
                <w:rStyle w:val="824"/>
                <w:rFonts w:hint="eastAsia" w:ascii="宋体" w:hAnsi="宋体" w:eastAsia="宋体" w:cs="宋体"/>
                <w:b/>
                <w:bCs/>
                <w:color w:val="000000"/>
                <w:sz w:val="24"/>
                <w:highlight w:val="none"/>
                <w:lang w:val="en-US" w:eastAsia="zh-CN"/>
              </w:rPr>
            </w:r>
            <w:r/>
          </w:p>
        </w:tc>
        <w:tc>
          <w:tcPr>
            <w:tcW w:w="736" w:type="dxa"/>
            <w:vAlign w:val="center"/>
            <w:textDirection w:val="lrTb"/>
            <w:noWrap w:val="false"/>
          </w:tcPr>
          <w:p>
            <w:pPr>
              <w:pStyle w:val="654"/>
              <w:jc w:val="left"/>
              <w:spacing w:line="360" w:lineRule="auto"/>
              <w:widowControl/>
              <w:rPr>
                <w:rStyle w:val="824"/>
                <w:rFonts w:hint="eastAsia" w:ascii="宋体" w:hAnsi="宋体" w:eastAsia="宋体" w:cs="宋体"/>
                <w:color w:val="000000"/>
                <w:sz w:val="24"/>
                <w:highlight w:val="none"/>
                <w:lang w:val="en-US" w:eastAsia="zh-CN"/>
              </w:rPr>
            </w:pPr>
            <w:r>
              <w:rPr>
                <w:rStyle w:val="824"/>
                <w:rFonts w:hint="eastAsia" w:ascii="宋体" w:hAnsi="宋体" w:eastAsia="宋体" w:cs="宋体"/>
                <w:color w:val="000000"/>
                <w:sz w:val="24"/>
                <w:highlight w:val="none"/>
                <w:lang w:val="en-US" w:eastAsia="zh-CN"/>
              </w:rPr>
              <w:t xml:space="preserve">质量保证措施</w:t>
            </w:r>
            <w:r>
              <w:rPr>
                <w:rStyle w:val="824"/>
                <w:rFonts w:hint="eastAsia" w:ascii="宋体" w:hAnsi="宋体" w:eastAsia="宋体" w:cs="宋体"/>
                <w:color w:val="000000"/>
                <w:sz w:val="24"/>
                <w:highlight w:val="none"/>
                <w:lang w:val="en-US" w:eastAsia="zh-CN"/>
              </w:rPr>
            </w:r>
            <w:r/>
          </w:p>
        </w:tc>
        <w:tc>
          <w:tcPr>
            <w:tcW w:w="3060" w:type="dxa"/>
            <w:vAlign w:val="center"/>
            <w:textDirection w:val="lrTb"/>
            <w:noWrap w:val="false"/>
          </w:tcPr>
          <w:p>
            <w:pPr>
              <w:pStyle w:val="654"/>
              <w:ind w:firstLine="480"/>
              <w:spacing w:line="360" w:lineRule="auto"/>
              <w:rPr>
                <w:rStyle w:val="824"/>
                <w:rFonts w:hint="eastAsia" w:ascii="宋体" w:hAnsi="宋体" w:eastAsia="宋体" w:cs="宋体"/>
                <w:color w:val="000000"/>
                <w:sz w:val="24"/>
                <w:highlight w:val="none"/>
                <w:lang w:val="en-US" w:eastAsia="zh-CN"/>
              </w:rPr>
            </w:pPr>
            <w:r>
              <w:rPr>
                <w:rFonts w:hint="eastAsia" w:ascii="宋体" w:hAnsi="宋体" w:eastAsia="宋体" w:cs="宋体"/>
                <w:sz w:val="24"/>
                <w:highlight w:val="none"/>
              </w:rPr>
              <w:t xml:space="preserve">根据招标文件及投标文件的质量要求，计划质量保证措施。包括管理组织机构、质量保证措施、质量管理关键点分析及应对是否合理等内容。每项得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分，最高得</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分。</w:t>
            </w:r>
            <w:r>
              <w:rPr>
                <w:rStyle w:val="824"/>
                <w:rFonts w:hint="eastAsia" w:ascii="宋体" w:hAnsi="宋体" w:eastAsia="宋体" w:cs="宋体"/>
                <w:color w:val="000000"/>
                <w:sz w:val="24"/>
                <w:highlight w:val="none"/>
                <w:lang w:val="en-US" w:eastAsia="zh-CN"/>
              </w:rPr>
            </w:r>
            <w:r/>
          </w:p>
        </w:tc>
        <w:tc>
          <w:tcPr>
            <w:tcW w:w="407" w:type="dxa"/>
            <w:vAlign w:val="center"/>
            <w:textDirection w:val="lrTb"/>
            <w:noWrap w:val="false"/>
          </w:tcPr>
          <w:p>
            <w:pPr>
              <w:pStyle w:val="654"/>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9分</w:t>
            </w:r>
            <w:r>
              <w:rPr>
                <w:rFonts w:hint="eastAsia" w:ascii="宋体" w:hAnsi="宋体" w:eastAsia="宋体" w:cs="宋体"/>
                <w:color w:val="000000"/>
                <w:sz w:val="24"/>
                <w:highlight w:val="none"/>
                <w:lang w:val="en-US" w:eastAsia="zh-CN"/>
              </w:rPr>
            </w:r>
            <w:r/>
          </w:p>
        </w:tc>
      </w:tr>
      <w:tr>
        <w:trPr>
          <w:trHeight w:val="948"/>
        </w:trPr>
        <w:tc>
          <w:tcPr>
            <w:tcW w:w="796" w:type="dxa"/>
            <w:vAlign w:val="center"/>
            <w:textDirection w:val="lrTb"/>
            <w:noWrap w:val="false"/>
          </w:tcPr>
          <w:p>
            <w:pPr>
              <w:pStyle w:val="654"/>
              <w:jc w:val="left"/>
              <w:spacing w:line="360" w:lineRule="auto"/>
              <w:widowControl/>
              <w:rPr>
                <w:rStyle w:val="824"/>
                <w:rFonts w:hint="eastAsia" w:ascii="宋体" w:hAnsi="宋体" w:eastAsia="宋体" w:cs="宋体"/>
                <w:b/>
                <w:bCs/>
                <w:color w:val="000000"/>
                <w:sz w:val="24"/>
                <w:highlight w:val="none"/>
                <w:lang w:val="en-US" w:eastAsia="zh-CN"/>
              </w:rPr>
            </w:pPr>
            <w:r>
              <w:rPr>
                <w:rStyle w:val="824"/>
                <w:rFonts w:hint="eastAsia" w:ascii="宋体" w:hAnsi="宋体" w:eastAsia="宋体" w:cs="宋体"/>
                <w:b/>
                <w:bCs/>
                <w:color w:val="000000"/>
                <w:sz w:val="24"/>
                <w:highlight w:val="none"/>
                <w:lang w:val="en-US" w:eastAsia="zh-CN"/>
              </w:rPr>
              <w:t xml:space="preserve">售后服务方案（5分）</w:t>
            </w:r>
            <w:r>
              <w:rPr>
                <w:rStyle w:val="824"/>
                <w:rFonts w:hint="eastAsia" w:ascii="宋体" w:hAnsi="宋体" w:eastAsia="宋体" w:cs="宋体"/>
                <w:b/>
                <w:bCs/>
                <w:color w:val="000000"/>
                <w:sz w:val="24"/>
                <w:highlight w:val="none"/>
                <w:lang w:val="en-US" w:eastAsia="zh-CN"/>
              </w:rPr>
            </w:r>
            <w:r/>
          </w:p>
        </w:tc>
        <w:tc>
          <w:tcPr>
            <w:tcW w:w="736" w:type="dxa"/>
            <w:vAlign w:val="center"/>
            <w:textDirection w:val="lrTb"/>
            <w:noWrap w:val="false"/>
          </w:tcPr>
          <w:p>
            <w:pPr>
              <w:pStyle w:val="654"/>
              <w:jc w:val="left"/>
              <w:spacing w:line="360" w:lineRule="auto"/>
              <w:widowControl/>
              <w:rPr>
                <w:rStyle w:val="824"/>
                <w:rFonts w:hint="eastAsia" w:ascii="宋体" w:hAnsi="宋体" w:eastAsia="宋体" w:cs="宋体"/>
                <w:color w:val="000000"/>
                <w:sz w:val="24"/>
                <w:highlight w:val="none"/>
                <w:lang w:val="en-US" w:eastAsia="zh-CN"/>
              </w:rPr>
            </w:pPr>
            <w:r>
              <w:rPr>
                <w:rStyle w:val="824"/>
                <w:rFonts w:hint="eastAsia" w:ascii="宋体" w:hAnsi="宋体" w:eastAsia="宋体" w:cs="宋体"/>
                <w:color w:val="000000"/>
                <w:sz w:val="24"/>
                <w:highlight w:val="none"/>
                <w:lang w:val="en-US" w:eastAsia="zh-CN"/>
              </w:rPr>
              <w:t xml:space="preserve">售后服务方案</w:t>
            </w:r>
            <w:r>
              <w:rPr>
                <w:rStyle w:val="824"/>
                <w:rFonts w:hint="eastAsia" w:ascii="宋体" w:hAnsi="宋体" w:eastAsia="宋体" w:cs="宋体"/>
                <w:color w:val="000000"/>
                <w:sz w:val="24"/>
                <w:highlight w:val="none"/>
                <w:lang w:val="en-US" w:eastAsia="zh-CN"/>
              </w:rPr>
            </w:r>
            <w:r/>
          </w:p>
        </w:tc>
        <w:tc>
          <w:tcPr>
            <w:tcW w:w="3060" w:type="dxa"/>
            <w:vAlign w:val="center"/>
            <w:textDirection w:val="lrTb"/>
            <w:noWrap w:val="false"/>
          </w:tcPr>
          <w:p>
            <w:pPr>
              <w:pStyle w:val="65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根据提供的售后服务方案进行综合评审：</w:t>
            </w:r>
            <w:r>
              <w:rPr>
                <w:rFonts w:hint="eastAsia" w:ascii="宋体" w:hAnsi="宋体" w:eastAsia="宋体" w:cs="宋体"/>
                <w:sz w:val="24"/>
                <w:highlight w:val="none"/>
              </w:rPr>
            </w:r>
            <w:r/>
          </w:p>
          <w:p>
            <w:pPr>
              <w:pStyle w:val="654"/>
              <w:ind w:firstLine="480"/>
              <w:spacing w:line="360" w:lineRule="auto"/>
              <w:rPr>
                <w:rFonts w:hint="eastAsia" w:ascii="宋体" w:hAnsi="宋体" w:eastAsia="宋体" w:cs="宋体"/>
                <w:sz w:val="24"/>
                <w:highlight w:val="none"/>
                <w:lang w:eastAsia="zh-CN"/>
              </w:rPr>
            </w:pPr>
            <w:r>
              <w:rPr>
                <w:rStyle w:val="824"/>
                <w:rFonts w:hint="eastAsia" w:ascii="宋体" w:hAnsi="宋体" w:eastAsia="宋体" w:cs="宋体"/>
                <w:color w:val="000000"/>
                <w:sz w:val="24"/>
                <w:highlight w:val="none"/>
                <w:lang w:val="en-US" w:eastAsia="zh-CN"/>
              </w:rPr>
              <w:t xml:space="preserve">（1）</w:t>
            </w:r>
            <w:r>
              <w:rPr>
                <w:rFonts w:hint="eastAsia" w:ascii="宋体" w:hAnsi="宋体" w:eastAsia="宋体" w:cs="宋体"/>
                <w:sz w:val="24"/>
                <w:highlight w:val="none"/>
              </w:rPr>
              <w:t xml:space="preserve">售后服务体系完备</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得2.5</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654"/>
              <w:ind w:firstLine="480"/>
              <w:spacing w:line="360" w:lineRule="auto"/>
              <w:rPr>
                <w:rFonts w:hint="eastAsia" w:ascii="宋体" w:hAnsi="宋体" w:eastAsia="宋体" w:cs="宋体"/>
                <w:sz w:val="21"/>
                <w:szCs w:val="21"/>
                <w:highlight w:val="none"/>
                <w:lang w:val="en-US" w:eastAsia="zh-CN" w:bidi="ar-SA"/>
              </w:rPr>
            </w:pPr>
            <w:r>
              <w:rPr>
                <w:rStyle w:val="824"/>
                <w:rFonts w:hint="eastAsia" w:ascii="宋体" w:hAnsi="宋体" w:eastAsia="宋体" w:cs="宋体"/>
                <w:color w:val="000000"/>
                <w:sz w:val="24"/>
                <w:highlight w:val="none"/>
                <w:lang w:val="en-US" w:eastAsia="zh-CN"/>
              </w:rPr>
              <w:t xml:space="preserve">（2）</w:t>
            </w:r>
            <w:r>
              <w:rPr>
                <w:rFonts w:hint="eastAsia" w:ascii="宋体" w:hAnsi="宋体" w:eastAsia="宋体" w:cs="宋体"/>
                <w:sz w:val="24"/>
                <w:highlight w:val="none"/>
                <w:lang w:val="en-US" w:eastAsia="zh-CN"/>
              </w:rPr>
              <w:t xml:space="preserve">提供固定人员驻场承诺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得2.5</w:t>
            </w:r>
            <w:r>
              <w:rPr>
                <w:rFonts w:hint="eastAsia" w:ascii="宋体" w:hAnsi="宋体" w:eastAsia="宋体" w:cs="宋体"/>
                <w:sz w:val="24"/>
                <w:highlight w:val="none"/>
              </w:rPr>
              <w:t xml:space="preserve">分。</w:t>
            </w:r>
            <w:r>
              <w:rPr>
                <w:rFonts w:hint="eastAsia" w:ascii="宋体" w:hAnsi="宋体" w:eastAsia="宋体" w:cs="宋体"/>
                <w:sz w:val="21"/>
                <w:szCs w:val="21"/>
                <w:highlight w:val="none"/>
                <w:lang w:val="en-US" w:eastAsia="zh-CN" w:bidi="ar-SA"/>
              </w:rPr>
            </w:r>
            <w:r/>
          </w:p>
        </w:tc>
        <w:tc>
          <w:tcPr>
            <w:tcW w:w="407" w:type="dxa"/>
            <w:vAlign w:val="center"/>
            <w:textDirection w:val="lrTb"/>
            <w:noWrap w:val="false"/>
          </w:tcPr>
          <w:p>
            <w:pPr>
              <w:pStyle w:val="654"/>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5分</w:t>
            </w:r>
            <w:r>
              <w:rPr>
                <w:rFonts w:hint="eastAsia" w:ascii="宋体" w:hAnsi="宋体" w:eastAsia="宋体" w:cs="宋体"/>
                <w:color w:val="000000"/>
                <w:sz w:val="24"/>
                <w:highlight w:val="none"/>
                <w:lang w:val="en-US" w:eastAsia="zh-CN"/>
              </w:rPr>
            </w:r>
            <w:r/>
          </w:p>
        </w:tc>
      </w:tr>
      <w:tr>
        <w:trPr>
          <w:trHeight w:val="948"/>
        </w:trPr>
        <w:tc>
          <w:tcPr>
            <w:tcW w:w="796" w:type="dxa"/>
            <w:vAlign w:val="center"/>
            <w:textDirection w:val="lrTb"/>
            <w:noWrap w:val="false"/>
          </w:tcPr>
          <w:p>
            <w:pPr>
              <w:pStyle w:val="654"/>
              <w:jc w:val="left"/>
              <w:spacing w:line="360" w:lineRule="auto"/>
              <w:widowControl/>
              <w:rPr>
                <w:rStyle w:val="824"/>
                <w:rFonts w:hint="eastAsia" w:ascii="宋体" w:hAnsi="宋体" w:eastAsia="宋体" w:cs="宋体"/>
                <w:b/>
                <w:bCs/>
                <w:color w:val="000000"/>
                <w:sz w:val="24"/>
                <w:highlight w:val="none"/>
                <w:lang w:val="en-US" w:eastAsia="zh-CN"/>
              </w:rPr>
            </w:pPr>
            <w:r>
              <w:rPr>
                <w:rStyle w:val="824"/>
                <w:rFonts w:hint="eastAsia" w:ascii="宋体" w:hAnsi="宋体" w:eastAsia="宋体" w:cs="宋体"/>
                <w:b/>
                <w:bCs/>
                <w:color w:val="000000"/>
                <w:sz w:val="24"/>
                <w:highlight w:val="none"/>
                <w:lang w:val="en-US" w:eastAsia="zh-CN"/>
              </w:rPr>
              <w:t xml:space="preserve">投入本项目技术人员（15分）</w:t>
            </w:r>
            <w:r>
              <w:rPr>
                <w:rStyle w:val="824"/>
                <w:rFonts w:hint="eastAsia" w:ascii="宋体" w:hAnsi="宋体" w:eastAsia="宋体" w:cs="宋体"/>
                <w:b/>
                <w:bCs/>
                <w:color w:val="000000"/>
                <w:sz w:val="24"/>
                <w:highlight w:val="none"/>
                <w:lang w:val="en-US" w:eastAsia="zh-CN"/>
              </w:rPr>
            </w:r>
            <w:r/>
          </w:p>
        </w:tc>
        <w:tc>
          <w:tcPr>
            <w:tcW w:w="736" w:type="dxa"/>
            <w:vAlign w:val="center"/>
            <w:textDirection w:val="lrTb"/>
            <w:noWrap w:val="false"/>
          </w:tcPr>
          <w:p>
            <w:pPr>
              <w:pStyle w:val="654"/>
              <w:jc w:val="left"/>
              <w:spacing w:line="360" w:lineRule="auto"/>
              <w:widowControl/>
              <w:rPr>
                <w:rStyle w:val="824"/>
                <w:rFonts w:hint="eastAsia" w:ascii="宋体" w:hAnsi="宋体" w:eastAsia="宋体" w:cs="宋体"/>
                <w:color w:val="000000"/>
                <w:sz w:val="24"/>
                <w:highlight w:val="none"/>
                <w:lang w:val="en-US" w:eastAsia="zh-CN"/>
              </w:rPr>
            </w:pPr>
            <w:r>
              <w:rPr>
                <w:rStyle w:val="824"/>
                <w:rFonts w:hint="eastAsia" w:ascii="宋体" w:hAnsi="宋体" w:eastAsia="宋体" w:cs="宋体"/>
                <w:color w:val="000000"/>
                <w:sz w:val="24"/>
                <w:highlight w:val="none"/>
                <w:lang w:val="en-US" w:eastAsia="zh-CN"/>
              </w:rPr>
              <w:t xml:space="preserve">投入本项目技术人员</w:t>
            </w:r>
            <w:r>
              <w:rPr>
                <w:rStyle w:val="824"/>
                <w:rFonts w:hint="eastAsia" w:ascii="宋体" w:hAnsi="宋体" w:eastAsia="宋体" w:cs="宋体"/>
                <w:color w:val="000000"/>
                <w:sz w:val="24"/>
                <w:highlight w:val="none"/>
                <w:lang w:val="en-US" w:eastAsia="zh-CN"/>
              </w:rPr>
            </w:r>
            <w:r/>
          </w:p>
        </w:tc>
        <w:tc>
          <w:tcPr>
            <w:tcW w:w="3060" w:type="dxa"/>
            <w:vAlign w:val="center"/>
            <w:textDirection w:val="lrTb"/>
            <w:noWrap w:val="false"/>
          </w:tcPr>
          <w:p>
            <w:pPr>
              <w:pStyle w:val="654"/>
              <w:ind w:firstLine="480"/>
              <w:keepLines w:val="0"/>
              <w:keepNext w:val="0"/>
              <w:pageBreakBefore w:val="0"/>
              <w:spacing w:line="360" w:lineRule="auto"/>
              <w:rPr>
                <w:rStyle w:val="824"/>
                <w:rFonts w:hint="eastAsia" w:ascii="宋体" w:hAnsi="宋体" w:eastAsia="宋体" w:cs="宋体"/>
                <w:color w:val="000000"/>
                <w:sz w:val="24"/>
                <w:highlight w:val="none"/>
                <w:lang w:val="en-US" w:eastAsia="zh-CN"/>
              </w:rPr>
            </w:pPr>
            <w:r>
              <w:rPr>
                <w:rStyle w:val="824"/>
                <w:rFonts w:hint="eastAsia" w:ascii="宋体" w:hAnsi="宋体" w:eastAsia="宋体" w:cs="宋体"/>
                <w:color w:val="000000"/>
                <w:sz w:val="24"/>
                <w:highlight w:val="none"/>
                <w:lang w:val="en-US" w:eastAsia="zh-CN"/>
              </w:rPr>
              <w:t xml:space="preserve">（1）拟派项目的</w:t>
            </w:r>
            <w:r>
              <w:rPr>
                <w:rStyle w:val="824"/>
                <w:rFonts w:hint="eastAsia" w:ascii="宋体" w:hAnsi="宋体" w:eastAsia="宋体" w:cs="宋体"/>
                <w:b/>
                <w:bCs/>
                <w:color w:val="000000"/>
                <w:sz w:val="24"/>
                <w:highlight w:val="none"/>
                <w:lang w:val="en-US" w:eastAsia="zh-CN"/>
              </w:rPr>
              <w:t xml:space="preserve">项目负责人</w:t>
            </w:r>
            <w:r>
              <w:rPr>
                <w:rStyle w:val="824"/>
                <w:rFonts w:hint="eastAsia" w:ascii="宋体" w:hAnsi="宋体" w:eastAsia="宋体" w:cs="宋体"/>
                <w:color w:val="000000"/>
                <w:sz w:val="24"/>
                <w:highlight w:val="none"/>
                <w:lang w:val="en-US" w:eastAsia="zh-CN"/>
              </w:rPr>
              <w:t xml:space="preserve">具有林业高级工程师及以上证书的得2分，在此基础上具有测绘、土地、电子信息专业高级工程师及以上证书的，有一项得1分，同时具有得5分。</w:t>
            </w:r>
            <w:r>
              <w:rPr>
                <w:rStyle w:val="824"/>
                <w:rFonts w:hint="eastAsia" w:ascii="宋体" w:hAnsi="宋体" w:eastAsia="宋体" w:cs="宋体"/>
                <w:color w:val="000000"/>
                <w:sz w:val="24"/>
                <w:highlight w:val="none"/>
                <w:lang w:val="en-US" w:eastAsia="zh-CN"/>
              </w:rPr>
            </w:r>
            <w:r/>
          </w:p>
          <w:p>
            <w:pPr>
              <w:pStyle w:val="654"/>
              <w:ind w:firstLine="480"/>
              <w:keepLines w:val="0"/>
              <w:keepNext w:val="0"/>
              <w:pageBreakBefore w:val="0"/>
              <w:spacing w:line="360" w:lineRule="auto"/>
              <w:rPr>
                <w:rStyle w:val="824"/>
                <w:rFonts w:hint="eastAsia" w:ascii="宋体" w:hAnsi="宋体" w:eastAsia="宋体" w:cs="宋体"/>
                <w:color w:val="000000"/>
                <w:sz w:val="24"/>
                <w:highlight w:val="none"/>
                <w:lang w:val="en-US" w:eastAsia="zh-CN"/>
              </w:rPr>
            </w:pPr>
            <w:r>
              <w:rPr>
                <w:rStyle w:val="824"/>
                <w:rFonts w:hint="eastAsia" w:ascii="宋体" w:hAnsi="宋体" w:eastAsia="宋体" w:cs="宋体"/>
                <w:color w:val="000000"/>
                <w:sz w:val="24"/>
                <w:highlight w:val="none"/>
                <w:lang w:val="en-US" w:eastAsia="zh-CN"/>
              </w:rPr>
              <w:t xml:space="preserve">（2）拟派项目的</w:t>
            </w:r>
            <w:r>
              <w:rPr>
                <w:rStyle w:val="824"/>
                <w:rFonts w:hint="eastAsia" w:ascii="宋体" w:hAnsi="宋体" w:eastAsia="宋体" w:cs="宋体"/>
                <w:b/>
                <w:bCs/>
                <w:color w:val="000000"/>
                <w:sz w:val="24"/>
                <w:highlight w:val="none"/>
                <w:lang w:val="en-US" w:eastAsia="zh-CN"/>
              </w:rPr>
              <w:t xml:space="preserve">技术负责人</w:t>
            </w:r>
            <w:r>
              <w:rPr>
                <w:rStyle w:val="824"/>
                <w:rFonts w:hint="eastAsia" w:ascii="宋体" w:hAnsi="宋体" w:eastAsia="宋体" w:cs="宋体"/>
                <w:color w:val="000000"/>
                <w:sz w:val="24"/>
                <w:highlight w:val="none"/>
                <w:lang w:val="en-US" w:eastAsia="zh-CN"/>
              </w:rPr>
              <w:t xml:space="preserve">具有林业高级工程师及以上证书的得2分，在此基础上具有测绘、土地、电子信息专业高级工程师及以上证书的，有一项得1分，同时具有得5分。</w:t>
            </w:r>
            <w:r>
              <w:rPr>
                <w:rStyle w:val="824"/>
                <w:rFonts w:hint="eastAsia" w:ascii="宋体" w:hAnsi="宋体" w:eastAsia="宋体" w:cs="宋体"/>
                <w:color w:val="000000"/>
                <w:sz w:val="24"/>
                <w:highlight w:val="none"/>
                <w:lang w:val="en-US" w:eastAsia="zh-CN"/>
              </w:rPr>
            </w:r>
            <w:r/>
          </w:p>
          <w:p>
            <w:pPr>
              <w:pStyle w:val="654"/>
              <w:ind w:firstLine="480"/>
              <w:keepLines w:val="0"/>
              <w:keepNext w:val="0"/>
              <w:pageBreakBefore w:val="0"/>
              <w:spacing w:line="360" w:lineRule="auto"/>
              <w:rPr>
                <w:rStyle w:val="824"/>
                <w:rFonts w:hint="eastAsia" w:ascii="宋体" w:hAnsi="宋体" w:eastAsia="宋体" w:cs="宋体"/>
                <w:color w:val="000000"/>
                <w:sz w:val="24"/>
                <w:highlight w:val="none"/>
                <w:lang w:val="en-US" w:eastAsia="zh-CN"/>
              </w:rPr>
            </w:pPr>
            <w:r>
              <w:rPr>
                <w:rStyle w:val="824"/>
                <w:rFonts w:hint="eastAsia" w:ascii="宋体" w:hAnsi="宋体" w:eastAsia="宋体" w:cs="宋体"/>
                <w:color w:val="000000"/>
                <w:sz w:val="24"/>
                <w:highlight w:val="none"/>
                <w:lang w:val="en-US" w:eastAsia="zh-CN"/>
              </w:rPr>
              <w:t xml:space="preserve">（3）拟派项目组的成员中具有林业或土地或测绘或电子信息专业的工程师及以上证书的，有1人得0.5分，此分项最高得2分。</w:t>
            </w:r>
            <w:r>
              <w:rPr>
                <w:rStyle w:val="824"/>
                <w:rFonts w:hint="eastAsia" w:ascii="宋体" w:hAnsi="宋体" w:eastAsia="宋体" w:cs="宋体"/>
                <w:color w:val="000000"/>
                <w:sz w:val="24"/>
                <w:highlight w:val="none"/>
                <w:lang w:val="en-US" w:eastAsia="zh-CN"/>
              </w:rPr>
            </w:r>
            <w:r/>
          </w:p>
          <w:p>
            <w:pPr>
              <w:pStyle w:val="654"/>
              <w:ind w:firstLine="480"/>
              <w:keepLines w:val="0"/>
              <w:keepNext w:val="0"/>
              <w:pageBreakBefore w:val="0"/>
              <w:spacing w:line="360" w:lineRule="auto"/>
              <w:rPr>
                <w:rStyle w:val="824"/>
                <w:rFonts w:hint="eastAsia" w:ascii="宋体" w:hAnsi="宋体" w:eastAsia="宋体" w:cs="宋体"/>
                <w:color w:val="000000"/>
                <w:sz w:val="24"/>
                <w:highlight w:val="none"/>
                <w:lang w:val="en-US" w:eastAsia="zh-CN"/>
              </w:rPr>
            </w:pPr>
            <w:r>
              <w:rPr>
                <w:rStyle w:val="824"/>
                <w:rFonts w:hint="eastAsia" w:ascii="宋体" w:hAnsi="宋体" w:eastAsia="宋体" w:cs="宋体"/>
                <w:color w:val="000000"/>
                <w:sz w:val="24"/>
                <w:highlight w:val="none"/>
                <w:lang w:val="en-US" w:eastAsia="zh-CN"/>
              </w:rPr>
              <w:t xml:space="preserve">（4）拟派项目组的成员中4人及以上具有地理信息安全保密合格证书的，得2分，不满足的不得分。</w:t>
            </w:r>
            <w:r>
              <w:rPr>
                <w:rStyle w:val="824"/>
                <w:rFonts w:hint="eastAsia" w:ascii="宋体" w:hAnsi="宋体" w:eastAsia="宋体" w:cs="宋体"/>
                <w:color w:val="000000"/>
                <w:sz w:val="24"/>
                <w:highlight w:val="none"/>
                <w:lang w:val="en-US" w:eastAsia="zh-CN"/>
              </w:rPr>
            </w:r>
            <w:r/>
          </w:p>
          <w:p>
            <w:pPr>
              <w:pStyle w:val="654"/>
              <w:ind w:firstLine="480"/>
              <w:keepLines w:val="0"/>
              <w:keepNext w:val="0"/>
              <w:pageBreakBefore w:val="0"/>
              <w:spacing w:line="360" w:lineRule="auto"/>
              <w:rPr>
                <w:rStyle w:val="824"/>
                <w:rFonts w:hint="eastAsia" w:ascii="宋体" w:hAnsi="宋体" w:eastAsia="宋体" w:cs="宋体"/>
                <w:color w:val="000000"/>
                <w:sz w:val="24"/>
                <w:highlight w:val="none"/>
                <w:lang w:val="en-US" w:eastAsia="zh-CN"/>
              </w:rPr>
            </w:pPr>
            <w:r>
              <w:rPr>
                <w:rStyle w:val="824"/>
                <w:rFonts w:hint="eastAsia" w:ascii="宋体" w:hAnsi="宋体" w:eastAsia="宋体" w:cs="宋体"/>
                <w:color w:val="000000"/>
                <w:sz w:val="24"/>
                <w:highlight w:val="none"/>
                <w:lang w:val="en-US" w:eastAsia="zh-CN"/>
              </w:rPr>
              <w:t xml:space="preserve">（5）拟派项目组的成员中2人及以上具有数据建库人员具有OCP（数据库认证）证书的，得1分，不满足的不得分。</w:t>
            </w:r>
            <w:r>
              <w:rPr>
                <w:rStyle w:val="824"/>
                <w:rFonts w:hint="eastAsia" w:ascii="宋体" w:hAnsi="宋体" w:eastAsia="宋体" w:cs="宋体"/>
                <w:color w:val="000000"/>
                <w:sz w:val="24"/>
                <w:highlight w:val="none"/>
                <w:lang w:val="en-US" w:eastAsia="zh-CN"/>
              </w:rPr>
            </w:r>
            <w:r/>
          </w:p>
          <w:p>
            <w:pPr>
              <w:pStyle w:val="654"/>
              <w:ind w:firstLine="480"/>
              <w:keepLines w:val="0"/>
              <w:keepNext w:val="0"/>
              <w:pageBreakBefore w:val="0"/>
              <w:spacing w:line="360" w:lineRule="auto"/>
              <w:rPr>
                <w:rStyle w:val="824"/>
                <w:rFonts w:hint="eastAsia" w:ascii="宋体" w:hAnsi="宋体" w:eastAsia="宋体" w:cs="宋体"/>
                <w:color w:val="000000"/>
                <w:sz w:val="24"/>
                <w:highlight w:val="none"/>
                <w:lang w:val="en-US" w:eastAsia="zh-CN"/>
              </w:rPr>
            </w:pPr>
            <w:r>
              <w:rPr>
                <w:rStyle w:val="824"/>
                <w:rFonts w:hint="eastAsia" w:ascii="宋体" w:hAnsi="宋体" w:eastAsia="宋体" w:cs="宋体"/>
                <w:b w:val="0"/>
                <w:bCs w:val="0"/>
                <w:color w:val="000000"/>
                <w:sz w:val="24"/>
                <w:highlight w:val="none"/>
                <w:lang w:val="en-US" w:eastAsia="zh-CN"/>
              </w:rPr>
              <w:t xml:space="preserve">注：以上人员不得重复，上述人员均须提供人员证书扫描件本年度为其缴纳至少连续3个月社保的证明材料。材料不提供或提供不全或无法认定的，对应评分项不得分。</w:t>
            </w:r>
            <w:r>
              <w:rPr>
                <w:rStyle w:val="824"/>
                <w:rFonts w:hint="eastAsia" w:ascii="宋体" w:hAnsi="宋体" w:eastAsia="宋体" w:cs="宋体"/>
                <w:color w:val="000000"/>
                <w:sz w:val="24"/>
                <w:highlight w:val="none"/>
                <w:lang w:val="en-US" w:eastAsia="zh-CN"/>
              </w:rPr>
            </w:r>
            <w:r/>
          </w:p>
        </w:tc>
        <w:tc>
          <w:tcPr>
            <w:tcW w:w="407" w:type="dxa"/>
            <w:vAlign w:val="center"/>
            <w:textDirection w:val="lrTb"/>
            <w:noWrap w:val="false"/>
          </w:tcPr>
          <w:p>
            <w:pPr>
              <w:pStyle w:val="654"/>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15分</w:t>
            </w:r>
            <w:r>
              <w:rPr>
                <w:rFonts w:hint="eastAsia" w:ascii="宋体" w:hAnsi="宋体" w:eastAsia="宋体" w:cs="宋体"/>
                <w:color w:val="000000"/>
                <w:sz w:val="24"/>
                <w:highlight w:val="none"/>
                <w:lang w:val="en-US" w:eastAsia="zh-CN"/>
              </w:rPr>
            </w:r>
            <w:r/>
          </w:p>
        </w:tc>
      </w:tr>
      <w:tr>
        <w:trPr>
          <w:trHeight w:val="960"/>
        </w:trPr>
        <w:tc>
          <w:tcPr>
            <w:tcW w:w="796" w:type="dxa"/>
            <w:vAlign w:val="center"/>
            <w:vMerge w:val="restart"/>
            <w:textDirection w:val="lrTb"/>
            <w:noWrap w:val="false"/>
          </w:tcPr>
          <w:p>
            <w:pPr>
              <w:pStyle w:val="654"/>
              <w:jc w:val="center"/>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商务部分</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tc>
        <w:tc>
          <w:tcPr>
            <w:tcW w:w="736" w:type="dxa"/>
            <w:vAlign w:val="center"/>
            <w:textDirection w:val="lrTb"/>
            <w:noWrap w:val="false"/>
          </w:tcPr>
          <w:p>
            <w:pPr>
              <w:pStyle w:val="654"/>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体系认证</w:t>
            </w:r>
            <w:r>
              <w:rPr>
                <w:rFonts w:hint="eastAsia" w:ascii="宋体" w:hAnsi="宋体" w:eastAsia="宋体" w:cs="宋体"/>
                <w:color w:val="000000"/>
                <w:sz w:val="24"/>
                <w:highlight w:val="none"/>
                <w:lang w:val="en-US" w:eastAsia="zh-CN"/>
              </w:rPr>
            </w:r>
            <w:r/>
          </w:p>
        </w:tc>
        <w:tc>
          <w:tcPr>
            <w:tcW w:w="3060" w:type="dxa"/>
            <w:vAlign w:val="center"/>
            <w:textDirection w:val="lrTb"/>
            <w:noWrap w:val="false"/>
          </w:tcPr>
          <w:p>
            <w:pPr>
              <w:pStyle w:val="654"/>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投标人</w:t>
            </w:r>
            <w:r>
              <w:rPr>
                <w:rFonts w:hint="eastAsia" w:ascii="宋体" w:hAnsi="宋体" w:eastAsia="宋体" w:cs="宋体"/>
                <w:bCs/>
                <w:color w:val="000000"/>
                <w:sz w:val="24"/>
                <w:highlight w:val="none"/>
              </w:rPr>
              <w:t xml:space="preserve">具有有效期内的质量管理体系、环境管理体系、职业健康安全管理体系、信息技术服务管理体系、信息安全管理体系认证证书，每一项得1分，最高得5分。</w:t>
            </w:r>
            <w:r>
              <w:rPr>
                <w:rFonts w:hint="eastAsia" w:ascii="宋体" w:hAnsi="宋体" w:eastAsia="宋体" w:cs="宋体"/>
                <w:color w:val="000000"/>
                <w:sz w:val="24"/>
                <w:highlight w:val="none"/>
              </w:rPr>
            </w:r>
            <w:r/>
          </w:p>
        </w:tc>
        <w:tc>
          <w:tcPr>
            <w:tcW w:w="407" w:type="dxa"/>
            <w:vAlign w:val="center"/>
            <w:textDirection w:val="lrTb"/>
            <w:noWrap w:val="false"/>
          </w:tcPr>
          <w:p>
            <w:pPr>
              <w:pStyle w:val="654"/>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5分</w:t>
            </w:r>
            <w:r>
              <w:rPr>
                <w:rFonts w:hint="eastAsia" w:ascii="宋体" w:hAnsi="宋体" w:eastAsia="宋体" w:cs="宋体"/>
                <w:color w:val="000000"/>
                <w:sz w:val="24"/>
                <w:highlight w:val="none"/>
                <w:lang w:val="en-US" w:eastAsia="zh-CN"/>
              </w:rPr>
            </w:r>
            <w:r/>
          </w:p>
        </w:tc>
      </w:tr>
      <w:tr>
        <w:trPr>
          <w:trHeight w:val="636"/>
        </w:trPr>
        <w:tc>
          <w:tcPr>
            <w:tcW w:w="796" w:type="dxa"/>
            <w:vAlign w:val="center"/>
            <w:vMerge w:val="continue"/>
            <w:textDirection w:val="lrTb"/>
            <w:noWrap w:val="false"/>
          </w:tcPr>
          <w:p>
            <w:pPr>
              <w:pStyle w:val="654"/>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736" w:type="dxa"/>
            <w:vAlign w:val="center"/>
            <w:textDirection w:val="lrTb"/>
            <w:noWrap w:val="false"/>
          </w:tcPr>
          <w:p>
            <w:pPr>
              <w:pStyle w:val="654"/>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软件著作权</w:t>
            </w:r>
            <w:r>
              <w:rPr>
                <w:rFonts w:hint="eastAsia" w:ascii="宋体" w:hAnsi="宋体" w:eastAsia="宋体" w:cs="宋体"/>
                <w:color w:val="000000"/>
                <w:sz w:val="24"/>
                <w:highlight w:val="none"/>
                <w:lang w:val="en-US" w:eastAsia="zh-CN"/>
              </w:rPr>
            </w:r>
            <w:r/>
          </w:p>
        </w:tc>
        <w:tc>
          <w:tcPr>
            <w:tcW w:w="3060" w:type="dxa"/>
            <w:vAlign w:val="center"/>
            <w:textDirection w:val="lrTb"/>
            <w:noWrap w:val="false"/>
          </w:tcPr>
          <w:p>
            <w:pPr>
              <w:pStyle w:val="654"/>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投标人具有自主知识产权的森林资源调查类、国土调查类软件著作权的有一类得3分，满分6分。</w:t>
            </w:r>
            <w:r>
              <w:rPr>
                <w:rFonts w:hint="eastAsia" w:ascii="宋体" w:hAnsi="宋体" w:eastAsia="宋体" w:cs="宋体"/>
                <w:color w:val="000000"/>
                <w:sz w:val="24"/>
                <w:highlight w:val="none"/>
              </w:rPr>
            </w:r>
            <w:r/>
          </w:p>
        </w:tc>
        <w:tc>
          <w:tcPr>
            <w:tcW w:w="407" w:type="dxa"/>
            <w:vAlign w:val="center"/>
            <w:textDirection w:val="lrTb"/>
            <w:noWrap w:val="false"/>
          </w:tcPr>
          <w:p>
            <w:pPr>
              <w:pStyle w:val="654"/>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6分</w:t>
            </w:r>
            <w:r>
              <w:rPr>
                <w:rFonts w:hint="eastAsia" w:ascii="宋体" w:hAnsi="宋体" w:eastAsia="宋体" w:cs="宋体"/>
                <w:color w:val="000000"/>
                <w:sz w:val="24"/>
                <w:highlight w:val="none"/>
                <w:lang w:val="en-US" w:eastAsia="zh-CN"/>
              </w:rPr>
            </w:r>
            <w:r/>
          </w:p>
        </w:tc>
      </w:tr>
      <w:tr>
        <w:trPr>
          <w:trHeight w:val="960"/>
        </w:trPr>
        <w:tc>
          <w:tcPr>
            <w:tcW w:w="796" w:type="dxa"/>
            <w:vAlign w:val="center"/>
            <w:vMerge w:val="continue"/>
            <w:textDirection w:val="lrTb"/>
            <w:noWrap w:val="false"/>
          </w:tcPr>
          <w:p>
            <w:pPr>
              <w:pStyle w:val="654"/>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736" w:type="dxa"/>
            <w:vAlign w:val="center"/>
            <w:textDirection w:val="lrTb"/>
            <w:noWrap w:val="false"/>
          </w:tcPr>
          <w:p>
            <w:pPr>
              <w:pStyle w:val="654"/>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获得奖项</w:t>
            </w:r>
            <w:r>
              <w:rPr>
                <w:rFonts w:hint="eastAsia" w:ascii="宋体" w:hAnsi="宋体" w:eastAsia="宋体" w:cs="宋体"/>
                <w:color w:val="000000"/>
                <w:sz w:val="24"/>
                <w:highlight w:val="none"/>
                <w:lang w:val="en-US" w:eastAsia="zh-CN"/>
              </w:rPr>
            </w:r>
            <w:r/>
          </w:p>
        </w:tc>
        <w:tc>
          <w:tcPr>
            <w:tcW w:w="3060" w:type="dxa"/>
            <w:vAlign w:val="center"/>
            <w:textDirection w:val="lrTb"/>
            <w:noWrap w:val="false"/>
          </w:tcPr>
          <w:p>
            <w:pPr>
              <w:pStyle w:val="654"/>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投标人参与的森林资源普查类、国土调查类、林地“一张图”类项目获省级及以上奖项的有一类得3分，满分9分。</w:t>
            </w:r>
            <w:r>
              <w:rPr>
                <w:rFonts w:hint="eastAsia" w:ascii="宋体" w:hAnsi="宋体" w:eastAsia="宋体" w:cs="宋体"/>
                <w:color w:val="000000"/>
                <w:sz w:val="24"/>
                <w:highlight w:val="none"/>
              </w:rPr>
            </w:r>
            <w:r/>
          </w:p>
        </w:tc>
        <w:tc>
          <w:tcPr>
            <w:tcW w:w="407" w:type="dxa"/>
            <w:vAlign w:val="center"/>
            <w:textDirection w:val="lrTb"/>
            <w:noWrap w:val="false"/>
          </w:tcPr>
          <w:p>
            <w:pPr>
              <w:pStyle w:val="654"/>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9分</w:t>
            </w:r>
            <w:r>
              <w:rPr>
                <w:rFonts w:hint="eastAsia" w:ascii="宋体" w:hAnsi="宋体" w:eastAsia="宋体" w:cs="宋体"/>
                <w:color w:val="000000"/>
                <w:sz w:val="24"/>
                <w:highlight w:val="none"/>
                <w:lang w:val="en-US" w:eastAsia="zh-CN"/>
              </w:rPr>
            </w:r>
            <w:r/>
          </w:p>
        </w:tc>
      </w:tr>
      <w:tr>
        <w:trPr>
          <w:trHeight w:val="960"/>
        </w:trPr>
        <w:tc>
          <w:tcPr>
            <w:tcW w:w="796" w:type="dxa"/>
            <w:vAlign w:val="center"/>
            <w:vMerge w:val="continue"/>
            <w:textDirection w:val="lrTb"/>
            <w:noWrap w:val="false"/>
          </w:tcPr>
          <w:p>
            <w:pPr>
              <w:pStyle w:val="654"/>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736" w:type="dxa"/>
            <w:vAlign w:val="center"/>
            <w:textDirection w:val="lrTb"/>
            <w:noWrap w:val="false"/>
          </w:tcPr>
          <w:p>
            <w:pPr>
              <w:pStyle w:val="654"/>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同类项目业绩情况</w:t>
            </w:r>
            <w:r>
              <w:rPr>
                <w:rFonts w:hint="eastAsia" w:ascii="宋体" w:hAnsi="宋体" w:eastAsia="宋体" w:cs="宋体"/>
                <w:color w:val="000000"/>
                <w:sz w:val="24"/>
                <w:highlight w:val="none"/>
              </w:rPr>
            </w:r>
            <w:r/>
          </w:p>
        </w:tc>
        <w:tc>
          <w:tcPr>
            <w:tcW w:w="3060" w:type="dxa"/>
            <w:vAlign w:val="center"/>
            <w:textDirection w:val="lrTb"/>
            <w:noWrap w:val="false"/>
          </w:tcPr>
          <w:p>
            <w:pPr>
              <w:pStyle w:val="654"/>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（1）2021年</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月1日以来，投标人承担过森林资源调查（二类调查）类项目，每个项目得2分，最高得4分；</w:t>
            </w:r>
            <w:r>
              <w:rPr>
                <w:rFonts w:hint="eastAsia" w:ascii="宋体" w:hAnsi="宋体" w:eastAsia="宋体" w:cs="宋体"/>
                <w:color w:val="000000"/>
                <w:sz w:val="24"/>
                <w:highlight w:val="none"/>
              </w:rPr>
            </w:r>
            <w:r/>
          </w:p>
          <w:p>
            <w:pPr>
              <w:pStyle w:val="654"/>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（2）2021年</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月1日以来，投标人承担过林草湿调查监测类项目，每个项目得2分，最高得4分；</w:t>
            </w:r>
            <w:r>
              <w:rPr>
                <w:rFonts w:hint="eastAsia" w:ascii="宋体" w:hAnsi="宋体" w:eastAsia="宋体" w:cs="宋体"/>
                <w:color w:val="000000"/>
                <w:sz w:val="24"/>
                <w:highlight w:val="none"/>
              </w:rPr>
            </w:r>
            <w:r/>
          </w:p>
          <w:p>
            <w:pPr>
              <w:pStyle w:val="654"/>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（3）2021年</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月1日以来，投标人承担过国土调查类项目，每个项目的4分，最高得2分。</w:t>
            </w:r>
            <w:r>
              <w:rPr>
                <w:rFonts w:hint="eastAsia" w:ascii="宋体" w:hAnsi="宋体" w:eastAsia="宋体" w:cs="宋体"/>
                <w:color w:val="000000"/>
                <w:sz w:val="24"/>
                <w:highlight w:val="none"/>
              </w:rPr>
            </w:r>
            <w:r/>
          </w:p>
          <w:p>
            <w:pPr>
              <w:pStyle w:val="654"/>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注：①时间以合同签订日期为准；②响应文件中提供对应合同复印件。材料不提供或提供不全或无法认定的，此项不得分。</w:t>
            </w:r>
            <w:r>
              <w:rPr>
                <w:rFonts w:hint="eastAsia" w:ascii="宋体" w:hAnsi="宋体" w:eastAsia="宋体" w:cs="宋体"/>
                <w:color w:val="000000"/>
                <w:sz w:val="24"/>
                <w:highlight w:val="none"/>
              </w:rPr>
            </w:r>
            <w:r/>
          </w:p>
        </w:tc>
        <w:tc>
          <w:tcPr>
            <w:tcW w:w="407" w:type="dxa"/>
            <w:vAlign w:val="center"/>
            <w:textDirection w:val="lrTb"/>
            <w:noWrap w:val="false"/>
          </w:tcPr>
          <w:p>
            <w:pPr>
              <w:pStyle w:val="654"/>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12分</w:t>
            </w:r>
            <w:r>
              <w:rPr>
                <w:rFonts w:hint="eastAsia" w:ascii="宋体" w:hAnsi="宋体" w:eastAsia="宋体" w:cs="宋体"/>
                <w:color w:val="000000"/>
                <w:sz w:val="24"/>
                <w:highlight w:val="none"/>
                <w:lang w:val="en-US" w:eastAsia="zh-CN"/>
              </w:rPr>
            </w:r>
            <w:r/>
          </w:p>
        </w:tc>
      </w:tr>
      <w:tr>
        <w:trPr>
          <w:trHeight w:val="960"/>
        </w:trPr>
        <w:tc>
          <w:tcPr>
            <w:tcW w:w="796" w:type="dxa"/>
            <w:vAlign w:val="center"/>
            <w:vMerge w:val="continue"/>
            <w:textDirection w:val="lrTb"/>
            <w:noWrap w:val="false"/>
          </w:tcPr>
          <w:p>
            <w:pPr>
              <w:pStyle w:val="654"/>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736" w:type="dxa"/>
            <w:vAlign w:val="center"/>
            <w:textDirection w:val="lrTb"/>
            <w:noWrap w:val="false"/>
          </w:tcPr>
          <w:p>
            <w:pPr>
              <w:pStyle w:val="654"/>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行业信用等级评价</w:t>
            </w:r>
            <w:r>
              <w:rPr>
                <w:rFonts w:hint="eastAsia" w:ascii="宋体" w:hAnsi="宋体" w:eastAsia="宋体" w:cs="宋体"/>
                <w:color w:val="000000"/>
                <w:sz w:val="24"/>
                <w:highlight w:val="none"/>
              </w:rPr>
            </w:r>
            <w:r/>
          </w:p>
        </w:tc>
        <w:tc>
          <w:tcPr>
            <w:tcW w:w="3060" w:type="dxa"/>
            <w:vAlign w:val="center"/>
            <w:textDirection w:val="lrTb"/>
            <w:noWrap w:val="false"/>
          </w:tcPr>
          <w:p>
            <w:pPr>
              <w:pStyle w:val="654"/>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rPr>
              <w:t xml:space="preserve">投标人具有获得省级或以上自然资源主管部门颁发的行业信用等级评价为“AAA”的得3分。</w:t>
            </w:r>
            <w:r>
              <w:rPr>
                <w:rFonts w:hint="eastAsia" w:ascii="宋体" w:hAnsi="宋体" w:eastAsia="宋体" w:cs="宋体"/>
                <w:sz w:val="24"/>
                <w:highlight w:val="none"/>
              </w:rPr>
            </w:r>
            <w:r/>
          </w:p>
        </w:tc>
        <w:tc>
          <w:tcPr>
            <w:tcW w:w="407" w:type="dxa"/>
            <w:vAlign w:val="center"/>
            <w:textDirection w:val="lrTb"/>
            <w:noWrap w:val="false"/>
          </w:tcPr>
          <w:p>
            <w:pPr>
              <w:pStyle w:val="654"/>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3分</w:t>
            </w:r>
            <w:r>
              <w:rPr>
                <w:rFonts w:hint="eastAsia" w:ascii="宋体" w:hAnsi="宋体" w:eastAsia="宋体" w:cs="宋体"/>
                <w:color w:val="000000"/>
                <w:sz w:val="24"/>
                <w:highlight w:val="none"/>
                <w:lang w:val="en-US" w:eastAsia="zh-CN"/>
              </w:rPr>
            </w:r>
            <w:r/>
          </w:p>
        </w:tc>
      </w:tr>
    </w:tbl>
    <w:p>
      <w:pPr>
        <w:pStyle w:val="65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65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备注：</w:t>
      </w:r>
      <w:r>
        <w:rPr>
          <w:rFonts w:hint="eastAsia" w:ascii="宋体" w:hAnsi="宋体" w:eastAsia="宋体" w:cs="宋体"/>
          <w:b/>
          <w:color w:val="000000"/>
          <w:sz w:val="24"/>
          <w:highlight w:val="none"/>
        </w:rPr>
      </w:r>
      <w:r/>
    </w:p>
    <w:p>
      <w:pPr>
        <w:pStyle w:val="654"/>
        <w:numPr>
          <w:ilvl w:val="0"/>
          <w:numId w:val="4"/>
        </w:numPr>
        <w:ind w:left="478"/>
        <w:spacing w:line="360" w:lineRule="auto"/>
        <w:tabs>
          <w:tab w:val="left" w:pos="312"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涉及评审的资料均需电子件形式上传，所有投标文件的电子材料均需加盖本单位公</w:t>
      </w:r>
      <w:r>
        <w:rPr>
          <w:rFonts w:hint="eastAsia" w:ascii="宋体" w:hAnsi="宋体" w:eastAsia="宋体" w:cs="宋体"/>
          <w:b/>
          <w:sz w:val="24"/>
          <w:highlight w:val="none"/>
        </w:rPr>
      </w:r>
      <w:r/>
    </w:p>
    <w:p>
      <w:pPr>
        <w:pStyle w:val="654"/>
        <w:ind w:left="478"/>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2.本项目不收取纸质投标文件及相关原件等纸质材料，仅以投标人提供的电子投标文件为准，</w:t>
      </w:r>
      <w:r>
        <w:rPr>
          <w:rFonts w:hint="eastAsia" w:ascii="宋体" w:hAnsi="宋体" w:eastAsia="宋体" w:cs="宋体"/>
          <w:b/>
          <w:color w:val="ff0000"/>
          <w:sz w:val="24"/>
          <w:highlight w:val="none"/>
        </w:rPr>
        <w:t xml:space="preserve">中标单位需在签订合同前提供所有原件资料至甲方审核。</w:t>
      </w:r>
      <w:r>
        <w:rPr>
          <w:rFonts w:hint="eastAsia" w:ascii="宋体" w:hAnsi="宋体" w:eastAsia="宋体" w:cs="宋体"/>
          <w:b/>
          <w:sz w:val="24"/>
          <w:highlight w:val="none"/>
        </w:rPr>
      </w:r>
      <w:r/>
    </w:p>
    <w:p>
      <w:pPr>
        <w:pStyle w:val="654"/>
        <w:ind w:firstLine="48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2.投标文件中的内容需和招标文件相关指标对应绑定，无绑定不得分。</w:t>
      </w:r>
      <w:r>
        <w:rPr>
          <w:rFonts w:hint="eastAsia" w:ascii="宋体" w:hAnsi="宋体" w:eastAsia="宋体" w:cs="宋体"/>
          <w:b/>
          <w:sz w:val="24"/>
          <w:highlight w:val="none"/>
        </w:rPr>
      </w:r>
      <w:r/>
    </w:p>
    <w:p>
      <w:pPr>
        <w:pStyle w:val="654"/>
        <w:ind w:firstLine="48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3、技术标内一律不得含有报价，否则视为无效投标。</w:t>
      </w:r>
      <w:r>
        <w:rPr>
          <w:rFonts w:hint="eastAsia" w:ascii="宋体" w:hAnsi="宋体" w:eastAsia="宋体" w:cs="宋体"/>
          <w:b/>
          <w:sz w:val="24"/>
          <w:highlight w:val="none"/>
        </w:rPr>
      </w:r>
      <w:r/>
    </w:p>
    <w:p>
      <w:pPr>
        <w:pStyle w:val="654"/>
        <w:jc w:val="righ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（全文完）</w:t>
      </w:r>
      <w:r/>
    </w:p>
    <w:sectPr>
      <w:headerReference w:type="default" r:id="rId9"/>
      <w:footerReference w:type="default" r:id="rId10"/>
      <w:footerReference w:type="even" r:id="rId11"/>
      <w:footnotePr/>
      <w:endnotePr/>
      <w:type w:val="nextPage"/>
      <w:pgSz w:w="11906" w:h="16838" w:orient="portrait"/>
      <w:pgMar w:top="1440" w:right="1286"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隶书">
    <w:panose1 w:val="02010509060101010101"/>
  </w:font>
  <w:font w:name="Calibri Light">
    <w:panose1 w:val="020F0302020204030204"/>
  </w:font>
  <w:font w:name="方正仿宋简体">
    <w:panose1 w:val="020B0503020202020204"/>
  </w:font>
  <w:font w:name="等线">
    <w:panose1 w:val="02010600030101010101"/>
  </w:font>
  <w:font w:name="仿宋">
    <w:panose1 w:val="02010609060101010101"/>
  </w:font>
  <w:font w:name="Courier New">
    <w:panose1 w:val="02070309020205020404"/>
  </w:font>
  <w:font w:name="Cambria">
    <w:panose1 w:val="02040503050406030204"/>
  </w:font>
  <w:font w:name="方正大黑简体">
    <w:panose1 w:val="020B05030202020202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tabs>
        <w:tab w:val="center" w:pos="4153" w:leader="none"/>
        <w:tab w:val="right" w:pos="8306" w:leader="none"/>
      </w:tabs>
      <w:rPr>
        <w:rStyle w:val="721"/>
      </w:rPr>
      <w:framePr w:wrap="around" w:vAnchor="text" w:hAnchor="margin" w:xAlign="center" w:y="1"/>
    </w:pPr>
    <w:r>
      <w:fldChar w:fldCharType="begin"/>
    </w:r>
    <w:r>
      <w:rPr>
        <w:rStyle w:val="721"/>
      </w:rPr>
      <w:instrText xml:space="preserve">PAGE  </w:instrText>
    </w:r>
    <w:r>
      <w:fldChar w:fldCharType="separate"/>
    </w:r>
    <w:r>
      <w:rPr>
        <w:rStyle w:val="721"/>
      </w:rPr>
      <w:t xml:space="preserve">39</w:t>
    </w:r>
    <w:r>
      <w:fldChar w:fldCharType="end"/>
    </w:r>
    <w:r>
      <w:rPr>
        <w:rStyle w:val="721"/>
      </w:rPr>
    </w:r>
    <w:r/>
  </w:p>
  <w:p>
    <w:pPr>
      <w:pStyle w:val="69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tabs>
        <w:tab w:val="center" w:pos="4153" w:leader="none"/>
        <w:tab w:val="right" w:pos="8306" w:leader="none"/>
      </w:tabs>
      <w:rPr>
        <w:rStyle w:val="721"/>
      </w:rPr>
      <w:framePr w:wrap="around" w:vAnchor="text" w:hAnchor="margin" w:xAlign="center" w:y="1"/>
    </w:pPr>
    <w:r>
      <w:fldChar w:fldCharType="begin"/>
    </w:r>
    <w:r>
      <w:rPr>
        <w:rStyle w:val="721"/>
      </w:rPr>
      <w:instrText xml:space="preserve">PAGE  </w:instrText>
    </w:r>
    <w:r>
      <w:fldChar w:fldCharType="end"/>
    </w:r>
    <w:r>
      <w:rPr>
        <w:rStyle w:val="721"/>
      </w:rPr>
    </w:r>
    <w:r/>
  </w:p>
  <w:p>
    <w:pPr>
      <w:pStyle w:val="69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jc w:val="left"/>
      <w:tabs>
        <w:tab w:val="center" w:pos="4153" w:leader="none"/>
        <w:tab w:val="right" w:pos="8306" w:leader="none"/>
      </w:tabs>
      <w:rPr>
        <w:rFonts w:ascii="宋体" w:hAnsi="宋体" w:eastAsia="宋体"/>
      </w:rPr>
    </w:pPr>
    <w:r>
      <w:rPr>
        <w:rFonts w:hint="eastAsia" w:ascii="宋体" w:hAnsi="宋体" w:eastAsia="宋体"/>
      </w:rPr>
      <w:t xml:space="preserve">项目编号：</w:t>
    </w:r>
    <w:r>
      <w:rPr>
        <w:rFonts w:hint="eastAsia" w:ascii="宋体" w:hAnsi="宋体" w:eastAsia="宋体"/>
        <w:lang w:eastAsia="zh-CN"/>
      </w:rPr>
      <w:t xml:space="preserve">JSZC-320583-JXCG-G2024-0075</w:t>
    </w:r>
    <w:r>
      <w:rPr>
        <w:rFonts w:hint="eastAsia" w:ascii="宋体" w:hAnsi="宋体" w:eastAsia="宋体"/>
      </w:rPr>
      <w:t xml:space="preserve">                                                         公开招标文件</w:t>
    </w: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54"/>
        <w:ind w:left="885" w:hanging="405"/>
      </w:pPr>
      <w:rPr>
        <w:u w:val="none"/>
      </w:rPr>
    </w:lvl>
    <w:lvl w:ilvl="1">
      <w:start w:val="1"/>
      <w:numFmt w:val="lowerLetter"/>
      <w:isLgl w:val="false"/>
      <w:suff w:val="tab"/>
      <w:lvlText w:val="%2)"/>
      <w:lvlJc w:val="left"/>
      <w:pPr>
        <w:pStyle w:val="654"/>
        <w:ind w:left="1320" w:hanging="420"/>
      </w:pPr>
    </w:lvl>
    <w:lvl w:ilvl="2">
      <w:start w:val="1"/>
      <w:numFmt w:val="lowerRoman"/>
      <w:isLgl w:val="false"/>
      <w:suff w:val="tab"/>
      <w:lvlText w:val="%3."/>
      <w:lvlJc w:val="right"/>
      <w:pPr>
        <w:pStyle w:val="654"/>
        <w:ind w:left="1740" w:hanging="420"/>
      </w:pPr>
    </w:lvl>
    <w:lvl w:ilvl="3">
      <w:start w:val="1"/>
      <w:numFmt w:val="decimal"/>
      <w:isLgl w:val="false"/>
      <w:suff w:val="tab"/>
      <w:lvlText w:val="%4."/>
      <w:lvlJc w:val="left"/>
      <w:pPr>
        <w:pStyle w:val="654"/>
        <w:ind w:left="2160" w:hanging="420"/>
      </w:pPr>
    </w:lvl>
    <w:lvl w:ilvl="4">
      <w:start w:val="1"/>
      <w:numFmt w:val="lowerLetter"/>
      <w:isLgl w:val="false"/>
      <w:suff w:val="tab"/>
      <w:lvlText w:val="%5)"/>
      <w:lvlJc w:val="left"/>
      <w:pPr>
        <w:pStyle w:val="654"/>
        <w:ind w:left="2580" w:hanging="420"/>
      </w:pPr>
    </w:lvl>
    <w:lvl w:ilvl="5">
      <w:start w:val="1"/>
      <w:numFmt w:val="lowerRoman"/>
      <w:isLgl w:val="false"/>
      <w:suff w:val="tab"/>
      <w:lvlText w:val="%6."/>
      <w:lvlJc w:val="right"/>
      <w:pPr>
        <w:pStyle w:val="654"/>
        <w:ind w:left="3000" w:hanging="420"/>
      </w:pPr>
    </w:lvl>
    <w:lvl w:ilvl="6">
      <w:start w:val="1"/>
      <w:numFmt w:val="decimal"/>
      <w:isLgl w:val="false"/>
      <w:suff w:val="tab"/>
      <w:lvlText w:val="%7."/>
      <w:lvlJc w:val="left"/>
      <w:pPr>
        <w:pStyle w:val="654"/>
        <w:ind w:left="3420" w:hanging="420"/>
      </w:pPr>
    </w:lvl>
    <w:lvl w:ilvl="7">
      <w:start w:val="1"/>
      <w:numFmt w:val="lowerLetter"/>
      <w:isLgl w:val="false"/>
      <w:suff w:val="tab"/>
      <w:lvlText w:val="%8)"/>
      <w:lvlJc w:val="left"/>
      <w:pPr>
        <w:pStyle w:val="654"/>
        <w:ind w:left="3840" w:hanging="420"/>
      </w:pPr>
    </w:lvl>
    <w:lvl w:ilvl="8">
      <w:start w:val="1"/>
      <w:numFmt w:val="lowerRoman"/>
      <w:isLgl w:val="false"/>
      <w:suff w:val="tab"/>
      <w:lvlText w:val="%9."/>
      <w:lvlJc w:val="right"/>
      <w:pPr>
        <w:pStyle w:val="654"/>
        <w:ind w:left="4260" w:hanging="420"/>
      </w:pPr>
    </w:lvl>
  </w:abstractNum>
  <w:abstractNum w:abstractNumId="1">
    <w:multiLevelType w:val="hybridMultilevel"/>
    <w:lvl w:ilvl="0">
      <w:start w:val="1"/>
      <w:numFmt w:val="bullet"/>
      <w:pStyle w:val="786"/>
      <w:isLgl w:val="false"/>
      <w:suff w:val="tab"/>
      <w:lvlText w:val="−"/>
      <w:lvlJc w:val="left"/>
      <w:pPr>
        <w:pStyle w:val="654"/>
        <w:ind w:left="2410" w:hanging="284"/>
        <w:tabs>
          <w:tab w:val="num" w:pos="2409" w:leader="none"/>
        </w:tabs>
      </w:pPr>
      <w:rPr>
        <w:rFonts w:ascii="Times New Roman" w:hAnsi="Times New Roman" w:cs="Times New Roman"/>
        <w:sz w:val="16"/>
        <w:szCs w:val="16"/>
      </w:rPr>
    </w:lvl>
    <w:lvl w:ilvl="1">
      <w:start w:val="1"/>
      <w:numFmt w:val="bullet"/>
      <w:isLgl w:val="false"/>
      <w:suff w:val="tab"/>
      <w:lvlText w:val=""/>
      <w:lvlJc w:val="left"/>
      <w:pPr>
        <w:pStyle w:val="654"/>
        <w:ind w:left="840" w:hanging="420"/>
        <w:tabs>
          <w:tab w:val="num" w:pos="840" w:leader="none"/>
        </w:tabs>
      </w:pPr>
      <w:rPr>
        <w:rFonts w:ascii="Wingdings" w:hAnsi="Wingdings" w:cs="Wingdings"/>
      </w:rPr>
    </w:lvl>
    <w:lvl w:ilvl="2">
      <w:start w:val="1"/>
      <w:numFmt w:val="bullet"/>
      <w:isLgl w:val="false"/>
      <w:suff w:val="tab"/>
      <w:lvlText w:val=""/>
      <w:lvlJc w:val="left"/>
      <w:pPr>
        <w:pStyle w:val="654"/>
        <w:ind w:left="1260" w:hanging="420"/>
        <w:tabs>
          <w:tab w:val="num" w:pos="1260" w:leader="none"/>
        </w:tabs>
      </w:pPr>
      <w:rPr>
        <w:rFonts w:ascii="Wingdings" w:hAnsi="Wingdings" w:cs="Wingdings"/>
      </w:rPr>
    </w:lvl>
    <w:lvl w:ilvl="3">
      <w:start w:val="1"/>
      <w:numFmt w:val="bullet"/>
      <w:isLgl w:val="false"/>
      <w:suff w:val="tab"/>
      <w:lvlText w:val=""/>
      <w:lvlJc w:val="left"/>
      <w:pPr>
        <w:pStyle w:val="654"/>
        <w:ind w:left="1680" w:hanging="420"/>
        <w:tabs>
          <w:tab w:val="num" w:pos="1680" w:leader="none"/>
        </w:tabs>
      </w:pPr>
      <w:rPr>
        <w:rFonts w:ascii="Wingdings" w:hAnsi="Wingdings" w:cs="Wingdings"/>
      </w:rPr>
    </w:lvl>
    <w:lvl w:ilvl="4">
      <w:start w:val="1"/>
      <w:numFmt w:val="bullet"/>
      <w:isLgl w:val="false"/>
      <w:suff w:val="tab"/>
      <w:lvlText w:val=""/>
      <w:lvlJc w:val="left"/>
      <w:pPr>
        <w:pStyle w:val="654"/>
        <w:ind w:left="2100" w:hanging="420"/>
        <w:tabs>
          <w:tab w:val="num" w:pos="2100" w:leader="none"/>
        </w:tabs>
      </w:pPr>
      <w:rPr>
        <w:rFonts w:ascii="Wingdings" w:hAnsi="Wingdings" w:cs="Wingdings"/>
      </w:rPr>
    </w:lvl>
    <w:lvl w:ilvl="5">
      <w:start w:val="1"/>
      <w:numFmt w:val="bullet"/>
      <w:isLgl w:val="false"/>
      <w:suff w:val="tab"/>
      <w:lvlText w:val=""/>
      <w:lvlJc w:val="left"/>
      <w:pPr>
        <w:pStyle w:val="654"/>
        <w:ind w:left="2520" w:hanging="420"/>
        <w:tabs>
          <w:tab w:val="num" w:pos="2520" w:leader="none"/>
        </w:tabs>
      </w:pPr>
      <w:rPr>
        <w:rFonts w:ascii="Wingdings" w:hAnsi="Wingdings" w:cs="Wingdings"/>
      </w:rPr>
    </w:lvl>
    <w:lvl w:ilvl="6">
      <w:start w:val="1"/>
      <w:numFmt w:val="bullet"/>
      <w:isLgl w:val="false"/>
      <w:suff w:val="tab"/>
      <w:lvlText w:val=""/>
      <w:lvlJc w:val="left"/>
      <w:pPr>
        <w:pStyle w:val="654"/>
        <w:ind w:left="2940" w:hanging="420"/>
        <w:tabs>
          <w:tab w:val="num" w:pos="2940" w:leader="none"/>
        </w:tabs>
      </w:pPr>
      <w:rPr>
        <w:rFonts w:ascii="Wingdings" w:hAnsi="Wingdings" w:cs="Wingdings"/>
      </w:rPr>
    </w:lvl>
    <w:lvl w:ilvl="7">
      <w:start w:val="1"/>
      <w:numFmt w:val="bullet"/>
      <w:isLgl w:val="false"/>
      <w:suff w:val="tab"/>
      <w:lvlText w:val=""/>
      <w:lvlJc w:val="left"/>
      <w:pPr>
        <w:pStyle w:val="654"/>
        <w:ind w:left="3360" w:hanging="420"/>
        <w:tabs>
          <w:tab w:val="num" w:pos="3360" w:leader="none"/>
        </w:tabs>
      </w:pPr>
      <w:rPr>
        <w:rFonts w:ascii="Wingdings" w:hAnsi="Wingdings" w:cs="Wingdings"/>
      </w:rPr>
    </w:lvl>
    <w:lvl w:ilvl="8">
      <w:start w:val="1"/>
      <w:numFmt w:val="bullet"/>
      <w:isLgl w:val="false"/>
      <w:suff w:val="tab"/>
      <w:lvlText w:val=""/>
      <w:lvlJc w:val="left"/>
      <w:pPr>
        <w:pStyle w:val="654"/>
        <w:ind w:left="3780" w:hanging="420"/>
        <w:tabs>
          <w:tab w:val="num" w:pos="3780" w:leader="none"/>
        </w:tabs>
      </w:pPr>
      <w:rPr>
        <w:rFonts w:ascii="Wingdings" w:hAnsi="Wingdings" w:cs="Wingdings"/>
      </w:rPr>
    </w:lvl>
  </w:abstractNum>
  <w:abstractNum w:abstractNumId="2">
    <w:multiLevelType w:val="hybridMultilevel"/>
    <w:lvl w:ilvl="0">
      <w:start w:val="1"/>
      <w:numFmt w:val="decimal"/>
      <w:isLgl w:val="false"/>
      <w:suff w:val="tab"/>
      <w:lvlText w:val="%1"/>
      <w:lvlJc w:val="left"/>
      <w:pPr>
        <w:pStyle w:val="654"/>
        <w:ind w:left="0" w:firstLine="0"/>
      </w:pPr>
    </w:lvl>
    <w:lvl w:ilvl="1">
      <w:start w:val="1"/>
      <w:numFmt w:val="decimal"/>
      <w:isLgl w:val="false"/>
      <w:suff w:val="tab"/>
      <w:lvlText w:val="%1.%2"/>
      <w:lvlJc w:val="left"/>
      <w:pPr>
        <w:pStyle w:val="654"/>
        <w:ind w:left="0" w:firstLine="0"/>
      </w:pPr>
    </w:lvl>
    <w:lvl w:ilvl="2">
      <w:start w:val="1"/>
      <w:numFmt w:val="decimal"/>
      <w:pStyle w:val="774"/>
      <w:isLgl w:val="false"/>
      <w:suff w:val="tab"/>
      <w:lvlText w:val="%1.%2.%3"/>
      <w:lvlJc w:val="left"/>
      <w:pPr>
        <w:pStyle w:val="654"/>
        <w:ind w:left="0" w:firstLine="0"/>
      </w:pPr>
    </w:lvl>
    <w:lvl w:ilvl="3">
      <w:start w:val="1"/>
      <w:numFmt w:val="decimal"/>
      <w:isLgl w:val="false"/>
      <w:suff w:val="tab"/>
      <w:lvlText w:val="%1.%2.%3.%4"/>
      <w:lvlJc w:val="left"/>
      <w:pPr>
        <w:pStyle w:val="654"/>
        <w:ind w:left="0" w:firstLine="0"/>
      </w:pPr>
    </w:lvl>
    <w:lvl w:ilvl="4">
      <w:start w:val="1"/>
      <w:numFmt w:val="decimal"/>
      <w:isLgl w:val="false"/>
      <w:suff w:val="tab"/>
      <w:lvlText w:val="%1.%2.%3.%4.%5"/>
      <w:lvlJc w:val="left"/>
      <w:pPr>
        <w:pStyle w:val="654"/>
        <w:ind w:left="0" w:firstLine="0"/>
      </w:pPr>
    </w:lvl>
    <w:lvl w:ilvl="5">
      <w:start w:val="1"/>
      <w:numFmt w:val="decimal"/>
      <w:isLgl w:val="false"/>
      <w:suff w:val="tab"/>
      <w:lvlText w:val="%1.%2.%3.%4.%5.%6"/>
      <w:lvlJc w:val="left"/>
      <w:pPr>
        <w:pStyle w:val="654"/>
        <w:ind w:left="0" w:firstLine="0"/>
      </w:pPr>
    </w:lvl>
    <w:lvl w:ilvl="6">
      <w:start w:val="1"/>
      <w:numFmt w:val="decimal"/>
      <w:isLgl w:val="false"/>
      <w:suff w:val="tab"/>
      <w:lvlText w:val="%1.%2.%3.%4.%5.%6.%7"/>
      <w:lvlJc w:val="left"/>
      <w:pPr>
        <w:pStyle w:val="654"/>
        <w:ind w:left="0" w:firstLine="0"/>
      </w:pPr>
    </w:lvl>
    <w:lvl w:ilvl="7">
      <w:start w:val="1"/>
      <w:numFmt w:val="decimal"/>
      <w:isLgl w:val="false"/>
      <w:suff w:val="tab"/>
      <w:lvlText w:val="%1.%2.%3.%4.%5.%6.%7.%8"/>
      <w:lvlJc w:val="left"/>
      <w:pPr>
        <w:pStyle w:val="654"/>
        <w:ind w:left="0" w:firstLine="0"/>
      </w:pPr>
    </w:lvl>
    <w:lvl w:ilvl="8">
      <w:start w:val="1"/>
      <w:numFmt w:val="decimal"/>
      <w:isLgl w:val="false"/>
      <w:suff w:val="tab"/>
      <w:lvlText w:val="%1.%2.%3.%4.%5.%6.%7.%8.%9"/>
      <w:lvlJc w:val="left"/>
      <w:pPr>
        <w:pStyle w:val="654"/>
        <w:ind w:left="0" w:firstLine="0"/>
      </w:pPr>
    </w:lvl>
  </w:abstractNum>
  <w:abstractNum w:abstractNumId="3">
    <w:multiLevelType w:val="hybridMultilevel"/>
    <w:lvl w:ilvl="0">
      <w:start w:val="1"/>
      <w:numFmt w:val="decimal"/>
      <w:isLgl w:val="false"/>
      <w:suff w:val="tab"/>
      <w:lvlText w:val="%1."/>
      <w:lvlJc w:val="left"/>
      <w:pPr>
        <w:pStyle w:val="65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4"/>
    <w:next w:val="6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next w:val="656"/>
    <w:link w:val="654"/>
    <w:qFormat/>
    <w:pPr>
      <w:jc w:val="both"/>
      <w:widowControl w:val="off"/>
    </w:pPr>
    <w:rPr>
      <w:sz w:val="21"/>
      <w:szCs w:val="24"/>
      <w:lang w:val="en-US" w:eastAsia="zh-CN" w:bidi="ar-SA"/>
    </w:rPr>
  </w:style>
  <w:style w:type="paragraph" w:styleId="655">
    <w:name w:val="标题 1"/>
    <w:basedOn w:val="654"/>
    <w:next w:val="654"/>
    <w:link w:val="669"/>
    <w:uiPriority w:val="9"/>
    <w:qFormat/>
    <w:pPr>
      <w:keepLines/>
      <w:keepNext/>
      <w:spacing w:before="340" w:after="330" w:line="576" w:lineRule="auto"/>
      <w:outlineLvl w:val="0"/>
    </w:pPr>
    <w:rPr>
      <w:rFonts w:eastAsia="楷体_GB2312"/>
      <w:b/>
      <w:sz w:val="44"/>
      <w:szCs w:val="20"/>
    </w:rPr>
  </w:style>
  <w:style w:type="paragraph" w:styleId="656">
    <w:name w:val="标题 2"/>
    <w:basedOn w:val="654"/>
    <w:next w:val="654"/>
    <w:link w:val="666"/>
    <w:uiPriority w:val="9"/>
    <w:qFormat/>
    <w:pPr>
      <w:keepLines/>
      <w:keepNext/>
      <w:spacing w:before="260" w:after="260" w:line="416" w:lineRule="auto"/>
      <w:outlineLvl w:val="1"/>
    </w:pPr>
    <w:rPr>
      <w:rFonts w:ascii="Arial" w:hAnsi="Arial" w:eastAsia="黑体"/>
      <w:b/>
      <w:bCs/>
      <w:sz w:val="32"/>
      <w:szCs w:val="32"/>
    </w:rPr>
  </w:style>
  <w:style w:type="paragraph" w:styleId="657">
    <w:name w:val="标题 3"/>
    <w:basedOn w:val="654"/>
    <w:next w:val="654"/>
    <w:link w:val="670"/>
    <w:qFormat/>
    <w:pPr>
      <w:keepLines/>
      <w:keepNext/>
      <w:spacing w:before="260" w:after="260" w:line="416" w:lineRule="auto"/>
      <w:outlineLvl w:val="2"/>
    </w:pPr>
    <w:rPr>
      <w:b/>
      <w:bCs/>
      <w:sz w:val="32"/>
      <w:szCs w:val="32"/>
    </w:rPr>
  </w:style>
  <w:style w:type="paragraph" w:styleId="658">
    <w:name w:val="标题 4"/>
    <w:basedOn w:val="654"/>
    <w:next w:val="654"/>
    <w:link w:val="671"/>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659">
    <w:name w:val="标题 5"/>
    <w:basedOn w:val="654"/>
    <w:next w:val="654"/>
    <w:link w:val="672"/>
    <w:uiPriority w:val="9"/>
    <w:qFormat/>
    <w:pPr>
      <w:keepLines/>
      <w:keepNext/>
      <w:spacing w:before="280" w:after="290" w:line="376" w:lineRule="auto"/>
      <w:outlineLvl w:val="4"/>
    </w:pPr>
    <w:rPr>
      <w:b/>
      <w:bCs/>
      <w:sz w:val="28"/>
      <w:szCs w:val="28"/>
    </w:rPr>
  </w:style>
  <w:style w:type="paragraph" w:styleId="660">
    <w:name w:val="标题 6"/>
    <w:basedOn w:val="654"/>
    <w:next w:val="654"/>
    <w:link w:val="673"/>
    <w:uiPriority w:val="9"/>
    <w:qFormat/>
    <w:pPr>
      <w:keepLines/>
      <w:keepNext/>
      <w:spacing w:before="240" w:after="64" w:line="320" w:lineRule="auto"/>
      <w:outlineLvl w:val="5"/>
    </w:pPr>
    <w:rPr>
      <w:rFonts w:ascii="Cambria" w:hAnsi="Cambria"/>
      <w:b/>
      <w:bCs/>
      <w:sz w:val="24"/>
    </w:rPr>
  </w:style>
  <w:style w:type="paragraph" w:styleId="661">
    <w:name w:val="标题 7"/>
    <w:basedOn w:val="654"/>
    <w:next w:val="654"/>
    <w:link w:val="674"/>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662">
    <w:name w:val="标题 8"/>
    <w:basedOn w:val="654"/>
    <w:next w:val="654"/>
    <w:link w:val="675"/>
    <w:qFormat/>
    <w:pPr>
      <w:ind w:left="1440" w:hanging="1440"/>
      <w:spacing w:before="320" w:after="100"/>
      <w:outlineLvl w:val="7"/>
    </w:pPr>
    <w:rPr>
      <w:rFonts w:ascii="微软雅黑" w:hAnsi="微软雅黑" w:eastAsia="微软雅黑"/>
      <w:b/>
      <w:bCs/>
      <w:iCs/>
      <w:color w:val="000000"/>
      <w:sz w:val="20"/>
      <w:szCs w:val="20"/>
    </w:rPr>
  </w:style>
  <w:style w:type="paragraph" w:styleId="663">
    <w:name w:val="标题 9"/>
    <w:basedOn w:val="654"/>
    <w:next w:val="654"/>
    <w:link w:val="676"/>
    <w:qFormat/>
    <w:pPr>
      <w:ind w:left="1584" w:hanging="1584"/>
      <w:keepLines/>
      <w:keepNext/>
      <w:spacing w:before="240" w:after="64" w:line="320" w:lineRule="auto"/>
      <w:outlineLvl w:val="8"/>
    </w:pPr>
    <w:rPr>
      <w:rFonts w:ascii="Cambria" w:hAnsi="Cambria"/>
      <w:szCs w:val="21"/>
    </w:rPr>
  </w:style>
  <w:style w:type="character" w:styleId="664">
    <w:name w:val="默认段落字体"/>
    <w:next w:val="664"/>
    <w:link w:val="654"/>
    <w:uiPriority w:val="1"/>
    <w:unhideWhenUsed/>
  </w:style>
  <w:style w:type="table" w:styleId="665">
    <w:name w:val="普通表格"/>
    <w:next w:val="665"/>
    <w:link w:val="654"/>
    <w:uiPriority w:val="99"/>
    <w:unhideWhenUsed/>
    <w:tblPr/>
  </w:style>
  <w:style w:type="character" w:styleId="666">
    <w:name w:val="标题 2 字符"/>
    <w:next w:val="666"/>
    <w:link w:val="656"/>
    <w:uiPriority w:val="9"/>
    <w:qFormat/>
    <w:rPr>
      <w:rFonts w:ascii="Arial" w:hAnsi="Arial" w:eastAsia="黑体"/>
      <w:b/>
      <w:bCs/>
      <w:sz w:val="32"/>
      <w:szCs w:val="32"/>
    </w:rPr>
  </w:style>
  <w:style w:type="paragraph" w:styleId="667">
    <w:name w:val="宏文本"/>
    <w:next w:val="667"/>
    <w:link w:val="668"/>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668">
    <w:name w:val="宏文本 字符"/>
    <w:next w:val="668"/>
    <w:link w:val="667"/>
    <w:qFormat/>
    <w:rPr>
      <w:rFonts w:ascii="Courier New" w:hAnsi="Courier New"/>
      <w:sz w:val="24"/>
      <w:szCs w:val="24"/>
      <w:lang w:val="en-US" w:eastAsia="zh-CN" w:bidi="ar-SA"/>
    </w:rPr>
  </w:style>
  <w:style w:type="character" w:styleId="669">
    <w:name w:val="标题 1 字符"/>
    <w:next w:val="669"/>
    <w:link w:val="655"/>
    <w:uiPriority w:val="9"/>
    <w:qFormat/>
    <w:rPr>
      <w:rFonts w:eastAsia="楷体_GB2312"/>
      <w:b/>
      <w:sz w:val="44"/>
    </w:rPr>
  </w:style>
  <w:style w:type="character" w:styleId="670">
    <w:name w:val="标题 3 字符"/>
    <w:next w:val="670"/>
    <w:link w:val="657"/>
    <w:rPr>
      <w:b/>
      <w:bCs/>
      <w:sz w:val="32"/>
      <w:szCs w:val="32"/>
    </w:rPr>
  </w:style>
  <w:style w:type="character" w:styleId="671">
    <w:name w:val="标题 4 字符"/>
    <w:next w:val="671"/>
    <w:link w:val="658"/>
    <w:uiPriority w:val="9"/>
    <w:qFormat/>
    <w:rPr>
      <w:rFonts w:ascii="微软雅黑" w:hAnsi="微软雅黑" w:eastAsia="微软雅黑" w:cs="Times New Roman"/>
      <w:b/>
      <w:bCs/>
      <w:sz w:val="30"/>
      <w:szCs w:val="30"/>
    </w:rPr>
  </w:style>
  <w:style w:type="character" w:styleId="672">
    <w:name w:val="标题 5 字符"/>
    <w:next w:val="672"/>
    <w:link w:val="659"/>
    <w:uiPriority w:val="9"/>
    <w:qFormat/>
    <w:rPr>
      <w:b/>
      <w:bCs/>
      <w:sz w:val="28"/>
      <w:szCs w:val="28"/>
    </w:rPr>
  </w:style>
  <w:style w:type="character" w:styleId="673">
    <w:name w:val="标题 6 字符"/>
    <w:next w:val="673"/>
    <w:link w:val="660"/>
    <w:uiPriority w:val="9"/>
    <w:qFormat/>
    <w:rPr>
      <w:rFonts w:ascii="Cambria" w:hAnsi="Cambria" w:eastAsia="宋体" w:cs="Times New Roman"/>
      <w:b/>
      <w:bCs/>
      <w:sz w:val="24"/>
      <w:szCs w:val="24"/>
    </w:rPr>
  </w:style>
  <w:style w:type="character" w:styleId="674">
    <w:name w:val="标题 7 字符"/>
    <w:next w:val="674"/>
    <w:link w:val="661"/>
    <w:qFormat/>
    <w:rPr>
      <w:rFonts w:ascii="微软雅黑" w:hAnsi="微软雅黑" w:eastAsia="微软雅黑" w:cs="Times New Roman"/>
      <w:b/>
      <w:bCs/>
      <w:color w:val="000000"/>
      <w:sz w:val="24"/>
      <w:szCs w:val="24"/>
      <w:lang w:val="zh-CN"/>
    </w:rPr>
  </w:style>
  <w:style w:type="character" w:styleId="675">
    <w:name w:val="标题 8 字符"/>
    <w:next w:val="675"/>
    <w:link w:val="662"/>
    <w:qFormat/>
    <w:rPr>
      <w:rFonts w:ascii="微软雅黑" w:hAnsi="微软雅黑" w:eastAsia="微软雅黑" w:cs="Times New Roman"/>
      <w:b/>
      <w:bCs/>
      <w:iCs/>
      <w:color w:val="000000"/>
    </w:rPr>
  </w:style>
  <w:style w:type="character" w:styleId="676">
    <w:name w:val="标题 9 字符"/>
    <w:next w:val="676"/>
    <w:link w:val="663"/>
    <w:qFormat/>
    <w:rPr>
      <w:rFonts w:ascii="Cambria" w:hAnsi="Cambria" w:eastAsia="宋体" w:cs="Times New Roman"/>
      <w:sz w:val="21"/>
      <w:szCs w:val="21"/>
    </w:rPr>
  </w:style>
  <w:style w:type="paragraph" w:styleId="677">
    <w:name w:val="目录 7"/>
    <w:basedOn w:val="654"/>
    <w:next w:val="654"/>
    <w:link w:val="654"/>
    <w:uiPriority w:val="39"/>
    <w:unhideWhenUsed/>
    <w:qFormat/>
    <w:pPr>
      <w:ind w:left="1680"/>
      <w:jc w:val="left"/>
    </w:pPr>
    <w:rPr>
      <w:rFonts w:ascii="Calibri" w:hAnsi="Calibri" w:eastAsia="仿宋" w:cs="Calibri"/>
      <w:sz w:val="18"/>
      <w:szCs w:val="18"/>
    </w:rPr>
  </w:style>
  <w:style w:type="paragraph" w:styleId="678">
    <w:name w:val="正文缩进"/>
    <w:basedOn w:val="654"/>
    <w:next w:val="678"/>
    <w:link w:val="679"/>
    <w:qFormat/>
    <w:pPr>
      <w:ind w:firstLine="420"/>
      <w:jc w:val="left"/>
    </w:pPr>
    <w:rPr>
      <w:rFonts w:eastAsia="楷体_GB2312"/>
      <w:sz w:val="24"/>
      <w:szCs w:val="20"/>
    </w:rPr>
  </w:style>
  <w:style w:type="character" w:styleId="679">
    <w:name w:val="正文缩进 字符"/>
    <w:next w:val="679"/>
    <w:link w:val="678"/>
    <w:uiPriority w:val="99"/>
    <w:qFormat/>
    <w:rPr>
      <w:rFonts w:eastAsia="楷体_GB2312"/>
      <w:sz w:val="24"/>
    </w:rPr>
  </w:style>
  <w:style w:type="paragraph" w:styleId="680">
    <w:name w:val="题注"/>
    <w:basedOn w:val="654"/>
    <w:next w:val="654"/>
    <w:link w:val="681"/>
    <w:uiPriority w:val="35"/>
    <w:qFormat/>
    <w:pPr>
      <w:jc w:val="center"/>
      <w:spacing w:line="360" w:lineRule="auto"/>
    </w:pPr>
    <w:rPr>
      <w:rFonts w:ascii="Cambria" w:hAnsi="Cambria" w:eastAsia="黑体"/>
      <w:sz w:val="20"/>
      <w:szCs w:val="20"/>
    </w:rPr>
  </w:style>
  <w:style w:type="character" w:styleId="681">
    <w:name w:val="题注 字符"/>
    <w:next w:val="681"/>
    <w:link w:val="680"/>
    <w:uiPriority w:val="35"/>
    <w:qFormat/>
    <w:rPr>
      <w:rFonts w:ascii="Cambria" w:hAnsi="Cambria" w:eastAsia="黑体" w:cs="Times New Roman"/>
    </w:rPr>
  </w:style>
  <w:style w:type="paragraph" w:styleId="682">
    <w:name w:val="文档结构图"/>
    <w:basedOn w:val="654"/>
    <w:next w:val="682"/>
    <w:link w:val="683"/>
    <w:uiPriority w:val="99"/>
    <w:semiHidden/>
    <w:pPr>
      <w:shd w:val="clear" w:color="auto" w:fill="000080"/>
    </w:pPr>
  </w:style>
  <w:style w:type="character" w:styleId="683">
    <w:name w:val="文档结构图 字符"/>
    <w:next w:val="683"/>
    <w:link w:val="682"/>
    <w:uiPriority w:val="99"/>
    <w:semiHidden/>
    <w:rPr>
      <w:sz w:val="21"/>
      <w:szCs w:val="24"/>
      <w:shd w:val="clear" w:color="auto" w:fill="000080"/>
    </w:rPr>
  </w:style>
  <w:style w:type="paragraph" w:styleId="684">
    <w:name w:val="批注文字"/>
    <w:basedOn w:val="654"/>
    <w:next w:val="684"/>
    <w:link w:val="685"/>
    <w:qFormat/>
    <w:pPr>
      <w:jc w:val="left"/>
    </w:pPr>
  </w:style>
  <w:style w:type="character" w:styleId="685">
    <w:name w:val="批注文字 字符"/>
    <w:next w:val="685"/>
    <w:link w:val="684"/>
    <w:rPr>
      <w:sz w:val="21"/>
      <w:szCs w:val="24"/>
    </w:rPr>
  </w:style>
  <w:style w:type="paragraph" w:styleId="686">
    <w:name w:val="正文文本"/>
    <w:basedOn w:val="654"/>
    <w:next w:val="686"/>
    <w:link w:val="654"/>
    <w:qFormat/>
    <w:pPr>
      <w:jc w:val="center"/>
    </w:pPr>
    <w:rPr>
      <w:rFonts w:ascii="方正大黑简体" w:eastAsia="方正大黑简体"/>
      <w:position w:val="6"/>
      <w:sz w:val="30"/>
      <w:szCs w:val="20"/>
    </w:rPr>
  </w:style>
  <w:style w:type="paragraph" w:styleId="687">
    <w:name w:val="正文文本缩进"/>
    <w:basedOn w:val="654"/>
    <w:next w:val="687"/>
    <w:link w:val="688"/>
    <w:qFormat/>
    <w:pPr>
      <w:ind w:left="570"/>
      <w:spacing w:line="520" w:lineRule="exact"/>
    </w:pPr>
    <w:rPr>
      <w:rFonts w:ascii="方正仿宋简体" w:hAnsi="创艺简仿宋" w:eastAsia="方正仿宋简体"/>
      <w:sz w:val="24"/>
      <w:szCs w:val="20"/>
    </w:rPr>
  </w:style>
  <w:style w:type="character" w:styleId="688">
    <w:name w:val="正文文本缩进 字符"/>
    <w:next w:val="688"/>
    <w:link w:val="687"/>
    <w:qFormat/>
    <w:rPr>
      <w:rFonts w:ascii="方正仿宋简体" w:hAnsi="创艺简仿宋" w:eastAsia="方正仿宋简体"/>
      <w:sz w:val="24"/>
    </w:rPr>
  </w:style>
  <w:style w:type="paragraph" w:styleId="689">
    <w:name w:val="目录 5"/>
    <w:basedOn w:val="654"/>
    <w:next w:val="654"/>
    <w:link w:val="654"/>
    <w:uiPriority w:val="39"/>
    <w:unhideWhenUsed/>
    <w:qFormat/>
    <w:pPr>
      <w:ind w:left="1120"/>
      <w:jc w:val="left"/>
    </w:pPr>
    <w:rPr>
      <w:rFonts w:ascii="Calibri" w:hAnsi="Calibri" w:eastAsia="仿宋" w:cs="Calibri"/>
      <w:sz w:val="18"/>
      <w:szCs w:val="18"/>
    </w:rPr>
  </w:style>
  <w:style w:type="paragraph" w:styleId="690">
    <w:name w:val="目录 3"/>
    <w:basedOn w:val="654"/>
    <w:next w:val="654"/>
    <w:link w:val="654"/>
    <w:uiPriority w:val="39"/>
    <w:unhideWhenUsed/>
    <w:qFormat/>
    <w:pPr>
      <w:ind w:left="560"/>
      <w:jc w:val="left"/>
    </w:pPr>
    <w:rPr>
      <w:rFonts w:ascii="Calibri" w:hAnsi="Calibri" w:eastAsia="仿宋" w:cs="Calibri"/>
      <w:i/>
      <w:iCs/>
      <w:sz w:val="20"/>
      <w:szCs w:val="20"/>
    </w:rPr>
  </w:style>
  <w:style w:type="paragraph" w:styleId="691">
    <w:name w:val="纯文本"/>
    <w:basedOn w:val="654"/>
    <w:next w:val="691"/>
    <w:link w:val="692"/>
    <w:uiPriority w:val="99"/>
    <w:qFormat/>
    <w:rPr>
      <w:rFonts w:ascii="宋体" w:hAnsi="Courier New" w:eastAsia="楷体_GB2312"/>
      <w:sz w:val="28"/>
      <w:szCs w:val="20"/>
    </w:rPr>
  </w:style>
  <w:style w:type="character" w:styleId="692">
    <w:name w:val="纯文本 字符"/>
    <w:next w:val="692"/>
    <w:link w:val="691"/>
    <w:uiPriority w:val="99"/>
    <w:qFormat/>
    <w:rPr>
      <w:rFonts w:ascii="宋体" w:hAnsi="Courier New" w:eastAsia="楷体_GB2312"/>
      <w:sz w:val="28"/>
    </w:rPr>
  </w:style>
  <w:style w:type="paragraph" w:styleId="693">
    <w:name w:val="目录 8"/>
    <w:basedOn w:val="654"/>
    <w:next w:val="654"/>
    <w:link w:val="654"/>
    <w:uiPriority w:val="39"/>
    <w:unhideWhenUsed/>
    <w:pPr>
      <w:ind w:left="1960"/>
      <w:jc w:val="left"/>
    </w:pPr>
    <w:rPr>
      <w:rFonts w:ascii="Calibri" w:hAnsi="Calibri" w:eastAsia="仿宋" w:cs="Calibri"/>
      <w:sz w:val="18"/>
      <w:szCs w:val="18"/>
    </w:rPr>
  </w:style>
  <w:style w:type="paragraph" w:styleId="694">
    <w:name w:val="日期"/>
    <w:basedOn w:val="654"/>
    <w:next w:val="654"/>
    <w:link w:val="695"/>
    <w:rPr>
      <w:rFonts w:ascii="宋体" w:hAnsi="宋体" w:eastAsia="楷体_GB2312"/>
      <w:sz w:val="24"/>
      <w:szCs w:val="20"/>
    </w:rPr>
  </w:style>
  <w:style w:type="character" w:styleId="695">
    <w:name w:val="日期 字符"/>
    <w:next w:val="695"/>
    <w:link w:val="694"/>
    <w:uiPriority w:val="99"/>
    <w:qFormat/>
    <w:rPr>
      <w:rFonts w:ascii="宋体" w:hAnsi="宋体" w:eastAsia="楷体_GB2312"/>
      <w:sz w:val="24"/>
    </w:rPr>
  </w:style>
  <w:style w:type="paragraph" w:styleId="696">
    <w:name w:val="正文文本缩进 2"/>
    <w:basedOn w:val="654"/>
    <w:next w:val="696"/>
    <w:link w:val="654"/>
    <w:qFormat/>
    <w:pPr>
      <w:ind w:firstLine="540"/>
      <w:spacing w:line="360" w:lineRule="auto"/>
    </w:pPr>
    <w:rPr>
      <w:rFonts w:ascii="宋体" w:hAnsi="宋体"/>
      <w:sz w:val="24"/>
    </w:rPr>
  </w:style>
  <w:style w:type="paragraph" w:styleId="697">
    <w:name w:val="批注框文本"/>
    <w:basedOn w:val="654"/>
    <w:next w:val="697"/>
    <w:link w:val="698"/>
    <w:uiPriority w:val="99"/>
    <w:rPr>
      <w:sz w:val="18"/>
      <w:szCs w:val="18"/>
    </w:rPr>
  </w:style>
  <w:style w:type="character" w:styleId="698">
    <w:name w:val="批注框文本 字符"/>
    <w:next w:val="698"/>
    <w:link w:val="697"/>
    <w:uiPriority w:val="99"/>
    <w:qFormat/>
    <w:rPr>
      <w:sz w:val="18"/>
      <w:szCs w:val="18"/>
    </w:rPr>
  </w:style>
  <w:style w:type="paragraph" w:styleId="699">
    <w:name w:val="页脚"/>
    <w:basedOn w:val="654"/>
    <w:next w:val="699"/>
    <w:link w:val="700"/>
    <w:uiPriority w:val="99"/>
    <w:pPr>
      <w:jc w:val="left"/>
      <w:tabs>
        <w:tab w:val="center" w:pos="4153" w:leader="none"/>
        <w:tab w:val="right" w:pos="8306" w:leader="none"/>
      </w:tabs>
    </w:pPr>
    <w:rPr>
      <w:sz w:val="18"/>
      <w:szCs w:val="18"/>
    </w:rPr>
  </w:style>
  <w:style w:type="character" w:styleId="700">
    <w:name w:val="页脚 字符"/>
    <w:next w:val="700"/>
    <w:link w:val="699"/>
    <w:uiPriority w:val="99"/>
    <w:qFormat/>
    <w:rPr>
      <w:sz w:val="18"/>
      <w:szCs w:val="18"/>
    </w:rPr>
  </w:style>
  <w:style w:type="paragraph" w:styleId="701">
    <w:name w:val="页眉"/>
    <w:basedOn w:val="654"/>
    <w:next w:val="701"/>
    <w:link w:val="702"/>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702">
    <w:name w:val="页眉 字符"/>
    <w:next w:val="702"/>
    <w:link w:val="701"/>
    <w:uiPriority w:val="99"/>
    <w:rPr>
      <w:rFonts w:eastAsia="楷体_GB2312"/>
      <w:sz w:val="18"/>
    </w:rPr>
  </w:style>
  <w:style w:type="paragraph" w:styleId="703">
    <w:name w:val="目录 1"/>
    <w:basedOn w:val="654"/>
    <w:next w:val="654"/>
    <w:link w:val="654"/>
    <w:uiPriority w:val="39"/>
  </w:style>
  <w:style w:type="paragraph" w:styleId="704">
    <w:name w:val="目录 4"/>
    <w:basedOn w:val="654"/>
    <w:next w:val="654"/>
    <w:link w:val="654"/>
    <w:uiPriority w:val="39"/>
    <w:unhideWhenUsed/>
    <w:pPr>
      <w:ind w:left="840"/>
      <w:jc w:val="left"/>
    </w:pPr>
    <w:rPr>
      <w:rFonts w:ascii="Calibri" w:hAnsi="Calibri" w:eastAsia="仿宋" w:cs="Calibri"/>
      <w:sz w:val="18"/>
      <w:szCs w:val="18"/>
    </w:rPr>
  </w:style>
  <w:style w:type="paragraph" w:styleId="705">
    <w:name w:val="脚注文本"/>
    <w:basedOn w:val="654"/>
    <w:next w:val="705"/>
    <w:link w:val="706"/>
    <w:uiPriority w:val="99"/>
    <w:unhideWhenUsed/>
    <w:qFormat/>
    <w:pPr>
      <w:jc w:val="left"/>
    </w:pPr>
    <w:rPr>
      <w:rFonts w:ascii="Calibri" w:hAnsi="Calibri"/>
      <w:sz w:val="18"/>
      <w:szCs w:val="18"/>
    </w:rPr>
  </w:style>
  <w:style w:type="character" w:styleId="706">
    <w:name w:val="脚注文本 字符"/>
    <w:next w:val="706"/>
    <w:link w:val="705"/>
    <w:uiPriority w:val="99"/>
    <w:rPr>
      <w:rFonts w:ascii="Calibri" w:hAnsi="Calibri" w:eastAsia="宋体" w:cs="Times New Roman"/>
      <w:sz w:val="18"/>
      <w:szCs w:val="18"/>
    </w:rPr>
  </w:style>
  <w:style w:type="paragraph" w:styleId="707">
    <w:name w:val="目录 6"/>
    <w:basedOn w:val="654"/>
    <w:next w:val="654"/>
    <w:link w:val="654"/>
    <w:uiPriority w:val="39"/>
    <w:unhideWhenUsed/>
    <w:qFormat/>
    <w:pPr>
      <w:ind w:left="1400"/>
      <w:jc w:val="left"/>
    </w:pPr>
    <w:rPr>
      <w:rFonts w:ascii="Calibri" w:hAnsi="Calibri" w:eastAsia="仿宋" w:cs="Calibri"/>
      <w:sz w:val="18"/>
      <w:szCs w:val="18"/>
    </w:rPr>
  </w:style>
  <w:style w:type="paragraph" w:styleId="708">
    <w:name w:val="正文文本缩进 3"/>
    <w:basedOn w:val="654"/>
    <w:next w:val="708"/>
    <w:link w:val="709"/>
    <w:qFormat/>
    <w:pPr>
      <w:ind w:left="420"/>
      <w:spacing w:after="120"/>
    </w:pPr>
    <w:rPr>
      <w:sz w:val="16"/>
      <w:szCs w:val="16"/>
    </w:rPr>
  </w:style>
  <w:style w:type="character" w:styleId="709">
    <w:name w:val="正文文本缩进 3 字符"/>
    <w:next w:val="709"/>
    <w:link w:val="708"/>
    <w:rPr>
      <w:sz w:val="16"/>
      <w:szCs w:val="16"/>
    </w:rPr>
  </w:style>
  <w:style w:type="paragraph" w:styleId="710">
    <w:name w:val="目录 2"/>
    <w:basedOn w:val="654"/>
    <w:next w:val="654"/>
    <w:link w:val="654"/>
    <w:uiPriority w:val="39"/>
    <w:qFormat/>
    <w:pPr>
      <w:ind w:left="420"/>
    </w:pPr>
  </w:style>
  <w:style w:type="paragraph" w:styleId="711">
    <w:name w:val="目录 9"/>
    <w:basedOn w:val="654"/>
    <w:next w:val="654"/>
    <w:link w:val="654"/>
    <w:uiPriority w:val="39"/>
    <w:unhideWhenUsed/>
    <w:qFormat/>
    <w:pPr>
      <w:ind w:left="2240"/>
      <w:jc w:val="left"/>
    </w:pPr>
    <w:rPr>
      <w:rFonts w:ascii="Calibri" w:hAnsi="Calibri" w:eastAsia="仿宋" w:cs="Calibri"/>
      <w:sz w:val="18"/>
      <w:szCs w:val="18"/>
    </w:rPr>
  </w:style>
  <w:style w:type="paragraph" w:styleId="712">
    <w:name w:val="普通(网站)"/>
    <w:basedOn w:val="654"/>
    <w:next w:val="712"/>
    <w:link w:val="654"/>
    <w:unhideWhenUsed/>
    <w:qFormat/>
    <w:pPr>
      <w:spacing w:before="100" w:beforeAutospacing="1" w:after="100" w:afterAutospacing="1"/>
    </w:pPr>
    <w:rPr>
      <w:rFonts w:ascii="宋体" w:hAnsi="宋体"/>
    </w:rPr>
  </w:style>
  <w:style w:type="paragraph" w:styleId="713">
    <w:name w:val="标题"/>
    <w:basedOn w:val="654"/>
    <w:next w:val="713"/>
    <w:link w:val="714"/>
    <w:qFormat/>
    <w:pPr>
      <w:jc w:val="center"/>
      <w:spacing w:before="240" w:after="60" w:line="360" w:lineRule="auto"/>
      <w:outlineLvl w:val="0"/>
    </w:pPr>
    <w:rPr>
      <w:rFonts w:ascii="宋体" w:hAnsi="宋体"/>
      <w:b/>
      <w:bCs/>
      <w:sz w:val="32"/>
      <w:szCs w:val="32"/>
    </w:rPr>
  </w:style>
  <w:style w:type="character" w:styleId="714">
    <w:name w:val="标题 字符"/>
    <w:next w:val="714"/>
    <w:link w:val="713"/>
    <w:qFormat/>
    <w:rPr>
      <w:rFonts w:ascii="宋体" w:hAnsi="宋体"/>
      <w:b/>
      <w:bCs/>
      <w:sz w:val="32"/>
      <w:szCs w:val="32"/>
    </w:rPr>
  </w:style>
  <w:style w:type="paragraph" w:styleId="715">
    <w:name w:val="批注主题"/>
    <w:basedOn w:val="684"/>
    <w:next w:val="684"/>
    <w:link w:val="716"/>
    <w:qFormat/>
    <w:rPr>
      <w:b/>
      <w:bCs/>
    </w:rPr>
  </w:style>
  <w:style w:type="character" w:styleId="716">
    <w:name w:val="批注主题 字符"/>
    <w:next w:val="716"/>
    <w:link w:val="715"/>
    <w:rPr>
      <w:b/>
      <w:bCs/>
      <w:sz w:val="21"/>
      <w:szCs w:val="24"/>
    </w:rPr>
  </w:style>
  <w:style w:type="paragraph" w:styleId="717">
    <w:name w:val="正文首行缩进 2"/>
    <w:basedOn w:val="687"/>
    <w:next w:val="717"/>
    <w:link w:val="718"/>
    <w:unhideWhenUsed/>
    <w:pPr>
      <w:ind w:left="420" w:firstLine="420"/>
      <w:spacing w:after="120" w:line="240" w:lineRule="auto"/>
    </w:pPr>
    <w:rPr>
      <w:rFonts w:ascii="Times New Roman" w:hAnsi="Times New Roman" w:eastAsia="宋体"/>
      <w:sz w:val="21"/>
      <w:szCs w:val="24"/>
    </w:rPr>
  </w:style>
  <w:style w:type="character" w:styleId="718">
    <w:name w:val="正文首行缩进 2 字符"/>
    <w:next w:val="718"/>
    <w:link w:val="717"/>
    <w:semiHidden/>
    <w:rPr>
      <w:rFonts w:ascii="方正仿宋简体" w:hAnsi="创艺简仿宋" w:eastAsia="方正仿宋简体"/>
      <w:sz w:val="21"/>
      <w:szCs w:val="24"/>
    </w:rPr>
  </w:style>
  <w:style w:type="table" w:styleId="719">
    <w:name w:val="网格型"/>
    <w:basedOn w:val="665"/>
    <w:next w:val="719"/>
    <w:link w:val="654"/>
    <w:qFormat/>
    <w:rPr>
      <w:rFonts w:ascii="Calibri" w:hAnsi="Calibri"/>
      <w:sz w:val="21"/>
      <w:szCs w:val="22"/>
    </w:rPr>
    <w:tblPr/>
  </w:style>
  <w:style w:type="character" w:styleId="720">
    <w:name w:val="要点"/>
    <w:next w:val="720"/>
    <w:link w:val="654"/>
    <w:uiPriority w:val="22"/>
    <w:qFormat/>
    <w:rPr>
      <w:b/>
      <w:bCs/>
    </w:rPr>
  </w:style>
  <w:style w:type="character" w:styleId="721">
    <w:name w:val="页码"/>
    <w:next w:val="721"/>
    <w:link w:val="654"/>
    <w:qFormat/>
  </w:style>
  <w:style w:type="character" w:styleId="722">
    <w:name w:val="超链接"/>
    <w:next w:val="722"/>
    <w:link w:val="654"/>
    <w:uiPriority w:val="99"/>
    <w:qFormat/>
    <w:rPr>
      <w:color w:val="0000ff"/>
      <w:u w:val="single"/>
    </w:rPr>
  </w:style>
  <w:style w:type="character" w:styleId="723">
    <w:name w:val="批注引用"/>
    <w:next w:val="723"/>
    <w:link w:val="654"/>
    <w:qFormat/>
    <w:rPr>
      <w:sz w:val="21"/>
      <w:szCs w:val="21"/>
    </w:rPr>
  </w:style>
  <w:style w:type="character" w:styleId="724">
    <w:name w:val="脚注引用"/>
    <w:next w:val="724"/>
    <w:link w:val="654"/>
    <w:uiPriority w:val="99"/>
    <w:unhideWhenUsed/>
    <w:qFormat/>
    <w:rPr>
      <w:vertAlign w:val="superscript"/>
    </w:rPr>
  </w:style>
  <w:style w:type="character" w:styleId="725">
    <w:name w:val="HTML 样本"/>
    <w:next w:val="725"/>
    <w:link w:val="654"/>
    <w:qFormat/>
    <w:rPr>
      <w:rFonts w:ascii="Courier New" w:hAnsi="Courier New"/>
      <w:b/>
      <w:bCs/>
      <w:sz w:val="28"/>
      <w:szCs w:val="28"/>
    </w:rPr>
  </w:style>
  <w:style w:type="character" w:styleId="726">
    <w:name w:val="宏文本 Char1"/>
    <w:next w:val="726"/>
    <w:link w:val="654"/>
    <w:qFormat/>
    <w:rPr>
      <w:rFonts w:ascii="Courier New" w:hAnsi="Courier New" w:cs="Courier New"/>
      <w:sz w:val="24"/>
      <w:szCs w:val="24"/>
    </w:rPr>
  </w:style>
  <w:style w:type="character" w:styleId="727">
    <w:name w:val="font71"/>
    <w:next w:val="727"/>
    <w:link w:val="654"/>
    <w:qFormat/>
    <w:rPr>
      <w:rFonts w:hint="eastAsia" w:ascii="宋体" w:hAnsi="宋体" w:eastAsia="宋体" w:cs="宋体"/>
      <w:color w:val="000000"/>
      <w:sz w:val="21"/>
      <w:szCs w:val="21"/>
      <w:u w:val="none"/>
    </w:rPr>
  </w:style>
  <w:style w:type="character" w:styleId="728">
    <w:name w:val="_正文段落 Char"/>
    <w:next w:val="728"/>
    <w:link w:val="729"/>
    <w:qFormat/>
    <w:rPr>
      <w:rFonts w:ascii="宋体" w:hAnsi="宋体"/>
      <w:sz w:val="24"/>
      <w:szCs w:val="24"/>
    </w:rPr>
  </w:style>
  <w:style w:type="paragraph" w:styleId="729">
    <w:name w:val="_正文段落"/>
    <w:basedOn w:val="654"/>
    <w:next w:val="729"/>
    <w:link w:val="728"/>
    <w:qFormat/>
    <w:pPr>
      <w:ind w:firstLine="480"/>
      <w:spacing w:line="360" w:lineRule="auto"/>
    </w:pPr>
    <w:rPr>
      <w:rFonts w:ascii="宋体" w:hAnsi="宋体"/>
      <w:sz w:val="24"/>
    </w:rPr>
  </w:style>
  <w:style w:type="character" w:styleId="730">
    <w:name w:val="列出段落 字符"/>
    <w:next w:val="730"/>
    <w:link w:val="731"/>
    <w:uiPriority w:val="34"/>
    <w:qFormat/>
    <w:rPr>
      <w:rFonts w:ascii="Calibri" w:hAnsi="Calibri"/>
      <w:sz w:val="24"/>
      <w:szCs w:val="22"/>
    </w:rPr>
  </w:style>
  <w:style w:type="paragraph" w:styleId="731">
    <w:name w:val="列出段落"/>
    <w:basedOn w:val="654"/>
    <w:next w:val="731"/>
    <w:link w:val="730"/>
    <w:uiPriority w:val="34"/>
    <w:qFormat/>
    <w:pPr>
      <w:ind w:firstLine="420"/>
      <w:spacing w:line="360" w:lineRule="auto"/>
    </w:pPr>
    <w:rPr>
      <w:rFonts w:ascii="Calibri" w:hAnsi="Calibri"/>
      <w:sz w:val="24"/>
      <w:szCs w:val="22"/>
    </w:rPr>
  </w:style>
  <w:style w:type="character" w:styleId="732">
    <w:name w:val="Alt+X_首行空2 Char"/>
    <w:next w:val="732"/>
    <w:link w:val="733"/>
    <w:qFormat/>
    <w:rPr>
      <w:sz w:val="28"/>
      <w:szCs w:val="24"/>
    </w:rPr>
  </w:style>
  <w:style w:type="paragraph" w:styleId="733">
    <w:name w:val="Alt+X_首行空2"/>
    <w:basedOn w:val="654"/>
    <w:next w:val="733"/>
    <w:link w:val="732"/>
    <w:pPr>
      <w:ind w:firstLine="560"/>
      <w:spacing w:line="360" w:lineRule="auto"/>
    </w:pPr>
    <w:rPr>
      <w:sz w:val="28"/>
    </w:rPr>
  </w:style>
  <w:style w:type="character" w:styleId="734">
    <w:name w:val="吉奥表格正文 Char Char"/>
    <w:next w:val="734"/>
    <w:link w:val="735"/>
    <w:qFormat/>
    <w:rPr>
      <w:rFonts w:eastAsia="仿宋_GB2312"/>
    </w:rPr>
  </w:style>
  <w:style w:type="paragraph" w:styleId="735">
    <w:name w:val="吉奥表格正文"/>
    <w:basedOn w:val="654"/>
    <w:next w:val="735"/>
    <w:link w:val="734"/>
    <w:pPr>
      <w:spacing w:line="360" w:lineRule="atLeast"/>
    </w:pPr>
    <w:rPr>
      <w:rFonts w:eastAsia="仿宋_GB2312"/>
      <w:sz w:val="20"/>
      <w:szCs w:val="20"/>
    </w:rPr>
  </w:style>
  <w:style w:type="character" w:styleId="736">
    <w:name w:val="my正文 Char"/>
    <w:next w:val="736"/>
    <w:link w:val="737"/>
    <w:rPr>
      <w:sz w:val="24"/>
      <w:szCs w:val="24"/>
    </w:rPr>
  </w:style>
  <w:style w:type="paragraph" w:styleId="737">
    <w:name w:val="my正文"/>
    <w:basedOn w:val="654"/>
    <w:next w:val="737"/>
    <w:link w:val="736"/>
    <w:pPr>
      <w:ind w:firstLine="480"/>
      <w:spacing w:line="360" w:lineRule="auto"/>
    </w:pPr>
    <w:rPr>
      <w:sz w:val="24"/>
    </w:rPr>
  </w:style>
  <w:style w:type="character" w:styleId="738">
    <w:name w:val="p141"/>
    <w:next w:val="738"/>
    <w:link w:val="654"/>
    <w:qFormat/>
    <w:rPr>
      <w:sz w:val="21"/>
      <w:szCs w:val="21"/>
    </w:rPr>
  </w:style>
  <w:style w:type="character" w:styleId="739">
    <w:name w:val="Plain Text Char Char"/>
    <w:next w:val="739"/>
    <w:link w:val="740"/>
    <w:qFormat/>
    <w:rPr>
      <w:rFonts w:ascii="宋体" w:hAnsi="Courier New" w:eastAsia="楷体_GB2312"/>
      <w:sz w:val="28"/>
    </w:rPr>
  </w:style>
  <w:style w:type="paragraph" w:styleId="740">
    <w:name w:val="纯文本1"/>
    <w:basedOn w:val="654"/>
    <w:next w:val="740"/>
    <w:link w:val="739"/>
    <w:qFormat/>
    <w:rPr>
      <w:rFonts w:ascii="宋体" w:hAnsi="Courier New" w:eastAsia="楷体_GB2312"/>
      <w:sz w:val="28"/>
      <w:szCs w:val="20"/>
    </w:rPr>
  </w:style>
  <w:style w:type="character" w:styleId="741">
    <w:name w:val="Plain Text Char"/>
    <w:next w:val="741"/>
    <w:link w:val="742"/>
    <w:qFormat/>
    <w:rPr>
      <w:rFonts w:ascii="宋体" w:hAnsi="Courier New" w:eastAsia="楷体_GB2312"/>
      <w:sz w:val="28"/>
    </w:rPr>
  </w:style>
  <w:style w:type="paragraph" w:styleId="742">
    <w:name w:val="纯文本2"/>
    <w:basedOn w:val="654"/>
    <w:next w:val="742"/>
    <w:link w:val="741"/>
    <w:qFormat/>
    <w:rPr>
      <w:rFonts w:ascii="宋体" w:hAnsi="Courier New" w:eastAsia="楷体_GB2312"/>
      <w:sz w:val="28"/>
      <w:szCs w:val="20"/>
    </w:rPr>
  </w:style>
  <w:style w:type="character" w:styleId="743">
    <w:name w:val="强调标题 Char"/>
    <w:next w:val="743"/>
    <w:link w:val="744"/>
    <w:qFormat/>
    <w:rPr>
      <w:rFonts w:ascii="微软雅黑" w:hAnsi="微软雅黑" w:eastAsia="微软雅黑" w:cs="Times New Roman"/>
      <w:b/>
      <w:sz w:val="24"/>
      <w:szCs w:val="21"/>
    </w:rPr>
  </w:style>
  <w:style w:type="paragraph" w:styleId="744">
    <w:name w:val="强调标题"/>
    <w:basedOn w:val="654"/>
    <w:next w:val="654"/>
    <w:link w:val="743"/>
    <w:qFormat/>
    <w:pPr>
      <w:ind w:firstLine="480"/>
      <w:spacing w:line="360" w:lineRule="auto"/>
    </w:pPr>
    <w:rPr>
      <w:rFonts w:ascii="微软雅黑" w:hAnsi="微软雅黑" w:eastAsia="微软雅黑"/>
      <w:b/>
      <w:sz w:val="24"/>
      <w:szCs w:val="21"/>
    </w:rPr>
  </w:style>
  <w:style w:type="character" w:styleId="745">
    <w:name w:val="A正文小四 Char"/>
    <w:next w:val="745"/>
    <w:link w:val="746"/>
    <w:qFormat/>
    <w:rPr>
      <w:sz w:val="24"/>
      <w:szCs w:val="24"/>
    </w:rPr>
  </w:style>
  <w:style w:type="paragraph" w:styleId="746">
    <w:name w:val="A正文小四"/>
    <w:basedOn w:val="654"/>
    <w:next w:val="746"/>
    <w:link w:val="745"/>
    <w:qFormat/>
    <w:pPr>
      <w:ind w:firstLine="200"/>
      <w:spacing w:line="360" w:lineRule="auto"/>
    </w:pPr>
    <w:rPr>
      <w:sz w:val="24"/>
    </w:rPr>
  </w:style>
  <w:style w:type="character" w:styleId="747">
    <w:name w:val="标题 3 Char"/>
    <w:next w:val="747"/>
    <w:link w:val="654"/>
    <w:qFormat/>
    <w:rPr>
      <w:b/>
      <w:bCs/>
      <w:sz w:val="32"/>
      <w:szCs w:val="32"/>
    </w:rPr>
  </w:style>
  <w:style w:type="character" w:styleId="748">
    <w:name w:val="正文缩进2字符 Char"/>
    <w:next w:val="748"/>
    <w:link w:val="749"/>
    <w:qFormat/>
    <w:rPr>
      <w:sz w:val="24"/>
      <w:szCs w:val="24"/>
    </w:rPr>
  </w:style>
  <w:style w:type="paragraph" w:styleId="749">
    <w:name w:val="正文缩进2字符"/>
    <w:basedOn w:val="654"/>
    <w:next w:val="749"/>
    <w:link w:val="748"/>
    <w:qFormat/>
    <w:pPr>
      <w:ind w:firstLine="480"/>
      <w:spacing w:line="360" w:lineRule="auto"/>
    </w:pPr>
    <w:rPr>
      <w:sz w:val="24"/>
    </w:rPr>
  </w:style>
  <w:style w:type="character" w:styleId="750">
    <w:name w:val="font11"/>
    <w:next w:val="750"/>
    <w:link w:val="654"/>
    <w:qFormat/>
    <w:rPr>
      <w:rFonts w:hint="eastAsia" w:ascii="宋体" w:hAnsi="宋体" w:eastAsia="宋体" w:cs="宋体"/>
      <w:color w:val="000000"/>
      <w:sz w:val="21"/>
      <w:szCs w:val="21"/>
      <w:u w:val="none"/>
    </w:rPr>
  </w:style>
  <w:style w:type="paragraph" w:styleId="751">
    <w:name w:val="xl36"/>
    <w:basedOn w:val="654"/>
    <w:next w:val="751"/>
    <w:link w:val="654"/>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752">
    <w:name w:val="xl52"/>
    <w:basedOn w:val="654"/>
    <w:next w:val="752"/>
    <w:link w:val="654"/>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753">
    <w:name w:val="font0"/>
    <w:basedOn w:val="654"/>
    <w:next w:val="753"/>
    <w:link w:val="654"/>
    <w:pPr>
      <w:jc w:val="left"/>
      <w:spacing w:before="100" w:beforeAutospacing="1" w:after="100" w:afterAutospacing="1"/>
      <w:widowControl/>
    </w:pPr>
    <w:rPr>
      <w:rFonts w:hint="eastAsia" w:ascii="宋体" w:hAnsi="宋体"/>
      <w:sz w:val="24"/>
    </w:rPr>
  </w:style>
  <w:style w:type="paragraph" w:styleId="754">
    <w:name w:val="xl44"/>
    <w:basedOn w:val="654"/>
    <w:next w:val="754"/>
    <w:link w:val="654"/>
    <w:pPr>
      <w:jc w:val="left"/>
      <w:spacing w:before="100" w:beforeAutospacing="1" w:after="100" w:afterAutospacing="1"/>
      <w:widowControl/>
    </w:pPr>
    <w:rPr>
      <w:sz w:val="24"/>
    </w:rPr>
  </w:style>
  <w:style w:type="paragraph" w:styleId="755">
    <w:name w:val="Char"/>
    <w:basedOn w:val="654"/>
    <w:next w:val="755"/>
    <w:link w:val="654"/>
    <w:pPr>
      <w:ind w:left="495" w:hanging="495"/>
      <w:tabs>
        <w:tab w:val="left" w:pos="495" w:leader="none"/>
      </w:tabs>
    </w:pPr>
    <w:rPr>
      <w:sz w:val="24"/>
    </w:rPr>
  </w:style>
  <w:style w:type="paragraph" w:styleId="756">
    <w:name w:val="xl55"/>
    <w:basedOn w:val="654"/>
    <w:next w:val="756"/>
    <w:link w:val="654"/>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757">
    <w:name w:val="纯文本4"/>
    <w:basedOn w:val="654"/>
    <w:next w:val="757"/>
    <w:link w:val="654"/>
    <w:qFormat/>
    <w:rPr>
      <w:rFonts w:ascii="宋体" w:hAnsi="Courier New" w:eastAsia="楷体_GB2312"/>
      <w:sz w:val="28"/>
      <w:szCs w:val="20"/>
    </w:rPr>
  </w:style>
  <w:style w:type="paragraph" w:styleId="758">
    <w:name w:val="正文2"/>
    <w:basedOn w:val="654"/>
    <w:next w:val="758"/>
    <w:link w:val="654"/>
    <w:pPr>
      <w:ind w:firstLine="200"/>
      <w:jc w:val="left"/>
      <w:spacing w:after="160" w:line="360" w:lineRule="auto"/>
      <w:widowControl/>
    </w:pPr>
    <w:rPr>
      <w:szCs w:val="20"/>
    </w:rPr>
  </w:style>
  <w:style w:type="paragraph" w:styleId="759">
    <w:name w:val="列出段落3"/>
    <w:basedOn w:val="654"/>
    <w:next w:val="759"/>
    <w:link w:val="654"/>
    <w:uiPriority w:val="99"/>
    <w:unhideWhenUsed/>
    <w:qFormat/>
    <w:pPr>
      <w:ind w:firstLine="420"/>
    </w:pPr>
  </w:style>
  <w:style w:type="paragraph" w:styleId="760">
    <w:name w:val="p0"/>
    <w:basedOn w:val="654"/>
    <w:next w:val="760"/>
    <w:link w:val="654"/>
    <w:qFormat/>
    <w:pPr>
      <w:jc w:val="left"/>
      <w:spacing w:before="100" w:beforeAutospacing="1" w:after="100" w:afterAutospacing="1"/>
      <w:widowControl/>
    </w:pPr>
    <w:rPr>
      <w:rFonts w:ascii="宋体" w:hAnsi="宋体" w:cs="宋体"/>
      <w:sz w:val="24"/>
    </w:rPr>
  </w:style>
  <w:style w:type="paragraph" w:styleId="761">
    <w:name w:val="xl35"/>
    <w:basedOn w:val="654"/>
    <w:next w:val="761"/>
    <w:link w:val="65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762">
    <w:name w:val="xl39"/>
    <w:basedOn w:val="654"/>
    <w:next w:val="762"/>
    <w:link w:val="654"/>
    <w:pPr>
      <w:jc w:val="left"/>
      <w:spacing w:before="100" w:beforeAutospacing="1" w:after="100" w:afterAutospacing="1"/>
      <w:widowControl/>
      <w:pBdr>
        <w:bottom w:val="single" w:color="000000" w:sz="4" w:space="0"/>
      </w:pBdr>
    </w:pPr>
    <w:rPr>
      <w:rFonts w:ascii="宋体" w:hAnsi="宋体"/>
      <w:sz w:val="24"/>
    </w:rPr>
  </w:style>
  <w:style w:type="paragraph" w:styleId="763">
    <w:name w:val="xl42"/>
    <w:basedOn w:val="654"/>
    <w:next w:val="763"/>
    <w:link w:val="654"/>
    <w:pPr>
      <w:jc w:val="left"/>
      <w:spacing w:before="100" w:beforeAutospacing="1" w:after="100" w:afterAutospacing="1"/>
      <w:widowControl/>
      <w:pBdr>
        <w:top w:val="single" w:color="000000" w:sz="4" w:space="0"/>
      </w:pBdr>
    </w:pPr>
    <w:rPr>
      <w:sz w:val="24"/>
    </w:rPr>
  </w:style>
  <w:style w:type="paragraph" w:styleId="764">
    <w:name w:val="xl32"/>
    <w:basedOn w:val="654"/>
    <w:next w:val="764"/>
    <w:link w:val="654"/>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765">
    <w:name w:val="吉奥表头文字"/>
    <w:basedOn w:val="654"/>
    <w:next w:val="765"/>
    <w:link w:val="654"/>
    <w:pPr>
      <w:jc w:val="center"/>
      <w:spacing w:line="360" w:lineRule="atLeast"/>
    </w:pPr>
    <w:rPr>
      <w:rFonts w:eastAsia="仿宋_GB2312"/>
      <w:b/>
      <w:sz w:val="28"/>
      <w:szCs w:val="21"/>
    </w:rPr>
  </w:style>
  <w:style w:type="paragraph" w:styleId="766">
    <w:name w:val="xl38"/>
    <w:basedOn w:val="654"/>
    <w:next w:val="766"/>
    <w:link w:val="654"/>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767">
    <w:name w:val="xl29"/>
    <w:basedOn w:val="654"/>
    <w:next w:val="767"/>
    <w:link w:val="654"/>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768">
    <w:name w:val="xl25"/>
    <w:basedOn w:val="654"/>
    <w:next w:val="768"/>
    <w:link w:val="6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69">
    <w:name w:val="xl48"/>
    <w:basedOn w:val="654"/>
    <w:next w:val="769"/>
    <w:link w:val="65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770">
    <w:name w:val="xl51"/>
    <w:basedOn w:val="654"/>
    <w:next w:val="770"/>
    <w:link w:val="654"/>
    <w:pPr>
      <w:jc w:val="center"/>
      <w:spacing w:before="100" w:beforeAutospacing="1" w:after="100" w:afterAutospacing="1"/>
      <w:widowControl/>
      <w:pBdr>
        <w:left w:val="single" w:color="000000" w:sz="4" w:space="0"/>
        <w:right w:val="single" w:color="000000" w:sz="4" w:space="0"/>
      </w:pBdr>
    </w:pPr>
    <w:rPr>
      <w:sz w:val="28"/>
      <w:szCs w:val="28"/>
    </w:rPr>
  </w:style>
  <w:style w:type="paragraph" w:styleId="771">
    <w:name w:val="xl24"/>
    <w:basedOn w:val="654"/>
    <w:next w:val="771"/>
    <w:link w:val="6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772">
    <w:name w:val="标题 81"/>
    <w:basedOn w:val="654"/>
    <w:next w:val="654"/>
    <w:link w:val="654"/>
    <w:uiPriority w:val="9"/>
    <w:unhideWhenUsed/>
    <w:qFormat/>
    <w:pPr>
      <w:ind w:left="3780"/>
      <w:jc w:val="left"/>
      <w:keepLines/>
      <w:keepNext/>
      <w:spacing w:before="240" w:after="64" w:line="320" w:lineRule="auto"/>
      <w:outlineLvl w:val="7"/>
    </w:pPr>
    <w:rPr>
      <w:rFonts w:ascii="Calibri Light" w:hAnsi="Calibri Light"/>
      <w:sz w:val="24"/>
    </w:rPr>
  </w:style>
  <w:style w:type="paragraph" w:styleId="773">
    <w:name w:val="xl49"/>
    <w:basedOn w:val="654"/>
    <w:next w:val="773"/>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774">
    <w:name w:val="样式1"/>
    <w:basedOn w:val="657"/>
    <w:next w:val="774"/>
    <w:link w:val="654"/>
    <w:qFormat/>
    <w:pPr>
      <w:numPr>
        <w:ilvl w:val="2"/>
        <w:numId w:val="1"/>
      </w:numPr>
      <w:spacing w:before="0" w:after="0" w:line="720" w:lineRule="auto"/>
    </w:pPr>
    <w:rPr>
      <w:rFonts w:ascii="微软雅黑" w:hAnsi="微软雅黑" w:eastAsia="微软雅黑"/>
      <w:color w:val="000000"/>
      <w:sz w:val="28"/>
      <w:szCs w:val="28"/>
    </w:rPr>
  </w:style>
  <w:style w:type="paragraph" w:styleId="775">
    <w:name w:val="p15"/>
    <w:basedOn w:val="654"/>
    <w:next w:val="775"/>
    <w:link w:val="654"/>
    <w:pPr>
      <w:widowControl/>
    </w:pPr>
    <w:rPr>
      <w:rFonts w:ascii="宋体" w:hAnsi="宋体" w:cs="宋体"/>
      <w:sz w:val="28"/>
      <w:szCs w:val="28"/>
    </w:rPr>
  </w:style>
  <w:style w:type="paragraph" w:styleId="776">
    <w:name w:val="xl41"/>
    <w:basedOn w:val="654"/>
    <w:next w:val="776"/>
    <w:link w:val="654"/>
    <w:pPr>
      <w:jc w:val="left"/>
      <w:spacing w:before="100" w:beforeAutospacing="1" w:after="100" w:afterAutospacing="1"/>
      <w:widowControl/>
      <w:pBdr>
        <w:top w:val="single" w:color="000000" w:sz="4" w:space="0"/>
        <w:bottom w:val="single" w:color="000000" w:sz="4" w:space="0"/>
      </w:pBdr>
    </w:pPr>
    <w:rPr>
      <w:sz w:val="24"/>
    </w:rPr>
  </w:style>
  <w:style w:type="paragraph" w:styleId="777">
    <w:name w:val="列出段落1"/>
    <w:basedOn w:val="654"/>
    <w:next w:val="777"/>
    <w:link w:val="778"/>
    <w:uiPriority w:val="34"/>
    <w:qFormat/>
    <w:pPr>
      <w:ind w:firstLine="420"/>
      <w:spacing w:line="360" w:lineRule="auto"/>
    </w:pPr>
    <w:rPr>
      <w:sz w:val="24"/>
      <w:szCs w:val="22"/>
    </w:rPr>
  </w:style>
  <w:style w:type="character" w:styleId="778">
    <w:name w:val="列出段落 Char"/>
    <w:next w:val="778"/>
    <w:link w:val="777"/>
    <w:uiPriority w:val="34"/>
    <w:qFormat/>
    <w:rPr>
      <w:sz w:val="24"/>
      <w:szCs w:val="22"/>
    </w:rPr>
  </w:style>
  <w:style w:type="paragraph" w:styleId="779">
    <w:name w:val="font7"/>
    <w:basedOn w:val="654"/>
    <w:next w:val="779"/>
    <w:link w:val="654"/>
    <w:pPr>
      <w:jc w:val="left"/>
      <w:spacing w:before="100" w:beforeAutospacing="1" w:after="100" w:afterAutospacing="1"/>
      <w:widowControl/>
    </w:pPr>
    <w:rPr>
      <w:sz w:val="24"/>
    </w:rPr>
  </w:style>
  <w:style w:type="paragraph" w:styleId="780">
    <w:name w:val="xl53"/>
    <w:basedOn w:val="654"/>
    <w:next w:val="780"/>
    <w:link w:val="654"/>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781">
    <w:name w:val="Default"/>
    <w:next w:val="781"/>
    <w:link w:val="654"/>
    <w:pPr>
      <w:widowControl w:val="off"/>
    </w:pPr>
    <w:rPr>
      <w:rFonts w:ascii="Arial" w:hAnsi="Arial" w:cs="Arial"/>
      <w:color w:val="000000"/>
      <w:sz w:val="24"/>
      <w:szCs w:val="24"/>
      <w:lang w:val="en-US" w:eastAsia="zh-CN" w:bidi="ar-SA"/>
    </w:rPr>
  </w:style>
  <w:style w:type="paragraph" w:styleId="782">
    <w:name w:val="xl43"/>
    <w:basedOn w:val="654"/>
    <w:next w:val="782"/>
    <w:link w:val="654"/>
    <w:pPr>
      <w:jc w:val="center"/>
      <w:spacing w:before="100" w:beforeAutospacing="1" w:after="100" w:afterAutospacing="1"/>
      <w:widowControl/>
    </w:pPr>
    <w:rPr>
      <w:rFonts w:ascii="宋体" w:hAnsi="宋体"/>
      <w:b/>
      <w:bCs/>
      <w:sz w:val="32"/>
      <w:szCs w:val="32"/>
    </w:rPr>
  </w:style>
  <w:style w:type="paragraph" w:styleId="783">
    <w:name w:val="a"/>
    <w:basedOn w:val="654"/>
    <w:next w:val="783"/>
    <w:link w:val="654"/>
    <w:pPr>
      <w:jc w:val="left"/>
      <w:spacing w:before="100" w:beforeAutospacing="1" w:after="100" w:afterAutospacing="1"/>
      <w:widowControl/>
    </w:pPr>
    <w:rPr>
      <w:rFonts w:ascii="宋体" w:hAnsi="宋体" w:cs="宋体"/>
      <w:sz w:val="24"/>
    </w:rPr>
  </w:style>
  <w:style w:type="paragraph" w:styleId="784">
    <w:name w:val="_Style 12"/>
    <w:basedOn w:val="682"/>
    <w:next w:val="784"/>
    <w:link w:val="654"/>
    <w:pPr>
      <w:jc w:val="left"/>
      <w:spacing w:line="360" w:lineRule="auto"/>
      <w:widowControl/>
    </w:pPr>
    <w:rPr>
      <w:sz w:val="24"/>
    </w:rPr>
  </w:style>
  <w:style w:type="paragraph" w:styleId="785">
    <w:name w:val="xl45"/>
    <w:basedOn w:val="654"/>
    <w:next w:val="785"/>
    <w:link w:val="654"/>
    <w:pPr>
      <w:jc w:val="left"/>
      <w:spacing w:before="100" w:beforeAutospacing="1" w:after="100" w:afterAutospacing="1"/>
      <w:widowControl/>
    </w:pPr>
    <w:rPr>
      <w:rFonts w:hint="eastAsia" w:ascii="仿宋_GB2312" w:hAnsi="宋体" w:eastAsia="仿宋_GB2312"/>
      <w:sz w:val="24"/>
    </w:rPr>
  </w:style>
  <w:style w:type="paragraph" w:styleId="786">
    <w:name w:val="Sub Item List"/>
    <w:basedOn w:val="654"/>
    <w:next w:val="786"/>
    <w:link w:val="654"/>
    <w:qFormat/>
    <w:pPr>
      <w:numPr>
        <w:ilvl w:val="0"/>
        <w:numId w:val="2"/>
      </w:numPr>
      <w:jc w:val="left"/>
      <w:spacing w:before="80" w:after="80" w:line="240" w:lineRule="atLeast"/>
      <w:widowControl/>
      <w:tabs>
        <w:tab w:val="left" w:pos="2409" w:leader="none"/>
      </w:tabs>
    </w:pPr>
    <w:rPr>
      <w:rFonts w:cs="Arial"/>
      <w:szCs w:val="21"/>
    </w:rPr>
  </w:style>
  <w:style w:type="paragraph" w:styleId="787">
    <w:name w:val="font5"/>
    <w:basedOn w:val="654"/>
    <w:next w:val="787"/>
    <w:link w:val="654"/>
    <w:pPr>
      <w:jc w:val="left"/>
      <w:spacing w:before="100" w:beforeAutospacing="1" w:after="100" w:afterAutospacing="1"/>
      <w:widowControl/>
    </w:pPr>
    <w:rPr>
      <w:rFonts w:hint="eastAsia" w:ascii="宋体" w:hAnsi="宋体"/>
      <w:sz w:val="24"/>
    </w:rPr>
  </w:style>
  <w:style w:type="paragraph" w:styleId="788">
    <w:name w:val="列出段落2"/>
    <w:basedOn w:val="654"/>
    <w:next w:val="788"/>
    <w:link w:val="654"/>
    <w:uiPriority w:val="34"/>
    <w:qFormat/>
    <w:pPr>
      <w:ind w:firstLine="420"/>
    </w:pPr>
  </w:style>
  <w:style w:type="paragraph" w:styleId="789">
    <w:name w:val="font6"/>
    <w:basedOn w:val="654"/>
    <w:next w:val="789"/>
    <w:link w:val="654"/>
    <w:pPr>
      <w:jc w:val="left"/>
      <w:spacing w:before="100" w:beforeAutospacing="1" w:after="100" w:afterAutospacing="1"/>
      <w:widowControl/>
    </w:pPr>
    <w:rPr>
      <w:rFonts w:hint="eastAsia" w:ascii="宋体" w:hAnsi="宋体"/>
      <w:sz w:val="18"/>
      <w:szCs w:val="18"/>
    </w:rPr>
  </w:style>
  <w:style w:type="paragraph" w:styleId="790">
    <w:name w:val="Char Char Char"/>
    <w:basedOn w:val="654"/>
    <w:next w:val="790"/>
    <w:link w:val="654"/>
    <w:pPr>
      <w:ind w:left="495" w:hanging="495"/>
      <w:tabs>
        <w:tab w:val="left" w:pos="495" w:leader="none"/>
        <w:tab w:val="left" w:pos="1545" w:leader="none"/>
      </w:tabs>
    </w:pPr>
    <w:rPr>
      <w:rFonts w:ascii="宋体" w:hAnsi="宋体"/>
    </w:rPr>
  </w:style>
  <w:style w:type="paragraph" w:styleId="791">
    <w:name w:val="xl40"/>
    <w:basedOn w:val="654"/>
    <w:next w:val="791"/>
    <w:link w:val="654"/>
    <w:pPr>
      <w:jc w:val="left"/>
      <w:spacing w:before="100" w:beforeAutospacing="1" w:after="100" w:afterAutospacing="1"/>
      <w:widowControl/>
      <w:pBdr>
        <w:bottom w:val="single" w:color="000000" w:sz="4" w:space="0"/>
      </w:pBdr>
    </w:pPr>
    <w:rPr>
      <w:sz w:val="24"/>
    </w:rPr>
  </w:style>
  <w:style w:type="paragraph" w:styleId="792">
    <w:name w:val="Char Char1"/>
    <w:basedOn w:val="654"/>
    <w:next w:val="792"/>
    <w:link w:val="654"/>
    <w:pPr>
      <w:jc w:val="left"/>
      <w:spacing w:after="160" w:line="240" w:lineRule="exact"/>
      <w:widowControl/>
    </w:pPr>
    <w:rPr>
      <w:rFonts w:ascii="Verdana" w:hAnsi="Verdana"/>
      <w:sz w:val="20"/>
      <w:szCs w:val="20"/>
      <w:lang w:eastAsia="en-US"/>
    </w:rPr>
  </w:style>
  <w:style w:type="paragraph" w:styleId="793">
    <w:name w:val="xl47"/>
    <w:basedOn w:val="654"/>
    <w:next w:val="793"/>
    <w:link w:val="654"/>
    <w:pPr>
      <w:jc w:val="left"/>
      <w:spacing w:before="100" w:beforeAutospacing="1" w:after="100" w:afterAutospacing="1"/>
      <w:widowControl/>
    </w:pPr>
    <w:rPr>
      <w:rFonts w:hint="eastAsia" w:ascii="仿宋_GB2312" w:hAnsi="宋体" w:eastAsia="仿宋_GB2312"/>
      <w:sz w:val="22"/>
      <w:szCs w:val="22"/>
    </w:rPr>
  </w:style>
  <w:style w:type="paragraph" w:styleId="794">
    <w:name w:val="xl31"/>
    <w:basedOn w:val="654"/>
    <w:next w:val="794"/>
    <w:link w:val="654"/>
    <w:pPr>
      <w:jc w:val="left"/>
      <w:spacing w:before="100" w:beforeAutospacing="1" w:after="100" w:afterAutospacing="1"/>
      <w:widowControl/>
      <w:pBdr>
        <w:bottom w:val="single" w:color="000000" w:sz="4" w:space="0"/>
      </w:pBdr>
    </w:pPr>
    <w:rPr>
      <w:rFonts w:ascii="宋体" w:hAnsi="宋体"/>
      <w:sz w:val="24"/>
    </w:rPr>
  </w:style>
  <w:style w:type="paragraph" w:styleId="795">
    <w:name w:val="xl34"/>
    <w:basedOn w:val="654"/>
    <w:next w:val="795"/>
    <w:link w:val="6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96">
    <w:name w:val="xl27"/>
    <w:basedOn w:val="654"/>
    <w:next w:val="796"/>
    <w:link w:val="65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797">
    <w:name w:val="无间隔"/>
    <w:next w:val="797"/>
    <w:link w:val="654"/>
    <w:uiPriority w:val="1"/>
    <w:qFormat/>
    <w:pPr>
      <w:ind w:firstLine="480"/>
      <w:jc w:val="both"/>
      <w:widowControl w:val="off"/>
    </w:pPr>
    <w:rPr>
      <w:rFonts w:ascii="宋体" w:hAnsi="宋体"/>
      <w:sz w:val="24"/>
      <w:szCs w:val="24"/>
      <w:lang w:val="en-US" w:eastAsia="zh-CN" w:bidi="ar-SA"/>
    </w:rPr>
  </w:style>
  <w:style w:type="paragraph" w:styleId="798">
    <w:name w:val="标题 91"/>
    <w:basedOn w:val="654"/>
    <w:next w:val="654"/>
    <w:link w:val="654"/>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799">
    <w:name w:val="正文1"/>
    <w:basedOn w:val="654"/>
    <w:next w:val="799"/>
    <w:link w:val="654"/>
    <w:pPr>
      <w:ind w:firstLine="420"/>
      <w:spacing w:line="360" w:lineRule="auto"/>
      <w:tabs>
        <w:tab w:val="left" w:pos="420" w:leader="none"/>
      </w:tabs>
    </w:pPr>
    <w:rPr>
      <w:rFonts w:ascii="宋体" w:hAnsi="宋体"/>
    </w:rPr>
  </w:style>
  <w:style w:type="paragraph" w:styleId="800">
    <w:name w:val="xl50"/>
    <w:basedOn w:val="654"/>
    <w:next w:val="800"/>
    <w:link w:val="654"/>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801">
    <w:name w:val="xl37"/>
    <w:basedOn w:val="654"/>
    <w:next w:val="801"/>
    <w:link w:val="654"/>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02">
    <w:name w:val="xl33"/>
    <w:basedOn w:val="654"/>
    <w:next w:val="802"/>
    <w:link w:val="654"/>
    <w:pPr>
      <w:jc w:val="center"/>
      <w:spacing w:before="100" w:beforeAutospacing="1" w:after="100" w:afterAutospacing="1"/>
      <w:widowControl/>
    </w:pPr>
    <w:rPr>
      <w:sz w:val="24"/>
    </w:rPr>
  </w:style>
  <w:style w:type="paragraph" w:styleId="803">
    <w:name w:val="font8"/>
    <w:basedOn w:val="654"/>
    <w:next w:val="803"/>
    <w:link w:val="654"/>
    <w:pPr>
      <w:jc w:val="left"/>
      <w:spacing w:before="100" w:beforeAutospacing="1" w:after="100" w:afterAutospacing="1"/>
      <w:widowControl/>
    </w:pPr>
    <w:rPr>
      <w:rFonts w:hint="eastAsia" w:ascii="楷体_GB2312" w:hAnsi="宋体" w:eastAsia="楷体_GB2312"/>
      <w:color w:val="0000ff"/>
      <w:sz w:val="22"/>
      <w:szCs w:val="22"/>
    </w:rPr>
  </w:style>
  <w:style w:type="paragraph" w:styleId="804">
    <w:name w:val="xl46"/>
    <w:basedOn w:val="654"/>
    <w:next w:val="804"/>
    <w:link w:val="654"/>
    <w:pPr>
      <w:jc w:val="left"/>
      <w:spacing w:before="100" w:beforeAutospacing="1" w:after="100" w:afterAutospacing="1"/>
      <w:widowControl/>
    </w:pPr>
    <w:rPr>
      <w:rFonts w:hint="eastAsia" w:ascii="仿宋_GB2312" w:hAnsi="宋体" w:eastAsia="仿宋_GB2312"/>
      <w:sz w:val="24"/>
    </w:rPr>
  </w:style>
  <w:style w:type="paragraph" w:styleId="805">
    <w:name w:val="xl54"/>
    <w:basedOn w:val="654"/>
    <w:next w:val="805"/>
    <w:link w:val="654"/>
    <w:pPr>
      <w:jc w:val="center"/>
      <w:spacing w:before="100" w:beforeAutospacing="1" w:after="100" w:afterAutospacing="1"/>
      <w:widowControl/>
    </w:pPr>
    <w:rPr>
      <w:rFonts w:hint="eastAsia" w:ascii="隶书" w:hAnsi="宋体" w:eastAsia="隶书"/>
      <w:sz w:val="48"/>
      <w:szCs w:val="48"/>
    </w:rPr>
  </w:style>
  <w:style w:type="paragraph" w:styleId="806">
    <w:name w:val="xl28"/>
    <w:basedOn w:val="654"/>
    <w:next w:val="806"/>
    <w:link w:val="654"/>
    <w:pPr>
      <w:jc w:val="left"/>
      <w:spacing w:before="100" w:beforeAutospacing="1" w:after="100" w:afterAutospacing="1"/>
      <w:widowControl/>
    </w:pPr>
    <w:rPr>
      <w:sz w:val="24"/>
    </w:rPr>
  </w:style>
  <w:style w:type="paragraph" w:styleId="807">
    <w:name w:val="xl30"/>
    <w:basedOn w:val="654"/>
    <w:next w:val="807"/>
    <w:link w:val="654"/>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808">
    <w:name w:val="xl26"/>
    <w:basedOn w:val="654"/>
    <w:next w:val="808"/>
    <w:link w:val="6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09">
    <w:name w:val="TOC 标题1"/>
    <w:basedOn w:val="655"/>
    <w:next w:val="654"/>
    <w:link w:val="654"/>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810">
    <w:name w:val="日期 字符1"/>
    <w:next w:val="810"/>
    <w:link w:val="654"/>
    <w:uiPriority w:val="99"/>
    <w:rPr>
      <w:rFonts w:ascii="宋体" w:hAnsi="宋体" w:eastAsia="楷体_GB2312"/>
      <w:sz w:val="24"/>
    </w:rPr>
  </w:style>
  <w:style w:type="paragraph" w:styleId="811">
    <w:name w:val="目录 31"/>
    <w:basedOn w:val="654"/>
    <w:next w:val="654"/>
    <w:link w:val="654"/>
    <w:uiPriority w:val="39"/>
    <w:unhideWhenUsed/>
    <w:pPr>
      <w:ind w:left="560"/>
      <w:jc w:val="left"/>
    </w:pPr>
    <w:rPr>
      <w:rFonts w:ascii="Calibri" w:hAnsi="Calibri" w:eastAsia="仿宋" w:cs="Calibri"/>
      <w:i/>
      <w:iCs/>
      <w:sz w:val="20"/>
      <w:szCs w:val="20"/>
    </w:rPr>
  </w:style>
  <w:style w:type="character" w:styleId="812">
    <w:name w:val="正文缩进 字符1"/>
    <w:next w:val="812"/>
    <w:link w:val="654"/>
    <w:qFormat/>
    <w:rPr>
      <w:rFonts w:eastAsia="楷体_GB2312"/>
      <w:sz w:val="24"/>
      <w:lang w:val="en-US" w:eastAsia="zh-CN" w:bidi="ar-SA"/>
    </w:rPr>
  </w:style>
  <w:style w:type="character" w:styleId="813">
    <w:name w:val="ca-11"/>
    <w:next w:val="813"/>
    <w:link w:val="654"/>
    <w:qFormat/>
    <w:rPr>
      <w:rFonts w:hint="eastAsia" w:ascii="宋体" w:hAnsi="宋体" w:eastAsia="宋体"/>
      <w:sz w:val="24"/>
      <w:szCs w:val="24"/>
    </w:rPr>
  </w:style>
  <w:style w:type="paragraph" w:styleId="814">
    <w:name w:val="__正文"/>
    <w:next w:val="814"/>
    <w:link w:val="815"/>
    <w:qFormat/>
    <w:pPr>
      <w:ind w:firstLine="200"/>
      <w:spacing w:line="360" w:lineRule="auto"/>
    </w:pPr>
    <w:rPr>
      <w:rFonts w:ascii="等线" w:hAnsi="等线" w:eastAsia="微软雅黑"/>
      <w:sz w:val="21"/>
      <w:szCs w:val="21"/>
      <w:lang w:val="en-US" w:eastAsia="zh-CN" w:bidi="ar-SA"/>
    </w:rPr>
  </w:style>
  <w:style w:type="character" w:styleId="815">
    <w:name w:val="__正文 Char"/>
    <w:next w:val="815"/>
    <w:link w:val="814"/>
    <w:qFormat/>
    <w:rPr>
      <w:rFonts w:ascii="等线" w:hAnsi="等线" w:eastAsia="微软雅黑"/>
      <w:sz w:val="21"/>
      <w:szCs w:val="21"/>
    </w:rPr>
  </w:style>
  <w:style w:type="character" w:styleId="816">
    <w:name w:val="font101"/>
    <w:next w:val="816"/>
    <w:link w:val="654"/>
    <w:qFormat/>
    <w:rPr>
      <w:rFonts w:ascii="微软雅黑" w:hAnsi="微软雅黑" w:eastAsia="微软雅黑"/>
      <w:color w:val="000000"/>
      <w:sz w:val="20"/>
      <w:szCs w:val="20"/>
      <w:u w:val="none"/>
      <w:shd w:val="clear" w:color="000000" w:fill="auto"/>
    </w:rPr>
  </w:style>
  <w:style w:type="character" w:styleId="817">
    <w:name w:val="font41"/>
    <w:next w:val="817"/>
    <w:link w:val="654"/>
    <w:qFormat/>
    <w:rPr>
      <w:rFonts w:ascii="Symbol" w:hAnsi="Symbol" w:eastAsia="Symbol"/>
      <w:color w:val="000000"/>
      <w:sz w:val="20"/>
      <w:szCs w:val="20"/>
      <w:u w:val="none"/>
      <w:shd w:val="clear" w:color="000000" w:fill="auto"/>
    </w:rPr>
  </w:style>
  <w:style w:type="paragraph" w:styleId="818">
    <w:name w:val="段"/>
    <w:next w:val="654"/>
    <w:link w:val="654"/>
    <w:qFormat/>
    <w:pPr>
      <w:ind w:firstLine="200"/>
      <w:jc w:val="both"/>
      <w:spacing w:line="360" w:lineRule="auto"/>
    </w:pPr>
    <w:rPr>
      <w:rFonts w:ascii="宋体"/>
      <w:sz w:val="24"/>
      <w:szCs w:val="22"/>
      <w:lang w:val="en-US" w:eastAsia="zh-CN" w:bidi="ar-SA"/>
    </w:rPr>
  </w:style>
  <w:style w:type="paragraph" w:styleId="819">
    <w:name w:val="纯文本5"/>
    <w:basedOn w:val="654"/>
    <w:next w:val="819"/>
    <w:link w:val="654"/>
    <w:qFormat/>
    <w:rPr>
      <w:rFonts w:hint="eastAsia" w:ascii="宋体" w:hAnsi="Courier New" w:eastAsia="楷体_GB2312"/>
      <w:sz w:val="28"/>
      <w:szCs w:val="20"/>
    </w:rPr>
  </w:style>
  <w:style w:type="paragraph" w:styleId="820">
    <w:name w:val="纯文本11"/>
    <w:basedOn w:val="654"/>
    <w:next w:val="820"/>
    <w:link w:val="654"/>
    <w:qFormat/>
    <w:pPr>
      <w:jc w:val="left"/>
      <w:widowControl/>
    </w:pPr>
    <w:rPr>
      <w:rFonts w:ascii="宋体" w:hAnsi="Courier New" w:eastAsia="楷体_GB2312"/>
      <w:sz w:val="26"/>
      <w:szCs w:val="20"/>
    </w:rPr>
  </w:style>
  <w:style w:type="paragraph" w:styleId="821">
    <w:name w:val="Plain Text2"/>
    <w:basedOn w:val="654"/>
    <w:next w:val="821"/>
    <w:link w:val="654"/>
    <w:qFormat/>
    <w:rPr>
      <w:rFonts w:ascii="宋体" w:hAnsi="Courier New" w:eastAsia="楷体_GB2312"/>
      <w:sz w:val="28"/>
      <w:szCs w:val="20"/>
    </w:rPr>
  </w:style>
  <w:style w:type="paragraph" w:styleId="822">
    <w:name w:val="标题 211"/>
    <w:basedOn w:val="654"/>
    <w:next w:val="654"/>
    <w:link w:val="654"/>
    <w:qFormat/>
    <w:pPr>
      <w:keepLines/>
      <w:keepNext/>
      <w:spacing w:before="260" w:after="260" w:line="416" w:lineRule="auto"/>
      <w:outlineLvl w:val="1"/>
    </w:pPr>
    <w:rPr>
      <w:rFonts w:ascii="Cambria" w:hAnsi="Cambria"/>
      <w:b/>
      <w:bCs/>
      <w:sz w:val="32"/>
      <w:szCs w:val="32"/>
    </w:rPr>
  </w:style>
  <w:style w:type="paragraph" w:styleId="823">
    <w:name w:val="标题 21"/>
    <w:basedOn w:val="654"/>
    <w:next w:val="654"/>
    <w:link w:val="654"/>
    <w:uiPriority w:val="9"/>
    <w:qFormat/>
    <w:pPr>
      <w:keepLines/>
      <w:keepNext/>
      <w:spacing w:before="260" w:after="260" w:line="416" w:lineRule="auto"/>
      <w:outlineLvl w:val="1"/>
    </w:pPr>
    <w:rPr>
      <w:rFonts w:ascii="Cambria" w:hAnsi="Cambria"/>
      <w:b/>
      <w:bCs/>
      <w:sz w:val="32"/>
      <w:szCs w:val="32"/>
    </w:rPr>
  </w:style>
  <w:style w:type="character" w:styleId="824">
    <w:name w:val="NormalCharacter1"/>
    <w:next w:val="824"/>
    <w:link w:val="654"/>
    <w:semiHidden/>
    <w:qFormat/>
  </w:style>
  <w:style w:type="character" w:styleId="8374" w:default="1">
    <w:name w:val="Default Paragraph Font"/>
    <w:uiPriority w:val="1"/>
    <w:semiHidden/>
    <w:unhideWhenUsed/>
  </w:style>
  <w:style w:type="numbering" w:styleId="8375" w:default="1">
    <w:name w:val="No List"/>
    <w:uiPriority w:val="99"/>
    <w:semiHidden/>
    <w:unhideWhenUsed/>
  </w:style>
  <w:style w:type="table" w:styleId="83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dc:title>
  <dc:creator>Com</dc:creator>
  <cp:lastModifiedBy>程丹</cp:lastModifiedBy>
  <cp:revision>4</cp:revision>
  <dcterms:created xsi:type="dcterms:W3CDTF">2023-07-25T08:37:00Z</dcterms:created>
  <dcterms:modified xsi:type="dcterms:W3CDTF">2024-08-16T02:01:50Z</dcterms:modified>
</cp:coreProperties>
</file>