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20" w:lineRule="exact"/>
        <w:rPr>
          <w:rFonts w:ascii="宋体" w:hAnsi="宋体" w:eastAsia="宋体" w:cs="宋体"/>
          <w:sz w:val="72"/>
          <w:szCs w:val="72"/>
          <w:lang w:eastAsia="zh-CN"/>
        </w:rPr>
      </w:pPr>
      <w:r>
        <w:rPr>
          <w:rFonts w:ascii="宋体" w:hAnsi="宋体" w:eastAsia="宋体" w:cs="宋体"/>
          <w:sz w:val="72"/>
          <w:szCs w:val="72"/>
          <w:lang w:eastAsia="zh-CN"/>
        </w:rPr>
      </w:r>
      <w:r/>
    </w:p>
    <w:p>
      <w:pPr>
        <w:jc w:val="center"/>
        <w:spacing w:after="0" w:line="240" w:lineRule="auto"/>
        <w:widowControl w:val="off"/>
        <w:rPr>
          <w:rFonts w:asciiTheme="minorEastAsia" w:hAnsiTheme="minorEastAsia" w:eastAsiaTheme="minorEastAsia" w:cstheme="minorEastAsia"/>
          <w:b/>
          <w:bCs/>
          <w:sz w:val="56"/>
          <w:szCs w:val="56"/>
          <w:lang w:eastAsia="zh-CN"/>
        </w:rPr>
        <w:outlineLvl w:val="0"/>
      </w:pPr>
      <w:r>
        <w:rPr>
          <w:rFonts w:asciiTheme="minorEastAsia" w:hAnsiTheme="minorEastAsia" w:eastAsiaTheme="minorEastAsia" w:cstheme="minorEastAsia"/>
          <w:b/>
          <w:bCs/>
          <w:sz w:val="56"/>
          <w:szCs w:val="56"/>
          <w:lang w:eastAsia="zh-CN"/>
        </w:rPr>
      </w:r>
      <w:r/>
    </w:p>
    <w:p>
      <w:pPr>
        <w:ind w:left="220"/>
        <w:jc w:val="center"/>
        <w:spacing w:after="0" w:line="240" w:lineRule="auto"/>
        <w:widowControl w:val="off"/>
        <w:rPr>
          <w:rFonts w:asciiTheme="minorEastAsia" w:hAnsiTheme="minorEastAsia" w:eastAsiaTheme="minorEastAsia" w:cstheme="minorEastAsia"/>
          <w:b/>
          <w:bCs/>
          <w:spacing w:val="283"/>
          <w:sz w:val="144"/>
          <w:szCs w:val="144"/>
          <w:lang w:eastAsia="zh-CN"/>
        </w:rPr>
        <w:outlineLvl w:val="0"/>
      </w:pPr>
      <w:r>
        <w:rPr>
          <w:rFonts w:hint="eastAsia" w:asciiTheme="minorEastAsia" w:hAnsiTheme="minorEastAsia" w:eastAsiaTheme="minorEastAsia" w:cstheme="minorEastAsia"/>
          <w:b/>
          <w:bCs/>
          <w:spacing w:val="283"/>
          <w:sz w:val="144"/>
          <w:szCs w:val="144"/>
          <w:lang w:eastAsia="zh-CN"/>
        </w:rPr>
        <w:t xml:space="preserve">招标文件</w:t>
      </w:r>
      <w:r/>
    </w:p>
    <w:p>
      <w:pPr>
        <w:ind w:left="1100" w:firstLine="320"/>
        <w:jc w:val="both"/>
        <w:spacing w:after="0" w:line="240" w:lineRule="auto"/>
        <w:widowControl w:val="off"/>
        <w:rPr>
          <w:rFonts w:asciiTheme="minorEastAsia" w:hAnsiTheme="minorEastAsia" w:eastAsiaTheme="minorEastAsia" w:cstheme="minorEastAsia"/>
          <w:sz w:val="32"/>
          <w:szCs w:val="32"/>
          <w:highlight w:val="yellow"/>
          <w:lang w:eastAsia="zh-CN"/>
        </w:rPr>
        <w:outlineLvl w:val="0"/>
      </w:pPr>
      <w:r>
        <w:rPr>
          <w:rFonts w:asciiTheme="minorEastAsia" w:hAnsiTheme="minorEastAsia" w:eastAsiaTheme="minorEastAsia" w:cstheme="minorEastAsia"/>
          <w:sz w:val="32"/>
          <w:szCs w:val="32"/>
          <w:highlight w:val="yellow"/>
          <w:lang w:eastAsia="zh-CN"/>
        </w:rPr>
      </w:r>
      <w:r/>
    </w:p>
    <w:p>
      <w:pPr>
        <w:ind w:left="1100" w:firstLine="320"/>
        <w:jc w:val="both"/>
        <w:spacing w:after="0" w:line="240" w:lineRule="auto"/>
        <w:widowControl w:val="off"/>
        <w:rPr>
          <w:rFonts w:asciiTheme="minorEastAsia" w:hAnsiTheme="minorEastAsia" w:eastAsiaTheme="minorEastAsia" w:cstheme="minorEastAsia"/>
          <w:sz w:val="32"/>
          <w:szCs w:val="32"/>
          <w:highlight w:val="yellow"/>
          <w:lang w:eastAsia="zh-CN"/>
        </w:rPr>
        <w:outlineLvl w:val="0"/>
      </w:pPr>
      <w:r>
        <w:rPr>
          <w:rFonts w:asciiTheme="minorEastAsia" w:hAnsiTheme="minorEastAsia" w:eastAsiaTheme="minorEastAsia" w:cstheme="minorEastAsia"/>
          <w:sz w:val="32"/>
          <w:szCs w:val="32"/>
          <w:highlight w:val="yellow"/>
          <w:lang w:eastAsia="zh-CN"/>
        </w:rPr>
      </w:r>
      <w:r/>
    </w:p>
    <w:p>
      <w:pPr>
        <w:ind w:left="1100" w:firstLine="320"/>
        <w:jc w:val="both"/>
        <w:spacing w:after="0" w:line="240" w:lineRule="auto"/>
        <w:widowControl w:val="off"/>
        <w:rPr>
          <w:rFonts w:asciiTheme="minorEastAsia" w:hAnsiTheme="minorEastAsia" w:eastAsiaTheme="minorEastAsia" w:cstheme="minorEastAsia"/>
          <w:sz w:val="32"/>
          <w:szCs w:val="32"/>
          <w:highlight w:val="yellow"/>
          <w:lang w:eastAsia="zh-CN"/>
        </w:rPr>
        <w:outlineLvl w:val="0"/>
      </w:pPr>
      <w:r>
        <w:rPr>
          <w:rFonts w:asciiTheme="minorEastAsia" w:hAnsiTheme="minorEastAsia" w:eastAsiaTheme="minorEastAsia" w:cstheme="minorEastAsia"/>
          <w:sz w:val="32"/>
          <w:szCs w:val="32"/>
          <w:highlight w:val="yellow"/>
          <w:lang w:eastAsia="zh-CN"/>
        </w:rPr>
      </w:r>
      <w:r/>
    </w:p>
    <w:p>
      <w:pPr>
        <w:ind w:left="1100" w:firstLine="320"/>
        <w:jc w:val="both"/>
        <w:spacing w:after="0" w:line="240" w:lineRule="auto"/>
        <w:widowControl w:val="off"/>
        <w:rPr>
          <w:rFonts w:asciiTheme="minorEastAsia" w:hAnsiTheme="minorEastAsia" w:eastAsiaTheme="minorEastAsia" w:cstheme="minorEastAsia"/>
          <w:sz w:val="32"/>
          <w:szCs w:val="32"/>
          <w:highlight w:val="yellow"/>
          <w:lang w:eastAsia="zh-CN"/>
        </w:rPr>
        <w:outlineLvl w:val="0"/>
      </w:pPr>
      <w:r>
        <w:rPr>
          <w:rFonts w:asciiTheme="minorEastAsia" w:hAnsiTheme="minorEastAsia" w:eastAsiaTheme="minorEastAsia" w:cstheme="minorEastAsia"/>
          <w:sz w:val="32"/>
          <w:szCs w:val="32"/>
          <w:highlight w:val="yellow"/>
          <w:lang w:eastAsia="zh-CN"/>
        </w:rPr>
      </w:r>
      <w:r/>
    </w:p>
    <w:p>
      <w:pPr>
        <w:ind w:firstLine="640"/>
        <w:jc w:val="both"/>
        <w:spacing w:after="0" w:line="640" w:lineRule="exact"/>
        <w:widowControl w:val="off"/>
        <w:rPr>
          <w:rFonts w:asciiTheme="minorEastAsia" w:hAnsiTheme="minorEastAsia" w:eastAsiaTheme="minorEastAsia" w:cstheme="minorEastAsia"/>
          <w:sz w:val="32"/>
          <w:szCs w:val="32"/>
          <w:highlight w:val="yellow"/>
          <w:lang w:eastAsia="zh-CN"/>
        </w:rPr>
        <w:outlineLvl w:val="0"/>
      </w:pPr>
      <w:r>
        <w:rPr>
          <w:rFonts w:hint="eastAsia" w:asciiTheme="minorEastAsia" w:hAnsiTheme="minorEastAsia" w:eastAsiaTheme="minorEastAsia" w:cstheme="minorEastAsia"/>
          <w:sz w:val="32"/>
          <w:szCs w:val="32"/>
          <w:lang w:eastAsia="zh-CN"/>
        </w:rPr>
        <w:t xml:space="preserve">项目编号：JSZC-320381-ZBGL-G2024-0019</w:t>
      </w:r>
      <w:r/>
    </w:p>
    <w:p>
      <w:pPr>
        <w:ind w:firstLine="640"/>
        <w:jc w:val="both"/>
        <w:spacing w:after="0" w:line="640" w:lineRule="exact"/>
        <w:widowControl w:val="off"/>
        <w:rPr>
          <w:rFonts w:asciiTheme="minorEastAsia" w:hAnsiTheme="minorEastAsia" w:eastAsiaTheme="minorEastAsia" w:cstheme="minorEastAsia"/>
          <w:sz w:val="32"/>
          <w:szCs w:val="32"/>
          <w:lang w:eastAsia="zh-CN"/>
        </w:rPr>
        <w:outlineLvl w:val="0"/>
      </w:pPr>
      <w:r>
        <w:rPr>
          <w:rFonts w:hint="eastAsia" w:asciiTheme="minorEastAsia" w:hAnsiTheme="minorEastAsia" w:eastAsiaTheme="minorEastAsia" w:cstheme="minorEastAsia"/>
          <w:sz w:val="32"/>
          <w:szCs w:val="32"/>
          <w:lang w:eastAsia="zh-CN"/>
        </w:rPr>
        <w:t xml:space="preserve">项目名称：食品安全智慧监管（农药残留）检测能力提升</w:t>
      </w:r>
      <w:r/>
    </w:p>
    <w:p>
      <w:pPr>
        <w:ind w:firstLine="640"/>
        <w:jc w:val="both"/>
        <w:spacing w:after="0" w:line="640" w:lineRule="exact"/>
        <w:widowControl w:val="off"/>
        <w:rPr>
          <w:rFonts w:asciiTheme="minorEastAsia" w:hAnsiTheme="minorEastAsia" w:eastAsiaTheme="minorEastAsia" w:cstheme="minorEastAsia"/>
          <w:sz w:val="32"/>
          <w:szCs w:val="32"/>
          <w:lang w:eastAsia="zh-CN"/>
        </w:rPr>
        <w:outlineLvl w:val="0"/>
      </w:pPr>
      <w:r>
        <w:rPr>
          <w:rFonts w:hint="eastAsia" w:asciiTheme="minorEastAsia" w:hAnsiTheme="minorEastAsia" w:eastAsiaTheme="minorEastAsia" w:cstheme="minorEastAsia"/>
          <w:sz w:val="32"/>
          <w:szCs w:val="32"/>
          <w:lang w:eastAsia="zh-CN"/>
        </w:rPr>
        <w:t xml:space="preserve">采 购 人：新沂市检验检测中心</w:t>
      </w:r>
      <w:r/>
    </w:p>
    <w:p>
      <w:pPr>
        <w:pStyle w:val="829"/>
        <w:rPr>
          <w:lang w:eastAsia="zh-CN"/>
        </w:rPr>
      </w:pPr>
      <w:r>
        <w:rPr>
          <w:lang w:eastAsia="zh-CN"/>
        </w:rPr>
      </w:r>
      <w:r/>
    </w:p>
    <w:p>
      <w:pPr>
        <w:pStyle w:val="859"/>
        <w:jc w:val="center"/>
        <w:rPr>
          <w:rFonts w:ascii="宋体" w:hAnsi="宋体" w:eastAsia="宋体" w:cs="宋体"/>
          <w:sz w:val="30"/>
          <w:szCs w:val="30"/>
          <w:lang w:eastAsia="zh-CN"/>
        </w:rPr>
      </w:pPr>
      <w:r>
        <w:rPr>
          <w:rFonts w:ascii="宋体" w:hAnsi="宋体" w:eastAsia="宋体" w:cs="宋体"/>
          <w:sz w:val="30"/>
          <w:szCs w:val="30"/>
          <w:lang w:eastAsia="zh-CN"/>
        </w:rPr>
      </w:r>
      <w:r/>
    </w:p>
    <w:p>
      <w:pPr>
        <w:pStyle w:val="860"/>
        <w:rPr>
          <w:rFonts w:cs="宋体"/>
          <w:sz w:val="30"/>
          <w:szCs w:val="30"/>
          <w:lang w:eastAsia="zh-CN"/>
        </w:rPr>
      </w:pPr>
      <w:r>
        <w:rPr>
          <w:rFonts w:cs="宋体"/>
          <w:sz w:val="30"/>
          <w:szCs w:val="30"/>
          <w:lang w:eastAsia="zh-CN"/>
        </w:rPr>
      </w:r>
      <w:r/>
    </w:p>
    <w:p>
      <w:pPr>
        <w:pStyle w:val="836"/>
        <w:rPr>
          <w:rFonts w:ascii="宋体" w:hAnsi="宋体" w:eastAsia="宋体" w:cs="宋体"/>
          <w:sz w:val="30"/>
          <w:szCs w:val="30"/>
          <w:lang w:eastAsia="zh-CN"/>
        </w:rPr>
      </w:pPr>
      <w:r>
        <w:rPr>
          <w:rFonts w:ascii="宋体" w:hAnsi="宋体" w:eastAsia="宋体" w:cs="宋体"/>
          <w:sz w:val="30"/>
          <w:szCs w:val="30"/>
          <w:lang w:eastAsia="zh-CN"/>
        </w:rPr>
      </w:r>
      <w:r/>
    </w:p>
    <w:p>
      <w:pPr>
        <w:rPr>
          <w:lang w:eastAsia="zh-CN"/>
        </w:rPr>
      </w:pPr>
      <w:r>
        <w:rPr>
          <w:lang w:eastAsia="zh-CN"/>
        </w:rPr>
      </w:r>
      <w:r/>
    </w:p>
    <w:p>
      <w:pPr>
        <w:pStyle w:val="859"/>
        <w:ind w:firstLine="0"/>
        <w:rPr>
          <w:rFonts w:ascii="宋体" w:hAnsi="宋体" w:eastAsia="宋体" w:cs="宋体"/>
          <w:sz w:val="30"/>
          <w:szCs w:val="30"/>
          <w:lang w:eastAsia="zh-CN"/>
        </w:rPr>
      </w:pPr>
      <w:r>
        <w:rPr>
          <w:rFonts w:ascii="宋体" w:hAnsi="宋体" w:eastAsia="宋体" w:cs="宋体"/>
          <w:sz w:val="30"/>
          <w:szCs w:val="30"/>
          <w:lang w:eastAsia="zh-CN"/>
        </w:rPr>
      </w:r>
      <w:r/>
    </w:p>
    <w:p>
      <w:pPr>
        <w:pStyle w:val="860"/>
        <w:rPr>
          <w:b/>
          <w:bCs/>
          <w:lang w:eastAsia="zh-CN"/>
        </w:rPr>
      </w:pPr>
      <w:r>
        <w:rPr>
          <w:b/>
          <w:bCs/>
          <w:lang w:eastAsia="zh-CN"/>
        </w:rPr>
      </w:r>
      <w:r/>
    </w:p>
    <w:p>
      <w:pPr>
        <w:ind w:firstLine="900"/>
        <w:jc w:val="both"/>
        <w:spacing w:line="520" w:lineRule="exact"/>
        <w:rPr>
          <w:rFonts w:ascii="宋体" w:hAnsi="宋体" w:eastAsia="宋体" w:cs="宋体"/>
          <w:sz w:val="32"/>
          <w:szCs w:val="32"/>
          <w:lang w:eastAsia="zh-CN"/>
        </w:rPr>
      </w:pPr>
      <w:r>
        <w:rPr>
          <w:rFonts w:hint="eastAsia" w:ascii="宋体" w:hAnsi="宋体" w:eastAsia="宋体" w:cs="宋体"/>
          <w:sz w:val="32"/>
          <w:szCs w:val="32"/>
          <w:lang w:eastAsia="zh-CN"/>
        </w:rPr>
        <w:t xml:space="preserve">采购代理机构：江苏众邦工程管理有限公司</w:t>
      </w:r>
      <w:r/>
    </w:p>
    <w:p>
      <w:pPr>
        <w:pStyle w:val="872"/>
        <w:jc w:val="center"/>
        <w:spacing w:line="360" w:lineRule="auto"/>
        <w:rPr>
          <w:rFonts w:ascii="宋体" w:hAnsi="宋体" w:cs="宋体"/>
          <w:b/>
          <w:sz w:val="44"/>
        </w:rPr>
        <w:sectPr>
          <w:footerReference w:type="default" r:id="rId12"/>
          <w:footnotePr/>
          <w:endnotePr/>
          <w:type w:val="nextPage"/>
          <w:pgSz w:w="11906" w:h="16838" w:orient="portrait"/>
          <w:pgMar w:top="1417" w:right="1417" w:bottom="1417" w:left="1417" w:header="709" w:footer="709" w:gutter="0"/>
          <w:pgNumType w:start="1"/>
          <w:cols w:num="1" w:sep="0" w:space="708" w:equalWidth="1"/>
          <w:docGrid w:linePitch="360"/>
        </w:sectPr>
      </w:pPr>
      <w:r>
        <w:rPr>
          <w:rFonts w:hint="eastAsia" w:ascii="宋体" w:hAnsi="宋体"/>
          <w:sz w:val="32"/>
          <w:szCs w:val="32"/>
        </w:rPr>
        <w:t xml:space="preserve">202</w:t>
      </w:r>
      <w:r>
        <w:rPr>
          <w:rFonts w:hint="eastAsia" w:ascii="宋体" w:hAnsi="宋体"/>
          <w:sz w:val="32"/>
          <w:szCs w:val="32"/>
          <w:lang w:val="en-US" w:eastAsia="zh-CN"/>
        </w:rPr>
        <w:t xml:space="preserve">4</w:t>
      </w:r>
      <w:r>
        <w:rPr>
          <w:rFonts w:ascii="宋体" w:hAnsi="宋体"/>
          <w:sz w:val="32"/>
          <w:szCs w:val="32"/>
        </w:rPr>
        <w:t xml:space="preserve">年</w:t>
      </w:r>
      <w:r>
        <w:rPr>
          <w:rFonts w:hint="eastAsia" w:ascii="宋体" w:hAnsi="宋体"/>
          <w:sz w:val="32"/>
          <w:szCs w:val="32"/>
          <w:lang w:val="en-US" w:eastAsia="zh-CN"/>
        </w:rPr>
        <w:t xml:space="preserve">10</w:t>
      </w:r>
      <w:r>
        <w:rPr>
          <w:rFonts w:ascii="宋体" w:hAnsi="宋体"/>
          <w:sz w:val="32"/>
          <w:szCs w:val="32"/>
        </w:rPr>
        <w:t xml:space="preserve">月</w:t>
      </w:r>
      <w:r/>
    </w:p>
    <w:p>
      <w:pPr>
        <w:pStyle w:val="832"/>
        <w:ind w:firstLine="0"/>
        <w:jc w:val="center"/>
        <w:rPr>
          <w:rFonts w:ascii="宋体" w:hAnsi="宋体" w:eastAsia="宋体" w:cs="宋体"/>
          <w:b/>
          <w:sz w:val="44"/>
        </w:rPr>
      </w:pPr>
      <w:r>
        <w:rPr>
          <w:rFonts w:hint="eastAsia" w:ascii="宋体" w:hAnsi="宋体" w:eastAsia="宋体" w:cs="宋体"/>
          <w:b/>
          <w:sz w:val="44"/>
          <w:lang w:eastAsia="zh-CN"/>
        </w:rPr>
        <w:t xml:space="preserve">总 </w:t>
      </w:r>
      <w:r>
        <w:rPr>
          <w:rFonts w:hint="eastAsia" w:ascii="宋体" w:hAnsi="宋体" w:eastAsia="宋体" w:cs="宋体"/>
          <w:b/>
          <w:sz w:val="44"/>
        </w:rPr>
        <w:t xml:space="preserve">目 录</w:t>
      </w:r>
      <w:r/>
    </w:p>
    <w:p>
      <w:pPr>
        <w:jc w:val="center"/>
        <w:spacing w:line="520" w:lineRule="exact"/>
        <w:rPr>
          <w:rFonts w:ascii="宋体" w:hAnsi="宋体" w:eastAsia="宋体" w:cs="宋体"/>
          <w:b/>
          <w:sz w:val="44"/>
          <w:szCs w:val="44"/>
        </w:rPr>
      </w:pPr>
      <w:r>
        <w:rPr>
          <w:rFonts w:ascii="宋体" w:hAnsi="宋体" w:eastAsia="宋体" w:cs="宋体"/>
          <w:b/>
          <w:sz w:val="44"/>
          <w:szCs w:val="44"/>
        </w:rPr>
      </w:r>
      <w:r/>
    </w:p>
    <w:p>
      <w:pPr>
        <w:jc w:val="center"/>
        <w:spacing w:line="520" w:lineRule="exact"/>
        <w:rPr>
          <w:rFonts w:ascii="宋体" w:hAnsi="宋体" w:eastAsia="宋体" w:cs="宋体"/>
          <w:b/>
          <w:sz w:val="30"/>
          <w:szCs w:val="30"/>
        </w:rPr>
      </w:pPr>
      <w:r>
        <w:rPr>
          <w:rFonts w:ascii="宋体" w:hAnsi="宋体" w:eastAsia="宋体" w:cs="宋体"/>
          <w:b/>
          <w:sz w:val="30"/>
          <w:szCs w:val="30"/>
        </w:rPr>
      </w:r>
      <w:r/>
    </w:p>
    <w:p>
      <w:pPr>
        <w:pStyle w:val="847"/>
        <w:spacing w:line="540" w:lineRule="exact"/>
        <w:tabs>
          <w:tab w:val="right" w:pos="8948" w:leader="dot"/>
        </w:tabs>
        <w:rPr>
          <w:rFonts w:ascii="宋体" w:hAnsi="宋体" w:eastAsia="宋体" w:cs="宋体"/>
          <w:sz w:val="30"/>
          <w:szCs w:val="30"/>
        </w:rPr>
      </w:pPr>
      <w:r>
        <w:rPr>
          <w:rFonts w:hint="eastAsia" w:ascii="宋体" w:hAnsi="宋体" w:eastAsia="宋体" w:cs="宋体"/>
          <w:b/>
          <w:sz w:val="30"/>
          <w:szCs w:val="30"/>
        </w:rPr>
        <w:fldChar w:fldCharType="begin"/>
      </w:r>
      <w:r>
        <w:rPr>
          <w:rFonts w:hint="eastAsia" w:ascii="宋体" w:hAnsi="宋体" w:eastAsia="宋体" w:cs="宋体"/>
          <w:b/>
          <w:sz w:val="30"/>
          <w:szCs w:val="30"/>
        </w:rPr>
        <w:instrText xml:space="preserve"> TOC \o "1-3" \h \z \u </w:instrText>
      </w:r>
      <w:r>
        <w:rPr>
          <w:rFonts w:hint="eastAsia" w:ascii="宋体" w:hAnsi="宋体" w:eastAsia="宋体" w:cs="宋体"/>
          <w:b/>
          <w:sz w:val="30"/>
          <w:szCs w:val="30"/>
        </w:rPr>
        <w:fldChar w:fldCharType="separate"/>
      </w:r>
      <w:r>
        <w:fldChar w:fldCharType="begin"/>
      </w:r>
      <w:r>
        <w:instrText xml:space="preserve"> HYPERLINK \l "_Toc523404695" </w:instrText>
      </w:r>
      <w:r>
        <w:fldChar w:fldCharType="separate"/>
      </w:r>
      <w:r>
        <w:rPr>
          <w:rStyle w:val="864"/>
          <w:rFonts w:hint="eastAsia" w:ascii="宋体" w:hAnsi="宋体" w:eastAsia="宋体" w:cs="宋体"/>
          <w:color w:val="auto"/>
          <w:sz w:val="30"/>
          <w:szCs w:val="30"/>
        </w:rPr>
        <w:t xml:space="preserve">第一章  投标邀请</w:t>
      </w:r>
      <w:r>
        <w:rPr>
          <w:rStyle w:val="864"/>
          <w:rFonts w:hint="eastAsia" w:ascii="宋体" w:hAnsi="宋体" w:eastAsia="宋体" w:cs="宋体"/>
          <w:color w:val="auto"/>
          <w:sz w:val="30"/>
          <w:szCs w:val="30"/>
        </w:rPr>
        <w:fldChar w:fldCharType="end"/>
      </w:r>
      <w:r/>
    </w:p>
    <w:p>
      <w:pPr>
        <w:pStyle w:val="847"/>
        <w:spacing w:line="540" w:lineRule="exact"/>
        <w:tabs>
          <w:tab w:val="right" w:pos="8948" w:leader="dot"/>
        </w:tabs>
        <w:rPr>
          <w:rFonts w:ascii="宋体" w:hAnsi="宋体" w:eastAsia="宋体" w:cs="宋体"/>
          <w:sz w:val="30"/>
          <w:szCs w:val="30"/>
        </w:rPr>
      </w:pPr>
      <w:r>
        <w:fldChar w:fldCharType="begin"/>
      </w:r>
      <w:r>
        <w:instrText xml:space="preserve"> HYPERLINK \l "_Toc523404696" </w:instrText>
      </w:r>
      <w:r>
        <w:fldChar w:fldCharType="separate"/>
      </w:r>
      <w:r>
        <w:rPr>
          <w:rStyle w:val="864"/>
          <w:rFonts w:hint="eastAsia" w:ascii="宋体" w:hAnsi="宋体" w:eastAsia="宋体" w:cs="宋体"/>
          <w:color w:val="auto"/>
          <w:sz w:val="30"/>
          <w:szCs w:val="30"/>
        </w:rPr>
        <w:t xml:space="preserve">第二章  投标人须知</w:t>
      </w:r>
      <w:r>
        <w:rPr>
          <w:rStyle w:val="864"/>
          <w:rFonts w:hint="eastAsia" w:ascii="宋体" w:hAnsi="宋体" w:eastAsia="宋体" w:cs="宋体"/>
          <w:color w:val="auto"/>
          <w:sz w:val="30"/>
          <w:szCs w:val="30"/>
        </w:rPr>
        <w:fldChar w:fldCharType="end"/>
      </w:r>
      <w:r/>
    </w:p>
    <w:p>
      <w:pPr>
        <w:pStyle w:val="847"/>
        <w:spacing w:line="540" w:lineRule="exact"/>
        <w:tabs>
          <w:tab w:val="right" w:pos="8948" w:leader="dot"/>
        </w:tabs>
        <w:rPr>
          <w:rFonts w:ascii="宋体" w:hAnsi="宋体" w:eastAsia="宋体" w:cs="宋体"/>
          <w:sz w:val="30"/>
          <w:szCs w:val="30"/>
        </w:rPr>
      </w:pPr>
      <w:r>
        <w:fldChar w:fldCharType="begin"/>
      </w:r>
      <w:r>
        <w:instrText xml:space="preserve"> HYPERLINK \l "_Toc523404697" </w:instrText>
      </w:r>
      <w:r>
        <w:fldChar w:fldCharType="separate"/>
      </w:r>
      <w:r>
        <w:rPr>
          <w:rStyle w:val="864"/>
          <w:rFonts w:hint="eastAsia" w:ascii="宋体" w:hAnsi="宋体" w:eastAsia="宋体" w:cs="宋体"/>
          <w:color w:val="auto"/>
          <w:sz w:val="30"/>
          <w:szCs w:val="30"/>
        </w:rPr>
        <w:t xml:space="preserve">第三章  投标资料表</w:t>
      </w:r>
      <w:r>
        <w:rPr>
          <w:rStyle w:val="864"/>
          <w:rFonts w:hint="eastAsia" w:ascii="宋体" w:hAnsi="宋体" w:eastAsia="宋体" w:cs="宋体"/>
          <w:color w:val="auto"/>
          <w:sz w:val="30"/>
          <w:szCs w:val="30"/>
        </w:rPr>
        <w:fldChar w:fldCharType="end"/>
      </w:r>
      <w:r/>
    </w:p>
    <w:p>
      <w:pPr>
        <w:pStyle w:val="847"/>
        <w:spacing w:line="540" w:lineRule="exact"/>
        <w:tabs>
          <w:tab w:val="right" w:pos="8948" w:leader="dot"/>
        </w:tabs>
        <w:rPr>
          <w:rFonts w:ascii="宋体" w:hAnsi="宋体" w:eastAsia="宋体" w:cs="宋体"/>
          <w:sz w:val="30"/>
          <w:szCs w:val="30"/>
        </w:rPr>
      </w:pPr>
      <w:r>
        <w:fldChar w:fldCharType="begin"/>
      </w:r>
      <w:r>
        <w:instrText xml:space="preserve"> HYPERLINK \l "_Toc523404698" </w:instrText>
      </w:r>
      <w:r>
        <w:fldChar w:fldCharType="separate"/>
      </w:r>
      <w:r>
        <w:rPr>
          <w:rStyle w:val="864"/>
          <w:rFonts w:hint="eastAsia" w:ascii="宋体" w:hAnsi="宋体" w:eastAsia="宋体" w:cs="宋体"/>
          <w:color w:val="auto"/>
          <w:sz w:val="30"/>
          <w:szCs w:val="30"/>
        </w:rPr>
        <w:t xml:space="preserve">第四章  评标标准</w:t>
      </w:r>
      <w:r>
        <w:rPr>
          <w:rStyle w:val="864"/>
          <w:rFonts w:hint="eastAsia" w:ascii="宋体" w:hAnsi="宋体" w:eastAsia="宋体" w:cs="宋体"/>
          <w:color w:val="auto"/>
          <w:sz w:val="30"/>
          <w:szCs w:val="30"/>
        </w:rPr>
        <w:fldChar w:fldCharType="end"/>
      </w:r>
      <w:r/>
    </w:p>
    <w:p>
      <w:pPr>
        <w:pStyle w:val="847"/>
        <w:spacing w:line="540" w:lineRule="exact"/>
        <w:tabs>
          <w:tab w:val="right" w:pos="8948" w:leader="dot"/>
        </w:tabs>
        <w:rPr>
          <w:rFonts w:ascii="宋体" w:hAnsi="宋体" w:eastAsia="宋体" w:cs="宋体"/>
          <w:sz w:val="30"/>
          <w:szCs w:val="30"/>
        </w:rPr>
      </w:pPr>
      <w:r>
        <w:fldChar w:fldCharType="begin"/>
      </w:r>
      <w:r>
        <w:instrText xml:space="preserve"> HYPERLINK \l "_Toc523404699" </w:instrText>
      </w:r>
      <w:r>
        <w:fldChar w:fldCharType="separate"/>
      </w:r>
      <w:r>
        <w:rPr>
          <w:rStyle w:val="864"/>
          <w:rFonts w:hint="eastAsia" w:ascii="宋体" w:hAnsi="宋体" w:eastAsia="宋体" w:cs="宋体"/>
          <w:color w:val="auto"/>
          <w:sz w:val="30"/>
          <w:szCs w:val="30"/>
        </w:rPr>
        <w:t xml:space="preserve">第五章  拟签订的合同文本</w:t>
      </w:r>
      <w:r>
        <w:rPr>
          <w:rStyle w:val="864"/>
          <w:rFonts w:hint="eastAsia" w:ascii="宋体" w:hAnsi="宋体" w:eastAsia="宋体" w:cs="宋体"/>
          <w:color w:val="auto"/>
          <w:sz w:val="30"/>
          <w:szCs w:val="30"/>
        </w:rPr>
        <w:fldChar w:fldCharType="end"/>
      </w:r>
      <w:r/>
    </w:p>
    <w:p>
      <w:pPr>
        <w:pStyle w:val="847"/>
        <w:spacing w:line="540" w:lineRule="exact"/>
        <w:tabs>
          <w:tab w:val="right" w:pos="8948" w:leader="dot"/>
        </w:tabs>
        <w:rPr>
          <w:rFonts w:ascii="宋体" w:hAnsi="宋体" w:eastAsia="宋体" w:cs="宋体"/>
          <w:sz w:val="30"/>
          <w:szCs w:val="30"/>
        </w:rPr>
      </w:pPr>
      <w:r>
        <w:fldChar w:fldCharType="begin"/>
      </w:r>
      <w:r>
        <w:instrText xml:space="preserve"> HYPERLINK \l "_Toc523404700" </w:instrText>
      </w:r>
      <w:r>
        <w:fldChar w:fldCharType="separate"/>
      </w:r>
      <w:r>
        <w:rPr>
          <w:rStyle w:val="864"/>
          <w:rFonts w:hint="eastAsia" w:ascii="宋体" w:hAnsi="宋体" w:eastAsia="宋体" w:cs="宋体"/>
          <w:color w:val="auto"/>
          <w:sz w:val="30"/>
          <w:szCs w:val="30"/>
        </w:rPr>
        <w:t xml:space="preserve">第六章  采购需求</w:t>
      </w:r>
      <w:r>
        <w:rPr>
          <w:rStyle w:val="864"/>
          <w:rFonts w:hint="eastAsia" w:ascii="宋体" w:hAnsi="宋体" w:eastAsia="宋体" w:cs="宋体"/>
          <w:color w:val="auto"/>
          <w:sz w:val="30"/>
          <w:szCs w:val="30"/>
        </w:rPr>
        <w:fldChar w:fldCharType="end"/>
      </w:r>
      <w:r/>
    </w:p>
    <w:p>
      <w:pPr>
        <w:pStyle w:val="847"/>
        <w:spacing w:line="540" w:lineRule="exact"/>
        <w:tabs>
          <w:tab w:val="right" w:pos="8948" w:leader="dot"/>
        </w:tabs>
        <w:rPr>
          <w:rFonts w:ascii="宋体" w:hAnsi="宋体" w:eastAsia="宋体" w:cs="宋体"/>
          <w:sz w:val="30"/>
          <w:szCs w:val="30"/>
        </w:rPr>
      </w:pPr>
      <w:r>
        <w:fldChar w:fldCharType="begin"/>
      </w:r>
      <w:r>
        <w:instrText xml:space="preserve"> HYPERLINK \l "_Toc523404701" </w:instrText>
      </w:r>
      <w:r>
        <w:fldChar w:fldCharType="separate"/>
      </w:r>
      <w:r>
        <w:rPr>
          <w:rStyle w:val="864"/>
          <w:rFonts w:hint="eastAsia" w:ascii="宋体" w:hAnsi="宋体" w:eastAsia="宋体" w:cs="宋体"/>
          <w:color w:val="auto"/>
          <w:sz w:val="30"/>
          <w:szCs w:val="30"/>
        </w:rPr>
        <w:t xml:space="preserve">第七章  投标文件相关格</w:t>
      </w:r>
      <w:bookmarkStart w:id="0" w:name="_Hlt532911772"/>
      <w:r/>
      <w:bookmarkStart w:id="1" w:name="_Hlt532911771"/>
      <w:r>
        <w:rPr>
          <w:rStyle w:val="864"/>
          <w:rFonts w:hint="eastAsia" w:ascii="宋体" w:hAnsi="宋体" w:eastAsia="宋体" w:cs="宋体"/>
          <w:color w:val="auto"/>
          <w:sz w:val="30"/>
          <w:szCs w:val="30"/>
        </w:rPr>
        <w:t xml:space="preserve">式</w:t>
      </w:r>
      <w:bookmarkEnd w:id="0"/>
      <w:r/>
      <w:bookmarkEnd w:id="1"/>
      <w:r>
        <w:rPr>
          <w:rStyle w:val="864"/>
          <w:rFonts w:hint="eastAsia" w:ascii="宋体" w:hAnsi="宋体" w:eastAsia="宋体" w:cs="宋体"/>
          <w:color w:val="auto"/>
          <w:sz w:val="30"/>
          <w:szCs w:val="30"/>
        </w:rPr>
        <w:fldChar w:fldCharType="end"/>
      </w:r>
      <w:r/>
    </w:p>
    <w:p>
      <w:pPr>
        <w:jc w:val="center"/>
        <w:spacing w:line="540" w:lineRule="exact"/>
        <w:rPr>
          <w:rFonts w:ascii="宋体" w:hAnsi="宋体" w:eastAsia="宋体" w:cs="宋体"/>
          <w:b/>
          <w:sz w:val="44"/>
          <w:szCs w:val="44"/>
        </w:rPr>
      </w:pPr>
      <w:r>
        <w:rPr>
          <w:rFonts w:hint="eastAsia" w:ascii="宋体" w:hAnsi="宋体" w:eastAsia="宋体" w:cs="宋体"/>
          <w:b/>
          <w:sz w:val="30"/>
          <w:szCs w:val="30"/>
        </w:rPr>
        <w:fldChar w:fldCharType="end"/>
      </w:r>
      <w:r/>
    </w:p>
    <w:p>
      <w:pPr>
        <w:jc w:val="center"/>
        <w:spacing w:line="520" w:lineRule="exact"/>
        <w:rPr>
          <w:rFonts w:ascii="宋体" w:hAnsi="宋体" w:eastAsia="宋体" w:cs="宋体"/>
          <w:b/>
          <w:sz w:val="44"/>
          <w:szCs w:val="44"/>
        </w:rPr>
      </w:pPr>
      <w:r>
        <w:rPr>
          <w:rFonts w:ascii="宋体" w:hAnsi="宋体" w:eastAsia="宋体" w:cs="宋体"/>
          <w:b/>
          <w:sz w:val="44"/>
          <w:szCs w:val="44"/>
        </w:rPr>
      </w:r>
      <w:r/>
    </w:p>
    <w:p>
      <w:pPr>
        <w:jc w:val="center"/>
        <w:spacing w:line="520" w:lineRule="exact"/>
        <w:rPr>
          <w:rFonts w:ascii="宋体" w:hAnsi="宋体" w:eastAsia="宋体" w:cs="宋体"/>
          <w:b/>
          <w:sz w:val="44"/>
          <w:szCs w:val="44"/>
        </w:rPr>
      </w:pPr>
      <w:r>
        <w:rPr>
          <w:rFonts w:ascii="宋体" w:hAnsi="宋体" w:eastAsia="宋体" w:cs="宋体"/>
          <w:b/>
          <w:sz w:val="44"/>
          <w:szCs w:val="44"/>
        </w:rPr>
      </w:r>
      <w:r/>
    </w:p>
    <w:p>
      <w:pPr>
        <w:jc w:val="center"/>
        <w:spacing w:line="520" w:lineRule="exact"/>
        <w:rPr>
          <w:rFonts w:ascii="宋体" w:hAnsi="宋体" w:eastAsia="宋体" w:cs="宋体"/>
          <w:b/>
          <w:sz w:val="44"/>
          <w:szCs w:val="44"/>
        </w:rPr>
      </w:pPr>
      <w:r>
        <w:rPr>
          <w:rFonts w:ascii="宋体" w:hAnsi="宋体" w:eastAsia="宋体" w:cs="宋体"/>
          <w:b/>
          <w:sz w:val="44"/>
          <w:szCs w:val="44"/>
        </w:rPr>
      </w:r>
      <w:r/>
    </w:p>
    <w:p>
      <w:pPr>
        <w:jc w:val="center"/>
        <w:spacing w:line="520" w:lineRule="exact"/>
        <w:rPr>
          <w:rFonts w:ascii="宋体" w:hAnsi="宋体" w:eastAsia="宋体" w:cs="宋体"/>
          <w:b/>
          <w:sz w:val="44"/>
          <w:szCs w:val="44"/>
        </w:rPr>
      </w:pPr>
      <w:r>
        <w:rPr>
          <w:rFonts w:ascii="宋体" w:hAnsi="宋体" w:eastAsia="宋体" w:cs="宋体"/>
          <w:b/>
          <w:sz w:val="44"/>
          <w:szCs w:val="44"/>
        </w:rPr>
      </w:r>
      <w:r/>
    </w:p>
    <w:p>
      <w:pPr>
        <w:jc w:val="center"/>
        <w:spacing w:line="520" w:lineRule="exact"/>
        <w:rPr>
          <w:rFonts w:ascii="宋体" w:hAnsi="宋体" w:eastAsia="宋体" w:cs="宋体"/>
          <w:b/>
          <w:sz w:val="44"/>
          <w:szCs w:val="44"/>
        </w:rPr>
      </w:pPr>
      <w:r>
        <w:rPr>
          <w:rFonts w:ascii="宋体" w:hAnsi="宋体" w:eastAsia="宋体" w:cs="宋体"/>
          <w:b/>
          <w:sz w:val="44"/>
          <w:szCs w:val="44"/>
        </w:rPr>
      </w:r>
      <w:r/>
    </w:p>
    <w:p>
      <w:pPr>
        <w:jc w:val="both"/>
        <w:spacing w:line="520" w:lineRule="exact"/>
        <w:rPr>
          <w:rFonts w:ascii="宋体" w:hAnsi="宋体" w:eastAsia="宋体" w:cs="宋体"/>
          <w:b/>
          <w:sz w:val="44"/>
          <w:szCs w:val="44"/>
        </w:rPr>
      </w:pPr>
      <w:r>
        <w:rPr>
          <w:rFonts w:ascii="宋体" w:hAnsi="宋体" w:eastAsia="宋体" w:cs="宋体"/>
          <w:b/>
          <w:sz w:val="44"/>
          <w:szCs w:val="44"/>
        </w:rPr>
      </w:r>
      <w:r/>
    </w:p>
    <w:p>
      <w:pPr>
        <w:jc w:val="center"/>
        <w:spacing w:after="0" w:line="519" w:lineRule="atLeast"/>
        <w:rPr>
          <w:rFonts w:ascii="宋体" w:hAnsi="宋体" w:eastAsia="宋体" w:cs="宋体"/>
          <w:b/>
          <w:sz w:val="30"/>
          <w:szCs w:val="30"/>
          <w:lang w:eastAsia="zh-CN"/>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17" w:right="1417" w:bottom="1417" w:left="1417" w:header="709" w:footer="709" w:gutter="0"/>
          <w:pgNumType w:start="1"/>
          <w:cols w:num="1" w:sep="0" w:space="708" w:equalWidth="1"/>
          <w:docGrid w:linePitch="360"/>
        </w:sectPr>
      </w:pPr>
      <w:r>
        <w:rPr>
          <w:rFonts w:ascii="宋体" w:hAnsi="宋体" w:eastAsia="宋体" w:cs="宋体"/>
          <w:b/>
          <w:sz w:val="30"/>
          <w:szCs w:val="30"/>
          <w:lang w:eastAsia="zh-CN"/>
        </w:rPr>
      </w:r>
      <w:r/>
    </w:p>
    <w:p>
      <w:pPr>
        <w:jc w:val="center"/>
        <w:spacing w:after="0" w:line="519" w:lineRule="atLeast"/>
        <w:rPr>
          <w:rFonts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lang w:eastAsia="zh-CN"/>
        </w:rPr>
        <w:t xml:space="preserve">新沂市检验检测中心</w:t>
      </w:r>
      <w:r/>
    </w:p>
    <w:p>
      <w:pPr>
        <w:jc w:val="center"/>
        <w:spacing w:after="0" w:line="519" w:lineRule="atLeast"/>
        <w:rPr>
          <w:rFonts w:ascii="宋体" w:hAnsi="宋体" w:eastAsia="宋体" w:cs="宋体"/>
          <w:b/>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lang w:eastAsia="zh-CN"/>
        </w:rPr>
        <w:t xml:space="preserve">《食品安全智慧监管（农药残留）检测能力提升》</w:t>
      </w:r>
      <w:r/>
    </w:p>
    <w:p>
      <w:pPr>
        <w:jc w:val="center"/>
        <w:spacing w:after="0" w:line="51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lang w:eastAsia="zh-CN"/>
        </w:rPr>
        <w:t xml:space="preserve">招标文件</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3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 </w:t>
      </w:r>
      <w:r/>
    </w:p>
    <w:p>
      <w:pPr>
        <w:jc w:val="center"/>
        <w:spacing w:after="0" w:line="51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lang w:eastAsia="zh-CN"/>
        </w:rPr>
        <w:t xml:space="preserve">第一章  投标邀请</w:t>
      </w:r>
      <w:r/>
    </w:p>
    <w:p>
      <w:pPr>
        <w:jc w:val="center"/>
        <w:spacing w:after="0" w:line="3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 </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江苏众邦工程管理有限公司对新沂市检验检测中心“食品安全智慧监管（农药残留）检测能力提升”进行公开招标采购，现邀请符合相关条件的供应商投标。</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一、项目名称和项目编号</w:t>
      </w:r>
      <w:r/>
    </w:p>
    <w:p>
      <w:pPr>
        <w:ind w:left="2519" w:hanging="196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(一)项目名称：食品安全智慧监管（农药残留）检测能力提升</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(二)项目编号：JSZC-320381-ZBGL-G2024-0019</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二、对投标人的资格要求</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详见本项目公开招标公告。</w:t>
      </w:r>
      <w:r/>
    </w:p>
    <w:p>
      <w:pPr>
        <w:ind w:firstLine="600"/>
        <w:jc w:val="both"/>
        <w:spacing w:after="0" w:line="360" w:lineRule="auto"/>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w:t>
      </w:r>
      <w:r>
        <w:rPr>
          <w:rFonts w:hint="eastAsia" w:ascii="宋体" w:hAnsi="宋体" w:eastAsia="宋体" w:cs="宋体"/>
          <w:sz w:val="24"/>
          <w:szCs w:val="24"/>
          <w:highlight w:val="none"/>
          <w:lang w:eastAsia="zh-CN"/>
        </w:rPr>
        <w:t xml:space="preserve">获取招标文件</w:t>
      </w:r>
      <w:r/>
    </w:p>
    <w:p>
      <w:pPr>
        <w:ind w:firstLine="48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（1）时间：自招标文件公告发布之日起5个工作日</w:t>
      </w:r>
      <w:r>
        <w:rPr>
          <w:rFonts w:hint="eastAsia" w:ascii="宋体" w:hAnsi="宋体" w:eastAsia="宋体" w:cs="宋体"/>
          <w:sz w:val="24"/>
          <w:szCs w:val="24"/>
          <w:lang w:eastAsia="zh-CN"/>
        </w:rPr>
        <w:t xml:space="preserve">。</w:t>
      </w:r>
      <w:r/>
    </w:p>
    <w:p>
      <w:pPr>
        <w:ind w:firstLine="48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（2）获取方式：</w:t>
      </w:r>
      <w:r/>
    </w:p>
    <w:p>
      <w:pPr>
        <w:ind w:firstLine="48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本项目采用网上注册登记方式。    </w:t>
      </w:r>
      <w:r/>
    </w:p>
    <w:p>
      <w:pPr>
        <w:ind w:firstLine="48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1.潜在投标人访问电子招标投标交易平台的网络地址和方法：</w:t>
      </w:r>
      <w:r/>
    </w:p>
    <w:p>
      <w:pPr>
        <w:ind w:firstLine="48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2.潜在投标人访问“苏采云”系统的网络地址和方法：</w:t>
      </w:r>
      <w:r/>
    </w:p>
    <w:p>
      <w:pPr>
        <w:ind w:firstLine="480"/>
        <w:jc w:val="both"/>
        <w:spacing w:after="0" w:line="360" w:lineRule="auto"/>
        <w:rPr>
          <w:rFonts w:ascii="宋体" w:hAnsi="宋体" w:eastAsia="宋体" w:cs="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lang w:eastAsia="zh-CN"/>
        </w:rPr>
        <w:t xml:space="preserve"> </w:t>
      </w:r>
      <w:r>
        <w:rPr>
          <w:rFonts w:hint="eastAsia" w:ascii="宋体" w:hAnsi="宋体" w:eastAsia="宋体" w:cs="宋体"/>
          <w:sz w:val="24"/>
          <w:szCs w:val="24"/>
        </w:rPr>
        <w:t xml:space="preserve">“苏采云”系统的网址：http://jszfcg.jsczt.cn/；或进入徐州政府采购网（网址：http://czj.xz.gov.cn/Home/HomeIndex）--业务工作--用户登录，点击“苏采云”进入系统。</w:t>
      </w:r>
      <w:r/>
    </w:p>
    <w:p>
      <w:pPr>
        <w:ind w:firstLine="48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3.“CA数字证书”的获取：</w:t>
      </w:r>
      <w:r/>
    </w:p>
    <w:p>
      <w:pPr>
        <w:ind w:firstLine="48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w:t>
      </w:r>
      <w:r>
        <w:rPr>
          <w:rFonts w:hint="eastAsia" w:ascii="宋体" w:hAnsi="宋体" w:eastAsia="宋体" w:cs="宋体"/>
          <w:sz w:val="24"/>
          <w:szCs w:val="24"/>
        </w:rPr>
        <w:fldChar w:fldCharType="begin"/>
      </w:r>
      <w:r>
        <w:rPr>
          <w:rFonts w:hint="eastAsia" w:ascii="宋体" w:hAnsi="宋体" w:eastAsia="宋体" w:cs="宋体"/>
          <w:sz w:val="24"/>
          <w:szCs w:val="24"/>
          <w:lang w:eastAsia="zh-CN"/>
        </w:rPr>
        <w:instrText xml:space="preserve"> HYPERLINK "http://218.3.177.171:8088/Home/HomeDetails?type=13&amp;articleid=48474397-614b-4e09-ba87-56241d82e743" \o "\“苏采云\”系统政务CA办理材料、操作手册及控件下载" \t "http://218.3.177.171:8088/Home/_blank"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 xml:space="preserve">“苏采云”系统政务CA办理材料、操作手册及控件下载</w:t>
      </w:r>
      <w:r>
        <w:rPr>
          <w:rFonts w:hint="eastAsia" w:ascii="宋体" w:hAnsi="宋体" w:eastAsia="宋体" w:cs="宋体"/>
          <w:sz w:val="24"/>
          <w:szCs w:val="24"/>
        </w:rPr>
        <w:fldChar w:fldCharType="end"/>
      </w:r>
      <w:r>
        <w:rPr>
          <w:rFonts w:hint="eastAsia" w:ascii="宋体" w:hAnsi="宋体" w:eastAsia="宋体" w:cs="宋体"/>
          <w:sz w:val="24"/>
          <w:szCs w:val="24"/>
          <w:lang w:eastAsia="zh-CN"/>
        </w:rPr>
        <w:t xml:space="preserve">》。</w:t>
      </w:r>
      <w:r/>
    </w:p>
    <w:p>
      <w:pPr>
        <w:ind w:firstLine="48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5.招标代理机构（采购代理机构）将数据电文形式的招标文件加载至“苏采云”系统，供潜在投标人下载或者查阅。      </w:t>
      </w:r>
      <w:r/>
    </w:p>
    <w:p>
      <w:pPr>
        <w:ind w:firstLine="480"/>
        <w:jc w:val="both"/>
        <w:spacing w:after="0" w:line="360" w:lineRule="auto"/>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苏采云系统使用谷歌浏览器参与不见面开标</w:t>
      </w:r>
      <w:r>
        <w:rPr>
          <w:rFonts w:hint="eastAsia" w:ascii="宋体" w:hAnsi="宋体" w:eastAsia="宋体" w:cs="宋体"/>
          <w:sz w:val="24"/>
          <w:szCs w:val="24"/>
          <w:highlight w:val="none"/>
          <w:lang w:eastAsia="zh-CN"/>
        </w:rPr>
        <w:t xml:space="preserve">。</w:t>
      </w:r>
      <w:r/>
    </w:p>
    <w:p>
      <w:pPr>
        <w:ind w:firstLine="600"/>
        <w:jc w:val="both"/>
        <w:spacing w:after="0" w:line="360" w:lineRule="auto"/>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四、投标有关信息</w:t>
      </w:r>
      <w:r/>
    </w:p>
    <w:p>
      <w:pPr>
        <w:ind w:firstLine="600"/>
        <w:jc w:val="both"/>
        <w:spacing w:after="0" w:line="360" w:lineRule="auto"/>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（一）投标截止时间：</w:t>
      </w:r>
      <w:r>
        <w:rPr>
          <w:rFonts w:hint="eastAsia" w:ascii="宋体" w:hAnsi="宋体" w:eastAsia="宋体" w:cs="宋体"/>
          <w:color w:val="ff0000"/>
          <w:sz w:val="24"/>
          <w:szCs w:val="24"/>
          <w:highlight w:val="none"/>
          <w:lang w:eastAsia="zh-CN"/>
        </w:rPr>
        <w:t xml:space="preserve">202</w:t>
      </w:r>
      <w:r>
        <w:rPr>
          <w:rFonts w:hint="eastAsia" w:ascii="宋体" w:hAnsi="宋体" w:eastAsia="宋体" w:cs="宋体"/>
          <w:color w:val="ff0000"/>
          <w:sz w:val="24"/>
          <w:szCs w:val="24"/>
          <w:highlight w:val="none"/>
          <w:lang w:val="en-US" w:eastAsia="zh-CN"/>
        </w:rPr>
        <w:t xml:space="preserve">4</w:t>
      </w:r>
      <w:r>
        <w:rPr>
          <w:rFonts w:hint="eastAsia" w:ascii="宋体" w:hAnsi="宋体" w:eastAsia="宋体" w:cs="宋体"/>
          <w:color w:val="ff0000"/>
          <w:sz w:val="24"/>
          <w:szCs w:val="24"/>
          <w:highlight w:val="none"/>
          <w:lang w:eastAsia="zh-CN"/>
        </w:rPr>
        <w:t xml:space="preserve">年11</w:t>
      </w:r>
      <w:r>
        <w:rPr>
          <w:rFonts w:hint="eastAsia" w:ascii="宋体" w:hAnsi="宋体" w:eastAsia="宋体" w:cs="宋体"/>
          <w:color w:val="ff0000"/>
          <w:sz w:val="24"/>
          <w:szCs w:val="24"/>
          <w:highlight w:val="none"/>
          <w:lang w:eastAsia="zh-CN"/>
        </w:rPr>
        <w:t xml:space="preserve">月8</w:t>
      </w:r>
      <w:r>
        <w:rPr>
          <w:rFonts w:hint="eastAsia" w:ascii="宋体" w:hAnsi="宋体" w:eastAsia="宋体" w:cs="宋体"/>
          <w:color w:val="ff0000"/>
          <w:sz w:val="24"/>
          <w:szCs w:val="24"/>
          <w:highlight w:val="none"/>
          <w:lang w:eastAsia="zh-CN"/>
        </w:rPr>
        <w:t xml:space="preserve">日 北京时间9时30分</w:t>
      </w:r>
      <w:r>
        <w:rPr>
          <w:rFonts w:hint="eastAsia" w:ascii="宋体" w:hAnsi="宋体" w:eastAsia="宋体" w:cs="宋体"/>
          <w:sz w:val="24"/>
          <w:szCs w:val="24"/>
          <w:highlight w:val="none"/>
          <w:lang w:eastAsia="zh-CN"/>
        </w:rPr>
        <w:t xml:space="preserve">，（电子招标投标交易平台（即“苏采云”系统）的国家授时中心标准时间，下同），在截止时间后提交的首次响应文件为无效文件，将被拒收。</w:t>
      </w:r>
      <w:r/>
    </w:p>
    <w:p>
      <w:pPr>
        <w:ind w:firstLine="600"/>
        <w:jc w:val="both"/>
        <w:spacing w:after="0" w:line="360" w:lineRule="auto"/>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（二）开标时间：</w:t>
      </w:r>
      <w:r>
        <w:rPr>
          <w:rFonts w:hint="eastAsia" w:ascii="宋体" w:hAnsi="宋体" w:eastAsia="宋体" w:cs="宋体"/>
          <w:color w:val="ff0000"/>
          <w:sz w:val="24"/>
          <w:szCs w:val="24"/>
          <w:highlight w:val="none"/>
          <w:lang w:eastAsia="zh-CN"/>
        </w:rPr>
        <w:t xml:space="preserve">202</w:t>
      </w:r>
      <w:r>
        <w:rPr>
          <w:rFonts w:hint="eastAsia" w:ascii="宋体" w:hAnsi="宋体" w:eastAsia="宋体" w:cs="宋体"/>
          <w:color w:val="ff0000"/>
          <w:sz w:val="24"/>
          <w:szCs w:val="24"/>
          <w:highlight w:val="none"/>
          <w:lang w:val="en-US" w:eastAsia="zh-CN"/>
        </w:rPr>
        <w:t xml:space="preserve">4</w:t>
      </w:r>
      <w:r>
        <w:rPr>
          <w:rFonts w:hint="eastAsia" w:ascii="宋体" w:hAnsi="宋体" w:eastAsia="宋体" w:cs="宋体"/>
          <w:color w:val="ff0000"/>
          <w:sz w:val="24"/>
          <w:szCs w:val="24"/>
          <w:highlight w:val="none"/>
          <w:lang w:eastAsia="zh-CN"/>
        </w:rPr>
        <w:t xml:space="preserve">年11</w:t>
      </w:r>
      <w:r>
        <w:rPr>
          <w:rFonts w:hint="eastAsia" w:ascii="宋体" w:hAnsi="宋体" w:eastAsia="宋体" w:cs="宋体"/>
          <w:color w:val="ff0000"/>
          <w:sz w:val="24"/>
          <w:szCs w:val="24"/>
          <w:highlight w:val="none"/>
          <w:lang w:eastAsia="zh-CN"/>
        </w:rPr>
        <w:t xml:space="preserve">月8</w:t>
      </w:r>
      <w:r>
        <w:rPr>
          <w:rFonts w:hint="eastAsia" w:ascii="宋体" w:hAnsi="宋体" w:eastAsia="宋体" w:cs="宋体"/>
          <w:color w:val="ff0000"/>
          <w:sz w:val="24"/>
          <w:szCs w:val="24"/>
          <w:highlight w:val="none"/>
          <w:lang w:eastAsia="zh-CN"/>
        </w:rPr>
        <w:t xml:space="preserve">日  北京时间9时30分</w:t>
      </w:r>
      <w:r>
        <w:rPr>
          <w:rFonts w:hint="eastAsia" w:ascii="宋体" w:hAnsi="宋体" w:eastAsia="宋体" w:cs="宋体"/>
          <w:sz w:val="24"/>
          <w:szCs w:val="24"/>
          <w:highlight w:val="none"/>
          <w:lang w:eastAsia="zh-CN"/>
        </w:rPr>
        <w:t xml:space="preserve">。</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（三）线上开标地点：“苏采云”系统（网址：http://jszfcg.jsczt.cn/）“开标大厅”或进入徐州政府采购网（网址：http://czj.xz.gov.cn/Home/HomeIndex）-业务工作 -用户登录，点击“苏采云”进入系统“开标大厅”。 </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五、采购人</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（一）名称：新沂市检验检测中心</w:t>
      </w:r>
      <w:r/>
    </w:p>
    <w:p>
      <w:pPr>
        <w:ind w:firstLine="600"/>
        <w:jc w:val="both"/>
        <w:spacing w:after="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（二）地址：新沂市大桥西路4号 </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（三）联系方法：15952191216 </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六、采购代理机构</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（一）名称：江苏众邦工程管理有限公司</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（二）地址：</w:t>
      </w:r>
      <w:r>
        <w:rPr>
          <w:rFonts w:hint="eastAsia" w:ascii="宋体" w:hAnsi="宋体" w:cs="宋体"/>
          <w:sz w:val="24"/>
          <w:lang w:eastAsia="zh-CN"/>
        </w:rPr>
        <w:t xml:space="preserve">新沂市花厅路华丰商城南门内西一排10幢-6号</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（三）联系方法：</w:t>
      </w:r>
      <w:r>
        <w:rPr>
          <w:rFonts w:hint="eastAsia" w:ascii="宋体" w:hAnsi="宋体" w:eastAsia="宋体" w:cs="宋体"/>
          <w:sz w:val="24"/>
          <w:lang w:eastAsia="zh-CN"/>
        </w:rPr>
        <w:t xml:space="preserve">0516-88995208</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（四）采购项目联系人：徐宁</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firstLine="600"/>
        <w:jc w:val="cente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ind w:firstLine="600"/>
        <w:jc w:val="both"/>
        <w:spacing w:after="0" w:line="360"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jc w:val="both"/>
        <w:spacing w:after="0" w:line="360"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rPr>
          <w:rFonts w:hint="eastAsia" w:ascii="宋体" w:hAnsi="宋体" w:eastAsia="宋体" w:cs="宋体"/>
          <w:sz w:val="28"/>
          <w:szCs w:val="28"/>
          <w:lang w:eastAsia="zh-CN"/>
        </w:rPr>
        <w:br w:type="page" w:clear="all"/>
      </w:r>
      <w:r/>
    </w:p>
    <w:p>
      <w:pPr>
        <w:jc w:val="center"/>
        <w:spacing w:after="0" w:line="720"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lang w:eastAsia="zh-CN"/>
        </w:rPr>
        <w:t xml:space="preserve">第二章  投标人须知</w:t>
      </w:r>
      <w:r/>
    </w:p>
    <w:p>
      <w:pPr>
        <w:ind w:firstLine="600"/>
        <w:jc w:val="both"/>
        <w:spacing w:after="0" w:line="360"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一、总则</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（一）采购人。采购人即指依法进行政府采购的国家机关、事业单位和团体组织。</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（二）政府招标采购方式。政府采购货物或服务（以下简称“货物服务”）的招标方式，分为公开招标和邀请招标。</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（三）采购人在采购货物服务的招标投标活动中，应当贯彻落实“节约能源、保护环境、扶持不发达地区和少数民族地区和促进中小企业发展”等政府采购政策。</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（五）采购人委托采购代理机构代理招标的，采购代理机构必须在采购人委托的范围内依法开展采购活动。</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（六）投标人的资格条件：</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投标人是指响应招标、参加投标竞争的法人、其他组织或者自然人。</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2.投标人授权代表系指法定代表人或受法人委托的受托人。</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二、招标</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（八）招标文件应包括以下内容：</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第一章，投标邀请；</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第二章，投标人须知；</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第三章，投标资料表；</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第四章，评标标准；</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第五章，拟签订的合同文本；</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第六章，采购需求；</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第七章，投标文件相关格式。</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（九）招标文件澄清或者修改：</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2.现场考察以本文件第三章《投标资料表》中的要求为准。</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3.开标前答疑会以本文件第三章《投标资料表》中的要求为准。</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三、投标</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（十）投标人应当按照招标文件的要求编制投标文件。投标文件应对招标文件提出的要求和条件作出实质性响应。</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（十二）投标文件的构成：</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1.投标文件的构成以本文件第三章《投标资料表》中的要求为准。</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2.投标人应当提交的资格、资信证明文件，以本文件第三章《投标资料表》中的所提要求为准。</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（十三）投标函和价格表、商务条件、交货和提供服务的时间：</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1.投标函和价格表的要求见本章（十二）、（十三），格式见本文件第七章《投标文件相关格式》中《投标函》和《开标一览表》。</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2.商务条件以本文件第三章《投标资料表》中的要求为准。</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3.交货和提供服务的时间，以本文件第三章《投标资料表》中所提要求为准。</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（十四）投标报价要求：</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1.投标人应按照招标文件的要求报出分项价格和总价。</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2.投标人应按照招标文件的要求进行报价，如投标人作出偏离，应在《偏离表》中列出。</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3.采购人不支付报价以外的任何费用。</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5.投标人只能提交一个投标价格，投标人提交多个价格的投标文件，在资格性、符合性检查时按照无效投标处理。</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（十五）投标货币。以本文件第三章《投标资料表》中所提要求为准。</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（十六）投标有效期：</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1.投标有效期为开标之日后90天。采购人可以要求对投标有效期延长一次，但该延长期最长不得超过30天。</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（十七）投标文件的编制要求和签署要求</w:t>
      </w:r>
      <w:r/>
    </w:p>
    <w:p>
      <w:pPr>
        <w:ind w:firstLine="482"/>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（1）电子招标投标交易平台（即“苏采云”系统）相关要求是本招标文件的组成部分。</w:t>
      </w:r>
      <w:r/>
    </w:p>
    <w:p>
      <w:pPr>
        <w:ind w:firstLine="482"/>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（2）投标人应由其法定代表人或法定代表人授权代表在规定的网上投标时间，凭 CA 证书登陆“苏采云”系统在线编制投标文件（电子数据），并在投标截止时间之前上传投标文件。</w:t>
      </w:r>
      <w:r/>
    </w:p>
    <w:p>
      <w:pPr>
        <w:ind w:firstLine="482"/>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（3）投标人应对 CA 证书妥善保管，如被他人盗用投标，因此带来的结果均由投标人自行承担。</w:t>
      </w:r>
      <w:r/>
    </w:p>
    <w:p>
      <w:pPr>
        <w:ind w:firstLine="482"/>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（4）投标人应当对招标文件提出的要求和条件作出实质性响应，并在电子投标系统逐条应答。</w:t>
      </w:r>
      <w:r/>
    </w:p>
    <w:p>
      <w:pPr>
        <w:ind w:firstLine="482"/>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（5）投标人应对要求提供的资格证明文件（如资质证书、资格证书）、技术资料（如白皮书、彩页、手册、检测报告等）扫描上传至投标系统。</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（十八）投标文件的盖章要求：</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投标文件的盖章要求，以本文件第三章《投标资料表》中所提要求为准。</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（十九）提交投标文件的截止时间和收到投标文件后注意事项。投标人应在招标文件要求的提交投标文件的截止时间前，将投标文件提交至“苏采云”系统。</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（二十二）本项目不允许分包。</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（二十三）投标人应当遵循公平竞争的原则，不得恶意串通，不得妨碍其他投标人的竞争行为，不得损害采购人或者其他投标人的合法权益。</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在评标过程中发现投标人有上述情形的，评标委员会应当认定其投标无效，并书面报告本级财政部门。</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（二十四）有下列情形之一的，其投标无效。</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1.不同投标人的投标文件，由同一单位或者个人编制；</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2.不同投标人委托同一单位或者个人办理投标事宜；</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3.不同投标人的投标文件中，所载明的项目管理成员或联系人为同一人；</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4.不同投标人的投标文件，异常一致或者投标报价呈规律性差异；</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6.电子投标文件未按规定期限投标的；</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7.电子投标文件未按招标文件要求签章的；</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8.投标人未在规定时间内解密电子投标文件的；</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9.投标文件未按招标文件规定的内容和要求填写的；没有在投标系统指定位置上传对应文件、材料的；</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10.不具备招标文件中规定的资格要求的；</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11.报价超过招标文件中规定的预算金额或者最高限价的；</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12.投标文件含有采购人不能接受的附加条件的；</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13.法律、法规和招标文件规定的其他无效情形。</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四、开标</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（二十五）开标：</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2.由电子招标投标交易平台主持，邀请投标人参加。</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3.所有投标单位使用 CA 证书在开标时间时，解密各自投标文件，由工作人员操作系统进行开标，投标人不足3家的，不得评标。</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5.投标人未参加开标的，视同认可开标结果。</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五、评标</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（二十六）公开招标采购项目开标结束后，采购人依法对投标人的资格进行审查。合格投标人不足3家的，不得评标。</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1.评标工作由采购代理机构负责组织，并履行下列职责：</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（1）核对评审专家身份和采购人代表授权函，对评审专家在政府采购活动中的职责履行情况予以记录，并及时将有关违法违规行为向财政部门报告；</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（2）宣布评标纪律；</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（3）公布投标人名单，告知评审专家应当回避的情形；</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（4）组织评标委员会推选评标组长（采购人代表不得担任组长）；</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（5）在评标期间采取必要的通讯管理措施，保证评标活动不受外界干扰；</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（6）根据评标委员会的要求介绍政府采购相关政策法规、招标文件；</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（8）核对评标结果，对有《</w:t>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"http://www.caigou2003.com/" \o "http://www.caigou2003.com/"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xml:space="preserve">政府采购</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货物和服务招标投标管理办法》第六十四条规定情形的，应要求评标委员会复核或者书面说明理由，评标委员会拒绝的，应予记录并向本级财政部门报告；</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（9）评审工作完成后，按照规定向评审专家支付劳务报酬和异地评审差旅费，不得向评审专家以外的其他人员支付评审劳务报酬； </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（10）处理与评标有关的其他事项。</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2.评标委员会负责具体评标事务，并独立履行下列职责：</w:t>
      </w:r>
      <w:r/>
    </w:p>
    <w:p>
      <w:pPr>
        <w:ind w:firstLine="45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（1）审查、评价投标文件是否符合招标文件的商务、技术等实质性要求；</w:t>
      </w:r>
      <w:r/>
    </w:p>
    <w:p>
      <w:pPr>
        <w:ind w:firstLine="45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（2）要求投标人对投标文件有关事项作出澄清或者说明；</w:t>
      </w:r>
      <w:r/>
    </w:p>
    <w:p>
      <w:pPr>
        <w:ind w:firstLine="45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（3）对投标文件进行比较和评价；</w:t>
      </w:r>
      <w:r/>
    </w:p>
    <w:p>
      <w:pPr>
        <w:ind w:firstLine="45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（4）确定中标候选人名单，以及根据采购人委托直接确定中标人；</w:t>
      </w:r>
      <w:r/>
    </w:p>
    <w:p>
      <w:pPr>
        <w:ind w:firstLine="45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（5）向采购人、采购代理机构或有关部门报告评标中发现的违法行为。</w:t>
      </w:r>
      <w:r/>
    </w:p>
    <w:p>
      <w:pPr>
        <w:ind w:firstLine="45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（二十七）评标方法分为最低评标价法和综合评分法。</w:t>
      </w:r>
      <w:r/>
    </w:p>
    <w:p>
      <w:pPr>
        <w:ind w:firstLine="45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（二十八）评标</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1.评标工作程序：</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（1）投标文件初审。</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①资格性审查。</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②符合性审查。</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（2）澄清有关问题。</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（3）比较与评价。</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（4）推荐中标候选供应商名单。</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（5）编写评审报告（评标报告）。</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3.采用</w:t>
      </w:r>
      <w:r>
        <w:rPr>
          <w:rFonts w:hint="eastAsia"/>
        </w:rPr>
        <w:fldChar w:fldCharType="begin"/>
      </w:r>
      <w:r>
        <w:rPr>
          <w:rFonts w:hint="eastAsia" w:ascii="宋体" w:hAnsi="宋体" w:eastAsia="宋体" w:cs="宋体"/>
          <w:sz w:val="24"/>
          <w:szCs w:val="24"/>
          <w:lang w:eastAsia="zh-CN"/>
        </w:rPr>
        <w:instrText xml:space="preserve"> HYPERLINK "http://lilun.caigou2003.com/recijiedu/2365668.html" \o "http://lilun.caigou2003.com/recijiedu/2365668.html" </w:instrText>
      </w:r>
      <w:r>
        <w:rPr>
          <w:rFonts w:hint="eastAsia"/>
        </w:rPr>
        <w:fldChar w:fldCharType="separate"/>
      </w:r>
      <w:r>
        <w:rPr>
          <w:rStyle w:val="864"/>
          <w:rFonts w:hint="eastAsia" w:ascii="宋体" w:hAnsi="宋体" w:eastAsia="宋体" w:cs="宋体"/>
          <w:color w:val="auto"/>
          <w:sz w:val="24"/>
          <w:szCs w:val="24"/>
          <w:u w:val="none"/>
          <w:lang w:eastAsia="zh-CN"/>
        </w:rPr>
        <w:t xml:space="preserve">最低评标价法</w:t>
      </w:r>
      <w:r>
        <w:rPr>
          <w:rStyle w:val="864"/>
          <w:rFonts w:hint="eastAsia" w:ascii="宋体" w:hAnsi="宋体" w:eastAsia="宋体" w:cs="宋体"/>
          <w:color w:val="auto"/>
          <w:sz w:val="24"/>
          <w:szCs w:val="24"/>
          <w:u w:val="none"/>
        </w:rPr>
        <w:fldChar w:fldCharType="end"/>
      </w:r>
      <w:r>
        <w:rPr>
          <w:rFonts w:hint="eastAsia" w:ascii="宋体" w:hAnsi="宋体" w:eastAsia="宋体" w:cs="宋体"/>
          <w:sz w:val="24"/>
          <w:szCs w:val="24"/>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采用</w:t>
      </w:r>
      <w:r>
        <w:fldChar w:fldCharType="begin"/>
      </w:r>
      <w:r>
        <w:instrText xml:space="preserve"> HYPERLINK "http://lilun.caigou2003.com/recijiedu/2365667.html" \o "http://lilun.caigou2003.com/recijiedu/2365667.html" </w:instrText>
      </w:r>
      <w:r>
        <w:fldChar w:fldCharType="separate"/>
      </w:r>
      <w:r>
        <w:rPr>
          <w:rStyle w:val="864"/>
          <w:rFonts w:hint="eastAsia" w:ascii="宋体" w:hAnsi="宋体" w:eastAsia="宋体" w:cs="宋体"/>
          <w:color w:val="auto"/>
          <w:sz w:val="24"/>
          <w:szCs w:val="24"/>
          <w:u w:val="none"/>
          <w:lang w:eastAsia="zh-CN"/>
        </w:rPr>
        <w:t xml:space="preserve">综合评分法</w:t>
      </w:r>
      <w:r>
        <w:rPr>
          <w:rStyle w:val="864"/>
          <w:rFonts w:hint="eastAsia" w:ascii="宋体" w:hAnsi="宋体" w:eastAsia="宋体" w:cs="宋体"/>
          <w:color w:val="auto"/>
          <w:sz w:val="24"/>
          <w:szCs w:val="24"/>
          <w:u w:val="none"/>
          <w:lang w:eastAsia="zh-CN"/>
        </w:rPr>
        <w:fldChar w:fldCharType="end"/>
      </w:r>
      <w:r>
        <w:rPr>
          <w:rFonts w:hint="eastAsia" w:ascii="宋体" w:hAnsi="宋体" w:eastAsia="宋体" w:cs="宋体"/>
          <w:sz w:val="24"/>
          <w:szCs w:val="24"/>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非单一产品采购项目，多家投标人提供的核心产品品牌相同的，按前两款规定处理。</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（二十九）投标文件报价出现前后不一致的，按照下列规定修正：</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1.投标文件中开标一览表（报价表）内容与投标文件中相应内容不一致的，以开标一览表（报价表）为准；</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2.大写金额和小写金额不一致的，以大写金额为准；</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3.单价金额小数点或者百分比有明显错位的，以开标一览表的总价为准，并修改单价；</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4.总价金额与按单价合计金额不一致的，以单价金额计算结果为准。</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评标中需要投标人对投标文件澄清或者说明的，应当通过“苏采云”系统交换数据电文。在评标期间，请投标人保持在线。</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（三十二）废标条款：</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出现下列情形之一的，应予废标。</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1.符合专业条件的供应商或者对招标文件作实质响应的供应商不足三家的；</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2.出现影响采购公正的违法、违规行为的；</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3.投标人的报价均超过了采购预算，采购人不能支付的；</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4.因重大变故，采购任务取消的。</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六、定标</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（三十三）采购代理机构应当在评标结束后2个工作日内将评标报告送采购人。</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（三十四）采购人应当自收到评标报告之日起5个工作日内，在评标报告确定的中标候选人名单中按顺序确定中标人。</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（三十五）签订合同前，中标人必须向采购人提交其投标文件中所有扫描件的原件，采购人核查无误后，签订合同。如中标人不能在采购人规定的时间内向采购人提供原件，将被采购人视为放弃中标资格。</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七、政府采购合同</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（三十六）签订政府采购合同（合同签订方式）：</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采购人应当自中标通知书发出之日起30日内，按照招标文件和中标人投标文件的规定，与中标人签订书面合同。所签订的合同不得对招标文件确定的事项和中标人投标文件作实质性修改。采购人应当自政府采购合同签订之日起2个工作日内，将政府采购合同在省级以上人民政府财政部门指定的媒体上公告。</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采购人不得向中标人提出任何不合理的要求作为签订合同的条件。</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（三十七）采购人与中标人应当根据合同的约定依法履行合同义务。政府采购合同的履行、违约责任和解决争议的方法等，按《中华人民共和国民法典》相关条款执行。</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（三十八）履约保证金：无</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（三十九）腐败和欺诈行为：</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1.采购代理机构、采购人、投标人等参与招投标的各方，均应在招标、采购、合同执行等过程中保持廉洁和最高的道德水准。</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（1）腐败和欺诈行为的含义：</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②“欺诈行为”系指为了影响招标、采购和合同执行等过程，隐瞒事实真象，给买方、卖方、采购代理机构及他人造成损害的行为，其中包括投标人之间的串通行为。</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（2）如果被推荐的中标人有腐败和欺诈行为，将取消其中标资格。</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（3）如果投标人在任何时候，被法院及政府有关管理部门认定为有腐败和欺诈行为，采购代理机构有权拒绝其投标、取消其中标资格和撤消其已签署的合同。</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八、询问和质疑</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（四十）询问和质疑</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供应商对政府采购活动事项有疑问的，向采购代理机构</w:t>
      </w:r>
      <w:r>
        <w:rPr>
          <w:rFonts w:hint="eastAsia" w:ascii="宋体" w:hAnsi="宋体" w:eastAsia="宋体" w:cs="宋体"/>
          <w:sz w:val="24"/>
          <w:szCs w:val="24"/>
          <w:lang w:val="en-US" w:eastAsia="zh-CN"/>
        </w:rPr>
        <w:t xml:space="preserve">或采购人</w:t>
      </w:r>
      <w:r>
        <w:rPr>
          <w:rFonts w:hint="eastAsia" w:ascii="宋体" w:hAnsi="宋体" w:eastAsia="宋体" w:cs="宋体"/>
          <w:sz w:val="24"/>
          <w:szCs w:val="24"/>
          <w:lang w:eastAsia="zh-CN"/>
        </w:rPr>
        <w:t xml:space="preserve">提出询问；供应商认为采购文件、采购过程和中标、成交结果使自己的权益受到损害的，可以在知道或者应知其权益受到损害之日起，七个工作日内以书面形式向采购代理机构</w:t>
      </w:r>
      <w:r>
        <w:rPr>
          <w:rFonts w:hint="eastAsia" w:ascii="宋体" w:hAnsi="宋体" w:eastAsia="宋体" w:cs="宋体"/>
          <w:sz w:val="24"/>
          <w:szCs w:val="24"/>
          <w:lang w:val="en-US" w:eastAsia="zh-CN"/>
        </w:rPr>
        <w:t xml:space="preserve">或采购人</w:t>
      </w:r>
      <w:r>
        <w:rPr>
          <w:rFonts w:hint="eastAsia" w:ascii="宋体" w:hAnsi="宋体" w:eastAsia="宋体" w:cs="宋体"/>
          <w:sz w:val="24"/>
          <w:szCs w:val="24"/>
          <w:lang w:eastAsia="zh-CN"/>
        </w:rPr>
        <w:t xml:space="preserve">提出质疑。询问和质疑由采购代理机构</w:t>
      </w:r>
      <w:r>
        <w:rPr>
          <w:rFonts w:hint="eastAsia" w:ascii="宋体" w:hAnsi="宋体" w:eastAsia="宋体" w:cs="宋体"/>
          <w:sz w:val="24"/>
          <w:szCs w:val="24"/>
          <w:lang w:val="en-US" w:eastAsia="zh-CN"/>
        </w:rPr>
        <w:t xml:space="preserve">或采购人</w:t>
      </w:r>
      <w:r>
        <w:rPr>
          <w:rFonts w:hint="eastAsia" w:ascii="宋体" w:hAnsi="宋体" w:eastAsia="宋体" w:cs="宋体"/>
          <w:sz w:val="24"/>
          <w:szCs w:val="24"/>
          <w:lang w:eastAsia="zh-CN"/>
        </w:rPr>
        <w:t xml:space="preserve">依法处理。</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九、电子招标投标交易平台</w:t>
      </w:r>
      <w:r/>
    </w:p>
    <w:p>
      <w:pPr>
        <w:ind w:firstLine="600"/>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（四十一）电子招标投标交易平台（即“苏采云”系统，网址：</w:t>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"http://jszfcg.jsczt.cn/" \o "http://jszfcg.jsczt.cn/"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xml:space="preserve">http://jszfcg.jsczt.cn/</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）相关要求是本招标文件的组成部分。</w:t>
      </w:r>
      <w:r/>
    </w:p>
    <w:p>
      <w:pPr>
        <w:jc w:val="center"/>
        <w:spacing w:after="0" w:line="720" w:lineRule="atLeast"/>
        <w:rPr>
          <w:rFonts w:ascii="宋体" w:hAnsi="宋体" w:eastAsia="宋体" w:cs="宋体"/>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sz w:val="28"/>
          <w:szCs w:val="28"/>
        </w:rPr>
        <w:br w:type="page" w:clear="all"/>
      </w:r>
      <w:r/>
    </w:p>
    <w:p>
      <w:pPr>
        <w:jc w:val="center"/>
        <w:spacing w:after="0" w:line="720"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lang w:eastAsia="zh-CN"/>
        </w:rPr>
        <w:t xml:space="preserve">第三章 </w:t>
      </w:r>
      <w:r>
        <w:rPr>
          <w:rFonts w:ascii="宋体" w:hAnsi="宋体" w:eastAsia="宋体" w:cs="宋体"/>
          <w:b/>
          <w:sz w:val="28"/>
          <w:szCs w:val="28"/>
          <w:lang w:eastAsia="zh-CN"/>
        </w:rPr>
        <w:t xml:space="preserve"> </w:t>
      </w:r>
      <w:r>
        <w:rPr>
          <w:rFonts w:hint="eastAsia" w:ascii="宋体" w:hAnsi="宋体" w:eastAsia="宋体" w:cs="宋体"/>
          <w:b/>
          <w:sz w:val="28"/>
          <w:szCs w:val="28"/>
          <w:lang w:eastAsia="zh-CN"/>
        </w:rPr>
        <w:t xml:space="preserve">投标资料表</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23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tbl>
      <w:tblPr>
        <w:tblStyle w:val="861"/>
        <w:tblW w:w="890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8"/>
        <w:gridCol w:w="760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本项目采购人：新沂市检验检测中心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采购人确定的采购项目属性：货物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本项目采购代理机构：江苏众邦工程管理有限公司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投标人的资格条件：</w:t>
            </w:r>
            <w:r/>
          </w:p>
          <w:p>
            <w:pPr>
              <w:numPr>
                <w:ilvl w:val="0"/>
                <w:numId w:val="2"/>
              </w:num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符合《中华人民共和国政府采购法》第二十二条的规定；</w:t>
            </w:r>
            <w:r/>
          </w:p>
          <w:p>
            <w:pPr>
              <w:numPr>
                <w:ilvl w:val="0"/>
                <w:numId w:val="2"/>
              </w:numPr>
              <w:jc w:val="both"/>
              <w:spacing w:after="0" w:line="400" w:lineRule="atLeas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落实政府采购政策需满足的资格要求：</w:t>
            </w:r>
            <w:r>
              <w:rPr>
                <w:rFonts w:hint="eastAsia" w:ascii="宋体" w:hAnsi="宋体" w:eastAsia="宋体" w:cs="宋体"/>
                <w:b/>
                <w:bCs/>
                <w:sz w:val="24"/>
                <w:szCs w:val="24"/>
                <w:lang w:eastAsia="zh-CN"/>
              </w:rPr>
              <w:t xml:space="preserve">本项目不属于专门面向中小微企业采购的项目。</w:t>
            </w:r>
            <w:r/>
          </w:p>
          <w:p>
            <w:pPr>
              <w:numPr>
                <w:ilvl w:val="0"/>
                <w:numId w:val="2"/>
              </w:numPr>
              <w:jc w:val="both"/>
              <w:spacing w:after="0" w:line="400" w:lineRule="atLeas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本项目的特定资格要求：无</w:t>
            </w:r>
            <w:r>
              <w:rPr>
                <w:rFonts w:hint="eastAsia" w:ascii="宋体" w:hAnsi="宋体" w:eastAsia="宋体"/>
                <w:b/>
                <w:bCs/>
                <w:sz w:val="24"/>
                <w:szCs w:val="24"/>
                <w:lang w:eastAsia="zh-CN"/>
              </w:rPr>
              <w:t xml:space="preserve">。</w:t>
            </w:r>
            <w:r/>
          </w:p>
          <w:p>
            <w:pPr>
              <w:jc w:val="both"/>
              <w:spacing w:after="0" w:line="400" w:lineRule="atLeast"/>
              <w:rPr>
                <w:rFonts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同时明确相关事项如下：</w:t>
            </w:r>
            <w:r/>
          </w:p>
          <w:p>
            <w:pPr>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一、本项目不接受联合体参与采购活动。</w:t>
            </w:r>
            <w:r/>
          </w:p>
          <w:p>
            <w:pPr>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二、单位负责人为同一人或者存在直接控股、管理关系的不同供应商，不得参加同一合同项下的政府采购活动。</w:t>
            </w:r>
            <w:r/>
          </w:p>
          <w:p>
            <w:pPr>
              <w:ind w:right="-132"/>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三、为本采购项目提供监理、检测等服务的供应商，不得再参加本采购项目的采购活动。</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四、查询及使用供应商信用记录：</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(一)由采购人查询信用信息。</w:t>
            </w:r>
            <w:r/>
          </w:p>
          <w:p>
            <w:pPr>
              <w:jc w:val="both"/>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(二)查询渠道包括：</w:t>
            </w:r>
            <w:r/>
          </w:p>
          <w:p>
            <w:pPr>
              <w:ind w:right="-97"/>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①“信用中国”网（www.creditchina.gov.cn）；</w:t>
            </w:r>
            <w:r/>
          </w:p>
          <w:p>
            <w:pPr>
              <w:ind w:right="-97"/>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②“中国政府采购”网（www.ccgp.gov.cn）；</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(三)截止时点（查询环节）：资格审查结束前。</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(四)信用信息查询记录和证据留存的具体方式：网页截屏打印，与其他采购文件一并保存。</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(五)信用信息的使用规则：</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招标代理服务费由中标人支付，标准参照徐州市政府采购业务代理服务费行业指导价格标准。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不安排现场考察。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不安排开标前答疑会。</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(十一)</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投标文件的语言为中文。</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(十二)1</w:t>
            </w:r>
            <w:r/>
          </w:p>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(十二)2</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7603" w:type="dxa"/>
            <w:textDirection w:val="lrTb"/>
            <w:noWrap w:val="false"/>
          </w:tcPr>
          <w:p>
            <w:pPr>
              <w:jc w:val="both"/>
              <w:spacing w:before="100" w:after="10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投标文件编制要求：</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请按照以下要求（包括但不限于以下要求）制作：</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一、基本目录</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1.《开标一览表》（加盖电子签章，政府采购客户端工具输入报价自动生成）；</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2.《法定代表人授权书》（提供原件的扫描件，加盖电子签章，格式见招标文件第七章《投标文件相关格式》）；</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3、所投产品的环境标志产品认证证书原件的扫描件（如有）。</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注：</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（2）环境标志产品认证证书是否符合要求，采购人评标时查询中国政府采购网（www.ccgp.gov.cn）相关内容后确定。</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4、所投产品的节能产品认证证书原件的扫描件（如有）。</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注：</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（2）节能产品认证证书是否符合要求，采购人评标时查询中国政府采购网（www.ccgp.gov.cn）相关内容后确定。</w:t>
            </w:r>
            <w:r/>
          </w:p>
          <w:p>
            <w:pPr>
              <w:jc w:val="both"/>
              <w:spacing w:after="0" w:line="400" w:lineRule="atLeast"/>
              <w:rPr>
                <w:rFonts w:ascii="宋体" w:hAnsi="宋体" w:eastAsia="宋体" w:cs="宋体"/>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二、资格条件（</w:t>
            </w:r>
            <w:r>
              <w:rPr>
                <w:rFonts w:hint="eastAsia" w:ascii="宋体" w:hAnsi="宋体" w:eastAsia="宋体" w:cs="宋体"/>
                <w:b/>
                <w:color w:val="ff0000"/>
                <w:sz w:val="24"/>
                <w:szCs w:val="24"/>
                <w:lang w:eastAsia="zh-CN"/>
              </w:rPr>
              <w:t xml:space="preserve">1-5必须提供，否则投标无效，请各投标供应商仔细核对！</w:t>
            </w:r>
            <w:r>
              <w:rPr>
                <w:rFonts w:hint="eastAsia" w:ascii="宋体" w:hAnsi="宋体" w:eastAsia="宋体" w:cs="宋体"/>
                <w:b/>
                <w:sz w:val="24"/>
                <w:szCs w:val="24"/>
                <w:lang w:eastAsia="zh-CN"/>
              </w:rPr>
              <w:t xml:space="preserve">）</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1.具有独立承担民事责任的能力，提供投标人</w:t>
            </w:r>
            <w:r>
              <w:rPr>
                <w:rFonts w:hint="eastAsia" w:ascii="宋体" w:hAnsi="宋体" w:eastAsia="宋体" w:cs="宋体"/>
                <w:b/>
                <w:bCs/>
                <w:sz w:val="24"/>
                <w:szCs w:val="24"/>
                <w:lang w:eastAsia="zh-CN"/>
              </w:rPr>
              <w:t xml:space="preserve">合法有效的法人的营业执照</w:t>
            </w:r>
            <w:r>
              <w:rPr>
                <w:rFonts w:hint="eastAsia" w:ascii="宋体" w:hAnsi="宋体" w:eastAsia="宋体" w:cs="宋体"/>
                <w:sz w:val="24"/>
                <w:szCs w:val="24"/>
                <w:lang w:eastAsia="zh-CN"/>
              </w:rPr>
              <w:t xml:space="preserve">(或</w:t>
            </w:r>
            <w:r>
              <w:rPr>
                <w:rFonts w:hint="eastAsia" w:ascii="宋体" w:hAnsi="宋体" w:eastAsia="宋体" w:cs="宋体"/>
                <w:b/>
                <w:bCs/>
                <w:sz w:val="24"/>
                <w:szCs w:val="24"/>
                <w:lang w:eastAsia="zh-CN"/>
              </w:rPr>
              <w:t xml:space="preserve">事业单位法人证书</w:t>
            </w:r>
            <w:r>
              <w:rPr>
                <w:rFonts w:hint="eastAsia" w:ascii="宋体" w:hAnsi="宋体" w:eastAsia="宋体" w:cs="宋体"/>
                <w:sz w:val="24"/>
                <w:szCs w:val="24"/>
                <w:lang w:eastAsia="zh-CN"/>
              </w:rPr>
              <w:t xml:space="preserve">)或</w:t>
            </w:r>
            <w:r>
              <w:rPr>
                <w:rFonts w:hint="eastAsia" w:ascii="宋体" w:hAnsi="宋体" w:eastAsia="宋体" w:cs="宋体"/>
                <w:b/>
                <w:bCs/>
                <w:sz w:val="24"/>
                <w:szCs w:val="24"/>
                <w:lang w:eastAsia="zh-CN"/>
              </w:rPr>
              <w:t xml:space="preserve">其他组织应提供合法证明文件</w:t>
            </w:r>
            <w:r>
              <w:rPr>
                <w:rFonts w:hint="eastAsia" w:ascii="宋体" w:hAnsi="宋体" w:eastAsia="宋体" w:cs="宋体"/>
                <w:sz w:val="24"/>
                <w:szCs w:val="24"/>
                <w:lang w:eastAsia="zh-CN"/>
              </w:rPr>
              <w:t xml:space="preserve">的原件扫描件(加盖电子签章)。</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2.财务状况报告，至少提供：即提供投标人的</w:t>
            </w:r>
            <w:r>
              <w:rPr>
                <w:rFonts w:hint="eastAsia" w:ascii="宋体" w:hAnsi="宋体" w:eastAsia="宋体" w:cs="宋体"/>
                <w:b/>
                <w:bCs/>
                <w:sz w:val="24"/>
                <w:szCs w:val="24"/>
                <w:lang w:eastAsia="zh-CN"/>
              </w:rPr>
              <w:t xml:space="preserve">本项目开标时间前6个月内任何1月（不含开标当月）的资产负债表原件</w:t>
            </w:r>
            <w:r>
              <w:rPr>
                <w:rFonts w:hint="eastAsia" w:ascii="宋体" w:hAnsi="宋体" w:eastAsia="宋体" w:cs="宋体"/>
                <w:b w:val="0"/>
                <w:bCs w:val="0"/>
                <w:sz w:val="24"/>
                <w:szCs w:val="24"/>
                <w:lang w:eastAsia="zh-CN"/>
              </w:rPr>
              <w:t xml:space="preserve">的扫描件1份</w:t>
            </w:r>
            <w:r>
              <w:rPr>
                <w:rFonts w:hint="eastAsia" w:ascii="宋体" w:hAnsi="宋体" w:eastAsia="宋体" w:cs="宋体"/>
                <w:sz w:val="24"/>
                <w:szCs w:val="24"/>
                <w:lang w:eastAsia="zh-CN"/>
              </w:rPr>
              <w:t xml:space="preserve">；投标人的</w:t>
            </w:r>
            <w:r>
              <w:rPr>
                <w:rFonts w:hint="eastAsia" w:ascii="宋体" w:hAnsi="宋体" w:eastAsia="宋体" w:cs="宋体"/>
                <w:b/>
                <w:bCs/>
                <w:sz w:val="24"/>
                <w:szCs w:val="24"/>
                <w:lang w:eastAsia="zh-CN"/>
              </w:rPr>
              <w:t xml:space="preserve">本项目开标时间前6个月内任何1月（不含开标当月）利润表月报表原件</w:t>
            </w:r>
            <w:r>
              <w:rPr>
                <w:rFonts w:hint="eastAsia" w:ascii="宋体" w:hAnsi="宋体" w:eastAsia="宋体" w:cs="宋体"/>
                <w:sz w:val="24"/>
                <w:szCs w:val="24"/>
                <w:lang w:eastAsia="zh-CN"/>
              </w:rPr>
              <w:t xml:space="preserve">的扫描件1份；</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3.投标人的</w:t>
            </w:r>
            <w:r>
              <w:rPr>
                <w:rFonts w:hint="eastAsia" w:ascii="宋体" w:hAnsi="宋体" w:eastAsia="宋体" w:cs="宋体"/>
                <w:b/>
                <w:bCs/>
                <w:sz w:val="24"/>
                <w:szCs w:val="24"/>
                <w:lang w:eastAsia="zh-CN"/>
              </w:rPr>
              <w:t xml:space="preserve">本项目开标时间前6个月内（不含开标当月）任何1月的依法缴纳税收和社会保障资金的相关材料扫描件</w:t>
            </w:r>
            <w:r>
              <w:rPr>
                <w:rFonts w:hint="eastAsia" w:ascii="宋体" w:hAnsi="宋体" w:eastAsia="宋体" w:cs="宋体"/>
                <w:sz w:val="24"/>
                <w:szCs w:val="24"/>
                <w:lang w:eastAsia="zh-CN"/>
              </w:rPr>
              <w:t xml:space="preserve">；依法免税或不需要缴纳社会保障资金的投标人应提供相应其依法免税或不需要缴纳社会保障资金的证明文件扫描件；</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4.具备履行合同所必需的设备和专业技术能力的证明材料提供</w:t>
            </w:r>
            <w:r>
              <w:rPr>
                <w:rFonts w:hint="eastAsia" w:ascii="宋体" w:hAnsi="宋体" w:eastAsia="宋体" w:cs="宋体"/>
                <w:b/>
                <w:bCs/>
                <w:sz w:val="24"/>
                <w:szCs w:val="24"/>
                <w:lang w:eastAsia="zh-CN"/>
              </w:rPr>
              <w:t xml:space="preserve">具备履行合同所必需的设备和专业技术能力的书面声明</w:t>
            </w:r>
            <w:r>
              <w:rPr>
                <w:rFonts w:hint="eastAsia" w:ascii="宋体" w:hAnsi="宋体" w:eastAsia="宋体" w:cs="宋体"/>
                <w:sz w:val="24"/>
                <w:szCs w:val="24"/>
                <w:lang w:eastAsia="zh-CN"/>
              </w:rPr>
              <w:t xml:space="preserve">（格式见招标文件第七章《投标文件相关格式》）</w:t>
            </w:r>
            <w:r>
              <w:rPr>
                <w:rFonts w:hint="eastAsia" w:ascii="宋体" w:hAnsi="宋体" w:eastAsia="宋体" w:cs="宋体"/>
                <w:b/>
                <w:bCs/>
                <w:sz w:val="24"/>
                <w:szCs w:val="24"/>
                <w:lang w:eastAsia="zh-CN"/>
              </w:rPr>
              <w:t xml:space="preserve">。</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w:t>
            </w:r>
            <w:r>
              <w:rPr>
                <w:rFonts w:hint="eastAsia" w:ascii="宋体" w:hAnsi="宋体" w:eastAsia="宋体" w:cs="宋体"/>
                <w:b/>
                <w:bCs/>
                <w:sz w:val="24"/>
                <w:szCs w:val="24"/>
                <w:lang w:eastAsia="zh-CN"/>
              </w:rPr>
              <w:t xml:space="preserve">投标人参加政府采购活动前3年内在经营活动中没有重大违法记录的书面声明</w:t>
            </w:r>
            <w:r>
              <w:rPr>
                <w:rFonts w:hint="eastAsia" w:ascii="宋体" w:hAnsi="宋体" w:eastAsia="宋体" w:cs="宋体"/>
                <w:sz w:val="24"/>
                <w:szCs w:val="24"/>
                <w:lang w:eastAsia="zh-CN"/>
              </w:rPr>
              <w:t xml:space="preserve">（加盖电子签章，格式见招标文件第七章《投标文件相关格式》）。</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三、符合条件（必须提供，否则投标无效）</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（一）报价</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1.《开标一览表》（加盖电子签章，格式见招标文件第七章《投标文件相关格式》。）</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2.《分项价格表》（加盖电子签章，格式见招标文件第七章《投标文件相关格式》。）</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（二）商务资信</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1.《投标函》（加盖电子签章，格式见招标文件第七章《投标文件相关格式》。）</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.《法定代表人授权书》（提供原件的扫描件，加盖电子签章，格式见招标文件第七章《投标文件相关格式》）</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（三）技术响应</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1.《偏离表》（加盖电子签章，格式见招标文件第七章《投标文件相关格式》。）</w:t>
            </w:r>
            <w:r/>
          </w:p>
          <w:p>
            <w:pPr>
              <w:jc w:val="both"/>
              <w:spacing w:after="0" w:line="400" w:lineRule="atLeast"/>
              <w:rPr>
                <w:rFonts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四、综合评审评分项</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（一）技术部分</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1.技术规格（见招标文件第六章《采购需求》和第四章《评标标准》）；</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2.服务方案（见招标文件第六章《采购需求》和第四章《评标标准》）；</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（二）商务部分</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1.业绩（见招标文件第四章《评标标准》中《评分细则》）；</w:t>
            </w:r>
            <w:r/>
          </w:p>
          <w:p>
            <w:pPr>
              <w:numPr>
                <w:ilvl w:val="0"/>
                <w:numId w:val="3"/>
              </w:numPr>
              <w:jc w:val="both"/>
              <w:spacing w:after="0" w:line="400" w:lineRule="atLeast"/>
              <w:rPr>
                <w:rFonts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价格折扣文件格式</w:t>
            </w:r>
            <w:r>
              <w:rPr>
                <w:rFonts w:hint="eastAsia" w:ascii="宋体" w:hAnsi="宋体" w:eastAsia="宋体" w:cs="宋体"/>
                <w:b/>
                <w:sz w:val="24"/>
                <w:szCs w:val="24"/>
                <w:lang w:eastAsia="zh-CN"/>
              </w:rPr>
              <w:t xml:space="preserve">: </w:t>
            </w:r>
            <w:r/>
          </w:p>
          <w:p>
            <w:pPr>
              <w:ind w:firstLine="480"/>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1.投标人提供的货物全部由符合政策要求的中小企业制造，需提供《中小企业声明函》（</w:t>
            </w:r>
            <w:r>
              <w:rPr>
                <w:rFonts w:hint="eastAsia" w:ascii="宋体" w:hAnsi="宋体" w:eastAsia="宋体" w:cs="宋体"/>
                <w:b/>
                <w:bCs/>
                <w:sz w:val="24"/>
                <w:szCs w:val="24"/>
                <w:lang w:eastAsia="zh-CN"/>
              </w:rPr>
              <w:t xml:space="preserve">填写完整，加盖电子签章</w:t>
            </w:r>
            <w:r>
              <w:rPr>
                <w:rFonts w:hint="eastAsia" w:ascii="宋体" w:hAnsi="宋体" w:eastAsia="宋体" w:cs="宋体"/>
                <w:sz w:val="24"/>
                <w:szCs w:val="24"/>
                <w:lang w:eastAsia="zh-CN"/>
              </w:rPr>
              <w:t xml:space="preserve">，格式见招标文件第七章《投标文件相关格式》）。</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《中小企业声明函》查询渠道用微信搜索“中小企业规模类型自测小程序”。</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注：具体以《政府采购促进中小企业发展管理办法》（财库[2020]46号）和《关于印发中小企业划型标准规定的通知》（工信部联企业[2011]300号）的规定为准。</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注：监狱企业和残疾人福利性单位等同于小微企业。</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2.投标人为监狱企业的，提供省级以上监狱管理局、戒毒管理局（含新疆生产建设兵团）出具的属于监狱企业的证明文件原件的扫描件。</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具体以《财政部 司法部关于政府采购支持监狱企业发展有关问题的通知》（财库〔2014〕68号）的规定为准。</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3.投标人为享受政府采购支持政策的残疾人福利性单位的，提供《残疾人福利性单位声明函》（加盖电子签章，格式见招标文件第七章《投标文件相关格式》）。</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享受政府采购支持政策的残疾人福利性单位应当同时满足以下条件：</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①安置的残疾人占本单位在职职工人数的比例不低于25%（含25%），并且安置的残疾人人数不少于10人（含10人）；</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②依法与安置的每位残疾人签订了一年以上（含一年）的劳动合同或服务协议；</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③为安置的每位残疾人按月足额缴纳了基本养老保险、基本医疗保险、失业保险、工伤保险和生育保险等社会保险费；</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④通过银行等金融机构向安置的每位残疾人，按月支付了不低于单位所在区县适用的经省级人民政府批准的月最低工资标准的工资；</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⑤提供本单位制造的货物、承担的工程或者服务（以下简称产品），或者提供其他残疾人福利性单位制造的货物（不包括使用非残疾人福利性单位注册商标的货物）。</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具体以《三部门联合发布关于促进残疾人就业政府采购政策的通知》（财库〔2017〕141号）规定为准。</w:t>
            </w:r>
            <w:r/>
          </w:p>
          <w:p>
            <w:pPr>
              <w:jc w:val="both"/>
              <w:spacing w:after="0" w:line="400" w:lineRule="atLeas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注：</w:t>
            </w:r>
            <w:r/>
          </w:p>
          <w:p>
            <w:pPr>
              <w:jc w:val="both"/>
              <w:spacing w:after="0" w:line="400" w:lineRule="atLeas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1.投标人应对以上文件的合法性、真实性负责。</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2.签订合同前，采购人</w:t>
            </w:r>
            <w:r>
              <w:rPr>
                <w:rFonts w:hint="eastAsia" w:ascii="宋体" w:hAnsi="宋体" w:eastAsia="宋体" w:cs="宋体"/>
                <w:b/>
                <w:bCs/>
                <w:sz w:val="24"/>
                <w:szCs w:val="24"/>
                <w:lang w:val="en-US" w:eastAsia="zh-CN"/>
              </w:rPr>
              <w:t xml:space="preserve">有权要求</w:t>
            </w:r>
            <w:r>
              <w:rPr>
                <w:rFonts w:hint="eastAsia" w:ascii="宋体" w:hAnsi="宋体" w:eastAsia="宋体" w:cs="宋体"/>
                <w:b/>
                <w:bCs/>
                <w:sz w:val="24"/>
                <w:szCs w:val="24"/>
                <w:lang w:eastAsia="zh-CN"/>
              </w:rPr>
              <w:t xml:space="preserve">中标人向其</w:t>
            </w:r>
            <w:r>
              <w:rPr>
                <w:rFonts w:hint="eastAsia" w:ascii="宋体" w:hAnsi="宋体" w:eastAsia="宋体" w:cs="宋体"/>
                <w:b/>
                <w:bCs/>
                <w:sz w:val="24"/>
                <w:szCs w:val="24"/>
                <w:lang w:val="en-US" w:eastAsia="zh-CN"/>
              </w:rPr>
              <w:t xml:space="preserve">提交</w:t>
            </w:r>
            <w:r>
              <w:rPr>
                <w:rFonts w:hint="eastAsia" w:ascii="宋体" w:hAnsi="宋体" w:eastAsia="宋体" w:cs="宋体"/>
                <w:b/>
                <w:bCs/>
                <w:sz w:val="24"/>
                <w:szCs w:val="24"/>
                <w:lang w:eastAsia="zh-CN"/>
              </w:rPr>
              <w:t xml:space="preserve">投标文件中所有扫描件的原件，采购人核查无误后，签订合同。如中标人不能在采购人规定的时间内向采购人提供原件，将被采购人视为放弃中标资格。</w:t>
            </w:r>
            <w:r/>
          </w:p>
        </w:tc>
      </w:tr>
      <w:tr>
        <w:trPr>
          <w:trHeight w:val="110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商务条件见：</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一、本文件第四章《评标标准》中《评分细则》。</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二、本文件第三章《投标资料表》中(十二)1和(十二)2。</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(十三)3</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交货和提供服务的时间：见本文件第五章 《拟签订的合同文本》及或本文件第六章《采购需求》。</w:t>
            </w:r>
            <w:r/>
          </w:p>
        </w:tc>
      </w:tr>
      <w:tr>
        <w:trPr>
          <w:trHeight w:val="2310"/>
        </w:trPr>
        <w:tc>
          <w:tcPr>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(十四)3</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603"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本项目采购预算金额：</w:t>
            </w:r>
            <w:r>
              <w:rPr>
                <w:rFonts w:hint="eastAsia" w:ascii="宋体" w:hAnsi="宋体" w:eastAsia="宋体" w:cs="宋体"/>
                <w:b/>
                <w:bCs/>
                <w:sz w:val="24"/>
                <w:szCs w:val="24"/>
                <w:u w:val="single"/>
                <w:lang w:eastAsia="zh-CN"/>
              </w:rPr>
              <w:t xml:space="preserve">330万元人民币</w:t>
            </w:r>
            <w:r>
              <w:rPr>
                <w:rFonts w:hint="eastAsia" w:ascii="宋体" w:hAnsi="宋体" w:eastAsia="宋体" w:cs="宋体"/>
                <w:sz w:val="24"/>
                <w:szCs w:val="24"/>
                <w:lang w:eastAsia="zh-CN"/>
              </w:rPr>
              <w:t xml:space="preserve">根据实际需求共划分两个采购包，分别为：</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采购包1：不接受超过</w:t>
            </w:r>
            <w:r>
              <w:rPr>
                <w:rFonts w:hint="eastAsia" w:ascii="宋体" w:hAnsi="宋体" w:eastAsia="宋体" w:cs="宋体"/>
                <w:b/>
                <w:bCs/>
                <w:sz w:val="24"/>
                <w:szCs w:val="24"/>
                <w:u w:val="single"/>
                <w:lang w:eastAsia="zh-CN"/>
              </w:rPr>
              <w:t xml:space="preserve">220万元人民币</w:t>
            </w:r>
            <w:r>
              <w:rPr>
                <w:rFonts w:hint="eastAsia" w:ascii="宋体" w:hAnsi="宋体" w:eastAsia="宋体" w:cs="宋体"/>
                <w:sz w:val="24"/>
                <w:szCs w:val="24"/>
                <w:lang w:eastAsia="zh-CN"/>
              </w:rPr>
              <w:t xml:space="preserve">（预算金额）的投标报价；</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采购包2：不接受超过</w:t>
            </w:r>
            <w:r>
              <w:rPr>
                <w:rFonts w:hint="eastAsia" w:ascii="宋体" w:hAnsi="宋体" w:eastAsia="宋体" w:cs="宋体"/>
                <w:b/>
                <w:bCs/>
                <w:sz w:val="24"/>
                <w:szCs w:val="24"/>
                <w:u w:val="single"/>
                <w:lang w:eastAsia="zh-CN"/>
              </w:rPr>
              <w:t xml:space="preserve">110万元人民币</w:t>
            </w:r>
            <w:r>
              <w:rPr>
                <w:rFonts w:hint="eastAsia" w:ascii="宋体" w:hAnsi="宋体" w:eastAsia="宋体" w:cs="宋体"/>
                <w:sz w:val="24"/>
                <w:szCs w:val="24"/>
                <w:lang w:eastAsia="zh-CN"/>
              </w:rPr>
              <w:t xml:space="preserve">（预算金额）的投标报价；</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报价包括产品价、售后、运费、安装调试、检验、保险、验收、税金等全部费用。采购人不再支付报价以外的任何费用。</w:t>
            </w:r>
            <w:r/>
          </w:p>
        </w:tc>
      </w:tr>
      <w:tr>
        <w:trPr>
          <w:trHeight w:val="90"/>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要求：</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投标人应当通过“苏采云”系统提交数据电文形式的投标文件（即电子投标）。</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特别说明：通过“苏采云”系统提交政府采购客户端工具导出加密的投标文件（后缀名为zip）。投标文件不得超过350M！</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线上投标文件的密封、签署、盖章要求：</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一、投标文件的密封（加密）要求：</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二、投标文件的签署要求：见招标文件第七章《投标文件相关格式》。</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说明：投标人应用CA数字证书以及自备的能够正常运行及登录“苏采云”系统的电脑，在达到开标时间后，使用CA数字证书解密各自投标文件。</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投标人未按规定加密的投标文件，“苏采云”系统应当拒收并提示。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投标文件的提交与接收： </w:t>
            </w:r>
            <w:r/>
          </w:p>
          <w:p>
            <w:pPr>
              <w:jc w:val="both"/>
              <w:spacing w:after="0" w:line="400"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1.投标文件提交时间：</w:t>
            </w:r>
            <w:r>
              <w:rPr>
                <w:rFonts w:hint="eastAsia" w:ascii="宋体" w:hAnsi="宋体" w:eastAsia="宋体" w:cs="宋体"/>
                <w:b w:val="0"/>
                <w:bCs w:val="0"/>
                <w:color w:val="ff0000"/>
                <w:sz w:val="24"/>
                <w:szCs w:val="24"/>
                <w:highlight w:val="none"/>
                <w:lang w:eastAsia="zh-CN"/>
              </w:rPr>
              <w:t xml:space="preserve">202</w:t>
            </w:r>
            <w:r>
              <w:rPr>
                <w:rFonts w:hint="eastAsia" w:ascii="宋体" w:hAnsi="宋体" w:eastAsia="宋体" w:cs="宋体"/>
                <w:b w:val="0"/>
                <w:bCs w:val="0"/>
                <w:color w:val="ff0000"/>
                <w:sz w:val="24"/>
                <w:szCs w:val="24"/>
                <w:highlight w:val="none"/>
                <w:lang w:val="en-US" w:eastAsia="zh-CN"/>
              </w:rPr>
              <w:t xml:space="preserve">4</w:t>
            </w:r>
            <w:r>
              <w:rPr>
                <w:rFonts w:hint="eastAsia" w:ascii="宋体" w:hAnsi="宋体" w:eastAsia="宋体" w:cs="宋体"/>
                <w:b w:val="0"/>
                <w:bCs w:val="0"/>
                <w:color w:val="ff0000"/>
                <w:sz w:val="24"/>
                <w:szCs w:val="24"/>
                <w:highlight w:val="none"/>
                <w:lang w:eastAsia="zh-CN"/>
              </w:rPr>
              <w:t xml:space="preserve">年11</w:t>
            </w:r>
            <w:r>
              <w:rPr>
                <w:rFonts w:hint="eastAsia" w:ascii="宋体" w:hAnsi="宋体" w:eastAsia="宋体" w:cs="宋体"/>
                <w:b w:val="0"/>
                <w:bCs w:val="0"/>
                <w:color w:val="ff0000"/>
                <w:sz w:val="24"/>
                <w:szCs w:val="24"/>
                <w:highlight w:val="none"/>
                <w:lang w:eastAsia="zh-CN"/>
              </w:rPr>
              <w:t xml:space="preserve">月8</w:t>
            </w:r>
            <w:r>
              <w:rPr>
                <w:rFonts w:hint="eastAsia" w:ascii="宋体" w:hAnsi="宋体" w:eastAsia="宋体" w:cs="宋体"/>
                <w:b w:val="0"/>
                <w:bCs w:val="0"/>
                <w:color w:val="ff0000"/>
                <w:sz w:val="24"/>
                <w:szCs w:val="24"/>
                <w:highlight w:val="none"/>
                <w:lang w:eastAsia="zh-CN"/>
              </w:rPr>
              <w:t xml:space="preserve">日</w:t>
            </w:r>
            <w:r>
              <w:rPr>
                <w:rFonts w:hint="eastAsia" w:ascii="宋体" w:hAnsi="宋体" w:eastAsia="宋体" w:cs="宋体"/>
                <w:color w:val="ff0000"/>
                <w:sz w:val="24"/>
                <w:szCs w:val="24"/>
                <w:highlight w:val="none"/>
                <w:lang w:eastAsia="zh-CN"/>
              </w:rPr>
              <w:t xml:space="preserve">  北京时间9时30分前</w:t>
            </w:r>
            <w:r>
              <w:rPr>
                <w:rFonts w:hint="eastAsia" w:ascii="宋体" w:hAnsi="宋体" w:eastAsia="宋体" w:cs="宋体"/>
                <w:sz w:val="24"/>
                <w:szCs w:val="24"/>
                <w:highlight w:val="none"/>
                <w:lang w:eastAsia="zh-CN"/>
              </w:rPr>
              <w:t xml:space="preserve">；</w:t>
            </w:r>
            <w:r/>
          </w:p>
          <w:p>
            <w:pPr>
              <w:jc w:val="both"/>
              <w:spacing w:after="0" w:line="400"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2.投标截止时间：</w:t>
            </w:r>
            <w:r>
              <w:rPr>
                <w:rFonts w:hint="eastAsia" w:ascii="宋体" w:hAnsi="宋体" w:eastAsia="宋体" w:cs="宋体"/>
                <w:b w:val="0"/>
                <w:bCs w:val="0"/>
                <w:color w:val="ff0000"/>
                <w:sz w:val="24"/>
                <w:szCs w:val="24"/>
                <w:highlight w:val="none"/>
                <w:lang w:eastAsia="zh-CN"/>
              </w:rPr>
              <w:t xml:space="preserve">202</w:t>
            </w:r>
            <w:r>
              <w:rPr>
                <w:rFonts w:hint="eastAsia" w:ascii="宋体" w:hAnsi="宋体" w:eastAsia="宋体" w:cs="宋体"/>
                <w:b w:val="0"/>
                <w:bCs w:val="0"/>
                <w:color w:val="ff0000"/>
                <w:sz w:val="24"/>
                <w:szCs w:val="24"/>
                <w:highlight w:val="none"/>
                <w:lang w:val="en-US" w:eastAsia="zh-CN"/>
              </w:rPr>
              <w:t xml:space="preserve">4</w:t>
            </w:r>
            <w:r>
              <w:rPr>
                <w:rFonts w:hint="eastAsia" w:ascii="宋体" w:hAnsi="宋体" w:eastAsia="宋体" w:cs="宋体"/>
                <w:b w:val="0"/>
                <w:bCs w:val="0"/>
                <w:color w:val="ff0000"/>
                <w:sz w:val="24"/>
                <w:szCs w:val="24"/>
                <w:highlight w:val="none"/>
                <w:lang w:eastAsia="zh-CN"/>
              </w:rPr>
              <w:t xml:space="preserve">年11</w:t>
            </w:r>
            <w:r>
              <w:rPr>
                <w:rFonts w:hint="eastAsia" w:ascii="宋体" w:hAnsi="宋体" w:eastAsia="宋体" w:cs="宋体"/>
                <w:b w:val="0"/>
                <w:bCs w:val="0"/>
                <w:color w:val="ff0000"/>
                <w:sz w:val="24"/>
                <w:szCs w:val="24"/>
                <w:highlight w:val="none"/>
                <w:lang w:eastAsia="zh-CN"/>
              </w:rPr>
              <w:t xml:space="preserve">月8</w:t>
            </w:r>
            <w:r>
              <w:rPr>
                <w:rFonts w:hint="eastAsia" w:ascii="宋体" w:hAnsi="宋体" w:eastAsia="宋体" w:cs="宋体"/>
                <w:b w:val="0"/>
                <w:bCs w:val="0"/>
                <w:color w:val="ff0000"/>
                <w:sz w:val="24"/>
                <w:szCs w:val="24"/>
                <w:highlight w:val="none"/>
                <w:lang w:eastAsia="zh-CN"/>
              </w:rPr>
              <w:t xml:space="preserve">日</w:t>
            </w:r>
            <w:r>
              <w:rPr>
                <w:rFonts w:hint="eastAsia" w:ascii="宋体" w:hAnsi="宋体" w:eastAsia="宋体" w:cs="宋体"/>
                <w:color w:val="ff0000"/>
                <w:sz w:val="24"/>
                <w:szCs w:val="24"/>
                <w:highlight w:val="none"/>
                <w:lang w:eastAsia="zh-CN"/>
              </w:rPr>
              <w:t xml:space="preserve">  北京时间9时30分</w:t>
            </w:r>
            <w:r>
              <w:rPr>
                <w:rFonts w:hint="eastAsia" w:ascii="宋体" w:hAnsi="宋体" w:eastAsia="宋体" w:cs="宋体"/>
                <w:sz w:val="24"/>
                <w:szCs w:val="24"/>
                <w:highlight w:val="none"/>
                <w:lang w:eastAsia="zh-CN"/>
              </w:rPr>
              <w:t xml:space="preserve">；</w:t>
            </w:r>
            <w:r>
              <w:rPr>
                <w:rFonts w:hint="eastAsia" w:ascii="宋体" w:hAnsi="宋体" w:eastAsia="宋体" w:cs="宋体"/>
                <w:b/>
                <w:sz w:val="24"/>
                <w:szCs w:val="24"/>
                <w:highlight w:val="none"/>
                <w:lang w:eastAsia="zh-CN"/>
              </w:rPr>
              <w:t xml:space="preserve">  </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3.投标文件提交地点：投标人应当通过“苏采云”系统提交数据电文形式的投标文件（即电子投标），“苏采云”系统自动接收。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开标时间及地点：</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w:t>
            </w:r>
            <w:r>
              <w:rPr>
                <w:rFonts w:hint="eastAsia" w:ascii="宋体" w:hAnsi="宋体" w:eastAsia="宋体" w:cs="宋体"/>
                <w:b/>
                <w:sz w:val="24"/>
                <w:szCs w:val="24"/>
                <w:highlight w:val="none"/>
                <w:lang w:eastAsia="zh-CN"/>
              </w:rPr>
              <w:t xml:space="preserve">开标时间：</w:t>
            </w:r>
            <w:r>
              <w:rPr>
                <w:rFonts w:hint="eastAsia" w:ascii="宋体" w:hAnsi="宋体" w:eastAsia="宋体" w:cs="宋体"/>
                <w:b/>
                <w:bCs/>
                <w:color w:val="ff0000"/>
                <w:sz w:val="24"/>
                <w:szCs w:val="24"/>
                <w:highlight w:val="none"/>
                <w:lang w:eastAsia="zh-CN"/>
              </w:rPr>
              <w:t xml:space="preserve">202</w:t>
            </w:r>
            <w:r>
              <w:rPr>
                <w:rFonts w:hint="eastAsia" w:ascii="宋体" w:hAnsi="宋体" w:eastAsia="宋体" w:cs="宋体"/>
                <w:b/>
                <w:bCs/>
                <w:color w:val="ff0000"/>
                <w:sz w:val="24"/>
                <w:szCs w:val="24"/>
                <w:highlight w:val="none"/>
                <w:lang w:val="en-US" w:eastAsia="zh-CN"/>
              </w:rPr>
              <w:t xml:space="preserve">4</w:t>
            </w:r>
            <w:r>
              <w:rPr>
                <w:rFonts w:hint="eastAsia" w:ascii="宋体" w:hAnsi="宋体" w:eastAsia="宋体" w:cs="宋体"/>
                <w:b/>
                <w:bCs/>
                <w:color w:val="ff0000"/>
                <w:sz w:val="24"/>
                <w:szCs w:val="24"/>
                <w:highlight w:val="none"/>
                <w:lang w:eastAsia="zh-CN"/>
              </w:rPr>
              <w:t xml:space="preserve">年11</w:t>
            </w:r>
            <w:r>
              <w:rPr>
                <w:rFonts w:hint="eastAsia" w:ascii="宋体" w:hAnsi="宋体" w:eastAsia="宋体" w:cs="宋体"/>
                <w:b/>
                <w:bCs/>
                <w:color w:val="ff0000"/>
                <w:sz w:val="24"/>
                <w:szCs w:val="24"/>
                <w:highlight w:val="none"/>
                <w:lang w:eastAsia="zh-CN"/>
              </w:rPr>
              <w:t xml:space="preserve">月8</w:t>
            </w:r>
            <w:r>
              <w:rPr>
                <w:rFonts w:hint="eastAsia" w:ascii="宋体" w:hAnsi="宋体" w:eastAsia="宋体" w:cs="宋体"/>
                <w:b/>
                <w:bCs/>
                <w:color w:val="ff0000"/>
                <w:sz w:val="24"/>
                <w:szCs w:val="24"/>
                <w:highlight w:val="none"/>
                <w:lang w:eastAsia="zh-CN"/>
              </w:rPr>
              <w:t xml:space="preserve">日</w:t>
            </w:r>
            <w:r>
              <w:rPr>
                <w:rFonts w:hint="eastAsia" w:ascii="宋体" w:hAnsi="宋体" w:eastAsia="宋体" w:cs="宋体"/>
                <w:b/>
                <w:color w:val="ff0000"/>
                <w:sz w:val="24"/>
                <w:szCs w:val="24"/>
                <w:highlight w:val="none"/>
                <w:lang w:eastAsia="zh-CN"/>
              </w:rPr>
              <w:t xml:space="preserve">  北京时间9时30分；  </w:t>
            </w:r>
            <w:r>
              <w:rPr>
                <w:rFonts w:hint="eastAsia" w:ascii="宋体" w:hAnsi="宋体" w:eastAsia="宋体" w:cs="宋体"/>
                <w:b/>
                <w:sz w:val="24"/>
                <w:szCs w:val="24"/>
                <w:lang w:eastAsia="zh-CN"/>
              </w:rPr>
              <w:t xml:space="preserve"> </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w:t>
            </w:r>
            <w:r>
              <w:rPr>
                <w:rFonts w:hint="eastAsia" w:ascii="宋体" w:hAnsi="宋体" w:eastAsia="宋体" w:cs="宋体"/>
                <w:b/>
                <w:bCs/>
                <w:sz w:val="24"/>
                <w:szCs w:val="24"/>
                <w:lang w:eastAsia="zh-CN"/>
              </w:rPr>
              <w:t xml:space="preserve">开标地点：</w:t>
            </w:r>
            <w:r/>
          </w:p>
          <w:p>
            <w:pPr>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线上地点：“苏采云”系统（网址：http://jszfcg.jsczt.cn/）“开标大厅”或进入徐州政府采购网（网址：http://czj.xz.gov.cn/Home/HomeIndex）--业务工作--用户登录，点击“苏采云”进入系统“开标大厅”。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所有投标人解密（或解密时间）结束后，“苏采云”系统生成开标记录并向社会公众公布，但依法应当保密的除外。</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本项目的评标方法：综合评分法。</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(二十八)1</w:t>
            </w:r>
            <w:r/>
          </w:p>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一、推荐中标候选供应商名单。中标候选供应商数量应当根据采购需要确定，但必须按顺序排列中标候选供应商。</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二、采用综合评分法的，按评审后得分由高到低顺序排列。得分相同的，按投标报价由低到高顺序排列。得分且投标报价相同的，按项目技术部分优劣顺序排列。 </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rPr>
                <w:rFonts w:ascii="宋体" w:hAnsi="宋体" w:eastAsia="宋体" w:cs="宋体"/>
                <w:b/>
                <w:bCs/>
                <w:sz w:val="24"/>
                <w:szCs w:val="24"/>
                <w:lang w:eastAsia="zh-CN"/>
              </w:rPr>
              <w:t xml:space="preserve">注：评审按</w:t>
            </w:r>
            <w:r>
              <w:rPr>
                <w:rFonts w:hint="eastAsia" w:ascii="宋体" w:hAnsi="宋体" w:eastAsia="宋体" w:cs="宋体"/>
                <w:b/>
                <w:bCs/>
                <w:sz w:val="24"/>
                <w:szCs w:val="24"/>
                <w:lang w:eastAsia="zh-CN"/>
              </w:rPr>
              <w:t xml:space="preserve">采购包1</w:t>
            </w:r>
            <w:r>
              <w:rPr>
                <w:rFonts w:ascii="宋体" w:hAnsi="宋体" w:eastAsia="宋体" w:cs="宋体"/>
                <w:b/>
                <w:bCs/>
                <w:sz w:val="24"/>
                <w:szCs w:val="24"/>
                <w:lang w:eastAsia="zh-CN"/>
              </w:rPr>
              <w:t xml:space="preserve">、</w:t>
            </w:r>
            <w:r>
              <w:rPr>
                <w:rFonts w:hint="eastAsia" w:ascii="宋体" w:hAnsi="宋体" w:eastAsia="宋体" w:cs="宋体"/>
                <w:b/>
                <w:bCs/>
                <w:sz w:val="24"/>
                <w:szCs w:val="24"/>
                <w:lang w:eastAsia="zh-CN"/>
              </w:rPr>
              <w:t xml:space="preserve">采购包2</w:t>
            </w:r>
            <w:r>
              <w:rPr>
                <w:rFonts w:ascii="宋体" w:hAnsi="宋体" w:eastAsia="宋体" w:cs="宋体"/>
                <w:b/>
                <w:bCs/>
                <w:sz w:val="24"/>
                <w:szCs w:val="24"/>
                <w:lang w:eastAsia="zh-CN"/>
              </w:rPr>
              <w:t xml:space="preserve">顺序进行，供应商可兼投</w:t>
            </w:r>
            <w:r>
              <w:rPr>
                <w:rFonts w:hint="eastAsia" w:ascii="宋体" w:hAnsi="宋体" w:eastAsia="宋体" w:cs="宋体"/>
                <w:b/>
                <w:bCs/>
                <w:sz w:val="24"/>
                <w:szCs w:val="24"/>
                <w:lang w:eastAsia="zh-CN"/>
              </w:rPr>
              <w:t xml:space="preserve">也</w:t>
            </w:r>
            <w:r>
              <w:rPr>
                <w:rFonts w:ascii="宋体" w:hAnsi="宋体" w:eastAsia="宋体" w:cs="宋体"/>
                <w:b/>
                <w:bCs/>
                <w:sz w:val="24"/>
                <w:szCs w:val="24"/>
                <w:lang w:eastAsia="zh-CN"/>
              </w:rPr>
              <w:t xml:space="preserve">可兼中。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ind w:right="-229"/>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（二十九）</w:t>
            </w:r>
            <w:r/>
          </w:p>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1.评标中需要投标人对投标文件澄清或者说明的，应当通过“苏采云”系统交换数据电文。在评标期间，请投标人保持在线。</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采购人与中标、成交供应商应当在中标、成交通知书发出之日起30日内，按照采购文件确定的事项签订政府采购合同。采购人应当自政府采购合同签订之日起2个工作日内，将政府采购合同在省级以上人民政府财政部门指定的媒体上公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ind w:right="-229"/>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履约保证金：无</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供应商对政府采购活动事项有疑问的，向采购代理机构或采购人提出询问；供应商认为采购文件、采购过程和中标、成交结果使自己的权益受到损害的，可以在知道或者应知其权益受到损害之日起七个工作日内，以书面形式向采购代理机构或采购人提出质疑。询问和质疑由采购代理机构或采购人依法处理。</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供应商在法定质疑期内一次性提出针对同一采购程序环节的质疑。</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质疑接收人：徐宁   联系电话：0516-88995208</w:t>
            </w:r>
            <w:r/>
          </w:p>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办公地址：新沂市花厅路华丰商城南门内西一排10幢-6号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3" w:type="dxa"/>
            <w:textDirection w:val="lrTb"/>
            <w:noWrap w:val="false"/>
          </w:tcPr>
          <w:p>
            <w:pPr>
              <w:jc w:val="both"/>
              <w:spacing w:after="0" w:line="40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中标人在收到中标通知书时，须向采购代理机构提交《开标一览表》和《分项价格表》的数据文件（WORD格式）。</w:t>
            </w:r>
            <w:r/>
          </w:p>
        </w:tc>
      </w:tr>
    </w:tbl>
    <w:p>
      <w:pPr>
        <w:jc w:val="both"/>
        <w:spacing w:after="0" w:line="23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br w:type="page" w:clear="all"/>
      </w:r>
      <w:r/>
    </w:p>
    <w:p>
      <w:pPr>
        <w:jc w:val="center"/>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本章附件：</w:t>
      </w:r>
      <w:r>
        <w:rPr>
          <w:rFonts w:hint="eastAsia" w:ascii="宋体" w:hAnsi="宋体" w:eastAsia="宋体" w:cs="宋体"/>
          <w:b/>
          <w:sz w:val="24"/>
          <w:szCs w:val="24"/>
          <w:lang w:eastAsia="zh-CN"/>
        </w:rPr>
        <w:t xml:space="preserve">招标代理服务收费标准</w:t>
      </w:r>
      <w:r/>
    </w:p>
    <w:tbl>
      <w:tblPr>
        <w:tblStyle w:val="861"/>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4"/>
        <w:gridCol w:w="1434"/>
        <w:gridCol w:w="1603"/>
        <w:gridCol w:w="1390"/>
        <w:gridCol w:w="1945"/>
      </w:tblGrid>
      <w:tr>
        <w:trPr>
          <w:trHeight w:val="7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3"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0"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45" w:type="dxa"/>
            <w:vAlign w:val="center"/>
            <w:textDirection w:val="lrTb"/>
            <w:noWrap w:val="false"/>
          </w:tcPr>
          <w:p>
            <w:pPr>
              <w:jc w:val="center"/>
              <w:spacing w:after="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收费上限</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3"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0"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45" w:type="dxa"/>
            <w:vAlign w:val="center"/>
            <w:vMerge w:val="restart"/>
            <w:textDirection w:val="lrTb"/>
            <w:noWrap w:val="false"/>
          </w:tcPr>
          <w:p>
            <w:pPr>
              <w:jc w:val="both"/>
              <w:spacing w:after="0" w:line="24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最低5千元</w:t>
            </w:r>
            <w:r/>
          </w:p>
          <w:p>
            <w:pPr>
              <w:jc w:val="both"/>
              <w:spacing w:after="0" w:line="24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最高10万元</w:t>
            </w:r>
            <w:r/>
          </w:p>
          <w:p>
            <w:pPr>
              <w:ind w:firstLine="280"/>
              <w:jc w:val="both"/>
              <w:spacing w:after="0" w:line="24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jc w:val="both"/>
              <w:spacing w:after="0" w:line="24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（PPP项目最高10万元）</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100万~500万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3"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0"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0.70%</w:t>
            </w:r>
            <w:r/>
          </w:p>
        </w:tc>
        <w:tc>
          <w:tcPr>
            <w:tcBorders>
              <w:top w:val="single" w:color="000000" w:sz="4" w:space="0"/>
              <w:left w:val="single" w:color="000000" w:sz="4" w:space="0"/>
              <w:bottom w:val="single" w:color="000000" w:sz="4" w:space="0"/>
              <w:right w:val="single" w:color="000000" w:sz="4" w:space="0"/>
            </w:tcBorders>
            <w:tcW w:w="1945" w:type="dxa"/>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500万~1000万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3"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0"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0.55%</w:t>
            </w:r>
            <w:r/>
          </w:p>
        </w:tc>
        <w:tc>
          <w:tcPr>
            <w:tcBorders>
              <w:top w:val="single" w:color="000000" w:sz="4" w:space="0"/>
              <w:left w:val="single" w:color="000000" w:sz="4" w:space="0"/>
              <w:bottom w:val="single" w:color="000000" w:sz="4" w:space="0"/>
              <w:right w:val="single" w:color="000000" w:sz="4" w:space="0"/>
            </w:tcBorders>
            <w:tcW w:w="1945" w:type="dxa"/>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3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l000万~5000万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3"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0"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0.35%</w:t>
            </w:r>
            <w:r/>
          </w:p>
        </w:tc>
        <w:tc>
          <w:tcPr>
            <w:tcBorders>
              <w:top w:val="single" w:color="000000" w:sz="4" w:space="0"/>
              <w:left w:val="single" w:color="000000" w:sz="4" w:space="0"/>
              <w:bottom w:val="single" w:color="000000" w:sz="4" w:space="0"/>
              <w:right w:val="single" w:color="000000" w:sz="4" w:space="0"/>
            </w:tcBorders>
            <w:tcW w:w="1945" w:type="dxa"/>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4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5000万~l亿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3"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0"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0.20%</w:t>
            </w:r>
            <w:r/>
          </w:p>
        </w:tc>
        <w:tc>
          <w:tcPr>
            <w:tcBorders>
              <w:top w:val="single" w:color="000000" w:sz="4" w:space="0"/>
              <w:left w:val="single" w:color="000000" w:sz="4" w:space="0"/>
              <w:bottom w:val="single" w:color="000000" w:sz="4" w:space="0"/>
              <w:right w:val="single" w:color="000000" w:sz="4" w:space="0"/>
            </w:tcBorders>
            <w:tcW w:w="1945" w:type="dxa"/>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1亿~5亿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3"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0"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Borders>
              <w:top w:val="single" w:color="000000" w:sz="4" w:space="0"/>
              <w:left w:val="single" w:color="000000" w:sz="4" w:space="0"/>
              <w:bottom w:val="single" w:color="000000" w:sz="4" w:space="0"/>
              <w:right w:val="single" w:color="000000" w:sz="4" w:space="0"/>
            </w:tcBorders>
            <w:tcW w:w="1945" w:type="dxa"/>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5亿~10亿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3"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0"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Borders>
              <w:top w:val="single" w:color="000000" w:sz="4" w:space="0"/>
              <w:left w:val="single" w:color="000000" w:sz="4" w:space="0"/>
              <w:bottom w:val="single" w:color="000000" w:sz="4" w:space="0"/>
              <w:right w:val="single" w:color="000000" w:sz="4" w:space="0"/>
            </w:tcBorders>
            <w:tcW w:w="1945" w:type="dxa"/>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4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10亿~50亿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3"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0"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Borders>
              <w:top w:val="single" w:color="000000" w:sz="4" w:space="0"/>
              <w:left w:val="single" w:color="000000" w:sz="4" w:space="0"/>
              <w:bottom w:val="single" w:color="000000" w:sz="4" w:space="0"/>
              <w:right w:val="single" w:color="000000" w:sz="4" w:space="0"/>
            </w:tcBorders>
            <w:tcW w:w="1945" w:type="dxa"/>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4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50亿~100亿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3"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0"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Borders>
              <w:top w:val="single" w:color="000000" w:sz="4" w:space="0"/>
              <w:left w:val="single" w:color="000000" w:sz="4" w:space="0"/>
              <w:bottom w:val="single" w:color="000000" w:sz="4" w:space="0"/>
              <w:right w:val="single" w:color="000000" w:sz="4" w:space="0"/>
            </w:tcBorders>
            <w:tcW w:w="1945" w:type="dxa"/>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4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100亿以上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3"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0"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Borders>
              <w:top w:val="single" w:color="000000" w:sz="4" w:space="0"/>
              <w:left w:val="single" w:color="000000" w:sz="4" w:space="0"/>
              <w:bottom w:val="single" w:color="000000" w:sz="4" w:space="0"/>
              <w:right w:val="single" w:color="000000" w:sz="4" w:space="0"/>
            </w:tcBorders>
            <w:tcW w:w="1945" w:type="dxa"/>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bl>
    <w:p>
      <w:pPr>
        <w:ind w:firstLine="677"/>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说明：</w:t>
      </w:r>
      <w:r/>
    </w:p>
    <w:p>
      <w:pPr>
        <w:ind w:firstLine="677"/>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1.按上表计算的收费为代理服务全过程的收费金额。各社会代理机构不另外收取采购文件制作售卖费用。</w:t>
      </w:r>
      <w:r/>
    </w:p>
    <w:p>
      <w:pPr>
        <w:ind w:firstLine="677"/>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2.代理服务费按差额定率累进法计算。</w:t>
      </w:r>
      <w:r/>
    </w:p>
    <w:p>
      <w:pPr>
        <w:ind w:firstLine="677"/>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3.代理服务费基准金额（按差额定率累进法计算的）=中标金额（按差额定率累进法计算的） * 费率（%）</w:t>
      </w:r>
      <w:r/>
    </w:p>
    <w:p>
      <w:pPr>
        <w:ind w:firstLine="677"/>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4.代理服务费应收取金额=代理服务费基准金额（按差额定率累进法计算的）的合计数。</w:t>
      </w:r>
      <w:r/>
    </w:p>
    <w:p>
      <w:pPr>
        <w:ind w:firstLine="677"/>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5.计算出的代理服务费应收取金额如低于5千元，按5千元收取；如高于10万元，按10万元收取。超出5万元的，超出部分按8折计算收取。（PPP项目按10万元）</w:t>
      </w:r>
      <w:r/>
    </w:p>
    <w:p>
      <w:pPr>
        <w:ind w:firstLine="677"/>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6.定点类等无金额或事先不能计算出价格总额，采购预算为1元的项目，中标（成交）金额按100万元计算。</w:t>
      </w:r>
      <w:r/>
    </w:p>
    <w:p>
      <w:pPr>
        <w:ind w:firstLine="677"/>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7.多标段项目按总项目收费，最高不超过10万元。</w:t>
      </w:r>
      <w:r/>
    </w:p>
    <w:p>
      <w:pPr>
        <w:ind w:firstLine="677"/>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8.以上价格为协会指导价，双方也可以协商定。本办法自2021年5月1日起执行。</w:t>
      </w:r>
      <w:r/>
    </w:p>
    <w:p>
      <w:pPr>
        <w:ind w:firstLine="677"/>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numPr>
          <w:ilvl w:val="0"/>
          <w:numId w:val="4"/>
        </w:numPr>
        <w:ind w:firstLine="420"/>
        <w:jc w:val="center"/>
        <w:spacing w:after="0" w:line="519" w:lineRule="atLeast"/>
        <w:rPr>
          <w:rFonts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t xml:space="preserve">  评分标准（适用于采购包1、采购包2）</w:t>
      </w:r>
      <w:r/>
    </w:p>
    <w:tbl>
      <w:tblPr>
        <w:tblStyle w:val="828"/>
        <w:tblW w:w="1064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70"/>
        <w:gridCol w:w="990"/>
        <w:gridCol w:w="8583"/>
      </w:tblGrid>
      <w:tr>
        <w:trPr>
          <w:jc w:val="center"/>
          <w:trHeight w:val="323"/>
        </w:trPr>
        <w:tc>
          <w:tcPr>
            <w:gridSpan w:val="2"/>
            <w:tcW w:w="2060" w:type="dxa"/>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项目及分值</w:t>
            </w:r>
            <w:r/>
          </w:p>
        </w:tc>
        <w:tc>
          <w:tcPr>
            <w:tcW w:w="8583" w:type="dxa"/>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评  分  依  据</w:t>
            </w:r>
            <w:r/>
          </w:p>
        </w:tc>
      </w:tr>
      <w:tr>
        <w:trPr>
          <w:jc w:val="center"/>
          <w:trHeight w:val="90"/>
        </w:trPr>
        <w:tc>
          <w:tcPr>
            <w:tcBorders>
              <w:right w:val="single" w:color="auto" w:sz="4" w:space="0"/>
            </w:tcBorders>
            <w:tcW w:w="1070" w:type="dxa"/>
            <w:vAlign w:val="center"/>
            <w:textDirection w:val="lrTb"/>
            <w:noWrap w:val="false"/>
          </w:tcPr>
          <w:p>
            <w:pPr>
              <w:jc w:val="center"/>
              <w:spacing w:after="0" w:line="240" w:lineRule="auto"/>
              <w:rPr>
                <w:rFonts w:ascii="宋体" w:hAnsi="宋体" w:cs="宋体"/>
                <w:sz w:val="24"/>
              </w:rPr>
            </w:pPr>
            <w:r>
              <w:rPr>
                <w:rFonts w:hint="eastAsia" w:ascii="宋体" w:hAnsi="宋体" w:cs="宋体"/>
                <w:sz w:val="24"/>
              </w:rPr>
              <w:t xml:space="preserve">价格</w:t>
            </w:r>
            <w:r/>
          </w:p>
          <w:p>
            <w:pPr>
              <w:jc w:val="center"/>
              <w:spacing w:after="0" w:line="240" w:lineRule="auto"/>
              <w:rPr>
                <w:rFonts w:ascii="宋体" w:hAnsi="宋体" w:cs="宋体"/>
                <w:sz w:val="24"/>
              </w:rPr>
            </w:pPr>
            <w:r>
              <w:rPr>
                <w:rFonts w:hint="eastAsia" w:ascii="宋体" w:hAnsi="宋体" w:cs="宋体"/>
                <w:sz w:val="24"/>
              </w:rPr>
              <w:t xml:space="preserve">部分</w:t>
            </w:r>
            <w:r/>
          </w:p>
          <w:p>
            <w:pPr>
              <w:jc w:val="center"/>
              <w:spacing w:after="0" w:line="240" w:lineRule="auto"/>
              <w:rPr>
                <w:rFonts w:ascii="宋体" w:hAnsi="宋体" w:cs="宋体"/>
                <w:sz w:val="24"/>
              </w:rPr>
            </w:pPr>
            <w:r>
              <w:rPr>
                <w:rFonts w:hint="eastAsia" w:ascii="宋体" w:hAnsi="宋体" w:cs="宋体"/>
                <w:sz w:val="20"/>
                <w:szCs w:val="18"/>
              </w:rPr>
              <w:t xml:space="preserve">（30分）</w:t>
            </w:r>
            <w:r/>
          </w:p>
        </w:tc>
        <w:tc>
          <w:tcPr>
            <w:tcBorders>
              <w:left w:val="single" w:color="auto" w:sz="4" w:space="0"/>
            </w:tcBorders>
            <w:tcW w:w="990" w:type="dxa"/>
            <w:vAlign w:val="center"/>
            <w:textDirection w:val="lrTb"/>
            <w:noWrap w:val="false"/>
          </w:tcPr>
          <w:p>
            <w:pPr>
              <w:jc w:val="center"/>
              <w:spacing w:after="0" w:line="240" w:lineRule="auto"/>
              <w:rPr>
                <w:rFonts w:ascii="宋体" w:hAnsi="宋体" w:cs="宋体"/>
                <w:sz w:val="24"/>
              </w:rPr>
            </w:pPr>
            <w:r>
              <w:rPr>
                <w:rFonts w:hint="eastAsia" w:ascii="宋体" w:hAnsi="宋体" w:cs="宋体"/>
                <w:sz w:val="24"/>
              </w:rPr>
              <w:t xml:space="preserve">价格</w:t>
            </w:r>
            <w:r/>
          </w:p>
          <w:p>
            <w:pPr>
              <w:jc w:val="center"/>
              <w:spacing w:after="0" w:line="240" w:lineRule="auto"/>
              <w:rPr>
                <w:rFonts w:ascii="宋体" w:hAnsi="宋体" w:cs="宋体"/>
                <w:sz w:val="24"/>
              </w:rPr>
            </w:pPr>
            <w:r>
              <w:rPr>
                <w:rFonts w:hint="eastAsia" w:ascii="宋体" w:hAnsi="宋体" w:cs="宋体"/>
                <w:sz w:val="18"/>
                <w:szCs w:val="16"/>
              </w:rPr>
              <w:t xml:space="preserve">（30分）</w:t>
            </w:r>
            <w:r/>
          </w:p>
        </w:tc>
        <w:tc>
          <w:tcPr>
            <w:tcW w:w="8583" w:type="dxa"/>
            <w:vAlign w:val="center"/>
            <w:textDirection w:val="lrTb"/>
            <w:noWrap w:val="false"/>
          </w:tcPr>
          <w:p>
            <w:pPr>
              <w:spacing w:after="0" w:line="240" w:lineRule="auto"/>
              <w:rPr>
                <w:rFonts w:ascii="宋体" w:hAnsi="宋体" w:cs="宋体"/>
                <w:sz w:val="24"/>
                <w:lang w:eastAsia="zh-CN"/>
              </w:rPr>
            </w:pPr>
            <w:r>
              <w:rPr>
                <w:rFonts w:hint="eastAsia" w:ascii="宋体" w:hAnsi="宋体" w:cs="宋体"/>
                <w:sz w:val="24"/>
                <w:lang w:eastAsia="zh-CN"/>
              </w:rPr>
              <w:t xml:space="preserve">各投标人价格得分=最低报价（投标人的最低评审价格）÷各投标人评审价格×30（分值计算结果保留两位小数）；</w:t>
            </w:r>
            <w:r/>
          </w:p>
          <w:p>
            <w:pPr>
              <w:spacing w:after="0" w:line="240" w:lineRule="auto"/>
              <w:rPr>
                <w:rFonts w:ascii="宋体" w:hAnsi="宋体" w:cs="宋体"/>
                <w:sz w:val="24"/>
                <w:lang w:eastAsia="zh-CN"/>
              </w:rPr>
            </w:pPr>
            <w:r>
              <w:rPr>
                <w:rFonts w:hint="eastAsia" w:ascii="宋体" w:hAnsi="宋体" w:cs="宋体"/>
                <w:sz w:val="24"/>
                <w:lang w:eastAsia="zh-CN"/>
              </w:rPr>
              <w:t xml:space="preserve">根据《政府采购促进中小企业发展管理办法》规定，对小、微型企业产品的价格给予10%的扣除，用扣除后的价格参与评审。</w:t>
            </w:r>
            <w:r/>
          </w:p>
        </w:tc>
      </w:tr>
      <w:tr>
        <w:trPr>
          <w:cantSplit/>
          <w:jc w:val="center"/>
          <w:trHeight w:val="1595"/>
        </w:trPr>
        <w:tc>
          <w:tcPr>
            <w:tcBorders>
              <w:right w:val="single" w:color="auto" w:sz="4" w:space="0"/>
            </w:tcBorders>
            <w:tcW w:w="1070" w:type="dxa"/>
            <w:vAlign w:val="center"/>
            <w:textDirection w:val="lrTb"/>
            <w:noWrap w:val="false"/>
          </w:tcPr>
          <w:p>
            <w:pPr>
              <w:jc w:val="center"/>
              <w:spacing w:after="0" w:line="240" w:lineRule="auto"/>
              <w:rPr>
                <w:rFonts w:ascii="宋体" w:hAnsi="宋体" w:cs="宋体"/>
                <w:sz w:val="24"/>
              </w:rPr>
            </w:pPr>
            <w:r>
              <w:rPr>
                <w:rFonts w:hint="eastAsia" w:ascii="宋体" w:hAnsi="宋体" w:cs="宋体"/>
                <w:sz w:val="24"/>
              </w:rPr>
              <w:t xml:space="preserve">技术</w:t>
            </w:r>
            <w:r/>
          </w:p>
          <w:p>
            <w:pPr>
              <w:jc w:val="center"/>
              <w:spacing w:after="0" w:line="240" w:lineRule="auto"/>
              <w:rPr>
                <w:rFonts w:ascii="宋体" w:hAnsi="宋体" w:cs="宋体"/>
                <w:sz w:val="24"/>
              </w:rPr>
            </w:pPr>
            <w:r>
              <w:rPr>
                <w:rFonts w:hint="eastAsia" w:ascii="宋体" w:hAnsi="宋体" w:cs="宋体"/>
                <w:sz w:val="24"/>
              </w:rPr>
              <w:t xml:space="preserve">参数</w:t>
            </w:r>
            <w:r/>
          </w:p>
          <w:p>
            <w:pPr>
              <w:jc w:val="center"/>
              <w:spacing w:after="0" w:line="240" w:lineRule="auto"/>
              <w:rPr>
                <w:rFonts w:ascii="宋体" w:hAnsi="宋体" w:cs="宋体"/>
                <w:sz w:val="24"/>
              </w:rPr>
            </w:pPr>
            <w:r>
              <w:rPr>
                <w:rFonts w:hint="eastAsia" w:ascii="宋体" w:hAnsi="宋体" w:cs="宋体"/>
                <w:sz w:val="20"/>
                <w:szCs w:val="18"/>
              </w:rPr>
              <w:t xml:space="preserve">（</w:t>
            </w:r>
            <w:r>
              <w:rPr>
                <w:rFonts w:hint="eastAsia" w:ascii="宋体" w:hAnsi="宋体" w:eastAsia="宋体" w:cs="宋体"/>
                <w:sz w:val="20"/>
                <w:szCs w:val="18"/>
                <w:lang w:val="en-US" w:eastAsia="zh-CN"/>
              </w:rPr>
              <w:t xml:space="preserve">31</w:t>
            </w:r>
            <w:r>
              <w:rPr>
                <w:rFonts w:hint="eastAsia" w:ascii="宋体" w:hAnsi="宋体" w:cs="宋体"/>
                <w:sz w:val="20"/>
                <w:szCs w:val="18"/>
              </w:rPr>
              <w:t xml:space="preserve">分）</w:t>
            </w:r>
            <w:r/>
          </w:p>
        </w:tc>
        <w:tc>
          <w:tcPr>
            <w:tcBorders>
              <w:left w:val="single" w:color="auto" w:sz="4" w:space="0"/>
              <w:bottom w:val="single" w:color="auto" w:sz="4" w:space="0"/>
            </w:tcBorders>
            <w:tcW w:w="990" w:type="dxa"/>
            <w:vAlign w:val="center"/>
            <w:textDirection w:val="lrTb"/>
            <w:noWrap w:val="false"/>
          </w:tcPr>
          <w:p>
            <w:pPr>
              <w:jc w:val="center"/>
              <w:spacing w:after="0" w:line="240" w:lineRule="auto"/>
              <w:rPr>
                <w:rFonts w:ascii="宋体" w:hAnsi="宋体" w:cs="宋体"/>
                <w:sz w:val="24"/>
              </w:rPr>
            </w:pPr>
            <w:r>
              <w:rPr>
                <w:rFonts w:hint="eastAsia" w:ascii="宋体" w:hAnsi="宋体" w:cs="宋体"/>
                <w:sz w:val="24"/>
              </w:rPr>
              <w:t xml:space="preserve">技术</w:t>
            </w:r>
            <w:r/>
          </w:p>
          <w:p>
            <w:pPr>
              <w:jc w:val="center"/>
              <w:spacing w:after="0" w:line="240" w:lineRule="auto"/>
              <w:rPr>
                <w:rFonts w:ascii="宋体" w:hAnsi="宋体" w:cs="宋体"/>
                <w:sz w:val="24"/>
              </w:rPr>
            </w:pPr>
            <w:r>
              <w:rPr>
                <w:rFonts w:hint="eastAsia" w:ascii="宋体" w:hAnsi="宋体" w:cs="宋体"/>
                <w:sz w:val="24"/>
              </w:rPr>
              <w:t xml:space="preserve">规格</w:t>
            </w:r>
            <w:r/>
          </w:p>
          <w:p>
            <w:pPr>
              <w:jc w:val="center"/>
              <w:spacing w:after="0" w:line="240" w:lineRule="auto"/>
              <w:rPr>
                <w:rFonts w:ascii="宋体" w:hAnsi="宋体" w:cs="宋体"/>
                <w:sz w:val="24"/>
              </w:rPr>
            </w:pPr>
            <w:r>
              <w:rPr>
                <w:rFonts w:hint="eastAsia" w:ascii="宋体" w:hAnsi="宋体" w:cs="宋体"/>
                <w:sz w:val="18"/>
                <w:szCs w:val="16"/>
              </w:rPr>
              <w:t xml:space="preserve">（</w:t>
            </w:r>
            <w:r>
              <w:rPr>
                <w:rFonts w:hint="eastAsia" w:ascii="宋体" w:hAnsi="宋体" w:eastAsia="宋体" w:cs="宋体"/>
                <w:sz w:val="18"/>
                <w:szCs w:val="16"/>
                <w:lang w:val="en-US" w:eastAsia="zh-CN"/>
              </w:rPr>
              <w:t xml:space="preserve">31</w:t>
            </w:r>
            <w:r>
              <w:rPr>
                <w:rFonts w:hint="eastAsia" w:ascii="宋体" w:hAnsi="宋体" w:cs="宋体"/>
                <w:sz w:val="18"/>
                <w:szCs w:val="16"/>
              </w:rPr>
              <w:t xml:space="preserve">分）</w:t>
            </w:r>
            <w:r/>
          </w:p>
        </w:tc>
        <w:tc>
          <w:tcPr>
            <w:tcBorders>
              <w:bottom w:val="single" w:color="auto" w:sz="4" w:space="0"/>
            </w:tcBorders>
            <w:tcW w:w="8583" w:type="dxa"/>
            <w:vAlign w:val="center"/>
            <w:textDirection w:val="lrTb"/>
            <w:noWrap w:val="false"/>
          </w:tcPr>
          <w:p>
            <w:pPr>
              <w:pStyle w:val="1089"/>
              <w:spacing w:after="0" w:line="240" w:lineRule="auto"/>
              <w:rPr>
                <w:rFonts w:eastAsia="宋体" w:cs="宋体"/>
                <w:sz w:val="24"/>
                <w:szCs w:val="24"/>
                <w:lang w:eastAsia="zh-CN"/>
              </w:rPr>
            </w:pPr>
            <w:r>
              <w:rPr>
                <w:rFonts w:hint="eastAsia" w:eastAsia="宋体" w:cs="宋体"/>
                <w:sz w:val="24"/>
                <w:szCs w:val="24"/>
              </w:rPr>
              <w:t xml:space="preserve">产品技术参数完全满足招标文件要求的得</w:t>
            </w:r>
            <w:r>
              <w:rPr>
                <w:rFonts w:hint="eastAsia" w:eastAsia="宋体" w:cs="宋体"/>
                <w:sz w:val="24"/>
                <w:szCs w:val="24"/>
                <w:lang w:val="en-US" w:eastAsia="zh-CN"/>
              </w:rPr>
              <w:t xml:space="preserve">31</w:t>
            </w:r>
            <w:r>
              <w:rPr>
                <w:rFonts w:hint="eastAsia" w:eastAsia="宋体" w:cs="宋体"/>
                <w:sz w:val="24"/>
                <w:szCs w:val="24"/>
              </w:rPr>
              <w:t xml:space="preserve">分。打“▲”号技术参数为重点参数</w:t>
            </w:r>
            <w:r>
              <w:rPr>
                <w:rFonts w:hint="eastAsia" w:eastAsia="宋体" w:cs="宋体"/>
                <w:b/>
                <w:bCs/>
                <w:sz w:val="24"/>
                <w:szCs w:val="24"/>
              </w:rPr>
              <w:t xml:space="preserve">（要求提供证明文件）</w:t>
            </w:r>
            <w:r>
              <w:rPr>
                <w:rFonts w:hint="eastAsia" w:eastAsia="宋体" w:cs="宋体"/>
                <w:sz w:val="24"/>
                <w:szCs w:val="24"/>
              </w:rPr>
              <w:t xml:space="preserve">，如有不满足或负偏离每项减</w:t>
            </w:r>
            <w:r>
              <w:rPr>
                <w:rFonts w:hint="eastAsia" w:eastAsia="宋体" w:cs="宋体"/>
                <w:sz w:val="24"/>
                <w:szCs w:val="24"/>
                <w:lang w:val="en-US" w:eastAsia="zh-CN"/>
              </w:rPr>
              <w:t xml:space="preserve">1</w:t>
            </w:r>
            <w:r>
              <w:rPr>
                <w:rFonts w:hint="eastAsia" w:eastAsia="宋体" w:cs="宋体"/>
                <w:sz w:val="24"/>
                <w:szCs w:val="24"/>
              </w:rPr>
              <w:t xml:space="preserve">分，其余非重要响应指标不满足或负偏离每项减</w:t>
            </w:r>
            <w:r>
              <w:rPr>
                <w:rFonts w:hint="eastAsia" w:eastAsia="宋体" w:cs="宋体"/>
                <w:sz w:val="24"/>
                <w:szCs w:val="24"/>
                <w:lang w:val="en-US" w:eastAsia="zh-CN"/>
              </w:rPr>
              <w:t xml:space="preserve">0.5</w:t>
            </w:r>
            <w:r>
              <w:rPr>
                <w:rFonts w:hint="eastAsia" w:eastAsia="宋体" w:cs="宋体"/>
                <w:sz w:val="24"/>
                <w:szCs w:val="24"/>
              </w:rPr>
              <w:t xml:space="preserve">分，本项最低得0分</w:t>
            </w:r>
            <w:r>
              <w:rPr>
                <w:rFonts w:hint="eastAsia" w:eastAsia="宋体" w:cs="宋体"/>
                <w:sz w:val="24"/>
                <w:szCs w:val="24"/>
                <w:lang w:eastAsia="zh-CN"/>
              </w:rPr>
              <w:t xml:space="preserve">。</w:t>
            </w:r>
            <w:r/>
          </w:p>
          <w:p>
            <w:pPr>
              <w:pStyle w:val="1089"/>
              <w:spacing w:after="0" w:line="240" w:lineRule="auto"/>
              <w:rPr>
                <w:rFonts w:eastAsia="宋体" w:cs="宋体"/>
                <w:sz w:val="24"/>
                <w:szCs w:val="24"/>
                <w:lang w:eastAsia="zh-CN"/>
              </w:rPr>
            </w:pPr>
            <w:r>
              <w:rPr>
                <w:rFonts w:hint="eastAsia" w:eastAsia="宋体" w:cs="宋体"/>
                <w:sz w:val="24"/>
                <w:szCs w:val="24"/>
                <w:lang w:eastAsia="zh-CN"/>
              </w:rPr>
              <w:t xml:space="preserve">备注：中标商供货前需按功能技术参数要求进行产品测试，若实际功能不满足招标文件要求，按虚假应标处理。</w:t>
            </w:r>
            <w:r/>
          </w:p>
        </w:tc>
      </w:tr>
      <w:tr>
        <w:trPr>
          <w:cantSplit/>
          <w:jc w:val="center"/>
          <w:trHeight w:val="1138"/>
        </w:trPr>
        <w:tc>
          <w:tcPr>
            <w:tcBorders>
              <w:top w:val="single" w:color="auto" w:sz="4" w:space="0"/>
              <w:right w:val="single" w:color="auto" w:sz="4" w:space="0"/>
            </w:tcBorders>
            <w:tcW w:w="1070" w:type="dxa"/>
            <w:vAlign w:val="center"/>
            <w:vMerge w:val="restart"/>
            <w:textDirection w:val="lrTb"/>
            <w:noWrap w:val="false"/>
          </w:tcPr>
          <w:p>
            <w:pPr>
              <w:jc w:val="center"/>
              <w:spacing w:after="0" w:line="240" w:lineRule="auto"/>
              <w:rPr>
                <w:rFonts w:ascii="宋体" w:hAnsi="宋体" w:cs="宋体"/>
                <w:sz w:val="24"/>
              </w:rPr>
            </w:pPr>
            <w:r>
              <w:rPr>
                <w:rFonts w:hint="eastAsia" w:ascii="宋体" w:hAnsi="宋体" w:cs="宋体"/>
                <w:sz w:val="24"/>
              </w:rPr>
              <w:t xml:space="preserve">服务</w:t>
            </w:r>
            <w:r/>
          </w:p>
          <w:p>
            <w:pPr>
              <w:jc w:val="center"/>
              <w:spacing w:after="0" w:line="240" w:lineRule="auto"/>
              <w:rPr>
                <w:rFonts w:ascii="宋体" w:hAnsi="宋体" w:cs="宋体"/>
                <w:sz w:val="24"/>
              </w:rPr>
            </w:pPr>
            <w:r>
              <w:rPr>
                <w:rFonts w:hint="eastAsia" w:ascii="宋体" w:hAnsi="宋体" w:cs="宋体"/>
                <w:sz w:val="24"/>
              </w:rPr>
              <w:t xml:space="preserve">方案</w:t>
            </w:r>
            <w:r/>
          </w:p>
          <w:p>
            <w:pPr>
              <w:jc w:val="center"/>
              <w:spacing w:after="0" w:line="240" w:lineRule="auto"/>
              <w:rPr>
                <w:rFonts w:ascii="宋体" w:hAnsi="宋体" w:cs="宋体"/>
                <w:sz w:val="24"/>
              </w:rPr>
            </w:pPr>
            <w:r>
              <w:rPr>
                <w:rFonts w:hint="eastAsia" w:ascii="宋体" w:hAnsi="宋体" w:cs="宋体"/>
                <w:sz w:val="20"/>
                <w:szCs w:val="18"/>
              </w:rPr>
              <w:t xml:space="preserve">（</w:t>
            </w:r>
            <w:r>
              <w:rPr>
                <w:rFonts w:hint="eastAsia" w:ascii="宋体" w:hAnsi="宋体" w:eastAsia="宋体" w:cs="宋体"/>
                <w:sz w:val="20"/>
                <w:szCs w:val="18"/>
                <w:lang w:val="en-US" w:eastAsia="zh-CN"/>
              </w:rPr>
              <w:t xml:space="preserve">35</w:t>
            </w:r>
            <w:r>
              <w:rPr>
                <w:rFonts w:hint="eastAsia" w:ascii="宋体" w:hAnsi="宋体" w:cs="宋体"/>
                <w:sz w:val="20"/>
                <w:szCs w:val="18"/>
              </w:rPr>
              <w:t xml:space="preserve">分）</w:t>
            </w:r>
            <w:r/>
          </w:p>
        </w:tc>
        <w:tc>
          <w:tcPr>
            <w:tcBorders>
              <w:left w:val="single" w:color="auto" w:sz="4" w:space="0"/>
            </w:tcBorders>
            <w:tcW w:w="990"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售后</w:t>
            </w:r>
            <w:r/>
          </w:p>
          <w:p>
            <w:pPr>
              <w:jc w:val="center"/>
              <w:spacing w:after="0" w:line="240" w:lineRule="auto"/>
              <w:rPr>
                <w:rFonts w:ascii="宋体" w:hAnsi="宋体" w:cs="宋体"/>
                <w:sz w:val="24"/>
              </w:rPr>
            </w:pPr>
            <w:r>
              <w:rPr>
                <w:rFonts w:hint="eastAsia" w:ascii="宋体" w:hAnsi="宋体" w:eastAsia="宋体" w:cs="宋体"/>
                <w:sz w:val="24"/>
                <w:lang w:val="en-US" w:eastAsia="zh-CN"/>
              </w:rPr>
              <w:t xml:space="preserve">服务</w:t>
            </w:r>
            <w:r>
              <w:rPr>
                <w:rFonts w:hint="eastAsia" w:ascii="宋体" w:hAnsi="宋体" w:cs="宋体"/>
                <w:sz w:val="18"/>
                <w:szCs w:val="16"/>
              </w:rPr>
              <w:t xml:space="preserve">（</w:t>
            </w:r>
            <w:r>
              <w:rPr>
                <w:rFonts w:hint="eastAsia" w:ascii="宋体" w:hAnsi="宋体" w:eastAsia="宋体" w:cs="宋体"/>
                <w:sz w:val="18"/>
                <w:szCs w:val="16"/>
                <w:lang w:val="en-US" w:eastAsia="zh-CN"/>
              </w:rPr>
              <w:t xml:space="preserve">15</w:t>
            </w:r>
            <w:r>
              <w:rPr>
                <w:rFonts w:hint="eastAsia" w:ascii="宋体" w:hAnsi="宋体" w:cs="宋体"/>
                <w:sz w:val="18"/>
                <w:szCs w:val="16"/>
              </w:rPr>
              <w:t xml:space="preserve">分）</w:t>
            </w:r>
            <w:r/>
          </w:p>
        </w:tc>
        <w:tc>
          <w:tcPr>
            <w:tcW w:w="8583" w:type="dxa"/>
            <w:vAlign w:val="center"/>
            <w:textDirection w:val="lrTb"/>
            <w:noWrap w:val="false"/>
          </w:tcPr>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1、根据投标人提供的售后服务方案（包括但不限于售后服务内容、故障解决方案、售后服务机构及人员、售后服务承诺、售后服务应答及处理时间等方面）进行综合评价：</w:t>
            </w:r>
            <w:r/>
          </w:p>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（1）以上内容不存在瑕疵:10分；</w:t>
            </w:r>
            <w:r/>
          </w:p>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（2）以上内容存在1处瑕疵:7分；</w:t>
            </w:r>
            <w:r/>
          </w:p>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（3）以上内容存在2处瑕疵:5分；</w:t>
            </w:r>
            <w:r/>
          </w:p>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（4）以上内容存在3处瑕疵:3分；</w:t>
            </w:r>
            <w:r/>
          </w:p>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（5）未提供方案或不满足项目要求或内容存在4处及以上瑕疵:0分。</w:t>
            </w:r>
            <w:r/>
          </w:p>
          <w:p>
            <w:pPr>
              <w:keepLines w:val="0"/>
              <w:keepNext w:val="0"/>
              <w:pageBreakBefore w:val="0"/>
              <w:spacing w:after="0" w:line="24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keepLines w:val="0"/>
              <w:keepNext w:val="0"/>
              <w:pageBreakBefore w:val="0"/>
              <w:spacing w:after="0" w:line="24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2、售后服务方案中提到可以提供原厂整机质保每增加1年得2分，最高得5分。</w:t>
            </w:r>
            <w:r/>
          </w:p>
        </w:tc>
      </w:tr>
      <w:tr>
        <w:trPr>
          <w:cantSplit/>
          <w:jc w:val="center"/>
          <w:trHeight w:val="1028"/>
        </w:trPr>
        <w:tc>
          <w:tcPr>
            <w:tcBorders>
              <w:right w:val="single" w:color="auto" w:sz="4" w:space="0"/>
            </w:tcBorders>
            <w:tcW w:w="1070" w:type="dxa"/>
            <w:vAlign w:val="center"/>
            <w:vMerge w:val="continue"/>
            <w:textDirection w:val="lrTb"/>
            <w:noWrap w:val="false"/>
          </w:tcPr>
          <w:p>
            <w:pPr>
              <w:jc w:val="center"/>
              <w:spacing w:after="0" w:line="240" w:lineRule="auto"/>
              <w:rPr>
                <w:rFonts w:ascii="宋体" w:hAnsi="宋体" w:cs="宋体"/>
                <w:sz w:val="24"/>
                <w:lang w:eastAsia="zh-CN"/>
              </w:rPr>
            </w:pPr>
            <w:r>
              <w:rPr>
                <w:rFonts w:ascii="宋体" w:hAnsi="宋体" w:cs="宋体"/>
                <w:sz w:val="24"/>
                <w:lang w:eastAsia="zh-CN"/>
              </w:rPr>
            </w:r>
            <w:r/>
          </w:p>
        </w:tc>
        <w:tc>
          <w:tcPr>
            <w:tcBorders>
              <w:top w:val="single" w:color="auto" w:sz="4" w:space="0"/>
              <w:left w:val="single" w:color="auto" w:sz="4" w:space="0"/>
            </w:tcBorders>
            <w:tcW w:w="990" w:type="dxa"/>
            <w:vAlign w:val="center"/>
            <w:textDirection w:val="lrTb"/>
            <w:noWrap w:val="false"/>
          </w:tcPr>
          <w:p>
            <w:pPr>
              <w:jc w:val="center"/>
              <w:spacing w:after="0" w:line="240" w:lineRule="auto"/>
              <w:rPr>
                <w:rFonts w:hint="eastAsia" w:ascii="宋体" w:hAnsi="宋体" w:cs="宋体"/>
                <w:sz w:val="24"/>
                <w:lang w:eastAsia="zh-CN"/>
              </w:rPr>
            </w:pPr>
            <w:r>
              <w:rPr>
                <w:rFonts w:hint="eastAsia" w:ascii="宋体" w:hAnsi="宋体" w:cs="宋体"/>
                <w:sz w:val="24"/>
                <w:lang w:eastAsia="zh-CN"/>
              </w:rPr>
              <w:t xml:space="preserve">培训</w:t>
            </w:r>
            <w:r/>
          </w:p>
          <w:p>
            <w:pPr>
              <w:jc w:val="center"/>
              <w:spacing w:after="0" w:line="240" w:lineRule="auto"/>
              <w:rPr>
                <w:rFonts w:ascii="宋体" w:hAnsi="宋体" w:cs="宋体"/>
                <w:sz w:val="24"/>
                <w:lang w:eastAsia="zh-CN"/>
              </w:rPr>
            </w:pPr>
            <w:r>
              <w:rPr>
                <w:rFonts w:hint="eastAsia" w:ascii="宋体" w:hAnsi="宋体" w:cs="宋体"/>
                <w:sz w:val="24"/>
                <w:lang w:eastAsia="zh-CN"/>
              </w:rPr>
              <w:t xml:space="preserve">方案</w:t>
            </w:r>
            <w:r>
              <w:rPr>
                <w:rFonts w:hint="eastAsia" w:ascii="宋体" w:hAnsi="宋体" w:cs="宋体"/>
                <w:sz w:val="18"/>
                <w:szCs w:val="16"/>
                <w:lang w:eastAsia="zh-CN"/>
              </w:rPr>
              <w:t xml:space="preserve">（</w:t>
            </w:r>
            <w:r>
              <w:rPr>
                <w:rFonts w:hint="eastAsia" w:ascii="宋体" w:hAnsi="宋体" w:cs="宋体"/>
                <w:sz w:val="18"/>
                <w:szCs w:val="16"/>
                <w:lang w:val="en-US" w:eastAsia="zh-CN"/>
              </w:rPr>
              <w:t xml:space="preserve">10</w:t>
            </w:r>
            <w:r>
              <w:rPr>
                <w:rFonts w:hint="eastAsia" w:ascii="宋体" w:hAnsi="宋体" w:cs="宋体"/>
                <w:sz w:val="18"/>
                <w:szCs w:val="16"/>
                <w:lang w:eastAsia="zh-CN"/>
              </w:rPr>
              <w:t xml:space="preserve">分）</w:t>
            </w:r>
            <w:r/>
          </w:p>
        </w:tc>
        <w:tc>
          <w:tcPr>
            <w:tcBorders>
              <w:top w:val="single" w:color="auto" w:sz="4" w:space="0"/>
            </w:tcBorders>
            <w:tcW w:w="8583" w:type="dxa"/>
            <w:vAlign w:val="center"/>
            <w:textDirection w:val="lrTb"/>
            <w:noWrap w:val="false"/>
          </w:tcPr>
          <w:p>
            <w:pPr>
              <w:keepLines w:val="0"/>
              <w:keepNext w:val="0"/>
              <w:pageBreakBefore w:val="0"/>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依据投标人提供的对买方操作、维护人员的培训方案及计划进行综合评价： </w:t>
            </w:r>
            <w:r/>
          </w:p>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（1）以上内容不存在瑕疵:10分；</w:t>
            </w:r>
            <w:r/>
          </w:p>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（2）以上内容存在1处瑕疵:7分；</w:t>
            </w:r>
            <w:r/>
          </w:p>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（3）以上内容存在2处瑕疵:5分；</w:t>
            </w:r>
            <w:r/>
          </w:p>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（4）以上内容存在3处瑕疵:3分；</w:t>
            </w:r>
            <w:r/>
          </w:p>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（5）未提供方案或不满足项目要求或内容存在4处及以上瑕疵:0分。</w:t>
            </w:r>
            <w:r/>
          </w:p>
          <w:p>
            <w:pPr>
              <w:keepLines w:val="0"/>
              <w:keepNext w:val="0"/>
              <w:pageBreakBefore w:val="0"/>
              <w:spacing w:after="0"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cantSplit/>
          <w:jc w:val="center"/>
          <w:trHeight w:val="960"/>
        </w:trPr>
        <w:tc>
          <w:tcPr>
            <w:tcBorders>
              <w:right w:val="single" w:color="auto" w:sz="4" w:space="0"/>
            </w:tcBorders>
            <w:tcW w:w="1070" w:type="dxa"/>
            <w:vAlign w:val="center"/>
            <w:vMerge w:val="continue"/>
            <w:textDirection w:val="lrTb"/>
            <w:noWrap w:val="false"/>
          </w:tcPr>
          <w:p>
            <w:pPr>
              <w:jc w:val="center"/>
              <w:spacing w:after="0" w:line="240" w:lineRule="auto"/>
              <w:rPr>
                <w:rFonts w:ascii="宋体" w:hAnsi="宋体" w:cs="宋体"/>
                <w:sz w:val="24"/>
                <w:lang w:eastAsia="zh-CN"/>
              </w:rPr>
            </w:pPr>
            <w:r>
              <w:rPr>
                <w:rFonts w:ascii="宋体" w:hAnsi="宋体" w:cs="宋体"/>
                <w:sz w:val="24"/>
                <w:lang w:eastAsia="zh-CN"/>
              </w:rPr>
            </w:r>
            <w:r/>
          </w:p>
        </w:tc>
        <w:tc>
          <w:tcPr>
            <w:tcBorders>
              <w:left w:val="single" w:color="auto" w:sz="4" w:space="0"/>
            </w:tcBorders>
            <w:tcW w:w="990"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实施</w:t>
            </w:r>
            <w:r/>
          </w:p>
          <w:p>
            <w:pPr>
              <w:jc w:val="center"/>
              <w:spacing w:after="0" w:line="240" w:lineRule="auto"/>
              <w:rPr>
                <w:rFonts w:ascii="宋体" w:hAnsi="宋体" w:cs="宋体"/>
                <w:sz w:val="24"/>
              </w:rPr>
            </w:pPr>
            <w:r>
              <w:rPr>
                <w:rFonts w:hint="eastAsia" w:ascii="宋体" w:hAnsi="宋体" w:eastAsia="宋体" w:cs="宋体"/>
                <w:sz w:val="24"/>
                <w:lang w:val="en-US" w:eastAsia="zh-CN"/>
              </w:rPr>
              <w:t xml:space="preserve">方案</w:t>
            </w:r>
            <w:r>
              <w:rPr>
                <w:rFonts w:hint="eastAsia" w:ascii="宋体" w:hAnsi="宋体" w:cs="宋体"/>
                <w:sz w:val="18"/>
                <w:szCs w:val="16"/>
              </w:rPr>
              <w:t xml:space="preserve">（</w:t>
            </w:r>
            <w:r>
              <w:rPr>
                <w:rFonts w:hint="eastAsia" w:ascii="宋体" w:hAnsi="宋体" w:eastAsia="宋体" w:cs="宋体"/>
                <w:sz w:val="18"/>
                <w:szCs w:val="16"/>
                <w:lang w:val="en-US" w:eastAsia="zh-CN"/>
              </w:rPr>
              <w:t xml:space="preserve">10</w:t>
            </w:r>
            <w:r>
              <w:rPr>
                <w:rFonts w:hint="eastAsia" w:ascii="宋体" w:hAnsi="宋体" w:cs="宋体"/>
                <w:sz w:val="18"/>
                <w:szCs w:val="16"/>
              </w:rPr>
              <w:t xml:space="preserve">分）</w:t>
            </w:r>
            <w:r/>
          </w:p>
        </w:tc>
        <w:tc>
          <w:tcPr>
            <w:tcW w:w="8583"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根据投标人针对本项目制定详细的项目实施方案，方案包括但不限于产品到货日期、进度计划、节点控制、质量管理、人员安排、验收等内容进行综合评价： </w:t>
            </w:r>
            <w:r/>
          </w:p>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（1）以上内容不存在瑕疵:10分；</w:t>
            </w:r>
            <w:r/>
          </w:p>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（2）以上内容存在1处瑕疵:7分；</w:t>
            </w:r>
            <w:r/>
          </w:p>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（3）以上内容存在2处瑕疵:5分；</w:t>
            </w:r>
            <w:r/>
          </w:p>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（4）以上内容存在3处瑕疵:3分；</w:t>
            </w:r>
            <w:r/>
          </w:p>
          <w:p>
            <w:pPr>
              <w:keepLines w:val="0"/>
              <w:keepNext w:val="0"/>
              <w:pageBreakBefore w:val="0"/>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（5）未提供方案或不满足项目要求或内容存在4处及以上瑕疵:0分。</w:t>
            </w:r>
            <w:r/>
          </w:p>
          <w:p>
            <w:pPr>
              <w:keepLines w:val="0"/>
              <w:keepNext w:val="0"/>
              <w:pageBreakBefore w:val="0"/>
              <w:spacing w:after="0"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cantSplit/>
          <w:jc w:val="center"/>
          <w:trHeight w:val="90"/>
        </w:trPr>
        <w:tc>
          <w:tcPr>
            <w:tcBorders>
              <w:right w:val="single" w:color="auto" w:sz="4" w:space="0"/>
            </w:tcBorders>
            <w:tcW w:w="1070" w:type="dxa"/>
            <w:vAlign w:val="center"/>
            <w:textDirection w:val="lrTb"/>
            <w:noWrap w:val="false"/>
          </w:tcPr>
          <w:p>
            <w:pPr>
              <w:jc w:val="center"/>
              <w:spacing w:after="0" w:line="240" w:lineRule="auto"/>
              <w:rPr>
                <w:rFonts w:hint="eastAsia" w:ascii="宋体" w:hAnsi="宋体" w:eastAsia="宋体" w:cs="宋体"/>
                <w:sz w:val="24"/>
                <w:lang w:eastAsia="zh-CN"/>
              </w:rPr>
            </w:pPr>
            <w:r>
              <w:rPr>
                <w:rFonts w:hint="eastAsia" w:ascii="宋体" w:hAnsi="宋体" w:eastAsia="宋体" w:cs="宋体"/>
                <w:sz w:val="24"/>
                <w:lang w:eastAsia="zh-CN"/>
              </w:rPr>
              <w:t xml:space="preserve">商务</w:t>
            </w:r>
            <w:r/>
          </w:p>
          <w:p>
            <w:pPr>
              <w:jc w:val="center"/>
              <w:spacing w:after="0" w:line="240" w:lineRule="auto"/>
              <w:rPr>
                <w:rFonts w:hint="eastAsia" w:ascii="宋体" w:hAnsi="宋体" w:eastAsia="宋体" w:cs="宋体"/>
                <w:sz w:val="24"/>
                <w:lang w:eastAsia="zh-CN"/>
              </w:rPr>
            </w:pPr>
            <w:r>
              <w:rPr>
                <w:rFonts w:hint="eastAsia" w:ascii="宋体" w:hAnsi="宋体" w:eastAsia="宋体" w:cs="宋体"/>
                <w:sz w:val="24"/>
                <w:lang w:eastAsia="zh-CN"/>
              </w:rPr>
              <w:t xml:space="preserve">得分</w:t>
            </w:r>
            <w:r/>
          </w:p>
          <w:p>
            <w:pPr>
              <w:jc w:val="center"/>
              <w:spacing w:after="0" w:line="240" w:lineRule="auto"/>
              <w:rPr>
                <w:rFonts w:ascii="宋体" w:hAnsi="宋体" w:cs="宋体"/>
                <w:sz w:val="24"/>
              </w:rPr>
            </w:pPr>
            <w:r>
              <w:rPr>
                <w:rFonts w:hint="eastAsia" w:ascii="宋体" w:hAnsi="宋体" w:cs="宋体"/>
                <w:sz w:val="22"/>
                <w:szCs w:val="21"/>
              </w:rPr>
              <w:t xml:space="preserve">（</w:t>
            </w:r>
            <w:r>
              <w:rPr>
                <w:rFonts w:hint="eastAsia" w:ascii="宋体" w:hAnsi="宋体" w:eastAsia="宋体" w:cs="宋体"/>
                <w:sz w:val="22"/>
                <w:szCs w:val="21"/>
                <w:lang w:eastAsia="zh-CN"/>
              </w:rPr>
              <w:t xml:space="preserve">4</w:t>
            </w:r>
            <w:r>
              <w:rPr>
                <w:rFonts w:hint="eastAsia" w:ascii="宋体" w:hAnsi="宋体" w:cs="宋体"/>
                <w:sz w:val="22"/>
                <w:szCs w:val="21"/>
              </w:rPr>
              <w:t xml:space="preserve">分）</w:t>
            </w:r>
            <w:r/>
          </w:p>
        </w:tc>
        <w:tc>
          <w:tcPr>
            <w:tcBorders>
              <w:left w:val="single" w:color="auto" w:sz="4" w:space="0"/>
            </w:tcBorders>
            <w:tcW w:w="990" w:type="dxa"/>
            <w:vAlign w:val="center"/>
            <w:textDirection w:val="lrTb"/>
            <w:noWrap w:val="false"/>
          </w:tcPr>
          <w:p>
            <w:pPr>
              <w:jc w:val="center"/>
              <w:spacing w:after="0" w:line="240" w:lineRule="auto"/>
              <w:rPr>
                <w:rFonts w:ascii="宋体" w:hAnsi="宋体" w:eastAsia="宋体" w:cs="宋体"/>
                <w:sz w:val="24"/>
                <w:lang w:eastAsia="zh-CN"/>
              </w:rPr>
            </w:pPr>
            <w:r>
              <w:rPr>
                <w:rFonts w:hint="eastAsia" w:ascii="宋体" w:hAnsi="宋体" w:eastAsia="宋体" w:cs="宋体"/>
                <w:sz w:val="24"/>
                <w:lang w:eastAsia="zh-CN"/>
              </w:rPr>
              <w:t xml:space="preserve">业绩</w:t>
            </w:r>
            <w:r/>
          </w:p>
          <w:p>
            <w:pPr>
              <w:jc w:val="center"/>
              <w:spacing w:after="0" w:line="240" w:lineRule="auto"/>
              <w:rPr>
                <w:rFonts w:ascii="宋体" w:hAnsi="宋体" w:cs="宋体"/>
                <w:sz w:val="24"/>
              </w:rPr>
            </w:pPr>
            <w:r>
              <w:rPr>
                <w:rFonts w:hint="eastAsia" w:ascii="宋体" w:hAnsi="宋体" w:cs="宋体"/>
                <w:sz w:val="20"/>
                <w:szCs w:val="18"/>
              </w:rPr>
              <w:t xml:space="preserve">（</w:t>
            </w:r>
            <w:r>
              <w:rPr>
                <w:rFonts w:hint="eastAsia" w:ascii="宋体" w:hAnsi="宋体" w:eastAsia="宋体" w:cs="宋体"/>
                <w:sz w:val="20"/>
                <w:szCs w:val="18"/>
                <w:lang w:eastAsia="zh-CN"/>
              </w:rPr>
              <w:t xml:space="preserve">4</w:t>
            </w:r>
            <w:r>
              <w:rPr>
                <w:rFonts w:hint="eastAsia" w:ascii="宋体" w:hAnsi="宋体" w:cs="宋体"/>
                <w:sz w:val="20"/>
                <w:szCs w:val="18"/>
              </w:rPr>
              <w:t xml:space="preserve">分）</w:t>
            </w:r>
            <w:r/>
          </w:p>
        </w:tc>
        <w:tc>
          <w:tcPr>
            <w:tcW w:w="8583" w:type="dxa"/>
            <w:vAlign w:val="center"/>
            <w:textDirection w:val="lrTb"/>
            <w:noWrap w:val="false"/>
          </w:tcPr>
          <w:p>
            <w:pPr>
              <w:spacing w:after="0" w:line="240" w:lineRule="auto"/>
              <w:rPr>
                <w:rFonts w:ascii="宋体" w:hAnsi="宋体" w:cs="宋体"/>
                <w:sz w:val="24"/>
                <w:lang w:eastAsia="zh-CN"/>
              </w:rPr>
            </w:pPr>
            <w:r>
              <w:rPr>
                <w:rFonts w:hint="eastAsia" w:ascii="宋体" w:hAnsi="宋体" w:cs="宋体"/>
                <w:sz w:val="24"/>
                <w:lang w:eastAsia="zh-CN"/>
              </w:rPr>
              <w:t xml:space="preserve">投标文件中提供投标人为卖方（乙方），合同签订日期在202</w:t>
            </w:r>
            <w:r>
              <w:rPr>
                <w:rFonts w:hint="eastAsia" w:ascii="宋体" w:hAnsi="宋体" w:cs="宋体"/>
                <w:sz w:val="24"/>
                <w:lang w:val="en-US" w:eastAsia="zh-CN"/>
              </w:rPr>
              <w:t xml:space="preserve">1</w:t>
            </w:r>
            <w:r>
              <w:rPr>
                <w:rFonts w:hint="eastAsia" w:ascii="宋体" w:hAnsi="宋体" w:cs="宋体"/>
                <w:sz w:val="24"/>
                <w:lang w:eastAsia="zh-CN"/>
              </w:rPr>
              <w:t xml:space="preserve">年</w:t>
            </w:r>
            <w:r>
              <w:rPr>
                <w:rFonts w:hint="eastAsia" w:ascii="宋体" w:hAnsi="宋体" w:cs="宋体"/>
                <w:sz w:val="24"/>
                <w:lang w:val="en-US" w:eastAsia="zh-CN"/>
              </w:rPr>
              <w:t xml:space="preserve">9</w:t>
            </w:r>
            <w:r>
              <w:rPr>
                <w:rFonts w:hint="eastAsia" w:ascii="宋体" w:hAnsi="宋体" w:cs="宋体"/>
                <w:sz w:val="24"/>
                <w:lang w:eastAsia="zh-CN"/>
              </w:rPr>
              <w:t xml:space="preserve">月1日以后，每提供一个与本项目采购标的类似业绩的得</w:t>
            </w:r>
            <w:r>
              <w:rPr>
                <w:rFonts w:hint="eastAsia" w:ascii="宋体" w:hAnsi="宋体" w:cs="宋体"/>
                <w:sz w:val="24"/>
                <w:lang w:val="en-US" w:eastAsia="zh-CN"/>
              </w:rPr>
              <w:t xml:space="preserve">2</w:t>
            </w:r>
            <w:r>
              <w:rPr>
                <w:rFonts w:hint="eastAsia" w:ascii="宋体" w:hAnsi="宋体" w:cs="宋体"/>
                <w:sz w:val="24"/>
                <w:lang w:eastAsia="zh-CN"/>
              </w:rPr>
              <w:t xml:space="preserve">分，本项最高得</w:t>
            </w:r>
            <w:r>
              <w:rPr>
                <w:rFonts w:hint="eastAsia" w:ascii="宋体" w:hAnsi="宋体" w:cs="宋体"/>
                <w:sz w:val="24"/>
                <w:lang w:val="en-US" w:eastAsia="zh-CN"/>
              </w:rPr>
              <w:t xml:space="preserve">4</w:t>
            </w:r>
            <w:r>
              <w:rPr>
                <w:rFonts w:hint="eastAsia" w:ascii="宋体" w:hAnsi="宋体" w:cs="宋体"/>
                <w:sz w:val="24"/>
                <w:lang w:eastAsia="zh-CN"/>
              </w:rPr>
              <w:t xml:space="preserve">分，未提供不得分。</w:t>
            </w:r>
            <w:r/>
          </w:p>
          <w:p>
            <w:pPr>
              <w:spacing w:after="0" w:line="240" w:lineRule="auto"/>
              <w:rPr>
                <w:rFonts w:ascii="宋体" w:hAnsi="宋体" w:cs="宋体"/>
                <w:sz w:val="24"/>
                <w:lang w:eastAsia="zh-CN"/>
              </w:rPr>
            </w:pPr>
            <w:r>
              <w:rPr>
                <w:rFonts w:hint="eastAsia" w:ascii="宋体" w:hAnsi="宋体" w:cs="宋体"/>
                <w:sz w:val="24"/>
                <w:lang w:eastAsia="zh-CN"/>
              </w:rPr>
              <w:t xml:space="preserve">时间以合同签订时间为准，投标文件中提供合同扫描件，不提供或提供内容模糊不清该项不得分。</w:t>
            </w:r>
            <w:r/>
          </w:p>
        </w:tc>
      </w:tr>
    </w:tbl>
    <w:p>
      <w:pPr>
        <w:ind w:firstLine="0"/>
        <w:jc w:val="both"/>
        <w:keepLines w:val="0"/>
        <w:keepNext w:val="0"/>
        <w:pageBreakBefore w:val="0"/>
        <w:spacing w:after="0" w:line="240" w:lineRule="auto"/>
        <w:widowControl/>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r>
      <w:r/>
    </w:p>
    <w:p>
      <w:pPr>
        <w:ind w:firstLine="482"/>
        <w:jc w:val="both"/>
        <w:keepLines w:val="0"/>
        <w:keepNext w:val="0"/>
        <w:pageBreakBefore w:val="0"/>
        <w:spacing w:after="0" w:line="240" w:lineRule="auto"/>
        <w:widowControl/>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注：上传的所有扫描件，均为原件的彩色扫描件，扫描件必须内容清晰可见，如无法辨识不予认可。</w:t>
      </w:r>
      <w:r/>
    </w:p>
    <w:p>
      <w:pPr>
        <w:ind w:firstLine="675"/>
        <w:jc w:val="both"/>
        <w:keepLines w:val="0"/>
        <w:keepNext w:val="0"/>
        <w:pageBreakBefore w:val="0"/>
        <w:spacing w:before="100" w:after="0" w:line="30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说明：</w:t>
      </w:r>
      <w:r/>
    </w:p>
    <w:p>
      <w:pPr>
        <w:ind w:firstLine="675"/>
        <w:jc w:val="both"/>
        <w:keepLines w:val="0"/>
        <w:keepNext w:val="0"/>
        <w:pageBreakBefore w:val="0"/>
        <w:spacing w:after="0" w:line="240" w:lineRule="auto"/>
        <w:widowControl/>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1、本项目采用综合评分法，对通过资格审查、符合性审查的投标人进行综合打分；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2、本项目共分2个采购包，投标人可以参与全部2个采购包的投标也可兼中。评标顺序为采购包1、采购包2。</w:t>
      </w:r>
      <w:r/>
    </w:p>
    <w:p>
      <w:pPr>
        <w:jc w:val="center"/>
        <w:spacing w:after="0" w:line="720" w:lineRule="atLeast"/>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6"/>
          <w:szCs w:val="36"/>
          <w:lang w:eastAsia="zh-CN"/>
        </w:rPr>
      </w:r>
      <w:r/>
    </w:p>
    <w:p>
      <w:pPr>
        <w:jc w:val="center"/>
        <w:spacing w:after="0" w:line="720" w:lineRule="atLeast"/>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6"/>
          <w:szCs w:val="36"/>
          <w:lang w:eastAsia="zh-CN"/>
        </w:rPr>
      </w:r>
      <w:r/>
    </w:p>
    <w:p>
      <w:pPr>
        <w:jc w:val="center"/>
        <w:spacing w:after="0" w:line="720" w:lineRule="atLeast"/>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6"/>
          <w:szCs w:val="36"/>
          <w:lang w:eastAsia="zh-CN"/>
        </w:rPr>
      </w:r>
      <w:r/>
    </w:p>
    <w:p>
      <w:pPr>
        <w:jc w:val="center"/>
        <w:spacing w:after="0" w:line="720" w:lineRule="atLeast"/>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6"/>
          <w:szCs w:val="36"/>
          <w:lang w:eastAsia="zh-CN"/>
        </w:rPr>
      </w:r>
      <w:r/>
    </w:p>
    <w:p>
      <w:pPr>
        <w:jc w:val="center"/>
        <w:spacing w:after="0" w:line="720" w:lineRule="atLeast"/>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6"/>
          <w:szCs w:val="36"/>
          <w:lang w:eastAsia="zh-CN"/>
        </w:rPr>
      </w:r>
      <w:r/>
    </w:p>
    <w:p>
      <w:pPr>
        <w:jc w:val="center"/>
        <w:spacing w:after="0" w:line="720" w:lineRule="atLeast"/>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6"/>
          <w:szCs w:val="36"/>
          <w:lang w:eastAsia="zh-CN"/>
        </w:rPr>
      </w:r>
      <w:r/>
    </w:p>
    <w:p>
      <w:pPr>
        <w:jc w:val="center"/>
        <w:spacing w:after="0" w:line="720" w:lineRule="atLeast"/>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6"/>
          <w:szCs w:val="36"/>
          <w:lang w:eastAsia="zh-CN"/>
        </w:rPr>
      </w:r>
      <w:r/>
    </w:p>
    <w:p>
      <w:pPr>
        <w:jc w:val="center"/>
        <w:spacing w:after="0" w:line="720" w:lineRule="atLeast"/>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6"/>
          <w:szCs w:val="36"/>
          <w:lang w:eastAsia="zh-CN"/>
        </w:rPr>
      </w:r>
      <w:r/>
    </w:p>
    <w:p>
      <w:pPr>
        <w:jc w:val="center"/>
        <w:spacing w:after="0" w:line="720" w:lineRule="atLeast"/>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6"/>
          <w:szCs w:val="36"/>
          <w:lang w:eastAsia="zh-CN"/>
        </w:rPr>
      </w:r>
      <w:r/>
    </w:p>
    <w:p>
      <w:pPr>
        <w:jc w:val="center"/>
        <w:spacing w:after="0" w:line="720" w:lineRule="atLeast"/>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6"/>
          <w:szCs w:val="36"/>
          <w:lang w:eastAsia="zh-CN"/>
        </w:rPr>
      </w:r>
      <w:r/>
    </w:p>
    <w:p>
      <w:pPr>
        <w:jc w:val="both"/>
        <w:spacing w:after="0" w:line="720" w:lineRule="atLeast"/>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6"/>
          <w:szCs w:val="36"/>
          <w:lang w:eastAsia="zh-CN"/>
        </w:rPr>
      </w:r>
      <w:r/>
    </w:p>
    <w:p>
      <w:pPr>
        <w:jc w:val="both"/>
        <w:spacing w:after="0" w:line="720" w:lineRule="atLeast"/>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6"/>
          <w:szCs w:val="36"/>
          <w:lang w:eastAsia="zh-CN"/>
        </w:rPr>
      </w:r>
      <w:r/>
    </w:p>
    <w:p>
      <w:pPr>
        <w:jc w:val="center"/>
        <w:spacing w:after="0" w:line="720" w:lineRule="atLeast"/>
        <w:rPr>
          <w:rFonts w:ascii="宋体" w:hAnsi="宋体" w:eastAsia="宋体" w:cs="宋体"/>
          <w:sz w:val="36"/>
          <w:szCs w:val="36"/>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6"/>
          <w:szCs w:val="36"/>
          <w:lang w:eastAsia="zh-CN"/>
        </w:rPr>
        <w:t xml:space="preserve">第五章  拟签订的合同文本</w:t>
      </w:r>
      <w:r/>
    </w:p>
    <w:p>
      <w:pPr>
        <w:pStyle w:val="836"/>
        <w:rPr>
          <w:lang w:eastAsia="zh-CN"/>
        </w:rPr>
      </w:pPr>
      <w:r>
        <w:rPr>
          <w:lang w:eastAsia="zh-CN"/>
        </w:rPr>
      </w:r>
      <w:r/>
    </w:p>
    <w:p>
      <w:pPr>
        <w:pStyle w:val="868"/>
        <w:jc w:val="left"/>
        <w:spacing w:line="240" w:lineRule="auto"/>
        <w:rPr>
          <w:rFonts w:eastAsia="宋体" w:cs="宋体"/>
        </w:rPr>
      </w:pPr>
      <w:r>
        <w:rPr>
          <w:rFonts w:hint="eastAsia" w:eastAsia="宋体" w:cs="宋体"/>
        </w:rPr>
        <w:t xml:space="preserve">项目名称：</w:t>
      </w:r>
      <w:r/>
    </w:p>
    <w:p>
      <w:pPr>
        <w:pStyle w:val="868"/>
        <w:jc w:val="left"/>
        <w:spacing w:line="240" w:lineRule="auto"/>
        <w:rPr>
          <w:rFonts w:eastAsia="宋体" w:cs="宋体"/>
        </w:rPr>
      </w:pPr>
      <w:r>
        <w:rPr>
          <w:rFonts w:hint="eastAsia" w:eastAsia="宋体" w:cs="宋体"/>
        </w:rPr>
        <w:t xml:space="preserve">项目编号：</w:t>
      </w:r>
      <w:r/>
    </w:p>
    <w:p>
      <w:pPr>
        <w:pStyle w:val="868"/>
        <w:jc w:val="center"/>
        <w:rPr>
          <w:rFonts w:eastAsia="宋体" w:cs="宋体"/>
          <w:sz w:val="48"/>
          <w:szCs w:val="48"/>
        </w:rPr>
      </w:pPr>
      <w:r>
        <w:rPr>
          <w:rFonts w:eastAsia="宋体" w:cs="宋体"/>
          <w:sz w:val="48"/>
          <w:szCs w:val="48"/>
        </w:rPr>
      </w:r>
      <w:r/>
    </w:p>
    <w:p>
      <w:pPr>
        <w:pStyle w:val="868"/>
        <w:jc w:val="center"/>
        <w:rPr>
          <w:rFonts w:eastAsia="宋体" w:cs="宋体"/>
          <w:sz w:val="48"/>
          <w:szCs w:val="48"/>
        </w:rPr>
      </w:pPr>
      <w:r>
        <w:rPr>
          <w:rFonts w:hint="eastAsia" w:eastAsia="宋体" w:cs="宋体"/>
          <w:sz w:val="48"/>
          <w:szCs w:val="48"/>
        </w:rPr>
        <w:t xml:space="preserve">政</w:t>
      </w:r>
      <w:r/>
    </w:p>
    <w:p>
      <w:pPr>
        <w:pStyle w:val="868"/>
        <w:jc w:val="center"/>
        <w:rPr>
          <w:rFonts w:eastAsia="宋体" w:cs="宋体"/>
          <w:sz w:val="48"/>
          <w:szCs w:val="48"/>
        </w:rPr>
      </w:pPr>
      <w:r>
        <w:rPr>
          <w:rFonts w:hint="eastAsia" w:eastAsia="宋体" w:cs="宋体"/>
          <w:sz w:val="48"/>
          <w:szCs w:val="48"/>
        </w:rPr>
        <w:t xml:space="preserve">府</w:t>
      </w:r>
      <w:r/>
    </w:p>
    <w:p>
      <w:pPr>
        <w:pStyle w:val="868"/>
        <w:jc w:val="center"/>
        <w:rPr>
          <w:rFonts w:eastAsia="宋体" w:cs="宋体"/>
          <w:sz w:val="48"/>
          <w:szCs w:val="48"/>
        </w:rPr>
      </w:pPr>
      <w:r>
        <w:rPr>
          <w:rFonts w:hint="eastAsia" w:eastAsia="宋体" w:cs="宋体"/>
          <w:sz w:val="48"/>
          <w:szCs w:val="48"/>
        </w:rPr>
        <w:t xml:space="preserve">采</w:t>
      </w:r>
      <w:r/>
    </w:p>
    <w:p>
      <w:pPr>
        <w:pStyle w:val="868"/>
        <w:jc w:val="center"/>
        <w:rPr>
          <w:rFonts w:eastAsia="宋体" w:cs="宋体"/>
          <w:sz w:val="48"/>
          <w:szCs w:val="48"/>
        </w:rPr>
      </w:pPr>
      <w:r>
        <w:rPr>
          <w:rFonts w:hint="eastAsia" w:eastAsia="宋体" w:cs="宋体"/>
          <w:sz w:val="48"/>
          <w:szCs w:val="48"/>
        </w:rPr>
        <w:t xml:space="preserve">购</w:t>
      </w:r>
      <w:r/>
    </w:p>
    <w:p>
      <w:pPr>
        <w:pStyle w:val="868"/>
        <w:jc w:val="center"/>
        <w:rPr>
          <w:rFonts w:eastAsia="宋体" w:cs="宋体"/>
          <w:sz w:val="48"/>
          <w:szCs w:val="48"/>
        </w:rPr>
      </w:pPr>
      <w:r>
        <w:rPr>
          <w:rFonts w:hint="eastAsia" w:eastAsia="宋体" w:cs="宋体"/>
          <w:sz w:val="48"/>
          <w:szCs w:val="48"/>
        </w:rPr>
        <w:t xml:space="preserve">合</w:t>
      </w:r>
      <w:r/>
    </w:p>
    <w:p>
      <w:pPr>
        <w:pStyle w:val="868"/>
        <w:jc w:val="center"/>
        <w:rPr>
          <w:rFonts w:eastAsia="宋体" w:cs="宋体"/>
          <w:sz w:val="48"/>
          <w:szCs w:val="48"/>
        </w:rPr>
      </w:pPr>
      <w:r>
        <w:rPr>
          <w:rFonts w:hint="eastAsia" w:eastAsia="宋体" w:cs="宋体"/>
          <w:sz w:val="48"/>
          <w:szCs w:val="48"/>
        </w:rPr>
        <w:t xml:space="preserve">同</w:t>
      </w:r>
      <w:r/>
    </w:p>
    <w:p>
      <w:pPr>
        <w:pStyle w:val="868"/>
        <w:jc w:val="left"/>
        <w:spacing w:line="240" w:lineRule="auto"/>
        <w:rPr>
          <w:rFonts w:eastAsia="宋体" w:cs="宋体"/>
          <w:sz w:val="28"/>
          <w:szCs w:val="28"/>
        </w:rPr>
      </w:pPr>
      <w:r>
        <w:rPr>
          <w:rFonts w:hint="eastAsia" w:eastAsia="宋体" w:cs="宋体"/>
          <w:sz w:val="28"/>
          <w:szCs w:val="28"/>
        </w:rPr>
        <w:t xml:space="preserve">采  购  人：</w:t>
      </w:r>
      <w:r/>
    </w:p>
    <w:p>
      <w:pPr>
        <w:pStyle w:val="868"/>
        <w:jc w:val="left"/>
        <w:spacing w:line="240" w:lineRule="auto"/>
        <w:rPr>
          <w:rFonts w:eastAsia="宋体" w:cs="宋体"/>
          <w:sz w:val="28"/>
          <w:szCs w:val="28"/>
        </w:rPr>
      </w:pPr>
      <w:r>
        <w:rPr>
          <w:rFonts w:hint="eastAsia" w:eastAsia="宋体" w:cs="宋体"/>
          <w:sz w:val="28"/>
          <w:szCs w:val="28"/>
        </w:rPr>
        <w:t xml:space="preserve">成交供应商：</w:t>
      </w:r>
      <w:r/>
    </w:p>
    <w:p>
      <w:pPr>
        <w:pStyle w:val="868"/>
        <w:jc w:val="left"/>
        <w:spacing w:line="240" w:lineRule="auto"/>
        <w:rPr>
          <w:rFonts w:eastAsia="宋体" w:cs="宋体"/>
          <w:sz w:val="28"/>
          <w:szCs w:val="28"/>
        </w:rPr>
      </w:pPr>
      <w:r>
        <w:rPr>
          <w:rFonts w:hint="eastAsia" w:eastAsia="宋体" w:cs="宋体"/>
          <w:sz w:val="28"/>
          <w:szCs w:val="28"/>
        </w:rPr>
        <w:t xml:space="preserve">合同签订日期：  年  月  日</w:t>
      </w:r>
      <w:r/>
    </w:p>
    <w:p>
      <w:pPr>
        <w:pStyle w:val="869"/>
        <w:ind w:firstLine="480"/>
        <w:jc w:val="left"/>
        <w:widowControl/>
        <w:rPr>
          <w:rFonts w:ascii="宋体" w:hAnsi="宋体" w:cs="宋体"/>
          <w:sz w:val="24"/>
        </w:rPr>
      </w:pPr>
      <w:r>
        <w:rPr>
          <w:rFonts w:ascii="宋体" w:hAnsi="宋体" w:cs="宋体"/>
          <w:sz w:val="24"/>
        </w:rPr>
      </w:r>
      <w:r/>
    </w:p>
    <w:p>
      <w:pPr>
        <w:pStyle w:val="869"/>
        <w:ind w:firstLine="480"/>
        <w:jc w:val="left"/>
        <w:widowControl/>
        <w:rPr>
          <w:rFonts w:ascii="宋体" w:hAnsi="宋体" w:cs="宋体"/>
          <w:sz w:val="24"/>
        </w:rPr>
      </w:pPr>
      <w:r>
        <w:rPr>
          <w:rFonts w:ascii="宋体" w:hAnsi="宋体" w:cs="宋体"/>
          <w:sz w:val="24"/>
        </w:rPr>
      </w:r>
      <w:r/>
    </w:p>
    <w:p>
      <w:pPr>
        <w:pStyle w:val="869"/>
        <w:ind w:firstLine="480"/>
        <w:jc w:val="left"/>
        <w:widowControl/>
        <w:rPr>
          <w:rFonts w:ascii="宋体" w:hAnsi="宋体" w:cs="宋体"/>
          <w:sz w:val="24"/>
        </w:rPr>
      </w:pPr>
      <w:r>
        <w:rPr>
          <w:rFonts w:ascii="宋体" w:hAnsi="宋体" w:cs="宋体"/>
          <w:sz w:val="24"/>
        </w:rPr>
      </w:r>
      <w:r/>
    </w:p>
    <w:p>
      <w:pPr>
        <w:pStyle w:val="869"/>
        <w:ind w:firstLine="480"/>
        <w:jc w:val="left"/>
        <w:widowControl/>
        <w:rPr>
          <w:rFonts w:ascii="宋体" w:hAnsi="宋体" w:cs="宋体"/>
          <w:sz w:val="24"/>
        </w:rPr>
      </w:pPr>
      <w:r>
        <w:rPr>
          <w:rFonts w:hint="eastAsia" w:ascii="宋体" w:hAnsi="宋体" w:cs="宋体"/>
          <w:sz w:val="24"/>
        </w:rPr>
        <w:t xml:space="preserve">友情提醒：采购人与中标、成交供应商应当在中标、成交通知书发出之日起三十日内，按照采购文件确定的事项签订政府采购合同。 </w:t>
      </w:r>
      <w:r/>
    </w:p>
    <w:p>
      <w:pPr>
        <w:rPr>
          <w:rFonts w:ascii="宋体" w:hAnsi="宋体" w:eastAsia="宋体" w:cs="宋体"/>
          <w:sz w:val="24"/>
          <w:szCs w:val="24"/>
          <w:lang w:eastAsia="zh-CN"/>
        </w:rPr>
      </w:pPr>
      <w:r>
        <w:rPr>
          <w:rFonts w:hint="eastAsia" w:ascii="宋体" w:hAnsi="宋体" w:eastAsia="宋体" w:cs="宋体"/>
          <w:sz w:val="24"/>
          <w:szCs w:val="24"/>
          <w:lang w:eastAsia="zh-CN"/>
        </w:rPr>
        <w:t xml:space="preserve">采购人应当自政府采购合同签订之日起 2 个工作日内，将政府采购合同在省级以上人民政府财政部门指定的媒体上公告，但政府采购合同中涉及国家秘密、商业秘密的内容除外。</w:t>
      </w:r>
      <w:r/>
    </w:p>
    <w:p>
      <w:pPr>
        <w:rPr>
          <w:lang w:eastAsia="zh-CN"/>
        </w:rPr>
        <w:sectPr>
          <w:headerReference w:type="default" r:id="rId10"/>
          <w:footerReference w:type="default" r:id="rId14"/>
          <w:footnotePr/>
          <w:endnotePr/>
          <w:type w:val="nextPage"/>
          <w:pgSz w:w="11906" w:h="16838" w:orient="portrait"/>
          <w:pgMar w:top="1440" w:right="1417" w:bottom="1440" w:left="1417" w:header="851" w:footer="992" w:gutter="0"/>
          <w:pgNumType w:start="3"/>
          <w:cols w:num="1" w:sep="0" w:space="720" w:equalWidth="1"/>
          <w:docGrid w:linePitch="360"/>
        </w:sectPr>
      </w:pPr>
      <w:r>
        <w:rPr>
          <w:lang w:eastAsia="zh-CN"/>
        </w:rPr>
      </w:r>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r>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r>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r>
      <w:r/>
    </w:p>
    <w:p>
      <w:pPr>
        <w:jc w:val="center"/>
        <w:rPr>
          <w:rFonts w:ascii="宋体" w:hAnsi="宋体" w:eastAsia="宋体" w:cs="宋体"/>
          <w:sz w:val="24"/>
          <w:szCs w:val="24"/>
          <w:lang w:eastAsia="zh-CN"/>
        </w:rPr>
      </w:pPr>
      <w:r>
        <w:rPr>
          <w:rFonts w:hint="eastAsia" w:ascii="宋体" w:hAnsi="宋体" w:eastAsia="宋体" w:cs="宋体"/>
          <w:sz w:val="28"/>
          <w:szCs w:val="28"/>
          <w:lang w:eastAsia="zh-CN"/>
        </w:rPr>
        <w:t xml:space="preserve">目录</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第一条    定义</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第二条    合同范围</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第三条    价格</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第四条    支付</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第五条    交货</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第六条    包装和标记</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第七条    技术资料</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第八条    安装</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第九条    验收</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第十条    售后服务和技术培训</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第十一条  索赔</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第十二条  不可抗力</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第十三条  合同的终止</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第十四条  争议的解决</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第十五条  适用法律</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第十六条  权利保证</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第十七条  保密</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第十八条  合同生效及其他</w:t>
      </w:r>
      <w:r/>
    </w:p>
    <w:p>
      <w:pPr>
        <w:ind w:left="1100"/>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lang w:eastAsia="zh-CN"/>
        </w:rPr>
      </w:pPr>
      <w:r>
        <w:rPr>
          <w:rFonts w:hint="eastAsia" w:ascii="宋体" w:hAnsi="宋体" w:eastAsia="宋体" w:cs="宋体"/>
          <w:sz w:val="24"/>
          <w:szCs w:val="24"/>
          <w:lang w:eastAsia="zh-CN"/>
        </w:rPr>
        <w:br w:type="page" w:clear="all"/>
      </w:r>
      <w:r>
        <w:rPr>
          <w:rFonts w:hint="eastAsia" w:ascii="宋体" w:hAnsi="宋体" w:eastAsia="宋体" w:cs="宋体"/>
          <w:b/>
          <w:bCs/>
          <w:sz w:val="30"/>
          <w:szCs w:val="30"/>
          <w:lang w:eastAsia="zh-CN"/>
        </w:rPr>
        <w:t xml:space="preserve">合同通用条款</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第一条  定义</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除本合同上下文中另有规定外，下列各词语定义如下：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1.1“买方”见《合同专用条款》。</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1.2“卖方”见《合同专用条款》。</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1.3“工作现场”见《合同专用条款》。</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1.4“合同标的”见合同附件4。</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1.5“技术资料”是指与合同标的的安装、试运行、验收、操作以及维修有关的技术指标、规格、图纸和文件。</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1.6“技术培训”是指在合同标的的安装、试运行、验收、操作、维修以及其他方面卖方给予买方的培训。</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1.7“安装”是指有关合同标的、备件和材料的安装工作。</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1.8“试运行”是指为验明合同标的的技术性能，在安装完毕后对合同标的进行的测试。</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1.10“合同货币”见《合同专用条款》。</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1.11“合同价格”见合同附件4。</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1.12“合同生效日”见《合同协议书》（合同附件1）第5 条。</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1.13“日”是指日历天数。</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1.14“月”是指日历月数。</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第二条 合同范围</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2.1买方同意从卖方购买、卖方同意向买方出售和提供的合同标的以及相关售后服务、技术培训和技术资料。</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第三条 价格</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3.1 合同总价见《合同专用条款》。</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3.2 合同总价是固定价格。</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第四条 支付</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4.1买方应按照《合同专用条款》的规定进行支付。如果卖方未能按照《合同专用条款》的要求提交支付文件，由此产生的所有责任和发生的所有费用，均由卖方承担。</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4.2卖方有义务根据合同的规定向买方支付违约金和/或赔偿金时，买方有权从任何一笔应付款或卖方的履约保证金中予以扣除。</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第五条 交货</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5.1交货期限、批次和交货条件见《合同专用条款》。</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5.2交货地点见《合同专用条款》。</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5.3在《合同专用条款》规定的期限内，卖方应将合同号、合同标的的名称、数量、金额、包装件数以及交货的时间以书面方式通知买方。</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5.4卖方应按下列规定交付合同标的：</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5.4.1卖方负责将合同标的送至《合同专用条款》规定的交货地点。</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5.4.2买方出具的收据日期是合同标的的实际交货日期。</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5.5如果卖方未能按照合同规定的交货期限交货，卖方应按《合同专用条款》的规定支付违约金或提供其他救济。</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第六条 包装与标记</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6.1除非合同中另有规定，合同标的应保持产品制造企业原包装完好。</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6.2在合同标的的每件包装中都应附有下列单据：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A. 装箱明细单；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B. 质量合格证；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C. 技术资料。</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第七条 技术资料</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7.1 技术资料交付的期限和方式见《合同专用条款》。</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第八条 安装</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8.1 合同标的的安装期限见《合同专用条款》。</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第九条 验收</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9.1合同标的的试运行、验收见《合同专用条款》。</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9.2如果合同附件2 所规定的所有技术性能在验收中都已经达到，双方应在验收合格后5 日内签署验收书。</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9.3买方派出1-3名技术人员参加项目实施，卖方应积极配合甲方派出的1-3名技术人员监督管理。</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第十条 售后服务和技术培训</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10.1售后服务和技术培训见合同附件3。</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第十一条 索赔</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11.1如果合同标的在安装、试运行和验收中卖方未能履行其在本合同项下承担的义务，买方有权向卖方提出索赔并寻求《合同专用条款》中规定的救济方式，救济方式包括：</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A. 卖方替换不符合合同规定的合同标的。</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B. 按质量低劣的程度、买方受损害的程度及损失的数额对合同标的进行降价。</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C. 拒收合同标的。</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D. 赔偿由卖方违约引起的其他损失。</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第十二条 不可抗力</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第十三条 合同的终止</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A. 卖方在合同规定的交货期限后未能按《合同专用条款》中规定的最终期限交付合同标的和/或技术资料；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B. 合同标的未能达到合同附件2 规定的技术性能；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C. 卖方未能履行合同项下任何其它义务，并且在收到买方违约通知后未能按《合同专用条款》中规定的期限对其违约行为作出补救。</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13.2如果一方破产或发生资不抵债的情况,合同另一方有权在任何时候发出书面通知终止合同。此种情况下合同的终止不妨碍或影响行使任何可能的其它救济手段。</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13.3如果买方认定卖方在投标或执行合同中有腐败或欺诈行为,买方有权在任何时候发出书面通知终止合同。</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A.“腐败行为”系指在招标、采购和合同执行等过程中，为谋求利益、影响相关人员而提供、给予、接受或索取任何有价物的行为。</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B.“欺诈行为”系指为了影响招标、采购和合同执行等过程而隐瞒事实，从而给买方造成损害的行为，其中包括投标人之间的串通行为。</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13.4 在买方全部或部分终止合同的情况下，卖方应按《合同专用条款》的规定对买方给予补偿。</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第十四条 争议的解决</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14.1 因执行本合同所发生的或者与本合同有关的一切争议由合同双方通过友好协商解决，如果不能协商一致，按《合同专用条款》规定的方式解决。</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第十五条 适用法律</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15.1 本合同的执行和争议的解决适用中华人民共和国的法律并按中华人民共和国的法律进行解释。</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第十六条  权利保证</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16.1卖方应保证买方在使用合同标的时不受第三方提出侵犯其专利权、版权、商标权或其他权利的起诉。一旦出现侵权，卖方承担全部责任。</w:t>
      </w:r>
      <w:r/>
    </w:p>
    <w:p>
      <w:pPr>
        <w:numPr>
          <w:ilvl w:val="0"/>
          <w:numId w:val="5"/>
        </w:numPr>
        <w:spacing w:after="0" w:line="240" w:lineRule="auto"/>
        <w:rPr>
          <w:rFonts w:ascii="宋体" w:hAnsi="宋体" w:eastAsia="宋体" w:cs="宋体"/>
          <w:sz w:val="24"/>
          <w:szCs w:val="24"/>
        </w:rPr>
      </w:pP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保密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17.2上述秘密，卖方只能用于本合同，而且只能由卖方相应的人员使用；没有必要接触的卖方人员，不得接触。</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17.3卖方应当采取适当有效的方式保护所获取的上述秘密。</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第十八条 合同生效及其他</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18.1 本合同在合同协议书（合同附件1）规定的条件全部满足后生效。</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18.2合同项下全部权利义务履行完毕后，本合同自动失效。合同履行期满后，合同项下任何尚未了结的债权和债务不受合同履行期的影响，债务人仍应向债权人履行其义务。</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18.3 合同双方各自承担与本合同有关的应负税费。</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18.4合同双方除非《合同专用条款》另有规定，所有合同文件及相关的修订和合同双方之间的书面联络，应使用中文书就并按中文解释。</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18.5对本合同的任何补充、增添或修改以书面方式进行。</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18.6没有另一方的事先书面同意，合同任何一方不得将合同项下的任何权利和义务转让给第三方。</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18.8合同条款中的标题和边注仅供参考使用，不应视为合同的一部分，也不影响本文的解释。</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18.9合同构成买方和卖方之间就合同主要内容方面的完整协议，并且取代合同签订前所有关于这方面的通讯、协商、协议(不论是书面的，还是口头的)。</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18.11合同双方之间的一切联络往来应以书面形式按《合同专用条款》中规定的通讯地址发往合同另一方。有关重要事项的传真应及时用挂号信或快件确认。</w:t>
      </w:r>
      <w:r/>
    </w:p>
    <w:p>
      <w:pP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lang w:eastAsia="zh-CN"/>
        </w:rPr>
      </w:pPr>
      <w:r>
        <w:rPr>
          <w:rFonts w:hint="eastAsia" w:ascii="宋体" w:hAnsi="宋体" w:eastAsia="宋体" w:cs="宋体"/>
          <w:sz w:val="24"/>
          <w:szCs w:val="24"/>
          <w:lang w:eastAsia="zh-CN"/>
        </w:rPr>
        <w:br w:type="page" w:clear="all"/>
      </w:r>
      <w:r>
        <w:rPr>
          <w:rFonts w:hint="eastAsia" w:ascii="宋体" w:hAnsi="宋体" w:eastAsia="宋体" w:cs="宋体"/>
          <w:b/>
          <w:bCs/>
          <w:sz w:val="24"/>
          <w:szCs w:val="24"/>
          <w:lang w:eastAsia="zh-CN"/>
        </w:rPr>
        <w:t xml:space="preserve">合同专用条款</w:t>
      </w:r>
      <w:r/>
    </w:p>
    <w:p>
      <w:pPr>
        <w:ind w:firstLine="480"/>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《合同专用条款》中的条款项号是与《合同通用条款》中的条款项号对应的，其增加的内容和条款，是对《合同通用条款》的补充、修改和完善，如果有矛盾的话，以《合同专用条款》为准。</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第一条 定义</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 “买方”为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1.2 “卖方”为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 “工作现场”为买方指定地点。</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1.10 “合同货币”即人民币。</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第二条 合同范围</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2.1买方同意从卖方购买、卖方同意向买方出售的合同标的是</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。详见合同附件。</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第三条 价格</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3.1合同总价为￥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大写：人民币</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第四条 支付（采购资金的支付方式、时间、条件）</w:t>
      </w:r>
      <w:r/>
    </w:p>
    <w:p>
      <w:pP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付款方式：本合同总金额为人民币大写金额</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 xml:space="preserve">元（小写金额：</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 xml:space="preserve">元）。 </w:t>
      </w:r>
      <w:r/>
    </w:p>
    <w:p>
      <w:pP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经双方协商一致，选择以下第</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 xml:space="preserve">种付款方式： </w:t>
      </w:r>
      <w:r/>
    </w:p>
    <w:p>
      <w:pP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付款方式一：提交预付款保函的 </w:t>
      </w:r>
      <w:r/>
    </w:p>
    <w:p>
      <w:pPr>
        <w:ind w:firstLine="480"/>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1.合同价款的百分之三十(30%)，即￥（ ），大写：人民币（ ）元整，在双方签订合同后15日内，乙方向甲方出具等额预付款保函后，由甲方办理政府采购资金结算手续支付给乙方。 </w:t>
      </w:r>
      <w:r/>
    </w:p>
    <w:p>
      <w:pPr>
        <w:ind w:firstLine="480"/>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2.合同总价的百分之七十(70%)，即￥（ ），大写：人民币（ ）元整，合同标的全部交付并安装完毕并验收后15日内，由甲方办理政府采购资金结算手续，经审核通过后7日内支付给卖方。  </w:t>
      </w:r>
      <w:r/>
    </w:p>
    <w:p>
      <w:pP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甲方付款前乙方应提供正规等额发票，否则甲方有权拒绝付款且不视为违约。 </w:t>
      </w:r>
      <w:r/>
    </w:p>
    <w:p>
      <w:pP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付款方式二：不提交预付款保函的 </w:t>
      </w:r>
      <w:r/>
    </w:p>
    <w:p>
      <w:pPr>
        <w:ind w:firstLine="480"/>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1.合同价款的百分之三十(30%)，即￥（ ），大写：人民币（ ）元整，在双方签订合同后15日内，由甲方办理政府采购资金结算手续支付给乙方。 </w:t>
      </w:r>
      <w:r/>
    </w:p>
    <w:p>
      <w:pPr>
        <w:ind w:firstLine="480"/>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2.合同总价的百分之七十(70%)即￥（ ），大写：人民币（ ）元整，合同标的全部交付并安装完毕并验收后15日内，由甲方办理政府采购资金结算手续，经审核通过后7日内支付给卖方。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甲方付款前乙方应提供正规等额发票，否则甲方有权拒绝付款且不视为违约。</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合同约定的卖方账户：</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开户银行：</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银行帐号：</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第五条 交货</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5.1卖方应于合同生效日后，</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日安装调试并安装完毕。</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5.2 交货地点为买方指定地点。</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5.3卖方应在不迟于每批合同标的备妥待运前</w:t>
      </w:r>
      <w:r>
        <w:rPr>
          <w:rFonts w:hint="eastAsia" w:ascii="宋体" w:hAnsi="宋体" w:eastAsia="宋体" w:cs="宋体"/>
          <w:sz w:val="24"/>
          <w:szCs w:val="24"/>
          <w:u w:val="single"/>
          <w:lang w:eastAsia="zh-CN"/>
        </w:rPr>
        <w:t xml:space="preserve"> 5 </w:t>
      </w:r>
      <w:r>
        <w:rPr>
          <w:rFonts w:hint="eastAsia" w:ascii="宋体" w:hAnsi="宋体" w:eastAsia="宋体" w:cs="宋体"/>
          <w:sz w:val="24"/>
          <w:szCs w:val="24"/>
          <w:lang w:eastAsia="zh-CN"/>
        </w:rPr>
        <w:t xml:space="preserve">日通知买方。</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5.5如果卖方未能按照合同规定的交货期限交货，卖方应按每天迟交合同标的金额的百分之一(1%)的比率支付违约金。违约金的总金额不超过合同总价的百分之十(10%)，违约金的支付不能免除卖方继续交付相关合同标的的义务。</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如果卖方在合同规定的交货期限后十日内仍未能交付全部或部分标的，在不妨碍买方采取其他救济手段的情况下，买方可以向卖方发出书面违约通知从而全部或部分地终止合同。</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第七条 技术资料</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7.1 技术资料随合同标的同时交付给买方。</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第八条 安装</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8.1卖方应于合同生效日后，</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日安装调试并安装完毕。</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第九条 验收</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9.1合同标的的试运行、验收应在卖方的协助下进行。合同标的全部交付并安装完毕后，卖方可向买方书面提出试运行、验收要求，买方在接到书面要求后</w:t>
      </w:r>
      <w:r>
        <w:rPr>
          <w:rFonts w:hint="eastAsia" w:ascii="宋体" w:hAnsi="宋体" w:eastAsia="宋体" w:cs="宋体"/>
          <w:sz w:val="24"/>
          <w:szCs w:val="24"/>
          <w:u w:val="single"/>
          <w:lang w:eastAsia="zh-CN"/>
        </w:rPr>
        <w:t xml:space="preserve">  10   </w:t>
      </w:r>
      <w:r>
        <w:rPr>
          <w:rFonts w:hint="eastAsia" w:ascii="宋体" w:hAnsi="宋体" w:eastAsia="宋体" w:cs="宋体"/>
          <w:sz w:val="24"/>
          <w:szCs w:val="24"/>
          <w:lang w:eastAsia="zh-CN"/>
        </w:rPr>
        <w:t xml:space="preserve">日进行试运行，试运行结束后买方须组织同行业5位以上专家进行现场核查验证，经徐州市市场监督管理局出具该项目验收合格证明即该设备为通过验收。如果试运行和/或验收因卖方原因发生迟延和/ 或在其它情况下发生额外费用，买方有权就因迟延发生的损害和损失和/或任何额外费用请求赔偿。</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第十一条 索赔</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11.1买方有权选择本条款规定的任意或全部救济方式。</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11.2卖方应在收到买方索赔要求后14日内作出书面回复，否则该索赔要求将被视为已被卖方接受。卖方应在买方发出索赔要求后14日内，按照买方选择的救济方法解决索赔事宜。</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第十二条 不可抗力</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12.3 如果不可抗力事件的影响持续超过20日，合同任何一方均有权发出书面通知终止合同。</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第十三条 合同的终止</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13.1如果卖方有下述违约行为，买方可以全部或部分地终止合同：</w:t>
      </w:r>
      <w:r/>
    </w:p>
    <w:p>
      <w:pPr>
        <w:ind w:firstLine="480"/>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卖方在合同规定的交货期限后10日内仍未能交付合同标的和/ 或技术资料；或者卖方未能履行合同项下任何其它义务，并且在收到买方违约通知后5日内仍未能对其违约行为作出补救。</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第十四条 争议的解决</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14.1如果不能协商一致，合同任何一方有权向买方所在地人民法院提起诉讼。</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第十八条 合同生效及其他</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18.10 按照《财政部关于做好政府采购信息公开工作的通知》（财库〔2015〕135号），买方依据《保守国家秘密法》等法律制度规定确定本合同</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部分涉及国家秘密，该涉及国家秘密部分不公告；买方依据《反不正当竞争法》等法律制度的规定与卖方约定本合同        部分涉及商业秘密，该涉及商业秘密部分不公告。</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18.11 合同双方的通讯地址：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买方:                                             卖方:</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地址:                                             地址:</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邮编:                                             邮编:</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电话:                                             电话: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传真:                                             传真:</w:t>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jc w:val="center"/>
        <w:rPr>
          <w:rFonts w:ascii="宋体" w:hAnsi="宋体" w:eastAsia="宋体" w:cs="宋体"/>
          <w:b/>
          <w:bCs/>
          <w:sz w:val="28"/>
          <w:szCs w:val="28"/>
          <w:lang w:eastAsia="zh-CN"/>
        </w:rPr>
      </w:pPr>
      <w:r>
        <w:rPr>
          <w:rFonts w:hint="eastAsia" w:ascii="宋体" w:hAnsi="宋体" w:eastAsia="宋体" w:cs="宋体"/>
          <w:sz w:val="24"/>
          <w:szCs w:val="24"/>
          <w:lang w:eastAsia="zh-CN"/>
        </w:rPr>
        <w:br w:type="page" w:clear="all"/>
      </w:r>
      <w:r>
        <w:rPr>
          <w:rFonts w:hint="eastAsia" w:ascii="宋体" w:hAnsi="宋体" w:eastAsia="宋体" w:cs="宋体"/>
          <w:b/>
          <w:bCs/>
          <w:sz w:val="28"/>
          <w:szCs w:val="28"/>
          <w:lang w:eastAsia="zh-CN"/>
        </w:rPr>
        <w:t xml:space="preserve">合同附件</w:t>
      </w:r>
      <w:r/>
    </w:p>
    <w:p>
      <w:pPr>
        <w:rPr>
          <w:rFonts w:ascii="宋体" w:hAnsi="宋体" w:eastAsia="宋体" w:cs="宋体"/>
          <w:sz w:val="24"/>
          <w:szCs w:val="24"/>
          <w:lang w:eastAsia="zh-CN"/>
        </w:rPr>
      </w:pPr>
      <w:r>
        <w:rPr>
          <w:rFonts w:ascii="宋体" w:hAnsi="宋体" w:eastAsia="宋体" w:cs="宋体"/>
          <w:sz w:val="24"/>
          <w:szCs w:val="24"/>
          <w:lang w:eastAsia="zh-CN"/>
        </w:rPr>
      </w:r>
      <w:r/>
    </w:p>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目录</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合同附件1：合同协议书</w:t>
      </w:r>
      <w:r/>
    </w:p>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合同附件2：技术规格和技术性能</w:t>
      </w:r>
      <w:r/>
    </w:p>
    <w:p>
      <w:pPr>
        <w:spacing w:after="0" w:line="240" w:lineRule="auto"/>
        <w:rPr>
          <w:rFonts w:ascii="宋体" w:hAnsi="宋体" w:eastAsia="宋体" w:cs="宋体"/>
          <w:sz w:val="24"/>
          <w:szCs w:val="24"/>
        </w:rPr>
      </w:pPr>
      <w:r>
        <w:rPr>
          <w:rFonts w:hint="eastAsia" w:ascii="宋体" w:hAnsi="宋体" w:eastAsia="宋体" w:cs="宋体"/>
          <w:sz w:val="24"/>
          <w:szCs w:val="24"/>
          <w:lang w:eastAsia="zh-CN"/>
        </w:rPr>
        <w:t xml:space="preserve">(要求见招标文件第六章《采购需求》；合同见卖方投标文件。</w:t>
      </w:r>
      <w:r>
        <w:rPr>
          <w:rFonts w:hint="eastAsia" w:ascii="宋体" w:hAnsi="宋体" w:eastAsia="宋体" w:cs="宋体"/>
          <w:sz w:val="24"/>
          <w:szCs w:val="24"/>
        </w:rPr>
        <w:t xml:space="preserve">)</w:t>
      </w:r>
      <w:r/>
    </w:p>
    <w:p>
      <w:pPr>
        <w:spacing w:after="0" w:line="240" w:lineRule="auto"/>
        <w:rPr>
          <w:rFonts w:ascii="宋体" w:hAnsi="宋体" w:eastAsia="宋体" w:cs="宋体"/>
          <w:sz w:val="24"/>
          <w:szCs w:val="24"/>
        </w:rPr>
      </w:pPr>
      <w:r>
        <w:rPr>
          <w:rFonts w:ascii="宋体" w:hAnsi="宋体" w:eastAsia="宋体" w:cs="宋体"/>
          <w:sz w:val="24"/>
          <w:szCs w:val="24"/>
        </w:rPr>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合同附件3：售后服务和技术培训</w:t>
      </w:r>
      <w:r/>
    </w:p>
    <w:p>
      <w:pPr>
        <w:spacing w:after="0" w:line="240" w:lineRule="auto"/>
        <w:rPr>
          <w:rFonts w:ascii="宋体" w:hAnsi="宋体" w:eastAsia="宋体" w:cs="宋体"/>
          <w:sz w:val="24"/>
          <w:szCs w:val="24"/>
        </w:rPr>
      </w:pPr>
      <w:r>
        <w:rPr>
          <w:rFonts w:hint="eastAsia" w:ascii="宋体" w:hAnsi="宋体" w:eastAsia="宋体" w:cs="宋体"/>
          <w:sz w:val="24"/>
          <w:szCs w:val="24"/>
          <w:lang w:eastAsia="zh-CN"/>
        </w:rPr>
        <w:t xml:space="preserve">(要求见招标文件第六章《采购需求》；合同见卖方投标文件。</w:t>
      </w:r>
      <w:r>
        <w:rPr>
          <w:rFonts w:hint="eastAsia" w:ascii="宋体" w:hAnsi="宋体" w:eastAsia="宋体" w:cs="宋体"/>
          <w:sz w:val="24"/>
          <w:szCs w:val="24"/>
        </w:rPr>
        <w:t xml:space="preserve">)</w:t>
      </w:r>
      <w:r/>
    </w:p>
    <w:p>
      <w:pPr>
        <w:spacing w:after="0" w:line="240" w:lineRule="auto"/>
        <w:rPr>
          <w:rFonts w:ascii="宋体" w:hAnsi="宋体" w:eastAsia="宋体" w:cs="宋体"/>
          <w:sz w:val="24"/>
          <w:szCs w:val="24"/>
        </w:rPr>
      </w:pPr>
      <w:r>
        <w:rPr>
          <w:rFonts w:ascii="宋体" w:hAnsi="宋体" w:eastAsia="宋体" w:cs="宋体"/>
          <w:sz w:val="24"/>
          <w:szCs w:val="24"/>
        </w:rPr>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合同附件4：供货范围和价格清单</w:t>
      </w:r>
      <w:r/>
    </w:p>
    <w:p>
      <w:pPr>
        <w:spacing w:after="0" w:line="240" w:lineRule="auto"/>
        <w:rPr>
          <w:rFonts w:ascii="宋体" w:hAnsi="宋体" w:eastAsia="宋体" w:cs="宋体"/>
          <w:sz w:val="24"/>
          <w:szCs w:val="24"/>
        </w:rPr>
      </w:pPr>
      <w:r>
        <w:rPr>
          <w:rFonts w:hint="eastAsia" w:ascii="宋体" w:hAnsi="宋体" w:eastAsia="宋体" w:cs="宋体"/>
          <w:sz w:val="24"/>
          <w:szCs w:val="24"/>
          <w:lang w:eastAsia="zh-CN"/>
        </w:rPr>
        <w:t xml:space="preserve">(要求见招标文件第七章《投标文件相关格式》中《开标一览表》和《分项价格表》；合同见卖方投标文件。</w:t>
      </w:r>
      <w:r>
        <w:rPr>
          <w:rFonts w:hint="eastAsia" w:ascii="宋体" w:hAnsi="宋体" w:eastAsia="宋体" w:cs="宋体"/>
          <w:sz w:val="24"/>
          <w:szCs w:val="24"/>
        </w:rPr>
        <w:t xml:space="preserve">)</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lang w:eastAsia="zh-CN"/>
        </w:rPr>
      </w:pPr>
      <w:r>
        <w:rPr>
          <w:rFonts w:hint="eastAsia" w:ascii="宋体" w:hAnsi="宋体" w:eastAsia="宋体" w:cs="宋体"/>
          <w:sz w:val="24"/>
          <w:szCs w:val="24"/>
          <w:lang w:eastAsia="zh-CN"/>
        </w:rPr>
        <w:br w:type="page" w:clear="all"/>
      </w:r>
      <w:r>
        <w:rPr>
          <w:rFonts w:hint="eastAsia" w:ascii="宋体" w:hAnsi="宋体" w:eastAsia="宋体" w:cs="宋体"/>
          <w:sz w:val="21"/>
          <w:szCs w:val="21"/>
          <w:lang w:eastAsia="zh-CN"/>
        </w:rPr>
        <w:t xml:space="preserve">合同附件1：</w:t>
      </w:r>
      <w:r/>
    </w:p>
    <w:p>
      <w:pPr>
        <w:jc w:val="center"/>
        <w:rPr>
          <w:rFonts w:ascii="宋体" w:hAnsi="宋体" w:eastAsia="宋体" w:cs="宋体"/>
          <w:b/>
          <w:bCs/>
          <w:sz w:val="28"/>
          <w:szCs w:val="28"/>
          <w:lang w:eastAsia="zh-CN"/>
        </w:rPr>
      </w:pPr>
      <w:r>
        <w:rPr>
          <w:rFonts w:hint="eastAsia" w:ascii="宋体" w:hAnsi="宋体" w:eastAsia="宋体" w:cs="宋体"/>
          <w:b/>
          <w:bCs/>
          <w:sz w:val="28"/>
          <w:szCs w:val="28"/>
          <w:lang w:eastAsia="zh-CN"/>
        </w:rPr>
        <w:t xml:space="preserve">合同协议书</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合同编号:____________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签字日期:____________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签字地点:____________ </w:t>
      </w:r>
      <w:r/>
    </w:p>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p>
      <w:pPr>
        <w:ind w:firstLine="480"/>
        <w:spacing w:after="0" w:line="240" w:lineRule="auto"/>
        <w:rPr>
          <w:rFonts w:ascii="宋体" w:hAnsi="宋体" w:eastAsia="宋体" w:cs="宋体"/>
          <w:sz w:val="24"/>
          <w:szCs w:val="24"/>
          <w:lang w:eastAsia="zh-CN"/>
        </w:rPr>
      </w:pPr>
      <w:r>
        <w:rPr>
          <w:rFonts w:hint="eastAsia" w:ascii="宋体" w:hAnsi="宋体" w:eastAsia="宋体" w:cs="宋体"/>
          <w:sz w:val="24"/>
          <w:szCs w:val="24"/>
          <w:u w:val="single"/>
          <w:lang w:eastAsia="zh-CN"/>
        </w:rPr>
        <w:t xml:space="preserve">          （买方名称）</w:t>
      </w:r>
      <w:r>
        <w:rPr>
          <w:rFonts w:hint="eastAsia" w:ascii="宋体" w:hAnsi="宋体" w:eastAsia="宋体" w:cs="宋体"/>
          <w:sz w:val="24"/>
          <w:szCs w:val="24"/>
          <w:lang w:eastAsia="zh-CN"/>
        </w:rPr>
        <w:t xml:space="preserve">（以下简称“买方”）已接受</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（卖方名称）（以下简称“卖方”）对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（项目名称）（项目编号：）的投标。买方和卖方共同达成如下协议。</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1.本合同协议书中的词语和术语的含义与合同条款中定义的相同。</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 以下文件应构成买方和卖方之间达成的合同，若各文件之间存在含糊不清或互相冲突之处，优先顺序应按下列文件顺序解释。</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 合同协议书</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 中标通知书</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 合同专用条款</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 合同通用条款</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 除合同附件1外的合同附件</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(6) 其他文件</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3.考虑到买方将按照本合同向卖方支付合同价款，卖方在此保证全部按照合同的规定向买方提供合同标的、技术资料、售后服务及技术培训。</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4.考虑到卖方将按合同规定提供合同标的、技术资料、售后服务及技术培训，买方在此保证按照合同规定的时间和方式向卖方支付合同价款。</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5.本合同在下列条件全部满足后生效，生效日期以下列条件全部满足的最晚日期为准：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 双方加盖公章或合同专用章；</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6. 合同一式</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份，具有同等法律效力，买方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份，卖方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份，政府采购管理部门一份备案。</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7.本合同其他未尽事宜及与采购文件有矛盾之处，以采购文件[项目编号：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]为准。</w:t>
      </w:r>
      <w:r/>
    </w:p>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买方和卖方由其正式授权代表于上述所写日期和地点签订本合同。</w:t>
      </w:r>
      <w:r/>
    </w:p>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买方（签章）：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法定代表人或授权代表(签名)： </w:t>
      </w:r>
      <w:r/>
    </w:p>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卖方（签章）：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法定代表人或授权代表(签名)：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开户银行： </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银行帐号：</w:t>
      </w:r>
      <w:r/>
    </w:p>
    <w:p>
      <w:pPr>
        <w:pStyle w:val="868"/>
        <w:jc w:val="left"/>
        <w:spacing w:line="360" w:lineRule="exact"/>
        <w:rPr>
          <w:sz w:val="30"/>
          <w:szCs w:val="30"/>
        </w:rPr>
      </w:pPr>
      <w:r>
        <w:rPr>
          <w:sz w:val="30"/>
          <w:szCs w:val="30"/>
        </w:rPr>
      </w:r>
      <w:r/>
    </w:p>
    <w:p>
      <w:pPr>
        <w:pStyle w:val="868"/>
        <w:jc w:val="center"/>
        <w:rPr>
          <w:b/>
          <w:sz w:val="32"/>
          <w:szCs w:val="32"/>
        </w:rPr>
      </w:pPr>
      <w:r>
        <w:rPr>
          <w:b/>
          <w:sz w:val="32"/>
          <w:szCs w:val="32"/>
        </w:rPr>
      </w:r>
      <w:r/>
    </w:p>
    <w:p>
      <w:pPr>
        <w:pStyle w:val="868"/>
        <w:jc w:val="center"/>
        <w:rPr>
          <w:b/>
          <w:spacing w:val="80"/>
          <w:sz w:val="28"/>
          <w:szCs w:val="30"/>
        </w:rPr>
      </w:pPr>
      <w:r>
        <w:rPr>
          <w:b/>
          <w:spacing w:val="80"/>
          <w:sz w:val="28"/>
          <w:szCs w:val="30"/>
        </w:rPr>
      </w:r>
      <w:r/>
    </w:p>
    <w:p>
      <w:pPr>
        <w:jc w:val="center"/>
        <w:spacing w:after="0" w:line="720" w:lineRule="atLeast"/>
        <w:rPr>
          <w:rFonts w:ascii="宋体" w:hAnsi="宋体" w:eastAsia="宋体" w:cs="宋体"/>
          <w:b/>
          <w:sz w:val="30"/>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lang w:eastAsia="zh-CN"/>
        </w:rPr>
        <w:t xml:space="preserve">第六章  采购需求</w:t>
      </w:r>
      <w:r/>
    </w:p>
    <w:p>
      <w:pPr>
        <w:pStyle w:val="885"/>
        <w:jc w:val="left"/>
        <w:spacing w:line="360" w:lineRule="auto"/>
        <w:rPr>
          <w:rFonts w:ascii="宋体" w:hAnsi="宋体" w:cs="宋体"/>
          <w:b/>
          <w:bCs/>
          <w:sz w:val="24"/>
        </w:rPr>
        <w:outlineLvl w:val="1"/>
      </w:pPr>
      <w:r>
        <w:rPr>
          <w:rFonts w:ascii="宋体" w:hAnsi="宋体" w:cs="宋体"/>
          <w:b/>
          <w:bCs/>
          <w:sz w:val="24"/>
        </w:rPr>
        <w:t xml:space="preserve">一、项目概况</w:t>
      </w:r>
      <w:r/>
    </w:p>
    <w:p>
      <w:pPr>
        <w:pStyle w:val="885"/>
        <w:ind w:firstLine="480"/>
        <w:spacing w:line="360" w:lineRule="auto"/>
        <w:rPr>
          <w:rFonts w:ascii="宋体" w:hAnsi="宋体" w:cs="宋体"/>
          <w:sz w:val="24"/>
        </w:rPr>
        <w:outlineLvl w:val="1"/>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项目名称：食品安全智慧监管（农药残留）检测能力提升；</w:t>
      </w:r>
      <w:r/>
    </w:p>
    <w:p>
      <w:pPr>
        <w:pStyle w:val="879"/>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w:t>
      </w:r>
      <w:r>
        <w:rPr>
          <w:rFonts w:ascii="宋体" w:hAnsi="宋体" w:cs="宋体"/>
          <w:sz w:val="24"/>
        </w:rPr>
        <w:t xml:space="preserve">预算：本项目</w:t>
      </w:r>
      <w:r>
        <w:rPr>
          <w:rFonts w:hint="eastAsia" w:ascii="宋体" w:hAnsi="宋体" w:cs="宋体"/>
          <w:sz w:val="24"/>
        </w:rPr>
        <w:t xml:space="preserve">采购预算</w:t>
      </w:r>
      <w:r>
        <w:rPr>
          <w:rFonts w:ascii="宋体" w:hAnsi="宋体" w:cs="宋体"/>
          <w:sz w:val="24"/>
        </w:rPr>
        <w:t xml:space="preserve">共</w:t>
      </w:r>
      <w:r>
        <w:rPr>
          <w:rFonts w:hint="eastAsia" w:ascii="宋体" w:hAnsi="宋体" w:cs="宋体"/>
          <w:sz w:val="24"/>
          <w:u w:val="single"/>
        </w:rPr>
        <w:t xml:space="preserve">330万</w:t>
      </w:r>
      <w:r>
        <w:rPr>
          <w:rFonts w:ascii="宋体" w:hAnsi="宋体" w:cs="宋体"/>
          <w:sz w:val="24"/>
          <w:u w:val="single"/>
        </w:rPr>
        <w:t xml:space="preserve">元</w:t>
      </w:r>
      <w:r>
        <w:rPr>
          <w:rFonts w:ascii="宋体" w:hAnsi="宋体" w:cs="宋体"/>
          <w:sz w:val="24"/>
        </w:rPr>
        <w:t xml:space="preserve">人民币，根据实际需求共划分</w:t>
      </w:r>
      <w:r>
        <w:rPr>
          <w:rFonts w:hint="eastAsia" w:ascii="宋体" w:hAnsi="宋体" w:cs="宋体"/>
          <w:sz w:val="24"/>
        </w:rPr>
        <w:t xml:space="preserve">二</w:t>
      </w:r>
      <w:r>
        <w:rPr>
          <w:rFonts w:ascii="宋体" w:hAnsi="宋体" w:cs="宋体"/>
          <w:sz w:val="24"/>
        </w:rPr>
        <w:t xml:space="preserve">个</w:t>
      </w:r>
      <w:r>
        <w:rPr>
          <w:rFonts w:hint="eastAsia" w:ascii="宋体" w:hAnsi="宋体" w:cs="宋体"/>
          <w:sz w:val="24"/>
        </w:rPr>
        <w:t xml:space="preserve">采购包</w:t>
      </w:r>
      <w:r>
        <w:rPr>
          <w:rFonts w:ascii="宋体" w:hAnsi="宋体" w:cs="宋体"/>
          <w:sz w:val="24"/>
        </w:rPr>
        <w:t xml:space="preserve">，</w:t>
      </w:r>
      <w:r>
        <w:rPr>
          <w:rFonts w:hint="eastAsia" w:ascii="宋体" w:hAnsi="宋体" w:cs="宋体"/>
          <w:sz w:val="24"/>
        </w:rPr>
        <w:t xml:space="preserve">如下</w:t>
      </w:r>
      <w:r>
        <w:rPr>
          <w:rFonts w:ascii="宋体" w:hAnsi="宋体" w:cs="宋体"/>
          <w:sz w:val="24"/>
        </w:rPr>
        <w:t xml:space="preserve">：</w:t>
      </w:r>
      <w:r/>
    </w:p>
    <w:p>
      <w:pPr>
        <w:ind w:firstLine="482"/>
        <w:jc w:val="both"/>
        <w:spacing w:after="0" w:line="360" w:lineRule="auto"/>
        <w:rPr>
          <w:rFonts w:ascii="宋体" w:hAnsi="宋体" w:eastAsia="宋体" w:cs="宋体"/>
          <w:sz w:val="24"/>
          <w:szCs w:val="24"/>
          <w:lang w:eastAsia="zh-CN"/>
        </w:rPr>
      </w:pPr>
      <w:r>
        <w:rPr>
          <w:rFonts w:hint="eastAsia" w:ascii="宋体" w:hAnsi="宋体" w:eastAsia="宋体" w:cs="宋体"/>
          <w:b/>
          <w:bCs/>
          <w:sz w:val="24"/>
          <w:szCs w:val="24"/>
          <w:lang w:eastAsia="zh-CN"/>
        </w:rPr>
        <w:t xml:space="preserve">采购包1：</w:t>
      </w:r>
      <w:r>
        <w:rPr>
          <w:rFonts w:hint="eastAsia" w:ascii="宋体" w:hAnsi="宋体" w:eastAsia="宋体" w:cs="宋体"/>
          <w:sz w:val="24"/>
          <w:szCs w:val="24"/>
          <w:lang w:eastAsia="zh-CN"/>
        </w:rPr>
        <w:t xml:space="preserve">不接受超过</w:t>
      </w:r>
      <w:r>
        <w:rPr>
          <w:rFonts w:hint="eastAsia" w:ascii="宋体" w:hAnsi="宋体" w:eastAsia="宋体" w:cs="宋体"/>
          <w:sz w:val="24"/>
          <w:szCs w:val="24"/>
          <w:u w:val="single"/>
          <w:lang w:eastAsia="zh-CN"/>
        </w:rPr>
        <w:t xml:space="preserve">220万元</w:t>
      </w:r>
      <w:r>
        <w:rPr>
          <w:rFonts w:hint="eastAsia" w:ascii="宋体" w:hAnsi="宋体" w:eastAsia="宋体" w:cs="宋体"/>
          <w:sz w:val="24"/>
          <w:szCs w:val="24"/>
          <w:lang w:eastAsia="zh-CN"/>
        </w:rPr>
        <w:t xml:space="preserve">人民币（采购项目预算金额）的投标报价；</w:t>
      </w:r>
      <w:r/>
    </w:p>
    <w:p>
      <w:pPr>
        <w:ind w:firstLine="482"/>
        <w:jc w:val="both"/>
        <w:spacing w:after="0" w:line="360" w:lineRule="auto"/>
        <w:rPr>
          <w:rFonts w:ascii="宋体" w:hAnsi="宋体" w:eastAsia="宋体" w:cs="宋体"/>
          <w:sz w:val="24"/>
          <w:szCs w:val="24"/>
          <w:lang w:eastAsia="zh-CN"/>
        </w:rPr>
      </w:pPr>
      <w:r>
        <w:rPr>
          <w:rFonts w:hint="eastAsia" w:ascii="宋体" w:hAnsi="宋体" w:eastAsia="宋体" w:cs="宋体"/>
          <w:b/>
          <w:bCs/>
          <w:sz w:val="24"/>
          <w:szCs w:val="24"/>
          <w:lang w:eastAsia="zh-CN"/>
        </w:rPr>
        <w:t xml:space="preserve">采购包2：</w:t>
      </w:r>
      <w:r>
        <w:rPr>
          <w:rFonts w:hint="eastAsia" w:ascii="宋体" w:hAnsi="宋体" w:eastAsia="宋体" w:cs="宋体"/>
          <w:sz w:val="24"/>
          <w:szCs w:val="24"/>
          <w:lang w:eastAsia="zh-CN"/>
        </w:rPr>
        <w:t xml:space="preserve">不接受超过</w:t>
      </w:r>
      <w:r>
        <w:rPr>
          <w:rFonts w:hint="eastAsia" w:ascii="宋体" w:hAnsi="宋体" w:eastAsia="宋体" w:cs="宋体"/>
          <w:sz w:val="24"/>
          <w:szCs w:val="24"/>
          <w:u w:val="single"/>
          <w:lang w:eastAsia="zh-CN"/>
        </w:rPr>
        <w:t xml:space="preserve">110万元</w:t>
      </w:r>
      <w:r>
        <w:rPr>
          <w:rFonts w:hint="eastAsia" w:ascii="宋体" w:hAnsi="宋体" w:eastAsia="宋体" w:cs="宋体"/>
          <w:sz w:val="24"/>
          <w:szCs w:val="24"/>
          <w:lang w:eastAsia="zh-CN"/>
        </w:rPr>
        <w:t xml:space="preserve">人民币（采购项目预算金额）的投标报价；</w:t>
      </w:r>
      <w:r/>
    </w:p>
    <w:p>
      <w:pPr>
        <w:pStyle w:val="837"/>
        <w:ind w:left="0"/>
        <w:jc w:val="both"/>
        <w:spacing w:after="0" w:line="360" w:lineRule="auto"/>
        <w:rPr>
          <w:rFonts w:ascii="宋体" w:hAnsi="宋体" w:eastAsia="宋体" w:cs="宋体"/>
          <w:sz w:val="24"/>
          <w:szCs w:val="24"/>
          <w:lang w:eastAsia="zh-CN"/>
        </w:rPr>
      </w:pPr>
      <w:r>
        <w:rPr>
          <w:rFonts w:hint="eastAsia" w:ascii="宋体" w:hAnsi="宋体" w:eastAsia="宋体" w:cs="宋体"/>
          <w:b/>
          <w:bCs/>
          <w:sz w:val="24"/>
          <w:szCs w:val="24"/>
          <w:lang w:eastAsia="zh-CN"/>
        </w:rPr>
        <w:t xml:space="preserve">注：</w:t>
      </w:r>
      <w:r>
        <w:rPr>
          <w:rFonts w:hint="eastAsia" w:ascii="宋体" w:hAnsi="宋体" w:eastAsia="宋体" w:cs="宋体"/>
          <w:sz w:val="24"/>
          <w:szCs w:val="24"/>
          <w:lang w:eastAsia="zh-CN"/>
        </w:rPr>
        <w:t xml:space="preserve">1、报价包括产品价、税金、运费、安装调试、检验、保险、验收等全部费用。采购人不再支付报价以外的任何费用。</w:t>
      </w:r>
      <w:r/>
    </w:p>
    <w:p>
      <w:pPr>
        <w:pStyle w:val="837"/>
        <w:ind w:left="0" w:firstLine="480"/>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2、评审按采购包1、采购包2顺序进行，供应商可兼投也可兼中。</w:t>
      </w:r>
      <w:r/>
    </w:p>
    <w:p>
      <w:pPr>
        <w:pStyle w:val="838"/>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3、财政部门已审核同意购买进口产品，本次采购可以采购进口产品。但不限制满足需求的国产产品参与竞争。</w:t>
      </w:r>
      <w:r/>
    </w:p>
    <w:p>
      <w:pPr>
        <w:pStyle w:val="838"/>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二、采购设备清单</w:t>
      </w:r>
      <w:r/>
    </w:p>
    <w:tbl>
      <w:tblPr>
        <w:tblStyle w:val="828"/>
        <w:tblW w:w="9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6"/>
        <w:gridCol w:w="1020"/>
        <w:gridCol w:w="3990"/>
        <w:gridCol w:w="1786"/>
        <w:gridCol w:w="1799"/>
      </w:tblGrid>
      <w:tr>
        <w:trPr>
          <w:jc w:val="center"/>
          <w:trHeight w:val="795"/>
          <w:tblHeader/>
        </w:trPr>
        <w:tc>
          <w:tcPr>
            <w:tcW w:w="1116"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采购包</w:t>
            </w:r>
            <w:r/>
          </w:p>
        </w:tc>
        <w:tc>
          <w:tcPr>
            <w:tcW w:w="102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399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设备名称</w:t>
            </w:r>
            <w:r/>
          </w:p>
        </w:tc>
        <w:tc>
          <w:tcPr>
            <w:tcW w:w="178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数量(台/套)</w:t>
            </w:r>
            <w:r/>
          </w:p>
        </w:tc>
        <w:tc>
          <w:tcPr>
            <w:tcW w:w="1799"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采购预算</w:t>
            </w:r>
            <w:r/>
          </w:p>
        </w:tc>
      </w:tr>
      <w:tr>
        <w:trPr>
          <w:jc w:val="center"/>
          <w:trHeight w:val="1075"/>
        </w:trPr>
        <w:tc>
          <w:tcPr>
            <w:tcW w:w="1116" w:type="dxa"/>
            <w:vAlign w:val="center"/>
            <w:textDirection w:val="lrTb"/>
            <w:noWrap w:val="false"/>
          </w:tcPr>
          <w:p>
            <w:pPr>
              <w:jc w:val="center"/>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采购包1</w:t>
            </w:r>
            <w:r/>
          </w:p>
        </w:tc>
        <w:tc>
          <w:tcPr>
            <w:tcW w:w="1020" w:type="dxa"/>
            <w:vAlign w:val="center"/>
            <w:textDirection w:val="lrTb"/>
            <w:noWrap w:val="false"/>
          </w:tcPr>
          <w:p>
            <w:pPr>
              <w:jc w:val="center"/>
              <w:spacing w:line="500" w:lineRule="exact"/>
              <w:rPr>
                <w:rFonts w:ascii="宋体" w:hAnsi="宋体" w:eastAsia="宋体" w:cs="宋体"/>
                <w:sz w:val="24"/>
                <w:szCs w:val="24"/>
                <w:lang w:eastAsia="zh-CN"/>
              </w:rPr>
            </w:pPr>
            <w:r>
              <w:rPr>
                <w:rFonts w:hint="eastAsia" w:ascii="宋体" w:hAnsi="宋体" w:eastAsia="宋体" w:cs="宋体"/>
                <w:sz w:val="24"/>
                <w:szCs w:val="24"/>
              </w:rPr>
              <w:t xml:space="preserve">1</w:t>
            </w:r>
            <w:r/>
          </w:p>
        </w:tc>
        <w:tc>
          <w:tcPr>
            <w:tcW w:w="3990"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液相色谱串联质谱仪</w:t>
            </w:r>
            <w:r/>
          </w:p>
        </w:tc>
        <w:tc>
          <w:tcPr>
            <w:tcW w:w="1786" w:type="dxa"/>
            <w:vAlign w:val="center"/>
            <w:textDirection w:val="lrTb"/>
            <w:noWrap w:val="false"/>
          </w:tcPr>
          <w:p>
            <w:pPr>
              <w:jc w:val="center"/>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1799" w:type="dxa"/>
            <w:vAlign w:val="center"/>
            <w:textDirection w:val="lrTb"/>
            <w:noWrap w:val="false"/>
          </w:tcPr>
          <w:p>
            <w:pPr>
              <w:jc w:val="center"/>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220万</w:t>
            </w:r>
            <w:r>
              <w:rPr>
                <w:rFonts w:hint="eastAsia" w:ascii="宋体" w:hAnsi="宋体" w:eastAsia="宋体" w:cs="宋体"/>
                <w:sz w:val="24"/>
                <w:szCs w:val="24"/>
              </w:rPr>
              <w:t xml:space="preserve">元</w:t>
            </w:r>
            <w:r/>
          </w:p>
        </w:tc>
      </w:tr>
    </w:tbl>
    <w:p>
      <w:pPr>
        <w:rPr>
          <w:rFonts w:ascii="仿宋" w:hAnsi="仿宋" w:eastAsia="仿宋" w:cs="仿宋"/>
        </w:rPr>
      </w:pPr>
      <w:r>
        <w:rPr>
          <w:rFonts w:ascii="仿宋" w:hAnsi="仿宋" w:eastAsia="仿宋" w:cs="仿宋"/>
        </w:rPr>
      </w:r>
      <w:r/>
    </w:p>
    <w:tbl>
      <w:tblPr>
        <w:tblStyle w:val="828"/>
        <w:tblpPr w:horzAnchor="page" w:tblpX="1125" w:vertAnchor="text" w:tblpY="536" w:leftFromText="180" w:topFromText="0" w:rightFromText="180" w:bottomFromText="0"/>
        <w:tblW w:w="9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990"/>
        <w:gridCol w:w="3975"/>
        <w:gridCol w:w="1785"/>
        <w:gridCol w:w="1785"/>
      </w:tblGrid>
      <w:tr>
        <w:trPr>
          <w:trHeight w:val="697"/>
          <w:tblHeader/>
        </w:trPr>
        <w:tc>
          <w:tcPr>
            <w:tcW w:w="118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采购包</w:t>
            </w:r>
            <w:r/>
          </w:p>
        </w:tc>
        <w:tc>
          <w:tcPr>
            <w:tcW w:w="99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39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设备名称</w:t>
            </w:r>
            <w:r/>
          </w:p>
        </w:tc>
        <w:tc>
          <w:tcPr>
            <w:tcW w:w="178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数量(台/套)</w:t>
            </w:r>
            <w:r/>
          </w:p>
        </w:tc>
        <w:tc>
          <w:tcPr>
            <w:tcW w:w="1785"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采购预算</w:t>
            </w:r>
            <w:r/>
          </w:p>
        </w:tc>
      </w:tr>
      <w:tr>
        <w:trPr>
          <w:trHeight w:val="1105"/>
        </w:trPr>
        <w:tc>
          <w:tcPr>
            <w:tcW w:w="1185" w:type="dxa"/>
            <w:vAlign w:val="center"/>
            <w:textDirection w:val="lrTb"/>
            <w:noWrap w:val="false"/>
          </w:tcPr>
          <w:p>
            <w:pPr>
              <w:jc w:val="center"/>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采购包2</w:t>
            </w:r>
            <w:r/>
          </w:p>
        </w:tc>
        <w:tc>
          <w:tcPr>
            <w:tcW w:w="990" w:type="dxa"/>
            <w:vAlign w:val="center"/>
            <w:textDirection w:val="lrTb"/>
            <w:noWrap w:val="false"/>
          </w:tcPr>
          <w:p>
            <w:pPr>
              <w:jc w:val="center"/>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3975" w:type="dxa"/>
            <w:vAlign w:val="center"/>
            <w:textDirection w:val="lrTb"/>
            <w:noWrap w:val="false"/>
          </w:tcPr>
          <w:p>
            <w:pPr>
              <w:jc w:val="center"/>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气相色谱串联质谱仪</w:t>
            </w:r>
            <w:r/>
          </w:p>
        </w:tc>
        <w:tc>
          <w:tcPr>
            <w:tcW w:w="1785" w:type="dxa"/>
            <w:vAlign w:val="center"/>
            <w:textDirection w:val="lrTb"/>
            <w:noWrap w:val="false"/>
          </w:tcPr>
          <w:p>
            <w:pPr>
              <w:jc w:val="center"/>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1785" w:type="dxa"/>
            <w:vAlign w:val="center"/>
            <w:textDirection w:val="lrTb"/>
            <w:noWrap w:val="false"/>
          </w:tcPr>
          <w:p>
            <w:pPr>
              <w:jc w:val="center"/>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110万</w:t>
            </w:r>
            <w:r>
              <w:rPr>
                <w:rFonts w:hint="eastAsia" w:ascii="宋体" w:hAnsi="宋体" w:eastAsia="宋体" w:cs="宋体"/>
                <w:sz w:val="24"/>
                <w:szCs w:val="24"/>
              </w:rPr>
              <w:t xml:space="preserve">元</w:t>
            </w:r>
            <w:r/>
          </w:p>
        </w:tc>
      </w:tr>
    </w:tbl>
    <w:p>
      <w:pPr>
        <w:rPr>
          <w:lang w:eastAsia="zh-CN"/>
        </w:rPr>
      </w:pPr>
      <w:r>
        <w:rPr>
          <w:lang w:eastAsia="zh-CN"/>
        </w:rPr>
      </w:r>
      <w:r/>
    </w:p>
    <w:p>
      <w:pPr>
        <w:rPr>
          <w:lang w:eastAsia="zh-CN"/>
        </w:rPr>
      </w:pPr>
      <w:r>
        <w:rPr>
          <w:lang w:eastAsia="zh-CN"/>
        </w:rPr>
      </w:r>
      <w:r/>
    </w:p>
    <w:p>
      <w:pPr>
        <w:spacing w:line="360" w:lineRule="auto"/>
        <w:rPr>
          <w:rFonts w:ascii="宋体" w:hAnsi="宋体" w:eastAsia="宋体" w:cs="宋体"/>
          <w:b/>
          <w:bCs/>
          <w:color w:val="ff0000"/>
          <w:sz w:val="24"/>
          <w:szCs w:val="24"/>
          <w:lang w:eastAsia="zh-CN"/>
        </w:rPr>
      </w:pPr>
      <w:r>
        <w:rPr>
          <w:rFonts w:hint="eastAsia" w:ascii="宋体" w:hAnsi="宋体" w:eastAsia="宋体" w:cs="宋体"/>
          <w:b/>
          <w:bCs/>
          <w:sz w:val="24"/>
          <w:szCs w:val="24"/>
          <w:lang w:eastAsia="zh-CN"/>
        </w:rPr>
        <w:t xml:space="preserve">三、技术参数及配置要求</w:t>
      </w:r>
      <w:r/>
    </w:p>
    <w:p>
      <w:pPr>
        <w:spacing w:line="240" w:lineRule="auto"/>
        <w:rPr>
          <w:rFonts w:ascii="宋体" w:hAnsi="宋体" w:eastAsia="宋体" w:cs="宋体"/>
          <w:b/>
          <w:color w:val="ff0000"/>
          <w:sz w:val="24"/>
          <w:szCs w:val="24"/>
          <w:lang w:eastAsia="zh-CN"/>
        </w:rPr>
      </w:pPr>
      <w:r>
        <w:rPr>
          <w:rFonts w:ascii="宋体" w:hAnsi="宋体" w:eastAsia="宋体" w:cs="宋体"/>
          <w:b/>
          <w:color w:val="ff0000"/>
          <w:sz w:val="24"/>
          <w:szCs w:val="24"/>
          <w:lang w:eastAsia="zh-CN"/>
        </w:rPr>
      </w:r>
      <w:r/>
    </w:p>
    <w:p>
      <w:pPr>
        <w:spacing w:line="240" w:lineRule="auto"/>
        <w:rPr>
          <w:rFonts w:ascii="宋体" w:hAnsi="宋体" w:eastAsia="宋体" w:cs="宋体"/>
          <w:b/>
          <w:color w:val="ff0000"/>
          <w:sz w:val="24"/>
          <w:szCs w:val="24"/>
          <w:lang w:eastAsia="zh-CN"/>
        </w:rPr>
      </w:pPr>
      <w:r>
        <w:rPr>
          <w:rFonts w:ascii="宋体" w:hAnsi="宋体" w:eastAsia="宋体" w:cs="宋体"/>
          <w:b/>
          <w:color w:val="ff0000"/>
          <w:sz w:val="24"/>
          <w:szCs w:val="24"/>
          <w:lang w:eastAsia="zh-CN"/>
        </w:rPr>
      </w:r>
      <w:r/>
    </w:p>
    <w:p>
      <w:pPr>
        <w:spacing w:line="240" w:lineRule="auto"/>
        <w:rPr>
          <w:rFonts w:ascii="宋体" w:hAnsi="宋体" w:eastAsia="宋体" w:cs="宋体"/>
          <w:b/>
          <w:color w:val="ff0000"/>
          <w:sz w:val="24"/>
          <w:szCs w:val="24"/>
          <w:lang w:eastAsia="zh-CN"/>
        </w:rPr>
      </w:pPr>
      <w:r>
        <w:rPr>
          <w:rFonts w:ascii="宋体" w:hAnsi="宋体" w:eastAsia="宋体" w:cs="宋体"/>
          <w:b/>
          <w:color w:val="ff0000"/>
          <w:sz w:val="24"/>
          <w:szCs w:val="24"/>
          <w:lang w:eastAsia="zh-CN"/>
        </w:rPr>
      </w:r>
      <w:r/>
    </w:p>
    <w:p>
      <w:pPr>
        <w:spacing w:line="240" w:lineRule="auto"/>
        <w:rPr>
          <w:rFonts w:ascii="宋体" w:hAnsi="宋体" w:eastAsia="宋体" w:cs="宋体"/>
          <w:b/>
          <w:color w:val="ff0000"/>
          <w:sz w:val="24"/>
          <w:szCs w:val="24"/>
          <w:lang w:eastAsia="zh-CN"/>
        </w:rPr>
      </w:pPr>
      <w:r>
        <w:rPr>
          <w:rFonts w:ascii="宋体" w:hAnsi="宋体" w:eastAsia="宋体" w:cs="宋体"/>
          <w:b/>
          <w:color w:val="ff0000"/>
          <w:sz w:val="24"/>
          <w:szCs w:val="24"/>
          <w:lang w:eastAsia="zh-CN"/>
        </w:rPr>
      </w:r>
      <w:r/>
    </w:p>
    <w:p>
      <w:pPr>
        <w:spacing w:line="240" w:lineRule="auto"/>
        <w:rPr>
          <w:rFonts w:ascii="宋体" w:hAnsi="宋体" w:eastAsia="宋体" w:cs="宋体"/>
          <w:b/>
          <w:color w:val="ff0000"/>
          <w:sz w:val="24"/>
          <w:szCs w:val="24"/>
          <w:lang w:eastAsia="zh-CN"/>
        </w:rPr>
      </w:pPr>
      <w:r>
        <w:rPr>
          <w:rFonts w:hint="eastAsia" w:ascii="宋体" w:hAnsi="宋体" w:eastAsia="宋体" w:cs="宋体"/>
          <w:b/>
          <w:color w:val="ff0000"/>
          <w:sz w:val="24"/>
          <w:szCs w:val="24"/>
          <w:lang w:eastAsia="zh-CN"/>
        </w:rPr>
        <w:t xml:space="preserve">采购包</w:t>
      </w:r>
      <w:r>
        <w:rPr>
          <w:rFonts w:hint="eastAsia" w:ascii="宋体" w:hAnsi="宋体" w:eastAsia="宋体" w:cs="宋体"/>
          <w:b/>
          <w:color w:val="ff0000"/>
          <w:sz w:val="24"/>
          <w:szCs w:val="24"/>
          <w:lang w:val="en-US" w:eastAsia="zh-CN"/>
        </w:rPr>
        <w:t xml:space="preserve">1</w:t>
      </w:r>
      <w:r>
        <w:rPr>
          <w:rFonts w:hint="eastAsia" w:ascii="宋体" w:hAnsi="宋体" w:eastAsia="宋体" w:cs="宋体"/>
          <w:b/>
          <w:color w:val="ff0000"/>
          <w:sz w:val="24"/>
          <w:szCs w:val="24"/>
          <w:lang w:eastAsia="zh-CN"/>
        </w:rPr>
        <w:t xml:space="preserve">：液相色谱串联质谱仪一台，预算金额为220万元。</w:t>
      </w:r>
      <w:r/>
    </w:p>
    <w:p>
      <w:pPr>
        <w:ind w:firstLine="472"/>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lang w:eastAsia="zh-CN"/>
          <w14:textFill>
            <w14:solidFill>
              <w14:schemeClr w14:val="tx1"/>
            </w14:solidFill>
          </w14:textFill>
        </w:rPr>
        <w:t xml:space="preserve">）、具体用途：</w:t>
      </w:r>
      <w:r>
        <w:rPr>
          <w:rFonts w:hint="eastAsia" w:ascii="宋体" w:hAnsi="宋体" w:eastAsia="宋体" w:cs="宋体"/>
          <w:color w:val="000000" w:themeColor="text1"/>
          <w:sz w:val="24"/>
          <w:szCs w:val="24"/>
          <w:lang w:eastAsia="zh-CN"/>
          <w14:textFill>
            <w14:solidFill>
              <w14:schemeClr w14:val="tx1"/>
            </w14:solidFill>
          </w14:textFill>
        </w:rPr>
        <w:t xml:space="preserve">主要用于食品</w:t>
      </w:r>
      <w:r>
        <w:rPr>
          <w:rFonts w:hint="eastAsia" w:ascii="宋体" w:hAnsi="宋体" w:eastAsia="宋体" w:cs="宋体"/>
          <w:color w:val="000000" w:themeColor="text1"/>
          <w:sz w:val="24"/>
          <w:szCs w:val="24"/>
          <w:lang w:val="en-US" w:eastAsia="zh-CN"/>
          <w14:textFill>
            <w14:solidFill>
              <w14:schemeClr w14:val="tx1"/>
            </w14:solidFill>
          </w14:textFill>
        </w:rPr>
        <w:t xml:space="preserve">添加剂</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违法添加物、食品污染物、农兽药残留、营养物质</w:t>
      </w:r>
      <w:r>
        <w:rPr>
          <w:rFonts w:hint="eastAsia" w:ascii="宋体" w:hAnsi="宋体" w:eastAsia="宋体" w:cs="宋体"/>
          <w:color w:val="000000" w:themeColor="text1"/>
          <w:sz w:val="24"/>
          <w:szCs w:val="24"/>
          <w:lang w:eastAsia="zh-CN"/>
          <w14:textFill>
            <w14:solidFill>
              <w14:schemeClr w14:val="tx1"/>
            </w14:solidFill>
          </w14:textFill>
        </w:rPr>
        <w:t xml:space="preserve">等领域的有机化合物的定性、定量分析，并且</w:t>
      </w:r>
      <w:r>
        <w:rPr>
          <w:rFonts w:hint="eastAsia" w:ascii="宋体" w:hAnsi="宋体" w:eastAsia="宋体" w:cs="宋体"/>
          <w:color w:val="000000" w:themeColor="text1"/>
          <w:sz w:val="24"/>
          <w:szCs w:val="24"/>
          <w:lang w:val="en-US" w:eastAsia="zh-CN"/>
          <w14:textFill>
            <w14:solidFill>
              <w14:schemeClr w14:val="tx1"/>
            </w14:solidFill>
          </w14:textFill>
        </w:rPr>
        <w:t xml:space="preserve">仪器满足</w:t>
      </w:r>
      <w:r>
        <w:rPr>
          <w:rFonts w:hint="eastAsia" w:ascii="宋体" w:hAnsi="宋体" w:eastAsia="宋体" w:cs="宋体"/>
          <w:color w:val="000000" w:themeColor="text1"/>
          <w:sz w:val="24"/>
          <w:szCs w:val="24"/>
          <w:lang w:eastAsia="zh-CN"/>
          <w14:textFill>
            <w14:solidFill>
              <w14:schemeClr w14:val="tx1"/>
            </w14:solidFill>
          </w14:textFill>
        </w:rPr>
        <w:t xml:space="preserve">相关国内和国际法规的分析方法</w:t>
      </w:r>
      <w:r>
        <w:rPr>
          <w:rFonts w:hint="eastAsia" w:ascii="宋体" w:hAnsi="宋体" w:eastAsia="宋体" w:cs="宋体"/>
          <w:color w:val="000000" w:themeColor="text1"/>
          <w:sz w:val="24"/>
          <w:szCs w:val="24"/>
          <w:lang w:val="en-US" w:eastAsia="zh-CN"/>
          <w14:textFill>
            <w14:solidFill>
              <w14:schemeClr w14:val="tx1"/>
            </w14:solidFill>
          </w14:textFill>
        </w:rPr>
        <w:t xml:space="preserve">要求</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72"/>
        <w:spacing w:after="0"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lang w:eastAsia="zh-CN"/>
          <w14:textFill>
            <w14:solidFill>
              <w14:schemeClr w14:val="tx1"/>
            </w14:solidFill>
          </w14:textFill>
        </w:rPr>
        <w:t xml:space="preserve">）、工作条件</w:t>
      </w:r>
      <w:r/>
    </w:p>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1．电源:220V，50Hz</w:t>
      </w:r>
      <w:r/>
    </w:p>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2．温度: 操作环境20</w:t>
      </w:r>
      <w:r>
        <w:rPr>
          <w:rFonts w:hint="eastAsia" w:ascii="微软雅黑" w:hAnsi="微软雅黑" w:eastAsia="微软雅黑" w:cs="微软雅黑"/>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C -35</w:t>
      </w:r>
      <w:r>
        <w:rPr>
          <w:rFonts w:hint="eastAsia" w:ascii="微软雅黑" w:hAnsi="微软雅黑" w:eastAsia="微软雅黑" w:cs="微软雅黑"/>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C</w:t>
      </w:r>
      <w:r/>
    </w:p>
    <w:p>
      <w:pPr>
        <w:ind w:firstLine="470"/>
        <w:spacing w:after="0"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3．湿度: 操作状态</w:t>
      </w:r>
      <w:r>
        <w:rPr>
          <w:rFonts w:hint="eastAsia" w:ascii="宋体" w:hAnsi="宋体" w:eastAsia="宋体" w:cs="宋体"/>
          <w:color w:val="000000" w:themeColor="text1"/>
          <w:sz w:val="24"/>
          <w:szCs w:val="24"/>
          <w:lang w:val="en-US" w:eastAsia="zh-CN"/>
          <w14:textFill>
            <w14:solidFill>
              <w14:schemeClr w14:val="tx1"/>
            </w14:solidFill>
          </w14:textFill>
        </w:rPr>
        <w:t xml:space="preserve">小于6</w:t>
      </w:r>
      <w:r>
        <w:rPr>
          <w:rFonts w:hint="eastAsia" w:ascii="宋体" w:hAnsi="宋体" w:eastAsia="宋体" w:cs="宋体"/>
          <w:color w:val="000000" w:themeColor="text1"/>
          <w:sz w:val="24"/>
          <w:szCs w:val="24"/>
          <w:lang w:eastAsia="zh-CN"/>
          <w14:textFill>
            <w14:solidFill>
              <w14:schemeClr w14:val="tx1"/>
            </w14:solidFill>
          </w14:textFill>
        </w:rPr>
        <w:t xml:space="preserve">0% </w:t>
      </w:r>
      <w:r>
        <w:rPr>
          <w:rFonts w:hint="eastAsia" w:ascii="宋体" w:hAnsi="宋体" w:eastAsia="宋体" w:cs="宋体"/>
          <w:color w:val="000000" w:themeColor="text1"/>
          <w:sz w:val="24"/>
          <w:szCs w:val="24"/>
          <w:lang w:val="en-US" w:eastAsia="zh-CN"/>
          <w14:textFill>
            <w14:solidFill>
              <w14:schemeClr w14:val="tx1"/>
            </w14:solidFill>
          </w14:textFill>
        </w:rPr>
        <w:t xml:space="preserve">RH</w:t>
      </w:r>
      <w:r/>
    </w:p>
    <w:p>
      <w:pPr>
        <w:ind w:firstLine="472"/>
        <w:spacing w:after="0"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lang w:eastAsia="zh-CN"/>
          <w14:textFill>
            <w14:solidFill>
              <w14:schemeClr w14:val="tx1"/>
            </w14:solidFill>
          </w14:textFill>
        </w:rPr>
        <w:t xml:space="preserve">）、技术规格和性能要求</w:t>
      </w:r>
      <w:r/>
    </w:p>
    <w:p>
      <w:pPr>
        <w:ind w:firstLine="472"/>
        <w:spacing w:after="0"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1、</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超高压</w:t>
      </w:r>
      <w:r>
        <w:rPr>
          <w:rFonts w:hint="eastAsia" w:ascii="宋体" w:hAnsi="宋体" w:eastAsia="宋体" w:cs="宋体"/>
          <w:b/>
          <w:bCs/>
          <w:color w:val="000000" w:themeColor="text1"/>
          <w:sz w:val="24"/>
          <w:szCs w:val="24"/>
          <w:lang w:eastAsia="zh-CN"/>
          <w14:textFill>
            <w14:solidFill>
              <w14:schemeClr w14:val="tx1"/>
            </w14:solidFill>
          </w14:textFill>
        </w:rPr>
        <w:t xml:space="preserve">液相色谱仪</w:t>
      </w:r>
      <w:r/>
    </w:p>
    <w:p>
      <w:pPr>
        <w:ind w:firstLine="240"/>
        <w:spacing w:after="0"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1.1</w:t>
      </w:r>
      <w:r>
        <w:rPr>
          <w:rFonts w:ascii="宋体" w:hAnsi="宋体" w:eastAsia="宋体" w:cs="宋体"/>
          <w:color w:val="000000" w:themeColor="text1"/>
          <w:sz w:val="24"/>
          <w:szCs w:val="24"/>
          <w:lang w:eastAsia="zh-CN"/>
          <w14:textFill>
            <w14:solidFill>
              <w14:schemeClr w14:val="tx1"/>
            </w14:solidFill>
          </w14:textFill>
        </w:rPr>
        <w:t xml:space="preserve">流速范围：0.0001-</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ascii="宋体" w:hAnsi="宋体" w:eastAsia="宋体" w:cs="宋体"/>
          <w:color w:val="000000" w:themeColor="text1"/>
          <w:sz w:val="24"/>
          <w:szCs w:val="24"/>
          <w:lang w:eastAsia="zh-CN"/>
          <w14:textFill>
            <w14:solidFill>
              <w14:schemeClr w14:val="tx1"/>
            </w14:solidFill>
          </w14:textFill>
        </w:rPr>
        <w:t xml:space="preserve">.0000mL/min</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在线脱气</w:t>
      </w:r>
      <w:r>
        <w:rPr>
          <w:rFonts w:hint="eastAsia" w:ascii="宋体" w:hAnsi="宋体" w:eastAsia="宋体" w:cs="宋体"/>
          <w:color w:val="000000" w:themeColor="text1"/>
          <w:sz w:val="24"/>
          <w:szCs w:val="24"/>
          <w:lang w:val="en-US" w:eastAsia="zh-CN"/>
          <w14:textFill>
            <w14:solidFill>
              <w14:schemeClr w14:val="tx1"/>
            </w14:solidFill>
          </w14:textFill>
        </w:rPr>
        <w:t xml:space="preserve">功能。</w:t>
      </w:r>
      <w:r/>
    </w:p>
    <w:p>
      <w:pPr>
        <w:ind w:firstLine="24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耐压：≥</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000</w:t>
      </w:r>
      <w:r>
        <w:rPr>
          <w:rFonts w:hint="eastAsia" w:ascii="宋体" w:hAnsi="宋体" w:eastAsia="宋体" w:cs="宋体"/>
          <w:color w:val="000000" w:themeColor="text1"/>
          <w:sz w:val="24"/>
          <w:szCs w:val="24"/>
          <w:lang w:eastAsia="zh-CN"/>
          <w14:textFill>
            <w14:solidFill>
              <w14:schemeClr w14:val="tx1"/>
            </w14:solidFill>
          </w14:textFill>
        </w:rPr>
        <w:t xml:space="preserve">psi</w:t>
      </w:r>
      <w:r/>
    </w:p>
    <w:p>
      <w:pPr>
        <w:ind w:firstLine="48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混合器控温：可实现流动相快速、</w:t>
      </w:r>
      <w:r>
        <w:rPr>
          <w:rFonts w:ascii="宋体" w:hAnsi="宋体" w:eastAsia="宋体" w:cs="宋体"/>
          <w:color w:val="000000" w:themeColor="text1"/>
          <w:sz w:val="24"/>
          <w:szCs w:val="24"/>
          <w:lang w:eastAsia="zh-CN"/>
          <w14:textFill>
            <w14:solidFill>
              <w14:schemeClr w14:val="tx1"/>
            </w14:solidFill>
          </w14:textFill>
        </w:rPr>
        <w:t xml:space="preserve">稳定</w:t>
      </w:r>
      <w:r>
        <w:rPr>
          <w:rFonts w:hint="eastAsia" w:ascii="宋体" w:hAnsi="宋体" w:eastAsia="宋体" w:cs="宋体"/>
          <w:color w:val="000000" w:themeColor="text1"/>
          <w:sz w:val="24"/>
          <w:szCs w:val="24"/>
          <w:lang w:eastAsia="zh-CN"/>
          <w14:textFill>
            <w14:solidFill>
              <w14:schemeClr w14:val="tx1"/>
            </w14:solidFill>
          </w14:textFill>
        </w:rPr>
        <w:t xml:space="preserve">混合</w:t>
      </w:r>
      <w:r/>
    </w:p>
    <w:p>
      <w:pPr>
        <w:ind w:firstLine="48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1.4具备</w:t>
      </w:r>
      <w:r>
        <w:rPr>
          <w:rFonts w:hint="eastAsia" w:ascii="宋体" w:hAnsi="宋体" w:eastAsia="宋体" w:cs="宋体"/>
          <w:color w:val="000000" w:themeColor="text1"/>
          <w:sz w:val="24"/>
          <w:szCs w:val="24"/>
          <w:lang w:eastAsia="zh-CN"/>
          <w14:textFill>
            <w14:solidFill>
              <w14:schemeClr w14:val="tx1"/>
            </w14:solidFill>
          </w14:textFill>
        </w:rPr>
        <w:t xml:space="preserve">漏液传感器</w:t>
      </w:r>
      <w:r/>
    </w:p>
    <w:p>
      <w:pPr>
        <w:ind w:firstLine="480"/>
        <w:spacing w:after="0"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1.5</w:t>
      </w:r>
      <w:r>
        <w:rPr>
          <w:rFonts w:ascii="宋体" w:hAnsi="宋体" w:eastAsia="宋体" w:cs="宋体"/>
          <w:color w:val="000000" w:themeColor="text1"/>
          <w:sz w:val="24"/>
          <w:szCs w:val="24"/>
          <w:lang w:eastAsia="zh-CN"/>
          <w14:textFill>
            <w14:solidFill>
              <w14:schemeClr w14:val="tx1"/>
            </w14:solidFill>
          </w14:textFill>
        </w:rPr>
        <w:t xml:space="preserve">梯度类型：</w:t>
      </w:r>
      <w:r>
        <w:rPr>
          <w:rFonts w:hint="eastAsia" w:ascii="宋体" w:hAnsi="宋体" w:eastAsia="宋体" w:cs="宋体"/>
          <w:color w:val="000000" w:themeColor="text1"/>
          <w:sz w:val="24"/>
          <w:szCs w:val="24"/>
          <w:lang w:eastAsia="zh-CN"/>
          <w14:textFill>
            <w14:solidFill>
              <w14:schemeClr w14:val="tx1"/>
            </w14:solidFill>
          </w14:textFill>
        </w:rPr>
        <w:t xml:space="preserve">二</w:t>
      </w:r>
      <w:r>
        <w:rPr>
          <w:rFonts w:hint="eastAsia" w:ascii="宋体" w:hAnsi="宋体" w:eastAsia="宋体" w:cs="宋体"/>
          <w:color w:val="000000" w:themeColor="text1"/>
          <w:sz w:val="24"/>
          <w:szCs w:val="24"/>
          <w:lang w:val="en-US" w:eastAsia="zh-CN"/>
          <w14:textFill>
            <w14:solidFill>
              <w14:schemeClr w14:val="tx1"/>
            </w14:solidFill>
          </w14:textFill>
        </w:rPr>
        <w:t xml:space="preserve">元</w:t>
      </w:r>
      <w:r>
        <w:rPr>
          <w:rFonts w:hint="eastAsia" w:ascii="宋体" w:hAnsi="宋体" w:eastAsia="宋体" w:cs="宋体"/>
          <w:color w:val="000000" w:themeColor="text1"/>
          <w:sz w:val="24"/>
          <w:szCs w:val="24"/>
          <w:lang w:eastAsia="zh-CN"/>
          <w14:textFill>
            <w14:solidFill>
              <w14:schemeClr w14:val="tx1"/>
            </w14:solidFill>
          </w14:textFill>
        </w:rPr>
        <w:t xml:space="preserve">高压梯度，</w:t>
      </w:r>
      <w:r>
        <w:rPr>
          <w:rFonts w:hint="eastAsia" w:ascii="宋体" w:hAnsi="宋体" w:eastAsia="宋体" w:cs="宋体"/>
          <w:color w:val="000000" w:themeColor="text1"/>
          <w:sz w:val="24"/>
          <w:szCs w:val="24"/>
          <w:lang w:val="en-US" w:eastAsia="zh-CN"/>
          <w14:textFill>
            <w14:solidFill>
              <w14:schemeClr w14:val="tx1"/>
            </w14:solidFill>
          </w14:textFill>
        </w:rPr>
        <w:t xml:space="preserve">四个泵可以任意切换。</w:t>
      </w:r>
      <w:r/>
    </w:p>
    <w:p>
      <w:pPr>
        <w:ind w:firstLine="48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1.6</w:t>
      </w:r>
      <w:r>
        <w:rPr>
          <w:rFonts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 xml:space="preserve">自动进样器</w:t>
      </w:r>
      <w:r/>
    </w:p>
    <w:p>
      <w:pPr>
        <w:ind w:firstLine="24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1.6.1</w:t>
      </w:r>
      <w:r>
        <w:rPr>
          <w:rFonts w:hint="eastAsia" w:ascii="宋体" w:hAnsi="宋体" w:eastAsia="宋体" w:cs="宋体"/>
          <w:color w:val="000000" w:themeColor="text1"/>
          <w:sz w:val="24"/>
          <w:szCs w:val="24"/>
          <w:lang w:eastAsia="zh-CN"/>
          <w14:textFill>
            <w14:solidFill>
              <w14:schemeClr w14:val="tx1"/>
            </w14:solidFill>
          </w14:textFill>
        </w:rPr>
        <w:t xml:space="preserve">进样范围：≥0.1～</w:t>
      </w:r>
      <w:r>
        <w:rPr>
          <w:rFonts w:hint="eastAsia" w:ascii="宋体" w:hAnsi="宋体" w:eastAsia="宋体" w:cs="宋体"/>
          <w:color w:val="000000" w:themeColor="text1"/>
          <w:sz w:val="24"/>
          <w:szCs w:val="24"/>
          <w:lang w:val="en-US" w:eastAsia="zh-CN"/>
          <w14:textFill>
            <w14:solidFill>
              <w14:schemeClr w14:val="tx1"/>
            </w14:solidFill>
          </w14:textFill>
        </w:rPr>
        <w:t xml:space="preserve">100</w:t>
      </w:r>
      <w:r>
        <w:rPr>
          <w:rFonts w:hint="eastAsia" w:ascii="宋体" w:hAnsi="宋体" w:eastAsia="宋体" w:cs="宋体"/>
          <w:color w:val="000000" w:themeColor="text1"/>
          <w:sz w:val="24"/>
          <w:szCs w:val="24"/>
          <w14:textFill>
            <w14:solidFill>
              <w14:schemeClr w14:val="tx1"/>
            </w14:solidFill>
          </w14:textFill>
        </w:rPr>
        <w:t xml:space="preserve">μ</w:t>
      </w:r>
      <w:r>
        <w:rPr>
          <w:rFonts w:hint="eastAsia" w:ascii="宋体" w:hAnsi="宋体" w:eastAsia="宋体" w:cs="宋体"/>
          <w:color w:val="000000" w:themeColor="text1"/>
          <w:sz w:val="24"/>
          <w:szCs w:val="24"/>
          <w:lang w:eastAsia="zh-CN"/>
          <w14:textFill>
            <w14:solidFill>
              <w14:schemeClr w14:val="tx1"/>
            </w14:solidFill>
          </w14:textFill>
        </w:rPr>
        <w:t xml:space="preserve">L；</w:t>
      </w:r>
      <w:r/>
    </w:p>
    <w:p>
      <w:pPr>
        <w:ind w:firstLine="240"/>
        <w:spacing w:after="0"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ascii="宋体" w:hAnsi="宋体" w:eastAsia="宋体" w:cs="宋体"/>
          <w:color w:val="000000" w:themeColor="text1"/>
          <w:sz w:val="24"/>
          <w:szCs w:val="24"/>
          <w:lang w:eastAsia="zh-CN"/>
          <w14:textFill>
            <w14:solidFill>
              <w14:schemeClr w14:val="tx1"/>
            </w14:solidFill>
          </w14:textFill>
        </w:rPr>
        <w:t xml:space="preserve">样品数量：</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96</w:t>
      </w:r>
      <w:r>
        <w:rPr>
          <w:rFonts w:hint="eastAsia" w:ascii="宋体" w:hAnsi="宋体" w:eastAsia="宋体" w:cs="宋体"/>
          <w:color w:val="000000" w:themeColor="text1"/>
          <w:sz w:val="24"/>
          <w:szCs w:val="24"/>
          <w:lang w:eastAsia="zh-CN"/>
          <w14:textFill>
            <w14:solidFill>
              <w14:schemeClr w14:val="tx1"/>
            </w14:solidFill>
          </w14:textFill>
        </w:rPr>
        <w:t xml:space="preserve">位（2ml样品瓶）</w:t>
      </w:r>
      <w:r/>
    </w:p>
    <w:p>
      <w:pPr>
        <w:ind w:firstLine="48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ascii="宋体" w:hAnsi="宋体" w:eastAsia="宋体" w:cs="宋体"/>
          <w:color w:val="000000" w:themeColor="text1"/>
          <w:sz w:val="24"/>
          <w:szCs w:val="24"/>
          <w:lang w:eastAsia="zh-CN"/>
          <w14:textFill>
            <w14:solidFill>
              <w14:schemeClr w14:val="tx1"/>
            </w14:solidFill>
          </w14:textFill>
        </w:rPr>
        <w:t xml:space="preserve">交叉污染：</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ascii="宋体" w:hAnsi="宋体" w:eastAsia="宋体" w:cs="宋体"/>
          <w:color w:val="000000" w:themeColor="text1"/>
          <w:sz w:val="24"/>
          <w:szCs w:val="24"/>
          <w:lang w:eastAsia="zh-CN"/>
          <w14:textFill>
            <w14:solidFill>
              <w14:schemeClr w14:val="tx1"/>
            </w14:solidFill>
          </w14:textFill>
        </w:rPr>
        <w:t xml:space="preserve">&lt;0.00</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ascii="宋体" w:hAnsi="宋体" w:eastAsia="宋体" w:cs="宋体"/>
          <w:color w:val="000000" w:themeColor="text1"/>
          <w:sz w:val="24"/>
          <w:szCs w:val="24"/>
          <w:lang w:eastAsia="zh-CN"/>
          <w14:textFill>
            <w14:solidFill>
              <w14:schemeClr w14:val="tx1"/>
            </w14:solidFill>
          </w14:textFill>
        </w:rPr>
        <w:t xml:space="preserve">%</w:t>
      </w:r>
      <w:r/>
    </w:p>
    <w:p>
      <w:pPr>
        <w:ind w:firstLine="48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进样针清洗方式：具有内外针自动清洗功能。</w:t>
      </w:r>
      <w:r/>
    </w:p>
    <w:p>
      <w:pPr>
        <w:ind w:firstLine="24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eastAsia="zh-CN"/>
          <w14:textFill>
            <w14:solidFill>
              <w14:schemeClr w14:val="tx1"/>
            </w14:solidFill>
          </w14:textFill>
        </w:rPr>
        <w:t xml:space="preserve">支持多种自动前处理功能：</w:t>
      </w:r>
      <w:r>
        <w:rPr>
          <w:rFonts w:ascii="宋体" w:hAnsi="宋体" w:eastAsia="宋体" w:cs="宋体"/>
          <w:color w:val="000000" w:themeColor="text1"/>
          <w:sz w:val="24"/>
          <w:szCs w:val="24"/>
          <w:lang w:eastAsia="zh-CN"/>
          <w14:textFill>
            <w14:solidFill>
              <w14:schemeClr w14:val="tx1"/>
            </w14:solidFill>
          </w14:textFill>
        </w:rPr>
        <w:t xml:space="preserve">混合</w:t>
      </w:r>
      <w:r>
        <w:rPr>
          <w:rFonts w:hint="eastAsia" w:ascii="宋体" w:hAnsi="宋体" w:eastAsia="宋体" w:cs="宋体"/>
          <w:color w:val="000000" w:themeColor="text1"/>
          <w:sz w:val="24"/>
          <w:szCs w:val="24"/>
          <w:lang w:eastAsia="zh-CN"/>
          <w14:textFill>
            <w14:solidFill>
              <w14:schemeClr w14:val="tx1"/>
            </w14:solidFill>
          </w14:textFill>
        </w:rPr>
        <w:t xml:space="preserve">、自动衍生等</w:t>
      </w:r>
      <w:r/>
    </w:p>
    <w:p>
      <w:pPr>
        <w:ind w:firstLine="48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1.6.6</w:t>
      </w:r>
      <w:r>
        <w:rPr>
          <w:rFonts w:hint="eastAsia" w:ascii="宋体" w:hAnsi="宋体" w:eastAsia="宋体" w:cs="宋体"/>
          <w:color w:val="000000" w:themeColor="text1"/>
          <w:sz w:val="24"/>
          <w:szCs w:val="24"/>
          <w:lang w:eastAsia="zh-CN"/>
          <w14:textFill>
            <w14:solidFill>
              <w14:schemeClr w14:val="tx1"/>
            </w14:solidFill>
          </w14:textFill>
        </w:rPr>
        <w:t xml:space="preserve">自动进样器温控范围：</w:t>
      </w:r>
      <w:r>
        <w:rPr>
          <w:rFonts w:hint="eastAsia" w:ascii="宋体" w:hAnsi="宋体" w:eastAsia="宋体" w:cs="宋体"/>
          <w:color w:val="000000" w:themeColor="text1"/>
          <w:sz w:val="24"/>
          <w:szCs w:val="24"/>
          <w:lang w:val="en-US" w:eastAsia="zh-CN"/>
          <w14:textFill>
            <w14:solidFill>
              <w14:schemeClr w14:val="tx1"/>
            </w14:solidFill>
          </w14:textFill>
        </w:rPr>
        <w:t xml:space="preserve">约</w:t>
      </w: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0℃。</w:t>
      </w:r>
      <w:r/>
    </w:p>
    <w:p>
      <w:pPr>
        <w:ind w:firstLine="48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1.7</w:t>
      </w:r>
      <w:r>
        <w:rPr>
          <w:rFonts w:hint="eastAsia" w:ascii="宋体" w:hAnsi="宋体" w:eastAsia="宋体" w:cs="宋体"/>
          <w:color w:val="000000" w:themeColor="text1"/>
          <w:sz w:val="24"/>
          <w:szCs w:val="24"/>
          <w:lang w:eastAsia="zh-CN"/>
          <w14:textFill>
            <w14:solidFill>
              <w14:schemeClr w14:val="tx1"/>
            </w14:solidFill>
          </w14:textFill>
        </w:rPr>
        <w:t xml:space="preserve">柱温箱</w:t>
      </w:r>
      <w:r/>
    </w:p>
    <w:p>
      <w:pPr>
        <w:ind w:firstLine="240"/>
        <w:spacing w:after="0"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1.7.1</w:t>
      </w:r>
      <w:r>
        <w:rPr>
          <w:rFonts w:ascii="宋体" w:hAnsi="宋体" w:eastAsia="宋体" w:cs="宋体"/>
          <w:color w:val="000000" w:themeColor="text1"/>
          <w:sz w:val="24"/>
          <w:szCs w:val="24"/>
          <w:lang w:eastAsia="zh-CN"/>
          <w14:textFill>
            <w14:solidFill>
              <w14:schemeClr w14:val="tx1"/>
            </w14:solidFill>
          </w14:textFill>
        </w:rPr>
        <w:t xml:space="preserve">温度控制范围：</w:t>
      </w:r>
      <w:r>
        <w:rPr>
          <w:rFonts w:hint="eastAsia" w:ascii="宋体" w:hAnsi="宋体" w:eastAsia="宋体" w:cs="宋体"/>
          <w:color w:val="000000" w:themeColor="text1"/>
          <w:sz w:val="24"/>
          <w:szCs w:val="24"/>
          <w:lang w:val="en-US" w:eastAsia="zh-CN"/>
          <w14:textFill>
            <w14:solidFill>
              <w14:schemeClr w14:val="tx1"/>
            </w14:solidFill>
          </w14:textFill>
        </w:rPr>
        <w:t xml:space="preserve">室温以下10</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-85</w:t>
      </w:r>
      <w:r>
        <w:rPr>
          <w:rFonts w:hint="eastAsia" w:ascii="宋体" w:hAnsi="宋体" w:eastAsia="宋体" w:cs="宋体"/>
          <w:color w:val="000000" w:themeColor="text1"/>
          <w:sz w:val="24"/>
          <w:szCs w:val="24"/>
          <w:lang w:eastAsia="zh-CN"/>
          <w14:textFill>
            <w14:solidFill>
              <w14:schemeClr w14:val="tx1"/>
            </w14:solidFill>
          </w14:textFill>
        </w:rPr>
        <w:t xml:space="preserve">℃，温度准确度：±0.5℃</w:t>
      </w:r>
      <w:r/>
    </w:p>
    <w:p>
      <w:pPr>
        <w:ind w:firstLine="48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1.7.2</w:t>
      </w:r>
      <w:r>
        <w:rPr>
          <w:rFonts w:hint="eastAsia" w:ascii="宋体" w:hAnsi="宋体" w:eastAsia="宋体" w:cs="宋体"/>
          <w:color w:val="000000" w:themeColor="text1"/>
          <w:sz w:val="24"/>
          <w:szCs w:val="24"/>
          <w:lang w:eastAsia="zh-CN"/>
          <w14:textFill>
            <w14:solidFill>
              <w14:schemeClr w14:val="tx1"/>
            </w14:solidFill>
          </w14:textFill>
        </w:rPr>
        <w:t xml:space="preserve">色谱柱容量</w:t>
      </w:r>
      <w:r>
        <w:rPr>
          <w:rFonts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单个</w:t>
      </w:r>
      <w:r>
        <w:rPr>
          <w:rFonts w:ascii="宋体" w:hAnsi="宋体" w:eastAsia="宋体" w:cs="宋体"/>
          <w:color w:val="000000" w:themeColor="text1"/>
          <w:sz w:val="24"/>
          <w:szCs w:val="24"/>
          <w:lang w:eastAsia="zh-CN"/>
          <w14:textFill>
            <w14:solidFill>
              <w14:schemeClr w14:val="tx1"/>
            </w14:solidFill>
          </w14:textFill>
        </w:rPr>
        <w:t xml:space="preserve">柱温箱</w:t>
      </w:r>
      <w:r>
        <w:rPr>
          <w:rFonts w:hint="eastAsia" w:ascii="宋体" w:hAnsi="宋体" w:eastAsia="宋体" w:cs="宋体"/>
          <w:color w:val="000000" w:themeColor="text1"/>
          <w:sz w:val="24"/>
          <w:szCs w:val="24"/>
          <w:lang w:eastAsia="zh-CN"/>
          <w14:textFill>
            <w14:solidFill>
              <w14:schemeClr w14:val="tx1"/>
            </w14:solidFill>
          </w14:textFill>
        </w:rPr>
        <w:t xml:space="preserve">内可</w:t>
      </w:r>
      <w:r>
        <w:rPr>
          <w:rFonts w:ascii="宋体" w:hAnsi="宋体" w:eastAsia="宋体" w:cs="宋体"/>
          <w:color w:val="000000" w:themeColor="text1"/>
          <w:sz w:val="24"/>
          <w:szCs w:val="24"/>
          <w:lang w:eastAsia="zh-CN"/>
          <w14:textFill>
            <w14:solidFill>
              <w14:schemeClr w14:val="tx1"/>
            </w14:solidFill>
          </w14:textFill>
        </w:rPr>
        <w:t xml:space="preserve">放置</w:t>
      </w:r>
      <w:r>
        <w:rPr>
          <w:rFonts w:hint="eastAsia" w:ascii="宋体" w:hAnsi="宋体" w:eastAsia="宋体" w:cs="宋体"/>
          <w:color w:val="000000" w:themeColor="text1"/>
          <w:sz w:val="24"/>
          <w:szCs w:val="24"/>
          <w:lang w:val="en-US" w:eastAsia="zh-CN"/>
          <w14:textFill>
            <w14:solidFill>
              <w14:schemeClr w14:val="tx1"/>
            </w14:solidFill>
          </w14:textFill>
        </w:rPr>
        <w:t xml:space="preserve">多</w:t>
      </w:r>
      <w:r>
        <w:rPr>
          <w:rFonts w:ascii="宋体" w:hAnsi="宋体" w:eastAsia="宋体" w:cs="宋体"/>
          <w:color w:val="000000" w:themeColor="text1"/>
          <w:sz w:val="24"/>
          <w:szCs w:val="24"/>
          <w:lang w:eastAsia="zh-CN"/>
          <w14:textFill>
            <w14:solidFill>
              <w14:schemeClr w14:val="tx1"/>
            </w14:solidFill>
          </w14:textFill>
        </w:rPr>
        <w:t xml:space="preserve">根</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72"/>
        <w:spacing w:after="0"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2、三重四极杆串联质谱仪</w:t>
      </w:r>
      <w:r/>
    </w:p>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 离子源技术</w:t>
      </w:r>
      <w:r/>
    </w:p>
    <w:p>
      <w:pPr>
        <w:ind w:firstLine="470"/>
        <w:spacing w:after="0"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2.1.1 离子源类型：独立电喷雾离子源（ESI源）和大气压化学电离源（APCI源）</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ESI源与APCI源独立工作，互不干扰，更换离子源状态时</w:t>
      </w:r>
      <w:r>
        <w:rPr>
          <w:rFonts w:hint="eastAsia" w:ascii="宋体" w:hAnsi="宋体" w:eastAsia="宋体" w:cs="宋体"/>
          <w:color w:val="000000" w:themeColor="text1"/>
          <w:sz w:val="24"/>
          <w:szCs w:val="24"/>
          <w:lang w:val="en-US" w:eastAsia="zh-CN"/>
          <w14:textFill>
            <w14:solidFill>
              <w14:schemeClr w14:val="tx1"/>
            </w14:solidFill>
          </w14:textFill>
        </w:rPr>
        <w:t xml:space="preserve">简单方便</w:t>
      </w:r>
      <w:r>
        <w:rPr>
          <w:rFonts w:hint="eastAsia" w:ascii="宋体" w:hAnsi="宋体" w:eastAsia="宋体" w:cs="宋体"/>
          <w:color w:val="000000" w:themeColor="text1"/>
          <w:sz w:val="24"/>
          <w:szCs w:val="24"/>
          <w:lang w:eastAsia="zh-CN"/>
          <w14:textFill>
            <w14:solidFill>
              <w14:schemeClr w14:val="tx1"/>
            </w14:solidFill>
          </w14:textFill>
        </w:rPr>
        <w:t xml:space="preserve">，无需卸真空，清洗、维护方便。</w:t>
      </w:r>
      <w:r/>
    </w:p>
    <w:p>
      <w:pPr>
        <w:ind w:firstLine="47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2.1.2 离子源性能：</w:t>
      </w:r>
      <w:r/>
    </w:p>
    <w:p>
      <w:pPr>
        <w:ind w:firstLine="47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除雾化气之外，有夹角辅助气离子聚焦设计，离子化效率高和稳定性好；正交离子引入，提高抗污染能力。</w:t>
      </w:r>
      <w:r/>
    </w:p>
    <w:p>
      <w:pPr>
        <w:ind w:firstLine="470"/>
        <w:spacing w:after="0"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2.1.4离子源接口：锥孔或毛细管接口。</w:t>
      </w:r>
      <w:r/>
    </w:p>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2.2</w:t>
      </w:r>
      <w:r>
        <w:rPr>
          <w:rFonts w:hint="eastAsia" w:ascii="宋体" w:hAnsi="宋体" w:eastAsia="宋体" w:cs="宋体"/>
          <w:color w:val="000000" w:themeColor="text1"/>
          <w:sz w:val="24"/>
          <w:szCs w:val="24"/>
          <w:lang w:eastAsia="zh-CN"/>
          <w14:textFill>
            <w14:solidFill>
              <w14:schemeClr w14:val="tx1"/>
            </w14:solidFill>
          </w14:textFill>
        </w:rPr>
        <w:t xml:space="preserve"> 质量分析系统</w:t>
      </w:r>
      <w:r/>
    </w:p>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2.2</w:t>
      </w:r>
      <w:r>
        <w:rPr>
          <w:rFonts w:hint="eastAsia" w:ascii="宋体" w:hAnsi="宋体" w:eastAsia="宋体" w:cs="宋体"/>
          <w:color w:val="000000" w:themeColor="text1"/>
          <w:sz w:val="24"/>
          <w:szCs w:val="24"/>
          <w:lang w:eastAsia="zh-CN"/>
          <w14:textFill>
            <w14:solidFill>
              <w14:schemeClr w14:val="tx1"/>
            </w14:solidFill>
          </w14:textFill>
        </w:rPr>
        <w:t xml:space="preserve">.1 质量分析器：三重四极杆质量分析系统。</w:t>
      </w:r>
      <w:r/>
    </w:p>
    <w:p>
      <w:pPr>
        <w:ind w:firstLine="480"/>
        <w:spacing w:after="0"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2.2.2</w:t>
      </w:r>
      <w:r>
        <w:rPr>
          <w:rFonts w:hint="eastAsia" w:ascii="宋体" w:hAnsi="宋体" w:eastAsia="宋体" w:cs="宋体"/>
          <w:color w:val="000000" w:themeColor="text1"/>
          <w:sz w:val="24"/>
          <w:szCs w:val="24"/>
          <w:lang w:eastAsia="zh-CN"/>
          <w14:textFill>
            <w14:solidFill>
              <w14:schemeClr w14:val="tx1"/>
            </w14:solidFill>
          </w14:textFill>
        </w:rPr>
        <w:t xml:space="preserve"> 质量稳定性：</w:t>
      </w:r>
      <w:r>
        <w:rPr>
          <w:rFonts w:hint="eastAsia" w:ascii="宋体" w:hAnsi="宋体" w:eastAsia="宋体" w:cs="宋体"/>
          <w:color w:val="000000" w:themeColor="text1"/>
          <w:sz w:val="24"/>
          <w:szCs w:val="24"/>
          <w:lang w:val="en-US" w:eastAsia="zh-CN"/>
          <w14:textFill>
            <w14:solidFill>
              <w14:schemeClr w14:val="tx1"/>
            </w14:solidFill>
          </w14:textFill>
        </w:rPr>
        <w:t xml:space="preserve">能较长时间</w:t>
      </w:r>
      <w:r>
        <w:rPr>
          <w:rFonts w:hint="eastAsia" w:ascii="宋体" w:hAnsi="宋体" w:eastAsia="宋体" w:cs="宋体"/>
          <w:color w:val="000000" w:themeColor="text1"/>
          <w:sz w:val="24"/>
          <w:szCs w:val="24"/>
          <w:lang w:eastAsia="zh-CN"/>
          <w14:textFill>
            <w14:solidFill>
              <w14:schemeClr w14:val="tx1"/>
            </w14:solidFill>
          </w14:textFill>
        </w:rPr>
        <w:t xml:space="preserve">无需校正或调谐。</w:t>
      </w:r>
      <w:r/>
    </w:p>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2.2.3</w:t>
      </w:r>
      <w:r>
        <w:rPr>
          <w:rFonts w:hint="eastAsia" w:ascii="宋体" w:hAnsi="宋体" w:eastAsia="宋体" w:cs="宋体"/>
          <w:color w:val="000000" w:themeColor="text1"/>
          <w:sz w:val="24"/>
          <w:szCs w:val="24"/>
          <w:lang w:eastAsia="zh-CN"/>
          <w14:textFill>
            <w14:solidFill>
              <w14:schemeClr w14:val="tx1"/>
            </w14:solidFill>
          </w14:textFill>
        </w:rPr>
        <w:t xml:space="preserve">质量准确度：</w:t>
      </w:r>
      <w:r>
        <w:rPr>
          <w:rFonts w:ascii="Symbol" w:hAnsi="Symbol" w:eastAsia="Symbol" w:cs="Symbol"/>
          <w:color w:val="auto"/>
          <w:sz w:val="24"/>
          <w:szCs w:val="24"/>
          <w:lang w:eastAsia="zh-CN"/>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 0.01%（全质量范围）。</w:t>
      </w:r>
      <w:r/>
    </w:p>
    <w:p>
      <w:pPr>
        <w:ind w:firstLine="240"/>
        <w:spacing w:after="0" w:line="240" w:lineRule="auto"/>
        <w:rPr>
          <w:rFonts w:hint="default" w:ascii="宋体" w:hAnsi="宋体" w:eastAsia="宋体" w:cs="宋体"/>
          <w:color w:val="ff0000"/>
          <w:sz w:val="24"/>
          <w:szCs w:val="24"/>
          <w:lang w:val="en-US"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ascii="宋体" w:hAnsi="宋体" w:eastAsia="宋体" w:cs="宋体"/>
          <w:color w:val="auto"/>
          <w:sz w:val="24"/>
          <w:szCs w:val="24"/>
          <w:lang w:eastAsia="zh-CN"/>
        </w:rPr>
        <w:t xml:space="preserve">APCI</w:t>
      </w:r>
      <w:r>
        <w:rPr>
          <w:rFonts w:hint="eastAsia" w:ascii="宋体" w:hAnsi="宋体" w:eastAsia="宋体" w:cs="宋体"/>
          <w:color w:val="auto"/>
          <w:sz w:val="24"/>
          <w:szCs w:val="24"/>
          <w:lang w:val="en-US" w:eastAsia="zh-CN"/>
        </w:rPr>
        <w:t xml:space="preserve">和</w:t>
      </w:r>
      <w:r>
        <w:rPr>
          <w:rFonts w:ascii="宋体" w:hAnsi="宋体" w:eastAsia="宋体" w:cs="宋体"/>
          <w:color w:val="auto"/>
          <w:sz w:val="24"/>
          <w:szCs w:val="24"/>
          <w:lang w:eastAsia="zh-CN"/>
        </w:rPr>
        <w:t xml:space="preserve">ESI</w:t>
      </w:r>
      <w:r>
        <w:rPr>
          <w:rFonts w:hint="eastAsia" w:ascii="宋体" w:hAnsi="宋体" w:eastAsia="宋体" w:cs="宋体"/>
          <w:color w:val="auto"/>
          <w:sz w:val="24"/>
          <w:szCs w:val="24"/>
          <w:lang w:eastAsia="zh-CN"/>
        </w:rPr>
        <w:t xml:space="preserve">模式</w:t>
      </w:r>
      <w:r>
        <w:rPr>
          <w:rFonts w:hint="eastAsia" w:ascii="宋体" w:hAnsi="宋体" w:eastAsia="宋体" w:cs="宋体"/>
          <w:color w:val="000000" w:themeColor="text1"/>
          <w:sz w:val="24"/>
          <w:szCs w:val="24"/>
          <w:lang w:val="en-US" w:eastAsia="zh-CN"/>
          <w14:textFill>
            <w14:solidFill>
              <w14:schemeClr w14:val="tx1"/>
            </w14:solidFill>
          </w14:textFill>
        </w:rPr>
        <w:t xml:space="preserve">定量分析</w:t>
      </w:r>
      <w:r>
        <w:rPr>
          <w:rFonts w:hint="eastAsia" w:ascii="宋体" w:hAnsi="宋体" w:eastAsia="宋体" w:cs="宋体"/>
          <w:color w:val="000000" w:themeColor="text1"/>
          <w:sz w:val="24"/>
          <w:szCs w:val="24"/>
          <w:lang w:eastAsia="zh-CN"/>
          <w14:textFill>
            <w14:solidFill>
              <w14:schemeClr w14:val="tx1"/>
            </w14:solidFill>
          </w14:textFill>
        </w:rPr>
        <w:t xml:space="preserve">灵敏度和重复性：</w:t>
      </w:r>
      <w:r>
        <w:rPr>
          <w:rFonts w:hint="eastAsia" w:ascii="宋体" w:hAnsi="宋体" w:eastAsia="宋体" w:cs="宋体"/>
          <w:color w:val="000000" w:themeColor="text1"/>
          <w:sz w:val="24"/>
          <w:szCs w:val="24"/>
          <w:lang w:val="en-US" w:eastAsia="zh-CN"/>
          <w14:textFill>
            <w14:solidFill>
              <w14:schemeClr w14:val="tx1"/>
            </w14:solidFill>
          </w14:textFill>
        </w:rPr>
        <w:t xml:space="preserve">能够达到国标农兽残或其他的检出限，</w:t>
      </w:r>
      <w:r>
        <w:rPr>
          <w:rFonts w:hint="eastAsia" w:ascii="宋体" w:hAnsi="宋体" w:eastAsia="宋体" w:cs="宋体"/>
          <w:color w:val="000000" w:themeColor="text1"/>
          <w:sz w:val="24"/>
          <w:szCs w:val="24"/>
          <w:lang w:eastAsia="zh-CN"/>
          <w14:textFill>
            <w14:solidFill>
              <w14:schemeClr w14:val="tx1"/>
            </w14:solidFill>
          </w14:textFill>
        </w:rPr>
        <w:t xml:space="preserve">连续5针，RSD&lt;5%</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ascii="宋体" w:hAnsi="宋体" w:eastAsia="宋体" w:cs="宋体"/>
          <w:color w:val="auto"/>
          <w:sz w:val="24"/>
          <w:szCs w:val="24"/>
          <w:lang w:eastAsia="zh-CN"/>
        </w:rPr>
        <w:t xml:space="preserve">ESI</w:t>
      </w:r>
      <w:r>
        <w:rPr>
          <w:rFonts w:hint="eastAsia" w:ascii="宋体" w:hAnsi="宋体" w:eastAsia="宋体" w:cs="宋体"/>
          <w:color w:val="auto"/>
          <w:sz w:val="24"/>
          <w:szCs w:val="24"/>
          <w:lang w:val="en-US" w:eastAsia="zh-CN"/>
        </w:rPr>
        <w:t xml:space="preserve">模式，1p</w:t>
      </w:r>
      <w:r>
        <w:rPr>
          <w:rFonts w:hint="eastAsia" w:ascii="宋体" w:hAnsi="宋体" w:eastAsia="宋体" w:cs="宋体"/>
          <w:color w:val="000000" w:themeColor="text1"/>
          <w:sz w:val="24"/>
          <w:szCs w:val="24"/>
          <w:lang w:val="en-US" w:eastAsia="zh-CN"/>
          <w14:textFill>
            <w14:solidFill>
              <w14:schemeClr w14:val="tx1"/>
            </w14:solidFill>
          </w14:textFill>
        </w:rPr>
        <w:t xml:space="preserve">g利血平，信噪比≥500000:1。APCI源离子方式：1pg氯霉素，信噪比S/N≥500000:1。（提供</w:t>
      </w:r>
      <w:r>
        <w:rPr>
          <w:rFonts w:hint="default" w:ascii="宋体" w:hAnsi="宋体" w:eastAsia="宋体" w:cs="宋体"/>
          <w:color w:val="000000" w:themeColor="text1"/>
          <w:sz w:val="24"/>
          <w:szCs w:val="24"/>
          <w:lang w:val="en-US" w:eastAsia="zh-CN"/>
          <w14:textFill>
            <w14:solidFill>
              <w14:schemeClr w14:val="tx1"/>
            </w14:solidFill>
          </w14:textFill>
        </w:rPr>
        <w:t xml:space="preserve">官网截图</w:t>
      </w:r>
      <w:r>
        <w:rPr>
          <w:rFonts w:hint="eastAsia" w:ascii="宋体" w:hAnsi="宋体" w:eastAsia="宋体" w:cs="宋体"/>
          <w:color w:val="000000" w:themeColor="text1"/>
          <w:sz w:val="24"/>
          <w:szCs w:val="24"/>
          <w:lang w:val="en-US" w:eastAsia="zh-CN"/>
          <w14:textFill>
            <w14:solidFill>
              <w14:schemeClr w14:val="tx1"/>
            </w14:solidFill>
          </w14:textFill>
        </w:rPr>
        <w:t xml:space="preserve">或制造商官网可供下载的</w:t>
      </w:r>
      <w:r>
        <w:rPr>
          <w:rFonts w:hint="default" w:ascii="宋体" w:hAnsi="宋体" w:eastAsia="宋体" w:cs="宋体"/>
          <w:color w:val="000000" w:themeColor="text1"/>
          <w:sz w:val="24"/>
          <w:szCs w:val="24"/>
          <w:lang w:val="en-US" w:eastAsia="zh-CN"/>
          <w14:textFill>
            <w14:solidFill>
              <w14:schemeClr w14:val="tx1"/>
            </w14:solidFill>
          </w14:textFill>
        </w:rPr>
        <w:t xml:space="preserve">证明材料</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240"/>
        <w:spacing w:after="0" w:line="240" w:lineRule="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p>
      <w:pPr>
        <w:ind w:firstLine="47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2.2.5</w:t>
      </w:r>
      <w:r>
        <w:rPr>
          <w:rFonts w:hint="eastAsia" w:ascii="宋体" w:hAnsi="宋体" w:eastAsia="宋体" w:cs="宋体"/>
          <w:color w:val="000000" w:themeColor="text1"/>
          <w:sz w:val="24"/>
          <w:szCs w:val="24"/>
          <w:lang w:eastAsia="zh-CN"/>
          <w14:textFill>
            <w14:solidFill>
              <w14:schemeClr w14:val="tx1"/>
            </w14:solidFill>
          </w14:textFill>
        </w:rPr>
        <w:t xml:space="preserve"> 三重四极杆扫描模式：具有全扫描 (Full Scan)、选择离子扫描(SIM)、选择反应串联质谱扫描(SRM)、子离子扫描（Product Ion Scan）、母离子扫描：（Precursor Ion Scan）、中性丢失扫描（Neutral Loss Scan）、多反应监测扫描（MRM）、混合扫描（Mixed Scan Mode）、正/负离子快速切换扫描。</w:t>
      </w:r>
      <w:r/>
    </w:p>
    <w:p>
      <w:pPr>
        <w:ind w:firstLine="240"/>
        <w:spacing w:after="0" w:line="240" w:lineRule="auto"/>
        <w:rPr>
          <w:rFonts w:hint="eastAsia" w:ascii="宋体" w:hAnsi="宋体" w:eastAsia="宋体" w:cs="宋体"/>
          <w:color w:val="auto"/>
          <w:sz w:val="24"/>
          <w:szCs w:val="24"/>
          <w:lang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2.2.6</w:t>
      </w:r>
      <w:r>
        <w:rPr>
          <w:rFonts w:hint="eastAsia" w:ascii="宋体" w:hAnsi="宋体" w:eastAsia="宋体" w:cs="宋体"/>
          <w:color w:val="000000" w:themeColor="text1"/>
          <w:sz w:val="24"/>
          <w:szCs w:val="24"/>
          <w:lang w:eastAsia="zh-CN"/>
          <w14:textFill>
            <w14:solidFill>
              <w14:schemeClr w14:val="tx1"/>
            </w14:solidFill>
          </w14:textFill>
        </w:rPr>
        <w:t xml:space="preserve"> 重复性：</w:t>
      </w:r>
      <w:r>
        <w:rPr>
          <w:rFonts w:hint="eastAsia" w:ascii="宋体" w:hAnsi="宋体" w:eastAsia="宋体" w:cs="宋体"/>
          <w:color w:val="auto"/>
          <w:sz w:val="24"/>
          <w:szCs w:val="24"/>
          <w:lang w:eastAsia="zh-CN"/>
        </w:rPr>
        <w:t xml:space="preserve">农残样品MRM模式连续进样</w:t>
      </w:r>
      <w:r>
        <w:rPr>
          <w:rFonts w:hint="eastAsia" w:ascii="宋体" w:hAnsi="宋体" w:eastAsia="宋体" w:cs="宋体"/>
          <w:color w:val="auto"/>
          <w:sz w:val="24"/>
          <w:szCs w:val="24"/>
          <w:lang w:val="en-US" w:eastAsia="zh-CN"/>
        </w:rPr>
        <w:t xml:space="preserve">特别多</w:t>
      </w:r>
      <w:r>
        <w:rPr>
          <w:rFonts w:hint="eastAsia" w:ascii="宋体" w:hAnsi="宋体" w:eastAsia="宋体" w:cs="宋体"/>
          <w:color w:val="auto"/>
          <w:sz w:val="24"/>
          <w:szCs w:val="24"/>
          <w:lang w:eastAsia="zh-CN"/>
        </w:rPr>
        <w:t xml:space="preserve">针，RSD不得大于</w:t>
      </w:r>
      <w:r>
        <w:rPr>
          <w:rFonts w:ascii="宋体" w:hAnsi="宋体" w:eastAsia="宋体" w:cs="宋体"/>
          <w:color w:val="auto"/>
          <w:sz w:val="24"/>
          <w:szCs w:val="24"/>
          <w:lang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提供官方数据支持。</w:t>
      </w:r>
      <w:r>
        <w:rPr>
          <w:rFonts w:hint="eastAsia" w:ascii="宋体" w:hAnsi="宋体" w:eastAsia="宋体" w:cs="宋体"/>
          <w:color w:val="auto"/>
          <w:sz w:val="24"/>
          <w:szCs w:val="24"/>
          <w:lang w:eastAsia="zh-CN"/>
        </w:rPr>
        <w:t xml:space="preserve">）</w:t>
      </w:r>
      <w:r/>
    </w:p>
    <w:p>
      <w:pPr>
        <w:ind w:firstLine="240"/>
        <w:spacing w:after="0"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2.2.7质量轴范围m/z：5-1400amu</w:t>
      </w:r>
      <w:r/>
    </w:p>
    <w:p>
      <w:pPr>
        <w:ind w:firstLine="240"/>
        <w:spacing w:after="0"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2.2.8扫描速度≥15000amu/s</w:t>
      </w:r>
      <w:r/>
    </w:p>
    <w:p>
      <w:pPr>
        <w:ind w:firstLine="240"/>
        <w:spacing w:after="0"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2.2.9 一次进样可完成&gt;32000(可调）组MRM同时分析</w:t>
      </w:r>
      <w:r/>
    </w:p>
    <w:p>
      <w:pPr>
        <w:ind w:firstLine="240"/>
        <w:jc w:val="both"/>
        <w:spacing w:after="0"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2.2.10一次性全自动生成包括离子对信息、碰撞能、离子导入电压等参数在内的SIR/MRM方法。提供可供官方证明材料。</w:t>
      </w:r>
      <w:r/>
    </w:p>
    <w:p>
      <w:pPr>
        <w:ind w:firstLine="240"/>
        <w:spacing w:after="0"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2.2.11 碰撞池为直线型、90度或以上。为降低碰撞池的清洗频率，若非直线型碰撞池提供厂家3年免费清洗售后服务承诺</w:t>
      </w:r>
      <w:r/>
    </w:p>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2.3</w:t>
      </w:r>
      <w:r>
        <w:rPr>
          <w:rFonts w:hint="eastAsia" w:ascii="宋体" w:hAnsi="宋体" w:eastAsia="宋体" w:cs="宋体"/>
          <w:color w:val="000000" w:themeColor="text1"/>
          <w:sz w:val="24"/>
          <w:szCs w:val="24"/>
          <w:lang w:eastAsia="zh-CN"/>
          <w14:textFill>
            <w14:solidFill>
              <w14:schemeClr w14:val="tx1"/>
            </w14:solidFill>
          </w14:textFill>
        </w:rPr>
        <w:t xml:space="preserve">检测系统： </w:t>
      </w:r>
      <w:r/>
    </w:p>
    <w:p>
      <w:pPr>
        <w:ind w:firstLine="240"/>
        <w:spacing w:after="0"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2.3.1</w:t>
      </w:r>
      <w:r>
        <w:rPr>
          <w:rFonts w:hint="eastAsia" w:ascii="宋体" w:hAnsi="宋体" w:eastAsia="宋体" w:cs="宋体"/>
          <w:color w:val="000000" w:themeColor="text1"/>
          <w:sz w:val="24"/>
          <w:szCs w:val="24"/>
          <w:lang w:eastAsia="zh-CN"/>
          <w14:textFill>
            <w14:solidFill>
              <w14:schemeClr w14:val="tx1"/>
            </w14:solidFill>
          </w14:textFill>
        </w:rPr>
        <w:t xml:space="preserve">电子倍增管技术，保障长期复杂基质样品定量分析的可靠性和重复性，</w:t>
      </w:r>
      <w:r>
        <w:rPr>
          <w:rFonts w:hint="eastAsia" w:ascii="宋体" w:hAnsi="宋体" w:eastAsia="宋体" w:cs="宋体"/>
          <w:color w:val="000000" w:themeColor="text1"/>
          <w:sz w:val="24"/>
          <w:szCs w:val="24"/>
          <w:lang w:val="en-US" w:eastAsia="zh-CN"/>
          <w14:textFill>
            <w14:solidFill>
              <w14:schemeClr w14:val="tx1"/>
            </w14:solidFill>
          </w14:textFill>
        </w:rPr>
        <w:t xml:space="preserve">无负离子歧视</w:t>
      </w:r>
      <w:r>
        <w:rPr>
          <w:rFonts w:hint="eastAsia" w:ascii="宋体" w:hAnsi="宋体" w:eastAsia="宋体" w:cs="宋体"/>
          <w:color w:val="000000" w:themeColor="text1"/>
          <w:sz w:val="24"/>
          <w:szCs w:val="24"/>
          <w:lang w:eastAsia="zh-CN"/>
          <w14:textFill>
            <w14:solidFill>
              <w14:schemeClr w14:val="tx1"/>
            </w14:solidFill>
          </w14:textFill>
        </w:rPr>
        <w:t xml:space="preserve">。（投标时须提供官网或者彩页证明资料）。</w:t>
      </w:r>
      <w:r>
        <w:rPr>
          <w:rFonts w:hint="eastAsia" w:ascii="宋体" w:hAnsi="宋体" w:eastAsia="宋体" w:cs="宋体"/>
          <w:color w:val="000000" w:themeColor="text1"/>
          <w:sz w:val="24"/>
          <w:szCs w:val="24"/>
          <w:lang w:val="en-US" w:eastAsia="zh-CN"/>
          <w14:textFill>
            <w14:solidFill>
              <w14:schemeClr w14:val="tx1"/>
            </w14:solidFill>
          </w14:textFill>
        </w:rPr>
        <w:t xml:space="preserve">或者采用光电倍增器技术，保证使用寿命超过10年（提供原厂盖章售后承诺），如使用电子倍增器技术，保证使用寿命超过10年（提供原厂盖章售后承诺）。</w:t>
      </w:r>
      <w:r/>
    </w:p>
    <w:p>
      <w:pPr>
        <w:ind w:firstLine="24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2.4</w:t>
      </w:r>
      <w:r>
        <w:rPr>
          <w:rFonts w:hint="eastAsia" w:ascii="宋体" w:hAnsi="宋体" w:eastAsia="宋体" w:cs="宋体"/>
          <w:color w:val="000000" w:themeColor="text1"/>
          <w:sz w:val="24"/>
          <w:szCs w:val="24"/>
          <w:lang w:eastAsia="zh-CN"/>
          <w14:textFill>
            <w14:solidFill>
              <w14:schemeClr w14:val="tx1"/>
            </w14:solidFill>
          </w14:textFill>
        </w:rPr>
        <w:t xml:space="preserve">真空系统：</w:t>
      </w:r>
      <w:r/>
    </w:p>
    <w:p>
      <w:pPr>
        <w:ind w:firstLine="24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包括前置机械真空泵及分子涡轮泵。高真空无油分子涡轮泵系统，空气冷却，无需水冷，离子源区和质量分析区形成差分抽气系统，自动断电保护功能。</w:t>
      </w:r>
      <w:r/>
    </w:p>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2.5</w:t>
      </w:r>
      <w:r>
        <w:rPr>
          <w:rFonts w:hint="eastAsia" w:ascii="宋体" w:hAnsi="宋体" w:eastAsia="宋体" w:cs="宋体"/>
          <w:color w:val="000000" w:themeColor="text1"/>
          <w:sz w:val="24"/>
          <w:szCs w:val="24"/>
          <w:lang w:eastAsia="zh-CN"/>
          <w14:textFill>
            <w14:solidFill>
              <w14:schemeClr w14:val="tx1"/>
            </w14:solidFill>
          </w14:textFill>
        </w:rPr>
        <w:t xml:space="preserve">数据系统软件和硬件：</w:t>
      </w:r>
      <w:r/>
    </w:p>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2.5.1</w:t>
      </w:r>
      <w:r>
        <w:rPr>
          <w:rFonts w:hint="eastAsia" w:ascii="宋体" w:hAnsi="宋体" w:eastAsia="宋体" w:cs="宋体"/>
          <w:color w:val="000000" w:themeColor="text1"/>
          <w:sz w:val="24"/>
          <w:szCs w:val="24"/>
          <w:lang w:eastAsia="zh-CN"/>
          <w14:textFill>
            <w14:solidFill>
              <w14:schemeClr w14:val="tx1"/>
            </w14:solidFill>
          </w14:textFill>
        </w:rPr>
        <w:t xml:space="preserve"> 软件：软件能控制液相色谱和质谱部分，自动实现仪器的功能配置、条件优化、数据采集、数据处理；自动定量功能；软件能够满足当今分析检测实验室需求，提供能够实现最优化痕量分析的全套系统解决方案。通过同一软件平台实现对液相色谱和质谱的控制，能够充分保证系统的整体性能以及售后培训、维护等的系统性。</w:t>
      </w:r>
      <w:r/>
    </w:p>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2.5.2</w:t>
      </w:r>
      <w:r>
        <w:rPr>
          <w:rFonts w:hint="eastAsia" w:ascii="宋体" w:hAnsi="宋体" w:eastAsia="宋体" w:cs="宋体"/>
          <w:color w:val="000000" w:themeColor="text1"/>
          <w:sz w:val="24"/>
          <w:szCs w:val="24"/>
          <w:lang w:eastAsia="zh-CN"/>
          <w14:textFill>
            <w14:solidFill>
              <w14:schemeClr w14:val="tx1"/>
            </w14:solidFill>
          </w14:textFill>
        </w:rPr>
        <w:t xml:space="preserve"> 硬件：</w:t>
      </w:r>
      <w:r>
        <w:rPr>
          <w:rFonts w:hint="eastAsia" w:ascii="宋体" w:hAnsi="宋体" w:eastAsia="宋体" w:cs="宋体"/>
          <w:sz w:val="24"/>
          <w:szCs w:val="24"/>
          <w:lang w:val="en-US" w:eastAsia="zh-CN"/>
        </w:rPr>
        <w:t xml:space="preserve">满足设备正常运行条件要求。</w:t>
      </w:r>
      <w:r/>
    </w:p>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2.5</w:t>
      </w:r>
      <w:r>
        <w:rPr>
          <w:rFonts w:hint="eastAsia" w:ascii="宋体" w:hAnsi="宋体" w:eastAsia="宋体" w:cs="宋体"/>
          <w:color w:val="000000" w:themeColor="text1"/>
          <w:sz w:val="24"/>
          <w:szCs w:val="24"/>
          <w:lang w:eastAsia="zh-CN"/>
          <w14:textFill>
            <w14:solidFill>
              <w14:schemeClr w14:val="tx1"/>
            </w14:solidFill>
          </w14:textFill>
        </w:rPr>
        <w:t xml:space="preserve">.3 工作软件：能提供即时定量数据质量监测，以确定QC或空白样品是否落在用户指定的误差范围内。能决定或许样品是否被注入或是需要进行更详细的检查，确保实验室的资源得到最充分利用，具有智能化的数据采集模式。</w:t>
      </w:r>
      <w:r/>
    </w:p>
    <w:p>
      <w:pPr>
        <w:ind w:firstLine="48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2.6</w:t>
      </w:r>
      <w:r>
        <w:rPr>
          <w:rFonts w:hint="eastAsia" w:ascii="宋体" w:hAnsi="宋体" w:eastAsia="宋体" w:cs="宋体"/>
          <w:color w:val="000000" w:themeColor="text1"/>
          <w:sz w:val="24"/>
          <w:szCs w:val="24"/>
          <w:lang w:eastAsia="zh-CN"/>
          <w14:textFill>
            <w14:solidFill>
              <w14:schemeClr w14:val="tx1"/>
            </w14:solidFill>
          </w14:textFill>
        </w:rPr>
        <w:t xml:space="preserve">工作站硬件 </w:t>
      </w:r>
      <w:r/>
    </w:p>
    <w:p>
      <w:pPr>
        <w:ind w:firstLine="47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bookmarkStart w:id="2" w:name="_Hlk14364870"/>
      <w:r>
        <w:rPr>
          <w:rFonts w:hint="eastAsia" w:ascii="宋体" w:hAnsi="宋体" w:eastAsia="宋体" w:cs="宋体"/>
          <w:color w:val="000000" w:themeColor="text1"/>
          <w:sz w:val="24"/>
          <w:szCs w:val="24"/>
          <w:lang w:eastAsia="zh-CN"/>
          <w14:textFill>
            <w14:solidFill>
              <w14:schemeClr w14:val="tx1"/>
            </w14:solidFill>
          </w14:textFill>
        </w:rPr>
        <w:t xml:space="preserve">服务器级工作站</w:t>
      </w:r>
      <w:bookmarkEnd w:id="2"/>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软件能够满足当今分析检测实验室需求</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pStyle w:val="1059"/>
        <w:numPr>
          <w:ilvl w:val="0"/>
          <w:numId w:val="6"/>
        </w:numPr>
        <w:ind w:left="0" w:firstLine="480"/>
        <w:spacing w:line="24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售后服务</w:t>
      </w:r>
      <w:r/>
    </w:p>
    <w:p>
      <w:pPr>
        <w:pStyle w:val="1059"/>
        <w:numPr>
          <w:ilvl w:val="0"/>
          <w:numId w:val="0"/>
        </w:numPr>
        <w:spacing w:line="24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auto"/>
          <w:sz w:val="24"/>
          <w:szCs w:val="24"/>
          <w:lang w:eastAsia="zh-CN"/>
        </w:rPr>
        <w:t xml:space="preserve">▲</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3.1供应商提供仪器的现场安装调试并达到投标书指标要求的技术性能，并同时在现场对用户进行操作培训。如果现场安装测试指标未通过，用户有权要求退货并要求赔偿损失。</w:t>
      </w:r>
      <w:r>
        <w:rPr>
          <w:rFonts w:hint="eastAsia" w:ascii="宋体" w:hAnsi="宋体" w:eastAsia="宋体" w:cs="宋体"/>
          <w:color w:val="000000" w:themeColor="text1"/>
          <w:sz w:val="24"/>
          <w:szCs w:val="24"/>
          <w:lang w:eastAsia="zh-CN"/>
          <w14:textFill>
            <w14:solidFill>
              <w14:schemeClr w14:val="tx1"/>
            </w14:solidFill>
          </w14:textFill>
        </w:rPr>
        <w:t xml:space="preserve">三重四极杆串联质谱主机（</w:t>
      </w:r>
      <w:r>
        <w:rPr>
          <w:rFonts w:hint="eastAsia" w:ascii="宋体" w:hAnsi="宋体" w:eastAsia="宋体" w:cs="宋体"/>
          <w:color w:val="000000" w:themeColor="text1"/>
          <w:sz w:val="24"/>
          <w:szCs w:val="24"/>
          <w:lang w:val="en-US" w:eastAsia="zh-CN"/>
          <w14:textFill>
            <w14:solidFill>
              <w14:schemeClr w14:val="tx1"/>
            </w14:solidFill>
          </w14:textFill>
        </w:rPr>
        <w:t xml:space="preserve">含液相</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保修期自验收合格日期起为36个月，</w:t>
      </w:r>
      <w:r>
        <w:rPr>
          <w:rFonts w:hint="eastAsia" w:ascii="宋体" w:hAnsi="宋体" w:eastAsia="宋体" w:cs="宋体"/>
          <w:color w:val="000000" w:themeColor="text1"/>
          <w:sz w:val="24"/>
          <w:szCs w:val="24"/>
          <w:lang w:eastAsia="zh-CN"/>
          <w14:textFill>
            <w14:solidFill>
              <w14:schemeClr w14:val="tx1"/>
            </w14:solidFill>
          </w14:textFill>
        </w:rPr>
        <w:t xml:space="preserve">厂家盖章。</w:t>
      </w:r>
      <w:r/>
    </w:p>
    <w:p>
      <w:pPr>
        <w:ind w:firstLine="480"/>
        <w:keepLines w:val="0"/>
        <w:keepNext w:val="0"/>
        <w:pageBreakBefore w:val="0"/>
        <w:spacing w:after="0" w:line="24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3.2仪器在调试通过后提供保修服务，在保修期内，所有服务及配件全部免费。</w:t>
      </w:r>
      <w:r/>
    </w:p>
    <w:p>
      <w:pPr>
        <w:ind w:firstLine="480"/>
        <w:keepLines w:val="0"/>
        <w:keepNext w:val="0"/>
        <w:pageBreakBefore w:val="0"/>
        <w:spacing w:after="0" w:line="240" w:lineRule="auto"/>
        <w:widowControl/>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3.3</w:t>
      </w:r>
      <w:r>
        <w:rPr>
          <w:rFonts w:hint="eastAsia" w:ascii="宋体" w:hAnsi="宋体" w:eastAsia="宋体" w:cs="宋体"/>
          <w:color w:val="000000" w:themeColor="text1"/>
          <w:sz w:val="24"/>
          <w:szCs w:val="24"/>
          <w:lang w:val="en-US" w:eastAsia="zh-CN"/>
          <w14:textFill>
            <w14:solidFill>
              <w14:schemeClr w14:val="tx1"/>
            </w14:solidFill>
          </w14:textFill>
        </w:rPr>
        <w:t xml:space="preserve">分子涡轮泵使用寿命保证3年以上。</w:t>
      </w:r>
      <w:r/>
    </w:p>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 辅助设备</w:t>
      </w:r>
      <w:r/>
    </w:p>
    <w:p>
      <w:pPr>
        <w:ind w:firstLine="47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4.1</w:t>
      </w:r>
      <w:r>
        <w:rPr>
          <w:rFonts w:hint="eastAsia" w:ascii="宋体" w:hAnsi="宋体" w:eastAsia="宋体" w:cs="宋体"/>
          <w:color w:val="000000" w:themeColor="text1"/>
          <w:sz w:val="24"/>
          <w:szCs w:val="24"/>
          <w:lang w:eastAsia="zh-CN"/>
          <w14:textFill>
            <w14:solidFill>
              <w14:schemeClr w14:val="tx1"/>
            </w14:solidFill>
          </w14:textFill>
        </w:rPr>
        <w:t xml:space="preserve"> UPS电源续航时间≥2小时。</w:t>
      </w:r>
      <w:r/>
    </w:p>
    <w:p>
      <w:pPr>
        <w:ind w:firstLine="47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4.2</w:t>
      </w:r>
      <w:r>
        <w:rPr>
          <w:rFonts w:hint="eastAsia" w:ascii="宋体" w:hAnsi="宋体" w:eastAsia="宋体" w:cs="宋体"/>
          <w:color w:val="000000" w:themeColor="text1"/>
          <w:sz w:val="24"/>
          <w:szCs w:val="24"/>
          <w:lang w:eastAsia="zh-CN"/>
          <w14:textFill>
            <w14:solidFill>
              <w14:schemeClr w14:val="tx1"/>
            </w14:solidFill>
          </w14:textFill>
        </w:rPr>
        <w:t xml:space="preserve">氮气发生器1套；（氮气流量≥</w:t>
      </w:r>
      <w:r>
        <w:rPr>
          <w:rFonts w:hint="eastAsia" w:ascii="宋体" w:hAnsi="宋体" w:eastAsia="宋体" w:cs="宋体"/>
          <w:color w:val="000000" w:themeColor="text1"/>
          <w:sz w:val="24"/>
          <w:szCs w:val="24"/>
          <w:lang w:val="en-US" w:eastAsia="zh-CN"/>
          <w14:textFill>
            <w14:solidFill>
              <w14:schemeClr w14:val="tx1"/>
            </w14:solidFill>
          </w14:textFill>
        </w:rPr>
        <w:t xml:space="preserve">50</w:t>
      </w:r>
      <w:r>
        <w:rPr>
          <w:rFonts w:hint="eastAsia" w:ascii="宋体" w:hAnsi="宋体" w:eastAsia="宋体" w:cs="宋体"/>
          <w:color w:val="000000" w:themeColor="text1"/>
          <w:sz w:val="24"/>
          <w:szCs w:val="24"/>
          <w:lang w:eastAsia="zh-CN"/>
          <w14:textFill>
            <w14:solidFill>
              <w14:schemeClr w14:val="tx1"/>
            </w14:solidFill>
          </w14:textFill>
        </w:rPr>
        <w:t xml:space="preserve">L/min，氮气纯度：≥99.9%）</w:t>
      </w:r>
      <w:r/>
    </w:p>
    <w:p>
      <w:pPr>
        <w:ind w:firstLine="24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4.3</w:t>
      </w:r>
      <w:r>
        <w:rPr>
          <w:rFonts w:hint="eastAsia" w:ascii="宋体" w:hAnsi="宋体" w:eastAsia="宋体" w:cs="宋体"/>
          <w:color w:val="000000" w:themeColor="text1"/>
          <w:sz w:val="24"/>
          <w:szCs w:val="24"/>
          <w:lang w:eastAsia="zh-CN"/>
          <w14:textFill>
            <w14:solidFill>
              <w14:schemeClr w14:val="tx1"/>
            </w14:solidFill>
          </w14:textFill>
        </w:rPr>
        <w:t xml:space="preserve">质保期：提供</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年</w:t>
      </w:r>
      <w:r>
        <w:rPr>
          <w:rFonts w:hint="eastAsia" w:ascii="宋体" w:hAnsi="宋体" w:eastAsia="宋体" w:cs="宋体"/>
          <w:color w:val="000000" w:themeColor="text1"/>
          <w:sz w:val="24"/>
          <w:szCs w:val="24"/>
          <w:lang w:val="en-US" w:eastAsia="zh-CN"/>
          <w14:textFill>
            <w14:solidFill>
              <w14:schemeClr w14:val="tx1"/>
            </w14:solidFill>
          </w14:textFill>
        </w:rPr>
        <w:t xml:space="preserve">以上</w:t>
      </w:r>
      <w:r>
        <w:rPr>
          <w:rFonts w:hint="eastAsia" w:ascii="宋体" w:hAnsi="宋体" w:eastAsia="宋体" w:cs="宋体"/>
          <w:color w:val="000000" w:themeColor="text1"/>
          <w:sz w:val="24"/>
          <w:szCs w:val="24"/>
          <w:lang w:eastAsia="zh-CN"/>
          <w14:textFill>
            <w14:solidFill>
              <w14:schemeClr w14:val="tx1"/>
            </w14:solidFill>
          </w14:textFill>
        </w:rPr>
        <w:t xml:space="preserve">整机质保期，</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lang w:eastAsia="zh-CN"/>
          <w14:textFill>
            <w14:solidFill>
              <w14:schemeClr w14:val="tx1"/>
            </w14:solidFill>
          </w14:textFill>
        </w:rPr>
        <w:t xml:space="preserve">盖章。</w:t>
      </w:r>
      <w:r/>
    </w:p>
    <w:p>
      <w:pPr>
        <w:ind w:firstLine="24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ind w:firstLine="470"/>
        <w:spacing w:after="0"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lang w:eastAsia="zh-CN"/>
          <w14:textFill>
            <w14:solidFill>
              <w14:schemeClr w14:val="tx1"/>
            </w14:solidFill>
          </w14:textFill>
        </w:rPr>
        <w:t xml:space="preserve">）配置要求</w:t>
      </w:r>
      <w:r/>
    </w:p>
    <w:tbl>
      <w:tblPr>
        <w:tblStyle w:val="828"/>
        <w:tblW w:w="8450" w:type="dxa"/>
        <w:tblInd w:w="-10" w:type="dxa"/>
        <w:tblLayout w:type="fixed"/>
        <w:tblCellMar>
          <w:left w:w="0" w:type="dxa"/>
          <w:top w:w="0" w:type="dxa"/>
          <w:right w:w="0" w:type="dxa"/>
          <w:bottom w:w="0" w:type="dxa"/>
        </w:tblCellMar>
        <w:tblLook w:val="04A0" w:firstRow="1" w:lastRow="0" w:firstColumn="1" w:lastColumn="0" w:noHBand="0" w:noVBand="1"/>
      </w:tblPr>
      <w:tblGrid>
        <w:gridCol w:w="992"/>
        <w:gridCol w:w="5979"/>
        <w:gridCol w:w="1479"/>
      </w:tblGrid>
      <w:tr>
        <w:trPr>
          <w:trHeight w:val="30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序 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center"/>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货 物 需 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数 量</w:t>
            </w:r>
            <w:r/>
          </w:p>
        </w:tc>
      </w:tr>
      <w:tr>
        <w:trPr>
          <w:trHeight w:val="3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center"/>
            <w:textDirection w:val="lrTb"/>
            <w:noWrap w:val="false"/>
          </w:tcPr>
          <w:p>
            <w:pPr>
              <w:jc w:val="both"/>
              <w:spacing w:after="0"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三重四极杆串联质谱</w:t>
            </w:r>
            <w:r>
              <w:rPr>
                <w:rFonts w:hint="eastAsia" w:ascii="宋体" w:hAnsi="宋体" w:eastAsia="宋体" w:cs="宋体"/>
                <w:color w:val="000000" w:themeColor="text1"/>
                <w:sz w:val="24"/>
                <w:szCs w:val="24"/>
                <w:lang w:val="en-US" w:eastAsia="zh-CN"/>
                <w14:textFill>
                  <w14:solidFill>
                    <w14:schemeClr w14:val="tx1"/>
                  </w14:solidFill>
                </w14:textFill>
              </w:rPr>
              <w:t xml:space="preserve">(含一套超高压</w:t>
            </w:r>
            <w:r>
              <w:rPr>
                <w:rFonts w:hint="eastAsia" w:ascii="宋体" w:hAnsi="宋体" w:eastAsia="宋体" w:cs="宋体"/>
                <w:color w:val="000000" w:themeColor="text1"/>
                <w:sz w:val="24"/>
                <w:szCs w:val="24"/>
                <w:lang w:eastAsia="zh-CN"/>
                <w14:textFill>
                  <w14:solidFill>
                    <w14:schemeClr w14:val="tx1"/>
                  </w14:solidFill>
                </w14:textFill>
              </w:rPr>
              <w:t xml:space="preserve">液相色谱仪）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1套</w:t>
            </w:r>
            <w:r/>
          </w:p>
        </w:tc>
      </w:tr>
      <w:tr>
        <w:trPr>
          <w:trHeight w:val="3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center"/>
            <w:textDirection w:val="lrTb"/>
            <w:noWrap w:val="false"/>
          </w:tcPr>
          <w:p>
            <w:pPr>
              <w:ind w:firstLine="470"/>
              <w:jc w:val="both"/>
              <w:spacing w:after="0"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食品检测</w:t>
            </w:r>
            <w:r>
              <w:rPr>
                <w:rFonts w:hint="eastAsia" w:ascii="宋体" w:hAnsi="宋体" w:eastAsia="宋体" w:cs="宋体"/>
                <w:color w:val="000000" w:themeColor="text1"/>
                <w:sz w:val="24"/>
                <w:szCs w:val="24"/>
                <w:lang w:eastAsia="zh-CN"/>
                <w14:textFill>
                  <w14:solidFill>
                    <w14:schemeClr w14:val="tx1"/>
                  </w14:solidFill>
                </w14:textFill>
              </w:rPr>
              <w:t xml:space="preserve">液相色谱仪</w:t>
            </w:r>
            <w:r>
              <w:rPr>
                <w:rFonts w:hint="eastAsia" w:ascii="宋体" w:hAnsi="宋体" w:eastAsia="宋体" w:cs="宋体"/>
                <w:color w:val="000000" w:themeColor="text1"/>
                <w:sz w:val="24"/>
                <w:szCs w:val="24"/>
                <w:lang w:val="en-US" w:eastAsia="zh-CN"/>
                <w14:textFill>
                  <w14:solidFill>
                    <w14:schemeClr w14:val="tx1"/>
                  </w14:solidFill>
                </w14:textFill>
              </w:rPr>
              <w:t xml:space="preserve">(一套）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1套</w:t>
            </w:r>
            <w:r/>
          </w:p>
        </w:tc>
      </w:tr>
      <w:tr>
        <w:trPr>
          <w:trHeight w:val="28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ascii="宋体" w:hAnsi="宋体" w:eastAsia="宋体" w:cs="宋体"/>
                <w:color w:val="000000" w:themeColor="text1"/>
                <w:sz w:val="24"/>
                <w:szCs w:val="24"/>
                <w:lang w:eastAsia="zh-CN"/>
                <w14:textFill>
                  <w14:solidFill>
                    <w14:schemeClr w14:val="tx1"/>
                  </w14:solidFill>
                </w14:textFill>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高效液相色谱仪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套</w:t>
            </w:r>
            <w:r/>
          </w:p>
        </w:tc>
      </w:tr>
      <w:tr>
        <w:trPr>
          <w:trHeight w:val="30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ascii="宋体" w:hAnsi="宋体" w:eastAsia="宋体" w:cs="宋体"/>
                <w:color w:val="000000" w:themeColor="text1"/>
                <w:sz w:val="24"/>
                <w:szCs w:val="24"/>
                <w:lang w:eastAsia="zh-CN"/>
                <w14:textFill>
                  <w14:solidFill>
                    <w14:schemeClr w14:val="tx1"/>
                  </w14:solidFill>
                </w14:textFill>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自动进样器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套</w:t>
            </w:r>
            <w:r/>
          </w:p>
        </w:tc>
      </w:tr>
      <w:tr>
        <w:trPr>
          <w:trHeight w:val="30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ascii="宋体" w:hAnsi="宋体" w:eastAsia="宋体" w:cs="宋体"/>
                <w:color w:val="000000" w:themeColor="text1"/>
                <w:sz w:val="24"/>
                <w:szCs w:val="24"/>
                <w:lang w:eastAsia="zh-CN"/>
                <w14:textFill>
                  <w14:solidFill>
                    <w14:schemeClr w14:val="tx1"/>
                  </w14:solidFill>
                </w14:textFill>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柱温箱</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套</w:t>
            </w:r>
            <w:r/>
          </w:p>
        </w:tc>
      </w:tr>
      <w:tr>
        <w:trPr>
          <w:trHeight w:val="30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2</w:t>
            </w:r>
            <w:r>
              <w:rPr>
                <w:rFonts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textDirection w:val="lrTb"/>
            <w:noWrap w:val="false"/>
          </w:tcPr>
          <w:p>
            <w:pPr>
              <w:ind w:firstLine="470"/>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荧光检测器（</w:t>
            </w:r>
            <w:r>
              <w:rPr>
                <w:rFonts w:hint="eastAsia" w:ascii="宋体" w:hAnsi="宋体" w:eastAsia="宋体" w:cs="宋体"/>
                <w:color w:val="auto"/>
                <w:sz w:val="24"/>
                <w:szCs w:val="24"/>
                <w:lang w:val="en-US" w:eastAsia="zh-CN"/>
              </w:rPr>
              <w:t xml:space="preserve">能满足食品级正常检测</w:t>
            </w:r>
            <w:r>
              <w:rPr>
                <w:rFonts w:hint="eastAsia" w:ascii="宋体" w:hAnsi="宋体" w:eastAsia="宋体" w:cs="宋体"/>
                <w:color w:val="auto"/>
                <w:sz w:val="24"/>
                <w:szCs w:val="24"/>
                <w:lang w:eastAsia="zh-CN"/>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1套</w:t>
            </w:r>
            <w:r/>
          </w:p>
        </w:tc>
      </w:tr>
      <w:tr>
        <w:trPr>
          <w:trHeight w:val="30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textDirection w:val="lrTb"/>
            <w:noWrap w:val="false"/>
          </w:tcPr>
          <w:p>
            <w:pPr>
              <w:ind w:firstLine="470"/>
              <w:spacing w:after="0"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DAD</w:t>
            </w:r>
            <w:r>
              <w:rPr>
                <w:rFonts w:hint="eastAsia" w:ascii="宋体" w:hAnsi="宋体" w:eastAsia="宋体" w:cs="宋体"/>
                <w:color w:val="auto"/>
                <w:sz w:val="24"/>
                <w:szCs w:val="24"/>
                <w:lang w:eastAsia="zh-CN"/>
              </w:rPr>
              <w:t xml:space="preserve">检测器（</w:t>
            </w:r>
            <w:r>
              <w:rPr>
                <w:rFonts w:hint="eastAsia" w:ascii="宋体" w:hAnsi="宋体" w:eastAsia="宋体" w:cs="宋体"/>
                <w:color w:val="auto"/>
                <w:sz w:val="24"/>
                <w:szCs w:val="24"/>
                <w:lang w:val="en-US" w:eastAsia="zh-CN"/>
              </w:rPr>
              <w:t xml:space="preserve">能满足食品级正常检测</w:t>
            </w:r>
            <w:r>
              <w:rPr>
                <w:rFonts w:hint="eastAsia" w:ascii="宋体" w:hAnsi="宋体" w:eastAsia="宋体" w:cs="宋体"/>
                <w:color w:val="auto"/>
                <w:sz w:val="24"/>
                <w:szCs w:val="24"/>
                <w:lang w:eastAsia="zh-CN"/>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1套</w:t>
            </w:r>
            <w:r/>
          </w:p>
        </w:tc>
      </w:tr>
      <w:tr>
        <w:trPr>
          <w:trHeight w:val="30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氮气发生器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1套</w:t>
            </w:r>
            <w:r/>
          </w:p>
        </w:tc>
      </w:tr>
      <w:tr>
        <w:trPr>
          <w:trHeight w:val="44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center"/>
            <w:textDirection w:val="lrTb"/>
            <w:noWrap w:val="false"/>
          </w:tcPr>
          <w:p>
            <w:pPr>
              <w:ind w:firstLine="470"/>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配套启动备件及安装维护工具等</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1套</w:t>
            </w:r>
            <w:r/>
          </w:p>
        </w:tc>
      </w:tr>
      <w:tr>
        <w:trPr>
          <w:trHeight w:val="30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textDirection w:val="lrTb"/>
            <w:noWrap w:val="false"/>
          </w:tcPr>
          <w:p>
            <w:pP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品牌不间断稳压电源（</w:t>
            </w:r>
            <w:r>
              <w:rPr>
                <w:rFonts w:ascii="宋体" w:hAnsi="宋体" w:eastAsia="宋体" w:cs="宋体"/>
                <w:color w:val="000000" w:themeColor="text1"/>
                <w:sz w:val="24"/>
                <w:szCs w:val="24"/>
                <w:lang w:eastAsia="zh-CN"/>
                <w14:textFill>
                  <w14:solidFill>
                    <w14:schemeClr w14:val="tx1"/>
                  </w14:solidFill>
                </w14:textFill>
              </w:rPr>
              <w:t xml:space="preserve">10</w:t>
            </w:r>
            <w:r>
              <w:rPr>
                <w:rFonts w:hint="eastAsia" w:ascii="宋体" w:hAnsi="宋体" w:eastAsia="宋体" w:cs="宋体"/>
                <w:color w:val="000000" w:themeColor="text1"/>
                <w:sz w:val="24"/>
                <w:szCs w:val="24"/>
                <w:lang w:eastAsia="zh-CN"/>
                <w14:textFill>
                  <w14:solidFill>
                    <w14:schemeClr w14:val="tx1"/>
                  </w14:solidFill>
                </w14:textFill>
              </w:rPr>
              <w:t xml:space="preserve">KVA，2hr），UPS电源续航时间≥2小时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1套</w:t>
            </w:r>
            <w:r/>
          </w:p>
        </w:tc>
      </w:tr>
      <w:tr>
        <w:trPr>
          <w:trHeight w:val="9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质谱操作系统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1套</w:t>
            </w:r>
            <w:r/>
          </w:p>
        </w:tc>
      </w:tr>
      <w:tr>
        <w:trPr>
          <w:trHeight w:val="541"/>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center"/>
            <w:textDirection w:val="lrTb"/>
            <w:noWrap w:val="false"/>
          </w:tcPr>
          <w:p>
            <w:pPr>
              <w:ind w:firstLine="470"/>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智能数据存储管理系统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1套</w:t>
            </w:r>
            <w:r/>
          </w:p>
        </w:tc>
      </w:tr>
      <w:tr>
        <w:trPr>
          <w:trHeight w:val="30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独立的ESI和APCI离子源</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24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各1个</w:t>
            </w:r>
            <w:r/>
          </w:p>
        </w:tc>
      </w:tr>
      <w:tr>
        <w:trPr>
          <w:trHeight w:val="31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2ml进样瓶（带瓶盖及垫片）</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24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0</w:t>
            </w:r>
            <w:r>
              <w:rPr>
                <w:rFonts w:ascii="宋体" w:hAnsi="宋体" w:eastAsia="宋体" w:cs="宋体"/>
                <w:color w:val="000000" w:themeColor="text1"/>
                <w:sz w:val="24"/>
                <w:szCs w:val="24"/>
                <w:lang w:eastAsia="zh-CN"/>
                <w14:textFill>
                  <w14:solidFill>
                    <w14:schemeClr w14:val="tx1"/>
                  </w14:solidFill>
                </w14:textFill>
              </w:rPr>
              <w:t xml:space="preserve">00</w:t>
            </w:r>
            <w:r>
              <w:rPr>
                <w:rFonts w:hint="eastAsia" w:ascii="宋体" w:hAnsi="宋体" w:eastAsia="宋体" w:cs="宋体"/>
                <w:color w:val="000000" w:themeColor="text1"/>
                <w:sz w:val="24"/>
                <w:szCs w:val="24"/>
                <w:lang w:eastAsia="zh-CN"/>
                <w14:textFill>
                  <w14:solidFill>
                    <w14:schemeClr w14:val="tx1"/>
                  </w14:solidFill>
                </w14:textFill>
              </w:rPr>
              <w:t xml:space="preserve">个</w:t>
            </w:r>
            <w:r/>
          </w:p>
        </w:tc>
      </w:tr>
      <w:tr>
        <w:trPr>
          <w:trHeight w:val="31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ascii="宋体" w:hAnsi="宋体" w:eastAsia="宋体" w:cs="宋体"/>
                <w:color w:val="000000" w:themeColor="text1"/>
                <w:sz w:val="24"/>
                <w:szCs w:val="24"/>
                <w:lang w:eastAsia="zh-CN"/>
                <w14:textFill>
                  <w14:solidFill>
                    <w14:schemeClr w14:val="tx1"/>
                  </w14:solidFill>
                </w14:textFill>
              </w:rPr>
              <w:t xml:space="preserve">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前级机械泵</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1套</w:t>
            </w:r>
            <w:r/>
          </w:p>
        </w:tc>
      </w:tr>
      <w:tr>
        <w:trPr>
          <w:trHeight w:val="31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ascii="宋体" w:hAnsi="宋体" w:eastAsia="宋体" w:cs="宋体"/>
                <w:color w:val="000000" w:themeColor="text1"/>
                <w:sz w:val="24"/>
                <w:szCs w:val="24"/>
                <w:lang w:eastAsia="zh-CN"/>
                <w14:textFill>
                  <w14:solidFill>
                    <w14:schemeClr w14:val="tx1"/>
                  </w14:solidFill>
                </w14:textFill>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工作站软件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1套</w:t>
            </w:r>
            <w:r/>
          </w:p>
        </w:tc>
      </w:tr>
      <w:tr>
        <w:trPr>
          <w:trHeight w:val="31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ascii="宋体" w:hAnsi="宋体" w:eastAsia="宋体" w:cs="宋体"/>
                <w:color w:val="000000" w:themeColor="text1"/>
                <w:sz w:val="24"/>
                <w:szCs w:val="24"/>
                <w:lang w:eastAsia="zh-CN"/>
                <w14:textFill>
                  <w14:solidFill>
                    <w14:schemeClr w14:val="tx1"/>
                  </w14:solidFill>
                </w14:textFill>
              </w:rPr>
              <w:t xml:space="preserve">2</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top"/>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eastAsia="zh-CN"/>
                <w14:textFill>
                  <w14:solidFill>
                    <w14:schemeClr w14:val="tx1"/>
                  </w14:solidFill>
                </w14:textFill>
              </w:rPr>
              <w:t xml:space="preserve">溶剂瓶</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eastAsia="zh-CN"/>
                <w14:textFill>
                  <w14:solidFill>
                    <w14:schemeClr w14:val="tx1"/>
                  </w14:solidFill>
                </w14:textFill>
              </w:rPr>
              <w:t xml:space="preserve">5个</w:t>
            </w:r>
            <w:r/>
          </w:p>
        </w:tc>
      </w:tr>
      <w:tr>
        <w:trPr>
          <w:trHeight w:val="31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ascii="宋体" w:hAnsi="宋体" w:eastAsia="宋体" w:cs="宋体"/>
                <w:color w:val="000000" w:themeColor="text1"/>
                <w:sz w:val="24"/>
                <w:szCs w:val="24"/>
                <w:lang w:eastAsia="zh-CN"/>
                <w14:textFill>
                  <w14:solidFill>
                    <w14:schemeClr w14:val="tx1"/>
                  </w14:solidFill>
                </w14:textFill>
              </w:rPr>
              <w:t xml:space="preserve">3</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center"/>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eastAsia="zh-CN"/>
                <w14:textFill>
                  <w14:solidFill>
                    <w14:schemeClr w14:val="tx1"/>
                  </w14:solidFill>
                </w14:textFill>
              </w:rPr>
              <w:t xml:space="preserve">在线过滤器</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个</w:t>
            </w:r>
            <w:r/>
          </w:p>
        </w:tc>
      </w:tr>
      <w:tr>
        <w:trPr>
          <w:trHeight w:val="31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ascii="宋体" w:hAnsi="宋体" w:eastAsia="宋体" w:cs="宋体"/>
                <w:color w:val="000000" w:themeColor="text1"/>
                <w:sz w:val="24"/>
                <w:szCs w:val="24"/>
                <w:lang w:eastAsia="zh-CN"/>
                <w14:textFill>
                  <w14:solidFill>
                    <w14:schemeClr w14:val="tx1"/>
                  </w14:solidFill>
                </w14:textFill>
              </w:rPr>
              <w:t xml:space="preserve">4</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top"/>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eastAsia="zh-CN"/>
                <w14:textFill>
                  <w14:solidFill>
                    <w14:schemeClr w14:val="tx1"/>
                  </w14:solidFill>
                </w14:textFill>
              </w:rPr>
              <w:t xml:space="preserve">在线过滤器滤芯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0个</w:t>
            </w:r>
            <w:r/>
          </w:p>
        </w:tc>
      </w:tr>
      <w:tr>
        <w:trPr>
          <w:trHeight w:val="31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15</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top"/>
            <w:textDirection w:val="lrTb"/>
            <w:noWrap w:val="false"/>
          </w:tcPr>
          <w:p>
            <w:pPr>
              <w:ind w:firstLine="47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PEEK管</w:t>
            </w:r>
            <w:r>
              <w:rPr>
                <w:rFonts w:hint="eastAsia" w:ascii="宋体" w:hAnsi="宋体" w:eastAsia="宋体" w:cs="宋体"/>
                <w:color w:val="000000" w:themeColor="text1"/>
                <w:sz w:val="24"/>
                <w:szCs w:val="24"/>
                <w:lang w:eastAsia="zh-CN"/>
                <w14:textFill>
                  <w14:solidFill>
                    <w14:schemeClr w14:val="tx1"/>
                  </w14:solidFill>
                </w14:textFill>
              </w:rPr>
              <w:tab/>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waters无需提供）</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50米</w:t>
            </w:r>
            <w:r/>
          </w:p>
        </w:tc>
      </w:tr>
      <w:tr>
        <w:trPr>
          <w:trHeight w:val="31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ascii="宋体" w:hAnsi="宋体" w:eastAsia="宋体" w:cs="宋体"/>
                <w:color w:val="000000" w:themeColor="text1"/>
                <w:sz w:val="24"/>
                <w:szCs w:val="24"/>
                <w:lang w:eastAsia="zh-CN"/>
                <w14:textFill>
                  <w14:solidFill>
                    <w14:schemeClr w14:val="tx1"/>
                  </w14:solidFill>
                </w14:textFill>
              </w:rPr>
              <w:t xml:space="preserve">6</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top"/>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eastAsia="zh-CN"/>
                <w14:textFill>
                  <w14:solidFill>
                    <w14:schemeClr w14:val="tx1"/>
                  </w14:solidFill>
                </w14:textFill>
              </w:rPr>
              <w:t xml:space="preserve">机械泵油（规格1L/瓶）</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ascii="宋体" w:hAnsi="宋体" w:eastAsia="宋体" w:cs="宋体"/>
                <w:color w:val="000000" w:themeColor="text1"/>
                <w:sz w:val="24"/>
                <w:szCs w:val="24"/>
                <w:lang w:eastAsia="zh-CN"/>
                <w14:textFill>
                  <w14:solidFill>
                    <w14:schemeClr w14:val="tx1"/>
                  </w14:solidFill>
                </w14:textFill>
              </w:rPr>
              <w:t xml:space="preserve">5 </w:t>
            </w:r>
            <w:r>
              <w:rPr>
                <w:rFonts w:hint="eastAsia" w:ascii="宋体" w:hAnsi="宋体" w:eastAsia="宋体" w:cs="宋体"/>
                <w:color w:val="000000" w:themeColor="text1"/>
                <w:sz w:val="24"/>
                <w:szCs w:val="24"/>
                <w:lang w:eastAsia="zh-CN"/>
                <w14:textFill>
                  <w14:solidFill>
                    <w14:schemeClr w14:val="tx1"/>
                  </w14:solidFill>
                </w14:textFill>
              </w:rPr>
              <w:t xml:space="preserve">L</w:t>
            </w:r>
            <w:r/>
          </w:p>
        </w:tc>
      </w:tr>
      <w:tr>
        <w:trPr>
          <w:trHeight w:val="353"/>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ascii="宋体" w:hAnsi="宋体" w:eastAsia="宋体" w:cs="宋体"/>
                <w:color w:val="000000" w:themeColor="text1"/>
                <w:sz w:val="24"/>
                <w:szCs w:val="24"/>
                <w:lang w:eastAsia="zh-CN"/>
                <w14:textFill>
                  <w14:solidFill>
                    <w14:schemeClr w14:val="tx1"/>
                  </w14:solidFill>
                </w14:textFill>
              </w:rPr>
              <w:t xml:space="preserve">7</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top"/>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eastAsia="zh-CN"/>
                <w14:textFill>
                  <w14:solidFill>
                    <w14:schemeClr w14:val="tx1"/>
                  </w14:solidFill>
                </w14:textFill>
              </w:rPr>
              <w:t xml:space="preserve">安装标准测试溶液包</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eastAsia="zh-CN"/>
                <w14:textFill>
                  <w14:solidFill>
                    <w14:schemeClr w14:val="tx1"/>
                  </w14:solidFill>
                </w14:textFill>
              </w:rPr>
              <w:t xml:space="preserve">1套</w:t>
            </w:r>
            <w:r/>
          </w:p>
        </w:tc>
      </w:tr>
      <w:tr>
        <w:trPr>
          <w:trHeight w:val="353"/>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18</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top"/>
            <w:textDirection w:val="lrTb"/>
            <w:noWrap w:val="false"/>
          </w:tcPr>
          <w:p>
            <w:pPr>
              <w:ind w:firstLine="47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仪器的“0”型圈（</w:t>
            </w:r>
            <w:r>
              <w:rPr>
                <w:rFonts w:hint="eastAsia" w:ascii="宋体" w:hAnsi="宋体" w:eastAsia="宋体" w:cs="宋体"/>
                <w:color w:val="000000" w:themeColor="text1"/>
                <w:sz w:val="24"/>
                <w:szCs w:val="24"/>
                <w:lang w:val="en-US" w:eastAsia="zh-CN"/>
                <w14:textFill>
                  <w14:solidFill>
                    <w14:schemeClr w14:val="tx1"/>
                  </w14:solidFill>
                </w14:textFill>
              </w:rPr>
              <w:t xml:space="preserve">waters无需提供）</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各5个</w:t>
            </w:r>
            <w:r/>
          </w:p>
        </w:tc>
      </w:tr>
      <w:tr>
        <w:trPr>
          <w:trHeight w:val="31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19</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top"/>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eastAsia="zh-CN"/>
                <w14:textFill>
                  <w14:solidFill>
                    <w14:schemeClr w14:val="tx1"/>
                  </w14:solidFill>
                </w14:textFill>
              </w:rPr>
              <w:t xml:space="preserve">ESI喷雾针</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根</w:t>
            </w:r>
            <w:r/>
          </w:p>
        </w:tc>
      </w:tr>
      <w:tr>
        <w:trPr>
          <w:trHeight w:val="31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ascii="宋体" w:hAnsi="宋体" w:eastAsia="宋体" w:cs="宋体"/>
                <w:color w:val="000000" w:themeColor="text1"/>
                <w:sz w:val="24"/>
                <w:szCs w:val="24"/>
                <w:lang w:eastAsia="zh-CN"/>
                <w14:textFill>
                  <w14:solidFill>
                    <w14:schemeClr w14:val="tx1"/>
                  </w14:solidFill>
                </w14:textFill>
              </w:rPr>
              <w:t xml:space="preserve">0</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top"/>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ascii="宋体" w:hAnsi="宋体" w:eastAsia="宋体" w:cs="宋体"/>
                <w:color w:val="000000" w:themeColor="text1"/>
                <w:sz w:val="24"/>
                <w:szCs w:val="24"/>
                <w:lang w:eastAsia="zh-CN"/>
                <w14:textFill>
                  <w14:solidFill>
                    <w14:schemeClr w14:val="tx1"/>
                  </w14:solidFill>
                </w14:textFill>
              </w:rPr>
              <w:t xml:space="preserve">APCI</w:t>
            </w:r>
            <w:r>
              <w:rPr>
                <w:rFonts w:hint="eastAsia" w:ascii="宋体" w:hAnsi="宋体" w:eastAsia="宋体" w:cs="宋体"/>
                <w:color w:val="000000" w:themeColor="text1"/>
                <w:sz w:val="24"/>
                <w:szCs w:val="24"/>
                <w:lang w:eastAsia="zh-CN"/>
                <w14:textFill>
                  <w14:solidFill>
                    <w14:schemeClr w14:val="tx1"/>
                  </w14:solidFill>
                </w14:textFill>
              </w:rPr>
              <w:t xml:space="preserve">喷雾针</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 xml:space="preserve">根</w:t>
            </w:r>
            <w:r/>
          </w:p>
        </w:tc>
      </w:tr>
      <w:tr>
        <w:trPr>
          <w:trHeight w:val="31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ascii="宋体" w:hAnsi="宋体" w:eastAsia="宋体" w:cs="宋体"/>
                <w:color w:val="000000" w:themeColor="text1"/>
                <w:sz w:val="24"/>
                <w:szCs w:val="24"/>
                <w:lang w:eastAsia="zh-CN"/>
                <w14:textFill>
                  <w14:solidFill>
                    <w14:schemeClr w14:val="tx1"/>
                  </w14:solidFill>
                </w14:textFill>
              </w:rPr>
              <w:t xml:space="preserve">1</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top"/>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eastAsia="zh-CN"/>
                <w14:textFill>
                  <w14:solidFill>
                    <w14:schemeClr w14:val="tx1"/>
                  </w14:solidFill>
                </w14:textFill>
              </w:rPr>
              <w:t xml:space="preserve">UHPLC分析型色谱柱</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7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个 </w:t>
            </w:r>
            <w:r/>
          </w:p>
        </w:tc>
      </w:tr>
      <w:tr>
        <w:trPr>
          <w:trHeight w:val="31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22</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top"/>
            <w:textDirection w:val="lrTb"/>
            <w:noWrap w:val="false"/>
          </w:tcPr>
          <w:p>
            <w:pPr>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eastAsia="zh-CN"/>
                <w14:textFill>
                  <w14:solidFill>
                    <w14:schemeClr w14:val="tx1"/>
                  </w14:solidFill>
                </w14:textFill>
              </w:rPr>
              <w:t xml:space="preserve">其他实用耗材和拆装工具（满足10年的正常需求）</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ind w:firstLine="480"/>
              <w:spacing w:after="0" w:line="240" w:lineRule="auto"/>
              <w:rPr>
                <w:rFonts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eastAsia="zh-CN"/>
                <w14:textFill>
                  <w14:solidFill>
                    <w14:schemeClr w14:val="tx1"/>
                  </w14:solidFill>
                </w14:textFill>
              </w:rPr>
              <w:t xml:space="preserve">1套</w:t>
            </w:r>
            <w:r/>
          </w:p>
        </w:tc>
      </w:tr>
      <w:tr>
        <w:trPr>
          <w:trHeight w:val="365"/>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92" w:type="dxa"/>
            <w:vAlign w:val="center"/>
            <w:textDirection w:val="lrTb"/>
            <w:noWrap w:val="false"/>
          </w:tcPr>
          <w:p>
            <w:pPr>
              <w:jc w:val="center"/>
              <w:spacing w:after="0"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23</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979" w:type="dxa"/>
            <w:vAlign w:val="top"/>
            <w:textDirection w:val="lrTb"/>
            <w:noWrap w:val="false"/>
          </w:tcPr>
          <w:p>
            <w:pPr>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如采用毛细管接口技术需额外毛细管备用</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79" w:type="dxa"/>
            <w:vAlign w:val="center"/>
            <w:textDirection w:val="lrTb"/>
            <w:noWrap w:val="false"/>
          </w:tcPr>
          <w:p>
            <w:pPr>
              <w:spacing w:after="0"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提供2根</w:t>
            </w:r>
            <w:r/>
          </w:p>
        </w:tc>
      </w:tr>
    </w:tbl>
    <w:p>
      <w:pPr>
        <w:ind w:firstLine="470"/>
        <w:spacing w:after="0" w:line="240" w:lineRule="auto"/>
        <w:rPr>
          <w:rFonts w:ascii="宋体" w:hAnsi="宋体" w:eastAsia="宋体" w:cs="宋体"/>
          <w:bCs/>
          <w:sz w:val="24"/>
          <w:szCs w:val="24"/>
          <w:lang w:eastAsia="zh-CN"/>
        </w:rPr>
      </w:pPr>
      <w:r>
        <w:rPr>
          <w:rFonts w:hint="eastAsia" w:ascii="宋体" w:hAnsi="宋体" w:eastAsia="宋体" w:cs="宋体"/>
          <w:color w:val="000000" w:themeColor="text1"/>
          <w:sz w:val="24"/>
          <w:szCs w:val="24"/>
          <w:lang w:eastAsia="zh-CN"/>
          <w14:textFill>
            <w14:solidFill>
              <w14:schemeClr w14:val="tx1"/>
            </w14:solidFill>
          </w14:textFill>
        </w:rPr>
        <w:tab/>
      </w:r>
      <w:r/>
    </w:p>
    <w:p>
      <w:pPr>
        <w:spacing w:line="240" w:lineRule="auto"/>
        <w:rPr>
          <w:rFonts w:ascii="宋体" w:hAnsi="宋体" w:eastAsia="宋体" w:cs="宋体"/>
          <w:b/>
          <w:color w:val="ff0000"/>
          <w:sz w:val="24"/>
          <w:szCs w:val="24"/>
          <w:lang w:eastAsia="zh-CN"/>
        </w:rPr>
      </w:pPr>
      <w:r>
        <w:rPr>
          <w:rFonts w:hint="eastAsia" w:ascii="宋体" w:hAnsi="宋体" w:eastAsia="宋体" w:cs="宋体"/>
          <w:b/>
          <w:color w:val="ff0000"/>
          <w:sz w:val="24"/>
          <w:szCs w:val="24"/>
          <w:lang w:eastAsia="zh-CN"/>
        </w:rPr>
        <w:t xml:space="preserve">采购包</w:t>
      </w:r>
      <w:r>
        <w:rPr>
          <w:rFonts w:hint="eastAsia" w:ascii="宋体" w:hAnsi="宋体" w:eastAsia="宋体" w:cs="宋体"/>
          <w:b/>
          <w:color w:val="ff0000"/>
          <w:sz w:val="24"/>
          <w:szCs w:val="24"/>
          <w:lang w:val="en-US" w:eastAsia="zh-CN"/>
        </w:rPr>
        <w:t xml:space="preserve">2</w:t>
      </w:r>
      <w:r>
        <w:rPr>
          <w:rFonts w:hint="eastAsia" w:ascii="宋体" w:hAnsi="宋体" w:eastAsia="宋体" w:cs="宋体"/>
          <w:b/>
          <w:color w:val="ff0000"/>
          <w:sz w:val="24"/>
          <w:szCs w:val="24"/>
          <w:lang w:eastAsia="zh-CN"/>
        </w:rPr>
        <w:t xml:space="preserve">：气相色谱串联质谱仪一台，预算金额为110万元</w:t>
      </w:r>
      <w:r/>
    </w:p>
    <w:p>
      <w:pPr>
        <w:jc w:val="both"/>
        <w:spacing w:after="0" w:line="24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w:t>
      </w:r>
      <w:r>
        <w:rPr>
          <w:rFonts w:hint="default" w:ascii="宋体" w:hAnsi="宋体" w:eastAsia="宋体" w:cs="宋体"/>
          <w:b/>
          <w:bCs/>
          <w:sz w:val="24"/>
          <w:szCs w:val="24"/>
          <w:lang w:val="en-US" w:eastAsia="zh-CN"/>
        </w:rPr>
        <w:t xml:space="preserve">工作条件</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1.1电源:220V，50Hz</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1.2温度:操作环境20˚C -35˚C</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1.3湿度:操作状态25-50%，非操作状态20-80% </w:t>
      </w:r>
      <w:r/>
    </w:p>
    <w:p>
      <w:pPr>
        <w:jc w:val="both"/>
        <w:spacing w:after="0" w:line="24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w:t>
      </w:r>
      <w:r>
        <w:rPr>
          <w:rFonts w:hint="default" w:ascii="宋体" w:hAnsi="宋体" w:eastAsia="宋体" w:cs="宋体"/>
          <w:b/>
          <w:bCs/>
          <w:sz w:val="24"/>
          <w:szCs w:val="24"/>
          <w:lang w:val="en-US" w:eastAsia="zh-CN"/>
        </w:rPr>
        <w:t xml:space="preserve">气相色谱仪</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2.1柱温箱</w:t>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2.1.1温度范围：室温</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default" w:ascii="宋体" w:hAnsi="宋体" w:eastAsia="宋体" w:cs="宋体"/>
          <w:color w:val="000000" w:themeColor="text1"/>
          <w:sz w:val="24"/>
          <w:szCs w:val="24"/>
          <w:lang w:val="en-US" w:eastAsia="zh-CN"/>
          <w14:textFill>
            <w14:solidFill>
              <w14:schemeClr w14:val="tx1"/>
            </w14:solidFill>
          </w14:textFill>
        </w:rPr>
        <w:t xml:space="preserve">℃-450℃</w:t>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▲2.1.2升温速率：≥80℃/min</w:t>
      </w:r>
      <w:r>
        <w:rPr>
          <w:rFonts w:hint="eastAsia" w:asciiTheme="majorEastAsia" w:hAnsiTheme="majorEastAsia" w:eastAsiaTheme="majorEastAsia" w:cstheme="majorEastAsia"/>
          <w:b w:val="0"/>
          <w:bCs w:val="0"/>
          <w:color w:val="auto"/>
          <w:sz w:val="24"/>
          <w:szCs w:val="24"/>
          <w:highlight w:val="none"/>
          <w:lang w:val="en-US" w:eastAsia="zh-CN"/>
        </w:rPr>
        <w:t xml:space="preserve">（</w:t>
      </w:r>
      <w:r>
        <w:rPr>
          <w:rFonts w:hint="eastAsia" w:asciiTheme="majorEastAsia" w:hAnsiTheme="majorEastAsia" w:eastAsiaTheme="majorEastAsia" w:cstheme="majorEastAsia"/>
          <w:b w:val="0"/>
          <w:bCs w:val="0"/>
          <w:color w:val="auto"/>
          <w:sz w:val="24"/>
          <w:szCs w:val="24"/>
          <w:lang w:eastAsia="zh-CN"/>
        </w:rPr>
        <w:t xml:space="preserve">提供操证明材料，官网截图证明材料。</w:t>
      </w:r>
      <w:r>
        <w:rPr>
          <w:rFonts w:hint="eastAsia" w:asciiTheme="majorEastAsia" w:hAnsiTheme="majorEastAsia" w:eastAsiaTheme="majorEastAsia" w:cstheme="majorEastAsia"/>
          <w:b w:val="0"/>
          <w:bCs w:val="0"/>
          <w:color w:val="auto"/>
          <w:sz w:val="24"/>
          <w:szCs w:val="24"/>
          <w:highlight w:val="none"/>
          <w:lang w:val="en-US" w:eastAsia="zh-CN"/>
        </w:rPr>
        <w:t xml:space="preserve">）</w:t>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▲2.1.3降温速率：从450℃下降到50℃≤240秒，室温20°C。（提供操证明材料，官网截图证明材料。）</w:t>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2.1.4程序升温：不少于18阶19段程序升温</w:t>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sz w:val="24"/>
          <w:szCs w:val="24"/>
          <w:lang w:val="en-US" w:eastAsia="zh-CN"/>
        </w:rPr>
        <w:t xml:space="preserve">▲2.1.5温度精度：0.01℃（提供鉴定证书</w:t>
      </w:r>
      <w:r>
        <w:rPr>
          <w:rFonts w:hint="default" w:ascii="宋体" w:hAnsi="宋体" w:eastAsia="宋体" w:cs="宋体"/>
          <w:color w:val="000000" w:themeColor="text1"/>
          <w:sz w:val="24"/>
          <w:szCs w:val="24"/>
          <w:lang w:val="en-US" w:eastAsia="zh-CN"/>
          <w14:textFill>
            <w14:solidFill>
              <w14:schemeClr w14:val="tx1"/>
            </w14:solidFill>
          </w14:textFill>
        </w:rPr>
        <w:t xml:space="preserve">）</w:t>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2.2进样口</w:t>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2.2.1自动进样器：配备自动进样器，且进样位数≥100位</w:t>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2.2.2进样量：范围：0.1~100 uL</w:t>
      </w:r>
      <w:r>
        <w:rPr>
          <w:rFonts w:hint="eastAsia" w:ascii="宋体" w:hAnsi="宋体" w:eastAsia="宋体" w:cs="宋体"/>
          <w:color w:val="000000" w:themeColor="text1"/>
          <w:sz w:val="24"/>
          <w:szCs w:val="24"/>
          <w:lang w:val="en-US" w:eastAsia="zh-CN"/>
          <w14:textFill>
            <w14:solidFill>
              <w14:schemeClr w14:val="tx1"/>
            </w14:solidFill>
          </w14:textFill>
        </w:rPr>
        <w:t xml:space="preserve">，注射器以0.1μL 步进。须提供证明文件。</w:t>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2.2.3溶剂清洗：需要有两种或者两种以上溶剂进行清洗</w:t>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▲2.2.4 具有分流/不分流多种进样方式，可编程电子参数设定压力、流速、分流比，电子流量控制隔垫吹扫</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default" w:ascii="宋体" w:hAnsi="宋体" w:eastAsia="宋体" w:cs="宋体"/>
          <w:color w:val="000000" w:themeColor="text1"/>
          <w:sz w:val="24"/>
          <w:szCs w:val="24"/>
          <w:lang w:val="en-US" w:eastAsia="zh-CN"/>
          <w14:textFill>
            <w14:solidFill>
              <w14:schemeClr w14:val="tx1"/>
            </w14:solidFill>
          </w14:textFill>
        </w:rPr>
        <w:t xml:space="preserve">（提供操作软件截图技术证明材料，官网截图证明材料，评标现场核查网址）</w:t>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2.2.5最高使用温度450˚C </w:t>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2.2.6更换衬管无需拆卸螺丝，使用简单（提供图片证明材料，现场验收指标）</w:t>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2.2.7进样速度：3种模式: 高速/低速/自定义速度，吸取样品深度可调</w:t>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2.2.8液体自动进样器样品盘具备加热恒温功能，最大加热到60ºC（提供软件截图和实物照片，官网截图</w:t>
      </w:r>
      <w:r>
        <w:rPr>
          <w:rFonts w:hint="eastAsia" w:ascii="宋体" w:hAnsi="宋体" w:eastAsia="宋体" w:cs="宋体"/>
          <w:color w:val="000000" w:themeColor="text1"/>
          <w:sz w:val="24"/>
          <w:szCs w:val="24"/>
          <w:lang w:val="en-US" w:eastAsia="zh-CN"/>
          <w14:textFill>
            <w14:solidFill>
              <w14:schemeClr w14:val="tx1"/>
            </w14:solidFill>
          </w14:textFill>
        </w:rPr>
        <w:t xml:space="preserve">或制造商官网可供下载的</w:t>
      </w:r>
      <w:r>
        <w:rPr>
          <w:rFonts w:hint="default" w:ascii="宋体" w:hAnsi="宋体" w:eastAsia="宋体" w:cs="宋体"/>
          <w:color w:val="000000" w:themeColor="text1"/>
          <w:sz w:val="24"/>
          <w:szCs w:val="24"/>
          <w:lang w:val="en-US" w:eastAsia="zh-CN"/>
          <w14:textFill>
            <w14:solidFill>
              <w14:schemeClr w14:val="tx1"/>
            </w14:solidFill>
          </w14:textFill>
        </w:rPr>
        <w:t xml:space="preserve">证明材料，评标现场核查网址）</w:t>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2.2.9可编程电子参数设定压力、流速、分流比，电子流量控制隔垫吹扫，提供操作软件截图技术证明材料，官网截图证明材料，评标现场核查网址</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jc w:val="both"/>
        <w:spacing w:after="0" w:line="240" w:lineRule="auto"/>
        <w:widowControl w:val="off"/>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（三）</w:t>
      </w:r>
      <w:r>
        <w:rPr>
          <w:rFonts w:hint="default" w:ascii="宋体" w:hAnsi="宋体" w:eastAsia="宋体" w:cs="宋体"/>
          <w:b/>
          <w:bCs/>
          <w:color w:val="000000" w:themeColor="text1"/>
          <w:sz w:val="24"/>
          <w:szCs w:val="24"/>
          <w:lang w:val="en-US" w:eastAsia="zh-CN"/>
          <w14:textFill>
            <w14:solidFill>
              <w14:schemeClr w14:val="tx1"/>
            </w14:solidFill>
          </w14:textFill>
        </w:rPr>
        <w:t xml:space="preserve">质谱部分</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3.1离子源</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3.1.1 EI源能量范围 ：10-1</w:t>
      </w:r>
      <w:r>
        <w:rPr>
          <w:rFonts w:hint="eastAsia" w:ascii="宋体" w:hAnsi="宋体" w:eastAsia="宋体" w:cs="宋体"/>
          <w:sz w:val="24"/>
          <w:szCs w:val="24"/>
          <w:lang w:val="en-US" w:eastAsia="zh-CN"/>
        </w:rPr>
        <w:t xml:space="preserve">6</w:t>
      </w:r>
      <w:r>
        <w:rPr>
          <w:rFonts w:hint="default" w:ascii="宋体" w:hAnsi="宋体" w:eastAsia="宋体" w:cs="宋体"/>
          <w:sz w:val="24"/>
          <w:szCs w:val="24"/>
          <w:lang w:val="en-US" w:eastAsia="zh-CN"/>
        </w:rPr>
        <w:t xml:space="preserve">0 eV</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3.1.2离子源方便拆解以便清洗和维护</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3.1.3离子源:配置独立EI源和独立CI源，独立控温，最高温度可到250℃</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3.1.4采集模式：具有全扫描(Full Scan)、选择离子扫描(SIR)、子离子扫描（Product Ion Scan）、母离子扫描（Precursor Ion Scan）、多反应监测扫描（MRM）</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▲3.2仪器检测限指标及灵敏度（验收指标）：</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IDL(MRM): ≤4fg ，10fg OFN 连续8次进样。</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EI MRM  : 100fg OFN</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EI Scan : 1pg OFN</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3.3无损双灯丝设计，灯丝受长效保护，提高灯丝寿命</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3.4可以满足一针进样筛查植物性基质中超过1000种农残及环境污染物的应用需求。</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3.5可以满足针对GB2763全流程解决方案，可以实现气质质结合液质质一天筛查农药种类超过400种。</w:t>
      </w:r>
      <w:r/>
    </w:p>
    <w:p>
      <w:pPr>
        <w:ind w:firstLine="480"/>
        <w:jc w:val="both"/>
        <w:spacing w:after="0" w:line="240" w:lineRule="auto"/>
        <w:widowControl w:val="off"/>
        <w:rPr>
          <w:rFonts w:hint="default" w:ascii="宋体" w:hAnsi="宋体" w:eastAsia="宋体" w:cs="宋体"/>
          <w:color w:val="auto"/>
          <w:sz w:val="24"/>
          <w:szCs w:val="24"/>
          <w:lang w:val="en-US" w:eastAsia="zh-CN"/>
        </w:rPr>
      </w:pPr>
      <w:r>
        <w:rPr>
          <w:rFonts w:hint="default" w:ascii="宋体" w:hAnsi="宋体" w:eastAsia="宋体" w:cs="宋体"/>
          <w:sz w:val="24"/>
          <w:szCs w:val="24"/>
          <w:lang w:val="en-US" w:eastAsia="zh-CN"/>
        </w:rPr>
        <w:t xml:space="preserve">3.6质量分析器：高分辨率、高稳定性四极杆质量分析器，金属或石英等</w:t>
      </w:r>
      <w:r>
        <w:rPr>
          <w:rFonts w:hint="default" w:ascii="宋体" w:hAnsi="宋体" w:eastAsia="宋体" w:cs="宋体"/>
          <w:color w:val="auto"/>
          <w:sz w:val="24"/>
          <w:szCs w:val="24"/>
          <w:lang w:val="en-US" w:eastAsia="zh-CN"/>
        </w:rPr>
        <w:t xml:space="preserve">稳定耐用材质，四极杆具备控温或有效的抗污染功能。（提供四极杆抗污染功能的软件截图，官网截图及网址备查）</w:t>
      </w:r>
      <w:r/>
    </w:p>
    <w:p>
      <w:pPr>
        <w:ind w:firstLine="480"/>
        <w:jc w:val="both"/>
        <w:spacing w:after="0" w:line="240" w:lineRule="auto"/>
        <w:widowControl w:val="off"/>
        <w:rPr>
          <w:rFonts w:hint="default" w:ascii="宋体" w:hAnsi="宋体" w:eastAsia="宋体" w:cs="宋体"/>
          <w:color w:val="auto"/>
          <w:sz w:val="24"/>
          <w:szCs w:val="24"/>
          <w:lang w:val="en-US" w:eastAsia="zh-CN"/>
        </w:rPr>
      </w:pPr>
      <w:r>
        <w:rPr>
          <w:rFonts w:hint="eastAsia" w:asciiTheme="majorEastAsia" w:hAnsiTheme="majorEastAsia" w:eastAsiaTheme="majorEastAsia" w:cstheme="majorEastAsia"/>
          <w:b w:val="0"/>
          <w:bCs w:val="0"/>
          <w:color w:val="auto"/>
          <w:sz w:val="24"/>
          <w:szCs w:val="24"/>
          <w:lang w:val="en-US" w:eastAsia="zh-CN"/>
        </w:rPr>
        <w:t xml:space="preserve">▲</w:t>
      </w:r>
      <w:r>
        <w:rPr>
          <w:rFonts w:hint="default" w:ascii="宋体" w:hAnsi="宋体" w:eastAsia="宋体" w:cs="宋体"/>
          <w:color w:val="auto"/>
          <w:sz w:val="24"/>
          <w:szCs w:val="24"/>
          <w:lang w:val="en-US" w:eastAsia="zh-CN"/>
        </w:rPr>
        <w:t xml:space="preserve">3.7检测器：能够满足长期大量脏样品定量分析并且保证数据可靠性和重复性。</w:t>
      </w:r>
      <w:r>
        <w:rPr>
          <w:rFonts w:hint="default" w:ascii="宋体" w:hAnsi="宋体" w:eastAsia="宋体" w:cs="宋体"/>
          <w:color w:val="000000" w:themeColor="text1"/>
          <w:sz w:val="24"/>
          <w:szCs w:val="24"/>
          <w:lang w:val="en-US" w:eastAsia="zh-CN"/>
          <w14:textFill>
            <w14:solidFill>
              <w14:schemeClr w14:val="tx1"/>
            </w14:solidFill>
          </w14:textFill>
        </w:rPr>
        <w:t xml:space="preserve">（提供图片证明材料）</w:t>
      </w:r>
      <w:r/>
    </w:p>
    <w:p>
      <w:pPr>
        <w:ind w:firstLine="480"/>
        <w:jc w:val="both"/>
        <w:spacing w:after="0" w:line="24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▲3.8碰撞池：消除离子对串扰、保证高效碰撞、高通量分析能力。</w:t>
      </w:r>
      <w:r/>
    </w:p>
    <w:p>
      <w:pPr>
        <w:ind w:firstLine="480"/>
        <w:jc w:val="both"/>
        <w:spacing w:after="0" w:line="24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3.9质量数范围：10-1030 m/z  </w:t>
      </w:r>
      <w:r/>
    </w:p>
    <w:p>
      <w:pPr>
        <w:ind w:firstLine="480"/>
        <w:jc w:val="both"/>
        <w:spacing w:after="0" w:line="24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3.10 UPS不间断电源续航时间≥2小时</w:t>
      </w:r>
      <w:r/>
    </w:p>
    <w:p>
      <w:pPr>
        <w:ind w:firstLine="480"/>
        <w:jc w:val="both"/>
        <w:spacing w:after="0" w:line="24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3.11一次直接进样分析，实现同时正负离子切换</w:t>
      </w:r>
      <w:r/>
    </w:p>
    <w:p>
      <w:pPr>
        <w:ind w:firstLine="480"/>
        <w:jc w:val="both"/>
        <w:spacing w:after="0" w:line="24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3.12具备远程智能访问功能(可从任何设备进行访问)</w:t>
      </w:r>
      <w:r/>
    </w:p>
    <w:p>
      <w:pPr>
        <w:ind w:firstLine="480"/>
        <w:jc w:val="both"/>
        <w:spacing w:after="0" w:line="24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3.13可自动监测系统运行状况、跟踪样品分析情况并在泄漏时及时发出警报（提供官网截图证明材料，网址备查）</w:t>
      </w:r>
      <w:r/>
    </w:p>
    <w:p>
      <w:pPr>
        <w:ind w:firstLine="480"/>
        <w:jc w:val="both"/>
        <w:spacing w:after="0" w:line="24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3.14具有保留时间锁定功能.</w:t>
      </w:r>
      <w:r/>
    </w:p>
    <w:p>
      <w:pPr>
        <w:ind w:firstLine="480"/>
        <w:jc w:val="both"/>
        <w:spacing w:after="0" w:line="24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▲3.15质谱具有清洁功能（可以通过软件设置实现自动清洁功能，具有不同模式）</w:t>
      </w:r>
      <w:r/>
    </w:p>
    <w:p>
      <w:pPr>
        <w:jc w:val="both"/>
        <w:spacing w:after="0" w:line="240" w:lineRule="auto"/>
        <w:widowControl w:val="off"/>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w:t>
      </w:r>
      <w:r>
        <w:rPr>
          <w:rFonts w:hint="default" w:ascii="宋体" w:hAnsi="宋体" w:eastAsia="宋体" w:cs="宋体"/>
          <w:b/>
          <w:bCs/>
          <w:color w:val="auto"/>
          <w:sz w:val="24"/>
          <w:szCs w:val="24"/>
          <w:lang w:val="en-US" w:eastAsia="zh-CN"/>
        </w:rPr>
        <w:t xml:space="preserve">仪器配置要求</w:t>
      </w:r>
      <w:r/>
    </w:p>
    <w:p>
      <w:pPr>
        <w:ind w:firstLine="480"/>
        <w:jc w:val="both"/>
        <w:spacing w:after="0" w:line="24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1)GCMSMS质谱和气相色谱仪主机（EI和CI源），数量1</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2)进样口 (含电子流量控制)，数量1</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3)自动进样器，数量1</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4)超过1000种农药和环境污染物的MRM数据库，数量 1</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5)安装工具包，1套</w:t>
      </w:r>
      <w:r/>
    </w:p>
    <w:p>
      <w:pPr>
        <w:ind w:firstLine="480"/>
        <w:jc w:val="both"/>
        <w:spacing w:after="0"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default" w:ascii="宋体" w:hAnsi="宋体" w:eastAsia="宋体" w:cs="宋体"/>
          <w:sz w:val="24"/>
          <w:szCs w:val="24"/>
          <w:lang w:val="en-US" w:eastAsia="zh-CN"/>
        </w:rPr>
        <w:t xml:space="preserve">)泵油，数量需要满足5年检验需要</w:t>
      </w:r>
      <w:r/>
    </w:p>
    <w:p>
      <w:pPr>
        <w:ind w:firstLine="480"/>
        <w:jc w:val="both"/>
        <w:spacing w:after="0"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default" w:ascii="宋体" w:hAnsi="宋体" w:eastAsia="宋体" w:cs="宋体"/>
          <w:sz w:val="24"/>
          <w:szCs w:val="24"/>
          <w:lang w:val="en-US" w:eastAsia="zh-CN"/>
        </w:rPr>
        <w:t xml:space="preserve">)大容量通用捕集阱，数量需要满足5年检验需要</w:t>
      </w:r>
      <w:r/>
    </w:p>
    <w:p>
      <w:pPr>
        <w:ind w:firstLine="480"/>
        <w:jc w:val="both"/>
        <w:spacing w:after="0"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default" w:ascii="宋体" w:hAnsi="宋体" w:eastAsia="宋体" w:cs="宋体"/>
          <w:sz w:val="24"/>
          <w:szCs w:val="24"/>
          <w:lang w:val="en-US" w:eastAsia="zh-CN"/>
        </w:rPr>
        <w:t xml:space="preserve">)分析色谱柱，10根（HP-5MS 1701-MS</w:t>
      </w:r>
      <w:r>
        <w:rPr>
          <w:rFonts w:hint="eastAsia" w:ascii="宋体" w:hAnsi="宋体" w:eastAsia="宋体" w:cs="宋体"/>
          <w:color w:val="000000" w:themeColor="text1"/>
          <w:sz w:val="24"/>
          <w:szCs w:val="24"/>
          <w:lang w:val="en-US" w:eastAsia="zh-CN"/>
          <w14:textFill>
            <w14:solidFill>
              <w14:schemeClr w14:val="tx1"/>
            </w14:solidFill>
          </w14:textFill>
        </w:rPr>
        <w:t xml:space="preserve">或同类型柱子</w:t>
      </w:r>
      <w:r>
        <w:rPr>
          <w:rFonts w:hint="default" w:ascii="宋体" w:hAnsi="宋体" w:eastAsia="宋体" w:cs="宋体"/>
          <w:color w:val="000000" w:themeColor="text1"/>
          <w:sz w:val="24"/>
          <w:szCs w:val="24"/>
          <w:lang w:val="en-US" w:eastAsia="zh-CN"/>
          <w14:textFill>
            <w14:solidFill>
              <w14:schemeClr w14:val="tx1"/>
            </w14:solidFill>
          </w14:textFill>
        </w:rPr>
        <w:t xml:space="preserve">）</w:t>
      </w:r>
      <w:r/>
    </w:p>
    <w:p>
      <w:pPr>
        <w:ind w:firstLine="480"/>
        <w:jc w:val="both"/>
        <w:spacing w:after="0"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default" w:ascii="宋体" w:hAnsi="宋体" w:eastAsia="宋体" w:cs="宋体"/>
          <w:sz w:val="24"/>
          <w:szCs w:val="24"/>
          <w:lang w:val="en-US" w:eastAsia="zh-CN"/>
        </w:rPr>
        <w:t xml:space="preserve">)样品瓶组件，200个/盒，20盒</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0</w:t>
      </w:r>
      <w:r>
        <w:rPr>
          <w:rFonts w:hint="default" w:ascii="宋体" w:hAnsi="宋体" w:eastAsia="宋体" w:cs="宋体"/>
          <w:sz w:val="24"/>
          <w:szCs w:val="24"/>
          <w:lang w:val="en-US" w:eastAsia="zh-CN"/>
        </w:rPr>
        <w:t xml:space="preserve">)分流高惰性衬管，带玻璃毛，15根</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)石墨密封垫,10/包，15包</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)分流高惰性衬管，带玻璃毛，5根</w:t>
      </w:r>
      <w:r/>
    </w:p>
    <w:p>
      <w:pPr>
        <w:jc w:val="both"/>
        <w:spacing w:after="0" w:line="240" w:lineRule="auto"/>
        <w:widowControl w:val="off"/>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（五）</w:t>
      </w:r>
      <w:r>
        <w:rPr>
          <w:rFonts w:hint="default" w:ascii="宋体" w:hAnsi="宋体" w:eastAsia="宋体" w:cs="宋体"/>
          <w:b/>
          <w:bCs/>
          <w:sz w:val="24"/>
          <w:szCs w:val="24"/>
          <w:lang w:val="en-US" w:eastAsia="zh-CN"/>
        </w:rPr>
        <w:t xml:space="preserve">仪器验收要求</w:t>
      </w:r>
      <w:r/>
    </w:p>
    <w:p>
      <w:pPr>
        <w:ind w:firstLine="480"/>
        <w:jc w:val="both"/>
        <w:spacing w:after="0" w:line="24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可以满足GB 23200.113-2018，GB 23200.9-2016 ，GB 23200.8-2016 等常用气相色谱质谱法的最低定量限（0.01mg/kg）要求。并且可以检测GB 23200.113-2018中农残且满足标准要求，待测物中农残可以离子分离，现场需要对23200.113中农残混标进行测试，需要检测混标中所有物质。</w:t>
      </w:r>
      <w:r/>
    </w:p>
    <w:p>
      <w:pPr>
        <w:pStyle w:val="1059"/>
        <w:ind w:left="0"/>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pStyle w:val="1059"/>
        <w:ind w:left="0"/>
        <w:spacing w:line="240" w:lineRule="auto"/>
        <w:rPr>
          <w:rFonts w:ascii="宋体" w:hAnsi="宋体" w:eastAsia="宋体" w:cs="宋体"/>
          <w:sz w:val="24"/>
          <w:szCs w:val="24"/>
          <w:lang w:eastAsia="zh-CN"/>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lang w:eastAsia="zh-CN"/>
        </w:rPr>
        <w:t xml:space="preserve">、售后服务</w:t>
      </w:r>
      <w:r/>
    </w:p>
    <w:p>
      <w:pPr>
        <w:ind w:firstLine="480"/>
        <w:keepLines w:val="0"/>
        <w:keepNext w:val="0"/>
        <w:pageBreakBefore w:val="0"/>
        <w:spacing w:after="0" w:line="240" w:lineRule="auto"/>
        <w:widowControl/>
        <w:rPr>
          <w:rFonts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供应商提供仪器的现场安装调试并达到投标书指标要求的技术性能，并同时在现场对用户进行操作培训。如果现场安装测试指标未通过，用户有权要求退货并要求赔偿损失。</w:t>
      </w:r>
      <w:r/>
    </w:p>
    <w:p>
      <w:pPr>
        <w:ind w:firstLine="480"/>
        <w:keepLines w:val="0"/>
        <w:keepNext w:val="0"/>
        <w:pageBreakBefore w:val="0"/>
        <w:spacing w:after="0" w:line="240" w:lineRule="auto"/>
        <w:widowControl/>
        <w:rPr>
          <w:rFonts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仪器在调试通过后提供保修服务，在保修期内，所有服务及配件全部免费。</w:t>
      </w:r>
      <w:r/>
    </w:p>
    <w:p>
      <w:pPr>
        <w:ind w:firstLine="480"/>
        <w:keepLines w:val="0"/>
        <w:keepNext w:val="0"/>
        <w:pageBreakBefore w:val="0"/>
        <w:spacing w:after="0" w:line="240" w:lineRule="auto"/>
        <w:widowControl/>
        <w:rPr>
          <w:rFonts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供应商为用户提供仪器的基本原理、操作、日常维护及基础分析仪器理论课程，并为用户提供上机培训。</w:t>
      </w:r>
      <w:r/>
    </w:p>
    <w:p>
      <w:pPr>
        <w:ind w:firstLine="480"/>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4供应商</w:t>
      </w:r>
      <w:r>
        <w:rPr>
          <w:rFonts w:hint="eastAsia" w:ascii="宋体" w:hAnsi="宋体" w:eastAsia="宋体" w:cs="宋体"/>
          <w:sz w:val="24"/>
          <w:szCs w:val="24"/>
          <w:lang w:eastAsia="zh-CN"/>
        </w:rPr>
        <w:t xml:space="preserve">具备非常完善的售后服务体系，有专职的维修工程师及应用工程师有效保证售后维修的及时、快捷，并负责提供技术支持，保证仪器的正常操作，并协助用户进行方法开发。</w:t>
      </w:r>
      <w:r/>
    </w:p>
    <w:p>
      <w:pPr>
        <w:ind w:firstLine="480"/>
        <w:keepLines w:val="0"/>
        <w:keepNext w:val="0"/>
        <w:pageBreakBefore w:val="0"/>
        <w:spacing w:after="0" w:line="24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4.5质保期：提供3年原整机质保期，</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lang w:eastAsia="zh-CN"/>
          <w14:textFill>
            <w14:solidFill>
              <w14:schemeClr w14:val="tx1"/>
            </w14:solidFill>
          </w14:textFill>
        </w:rPr>
        <w:t xml:space="preserve">盖章</w:t>
      </w:r>
      <w:r>
        <w:rPr>
          <w:rFonts w:hint="eastAsia" w:ascii="宋体" w:hAnsi="宋体" w:eastAsia="宋体" w:cs="宋体"/>
          <w:sz w:val="24"/>
          <w:szCs w:val="24"/>
          <w:lang w:val="en-US" w:eastAsia="zh-CN"/>
        </w:rPr>
        <w:t xml:space="preserve">。</w:t>
      </w:r>
      <w:r/>
    </w:p>
    <w:p>
      <w:pPr>
        <w:pStyle w:val="885"/>
        <w:jc w:val="left"/>
        <w:spacing w:line="360" w:lineRule="auto"/>
        <w:rPr>
          <w:rFonts w:ascii="宋体" w:hAnsi="宋体" w:cs="宋体"/>
          <w:b/>
          <w:bCs/>
          <w:sz w:val="24"/>
        </w:rPr>
        <w:outlineLvl w:val="1"/>
      </w:pPr>
      <w:r>
        <w:rPr>
          <w:rFonts w:hint="eastAsia" w:ascii="宋体" w:hAnsi="宋体" w:cs="宋体"/>
          <w:b/>
          <w:bCs/>
          <w:sz w:val="24"/>
          <w:lang w:val="en-US" w:eastAsia="zh-CN"/>
        </w:rPr>
        <w:t xml:space="preserve">五</w:t>
      </w:r>
      <w:r>
        <w:rPr>
          <w:rFonts w:hint="eastAsia" w:ascii="宋体" w:hAnsi="宋体" w:cs="宋体"/>
          <w:b/>
          <w:bCs/>
          <w:sz w:val="24"/>
        </w:rPr>
        <w:t xml:space="preserve">、项目实施要求：</w:t>
      </w:r>
      <w:r/>
    </w:p>
    <w:p>
      <w:pPr>
        <w:pStyle w:val="885"/>
        <w:ind w:firstLine="482"/>
        <w:keepLines w:val="0"/>
        <w:keepNext w:val="0"/>
        <w:pageBreakBefore w:val="0"/>
        <w:spacing w:line="240" w:lineRule="auto"/>
        <w:widowControl w:val="off"/>
        <w:rPr>
          <w:rFonts w:hint="eastAsia" w:ascii="宋体" w:hAnsi="宋体" w:eastAsia="宋体" w:cs="宋体"/>
          <w:sz w:val="24"/>
          <w:szCs w:val="24"/>
          <w:lang w:val="en-US" w:eastAsia="zh-CN" w:bidi="ar-SA"/>
        </w:rPr>
        <w:outlineLvl w:val="1"/>
      </w:pP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.1为保证本项目的顺利实施，投标人应结合各自产品特点，自行设计实施方案。</w:t>
      </w:r>
      <w:r/>
    </w:p>
    <w:p>
      <w:pPr>
        <w:pStyle w:val="885"/>
        <w:ind w:firstLine="482"/>
        <w:keepLines w:val="0"/>
        <w:keepNext w:val="0"/>
        <w:pageBreakBefore w:val="0"/>
        <w:spacing w:line="240" w:lineRule="auto"/>
        <w:widowControl w:val="off"/>
        <w:rPr>
          <w:rFonts w:hint="eastAsia" w:ascii="宋体" w:hAnsi="宋体" w:eastAsia="宋体" w:cs="宋体"/>
          <w:sz w:val="24"/>
          <w:szCs w:val="24"/>
          <w:lang w:val="en-US" w:eastAsia="zh-CN" w:bidi="ar-SA"/>
        </w:rPr>
        <w:outlineLvl w:val="1"/>
      </w:pP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2货物送到项目实施现场后，中标人与采购人一起按合同货物清单依合同标准进行货物验收。采购人对货物验收合格后，双方共同签署货物验收合格证明。验收中发现货物达不到验收标准或合同规定的性能指标，中标人必须更换，并且赔偿由此给采购人造成的损失。</w:t>
      </w:r>
      <w:r/>
    </w:p>
    <w:p>
      <w:pPr>
        <w:pStyle w:val="885"/>
        <w:ind w:firstLine="482"/>
        <w:keepLines w:val="0"/>
        <w:keepNext w:val="0"/>
        <w:pageBreakBefore w:val="0"/>
        <w:spacing w:line="240" w:lineRule="auto"/>
        <w:widowControl w:val="off"/>
        <w:rPr>
          <w:rFonts w:hint="eastAsia" w:ascii="宋体" w:hAnsi="宋体" w:eastAsia="宋体" w:cs="宋体"/>
          <w:sz w:val="24"/>
          <w:szCs w:val="24"/>
          <w:lang w:val="en-US" w:eastAsia="zh-CN" w:bidi="ar-SA"/>
        </w:rPr>
        <w:outlineLvl w:val="1"/>
      </w:pP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.3供货方式、时间及地点要求：</w:t>
      </w:r>
      <w:r/>
    </w:p>
    <w:p>
      <w:pPr>
        <w:pStyle w:val="885"/>
        <w:ind w:firstLine="482"/>
        <w:keepLines w:val="0"/>
        <w:keepNext w:val="0"/>
        <w:pageBreakBefore w:val="0"/>
        <w:spacing w:line="240" w:lineRule="auto"/>
        <w:widowControl w:val="off"/>
        <w:rPr>
          <w:rFonts w:hint="eastAsia" w:ascii="宋体" w:hAnsi="宋体" w:eastAsia="宋体" w:cs="宋体"/>
          <w:sz w:val="24"/>
          <w:szCs w:val="24"/>
          <w:lang w:val="en-US" w:eastAsia="zh-CN" w:bidi="ar-SA"/>
        </w:rPr>
        <w:outlineLvl w:val="1"/>
      </w:pPr>
      <w:r>
        <w:rPr>
          <w:rFonts w:hint="eastAsia" w:ascii="宋体" w:hAnsi="宋体" w:eastAsia="宋体" w:cs="宋体"/>
          <w:sz w:val="24"/>
          <w:szCs w:val="24"/>
          <w:lang w:val="en-US" w:eastAsia="zh-CN" w:bidi="ar-SA"/>
        </w:rPr>
        <w:t xml:space="preserve">中标人在合同签订之日起20个工作日内将设备送达供货地点完成设备的安装及培训工作。</w:t>
      </w:r>
      <w:r/>
    </w:p>
    <w:p>
      <w:pPr>
        <w:pStyle w:val="885"/>
        <w:ind w:firstLine="482"/>
        <w:keepLines w:val="0"/>
        <w:keepNext w:val="0"/>
        <w:pageBreakBefore w:val="0"/>
        <w:spacing w:line="240" w:lineRule="auto"/>
        <w:widowControl w:val="off"/>
        <w:rPr>
          <w:rFonts w:hint="eastAsia" w:ascii="宋体" w:hAnsi="宋体" w:eastAsia="宋体" w:cs="宋体"/>
          <w:b/>
          <w:bCs/>
          <w:sz w:val="24"/>
          <w:szCs w:val="24"/>
          <w:lang w:val="en-US" w:eastAsia="zh-CN"/>
        </w:rPr>
        <w:outlineLvl w:val="1"/>
      </w:pP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.4交货地点及安装位置：采购人指定地点；</w:t>
      </w:r>
      <w:r/>
    </w:p>
    <w:p>
      <w:pPr>
        <w:pStyle w:val="837"/>
        <w:ind w:left="0"/>
        <w:jc w:val="both"/>
        <w:keepLines w:val="0"/>
        <w:keepNext w:val="0"/>
        <w:pageBreakBefore w:val="0"/>
        <w:spacing w:before="200" w:after="0" w:line="360" w:lineRule="auto"/>
        <w:widowControl/>
        <w:rPr>
          <w:rFonts w:hint="eastAsia" w:ascii="宋体" w:hAnsi="宋体" w:eastAsia="宋体" w:cs="宋体"/>
          <w:b/>
          <w:sz w:val="30"/>
          <w:lang w:eastAsia="zh-CN"/>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eastAsia="zh-CN"/>
        </w:rPr>
        <w:t xml:space="preserve">、</w:t>
      </w:r>
      <w:r>
        <w:rPr>
          <w:rFonts w:ascii="宋体" w:hAnsi="宋体" w:eastAsia="宋体" w:cs="宋体"/>
          <w:b/>
          <w:bCs/>
          <w:sz w:val="24"/>
          <w:lang w:eastAsia="zh-CN"/>
        </w:rPr>
        <w:t xml:space="preserve">其他要求:</w:t>
      </w:r>
      <w:r>
        <w:rPr>
          <w:color w:val="000000"/>
          <w:sz w:val="24"/>
          <w:lang w:eastAsia="zh-CN"/>
        </w:rPr>
        <w:t xml:space="preserve">见招标文件第五章《拟签订的合同文本》。</w:t>
      </w:r>
      <w:r/>
    </w:p>
    <w:p>
      <w:pPr>
        <w:jc w:val="center"/>
        <w:spacing w:after="0" w:line="720" w:lineRule="atLeast"/>
        <w:rPr>
          <w:rFonts w:hint="eastAsia" w:ascii="宋体" w:hAnsi="宋体" w:eastAsia="宋体" w:cs="宋体"/>
          <w:b/>
          <w:sz w:val="30"/>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lang w:eastAsia="zh-CN"/>
        </w:rPr>
      </w:r>
      <w:r/>
    </w:p>
    <w:p>
      <w:pPr>
        <w:jc w:val="center"/>
        <w:spacing w:after="0" w:line="720" w:lineRule="atLeast"/>
        <w:rPr>
          <w:rFonts w:hint="eastAsia" w:ascii="宋体" w:hAnsi="宋体" w:eastAsia="宋体" w:cs="宋体"/>
          <w:b/>
          <w:sz w:val="30"/>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lang w:eastAsia="zh-CN"/>
        </w:rPr>
      </w:r>
      <w:r/>
    </w:p>
    <w:p>
      <w:pPr>
        <w:jc w:val="both"/>
        <w:spacing w:after="0" w:line="720" w:lineRule="atLeast"/>
        <w:rPr>
          <w:rFonts w:hint="eastAsia" w:ascii="宋体" w:hAnsi="宋体" w:eastAsia="宋体" w:cs="宋体"/>
          <w:b/>
          <w:bCs/>
          <w:sz w:val="30"/>
          <w:szCs w:val="30"/>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lang w:eastAsia="zh-CN"/>
        </w:rPr>
      </w:r>
      <w:r>
        <w:rPr>
          <w:rFonts w:hint="eastAsia" w:ascii="宋体" w:hAnsi="宋体" w:eastAsia="宋体" w:cs="宋体"/>
          <w:b/>
          <w:sz w:val="30"/>
          <w:lang w:eastAsia="zh-CN"/>
        </w:rPr>
      </w:r>
    </w:p>
    <w:p>
      <w:pPr>
        <w:jc w:val="both"/>
        <w:spacing w:after="0" w:line="720" w:lineRule="atLeast"/>
        <w:rPr>
          <w:rFonts w:hint="eastAsia" w:ascii="宋体" w:hAnsi="宋体" w:eastAsia="宋体" w:cs="宋体"/>
          <w:b/>
          <w:bCs/>
          <w:sz w:val="30"/>
          <w:szCs w:val="30"/>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lang w:eastAsia="zh-CN"/>
        </w:rPr>
      </w:r>
      <w:r/>
    </w:p>
    <w:p>
      <w:pPr>
        <w:jc w:val="center"/>
        <w:spacing w:after="0" w:line="720" w:lineRule="atLeast"/>
        <w:rPr>
          <w:rFonts w:ascii="宋体" w:hAnsi="宋体" w:eastAsia="宋体" w:cs="宋体"/>
          <w:b/>
          <w:sz w:val="30"/>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lang w:eastAsia="zh-CN"/>
        </w:rPr>
        <w:t xml:space="preserve">第</w:t>
      </w:r>
      <w:bookmarkStart w:id="5" w:name="_GoBack"/>
      <w:r/>
      <w:bookmarkEnd w:id="5"/>
      <w:r>
        <w:rPr>
          <w:rFonts w:hint="eastAsia" w:ascii="宋体" w:hAnsi="宋体" w:eastAsia="宋体" w:cs="宋体"/>
          <w:b/>
          <w:sz w:val="30"/>
          <w:lang w:eastAsia="zh-CN"/>
        </w:rPr>
        <w:t xml:space="preserve">七章  投标文件相关格式</w:t>
      </w:r>
      <w:r/>
    </w:p>
    <w:p>
      <w:pPr>
        <w:pStyle w:val="829"/>
        <w:ind w:left="1540" w:right="1540"/>
        <w:rPr>
          <w:rFonts w:ascii="宋体" w:hAnsi="宋体" w:eastAsia="宋体" w:cs="宋体"/>
          <w:b/>
          <w:sz w:val="30"/>
          <w:lang w:eastAsia="zh-CN"/>
        </w:rPr>
      </w:pPr>
      <w:r>
        <w:rPr>
          <w:rFonts w:ascii="宋体" w:hAnsi="宋体" w:eastAsia="宋体" w:cs="宋体"/>
          <w:b/>
          <w:sz w:val="30"/>
          <w:lang w:eastAsia="zh-CN"/>
        </w:rPr>
      </w:r>
      <w:r/>
    </w:p>
    <w:p>
      <w:pPr>
        <w:jc w:val="center"/>
        <w:spacing w:after="0" w:line="314" w:lineRule="atLeast"/>
        <w:rPr>
          <w:rFonts w:ascii="宋体" w:hAnsi="宋体" w:eastAsia="宋体" w:cs="宋体"/>
          <w:b/>
          <w:sz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目录</w:t>
      </w:r>
      <w:r/>
    </w:p>
    <w:p>
      <w:pPr>
        <w:ind w:left="0"/>
        <w:keepLines w:val="0"/>
        <w:keepNext w:val="0"/>
        <w:pageBreakBefore w:val="0"/>
        <w:spacing w:after="0" w:line="360" w:lineRule="auto"/>
        <w:widowControl/>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一、投标函</w:t>
      </w:r>
      <w:r/>
    </w:p>
    <w:p>
      <w:pPr>
        <w:ind w:left="0"/>
        <w:keepLines w:val="0"/>
        <w:keepNext w:val="0"/>
        <w:pageBreakBefore w:val="0"/>
        <w:spacing w:after="0" w:line="360" w:lineRule="auto"/>
        <w:widowControl/>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二、开标一览表</w:t>
      </w:r>
      <w:r/>
    </w:p>
    <w:p>
      <w:pPr>
        <w:ind w:left="0"/>
        <w:keepLines w:val="0"/>
        <w:keepNext w:val="0"/>
        <w:pageBreakBefore w:val="0"/>
        <w:spacing w:after="0" w:line="360" w:lineRule="auto"/>
        <w:widowControl/>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三、分项价格表</w:t>
      </w:r>
      <w:r/>
    </w:p>
    <w:p>
      <w:pPr>
        <w:ind w:left="0"/>
        <w:keepLines w:val="0"/>
        <w:keepNext w:val="0"/>
        <w:pageBreakBefore w:val="0"/>
        <w:spacing w:after="0" w:line="360" w:lineRule="auto"/>
        <w:widowControl/>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四、偏离表</w:t>
      </w:r>
      <w:r/>
    </w:p>
    <w:p>
      <w:pPr>
        <w:ind w:left="0"/>
        <w:keepLines w:val="0"/>
        <w:keepNext w:val="0"/>
        <w:pageBreakBefore w:val="0"/>
        <w:spacing w:after="0" w:line="360" w:lineRule="auto"/>
        <w:widowControl/>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五、法定代表人授权书</w:t>
      </w:r>
      <w:r/>
    </w:p>
    <w:p>
      <w:pPr>
        <w:ind w:left="0"/>
        <w:keepLines w:val="0"/>
        <w:keepNext w:val="0"/>
        <w:pageBreakBefore w:val="0"/>
        <w:spacing w:after="0" w:line="360" w:lineRule="auto"/>
        <w:widowControl/>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六、中小企业声明函</w:t>
      </w:r>
      <w:r/>
    </w:p>
    <w:p>
      <w:pPr>
        <w:ind w:left="0"/>
        <w:keepLines w:val="0"/>
        <w:keepNext w:val="0"/>
        <w:pageBreakBefore w:val="0"/>
        <w:spacing w:after="0" w:line="360" w:lineRule="auto"/>
        <w:widowControl/>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七、残疾人福利性单位声明函（如有） </w:t>
      </w:r>
      <w:r/>
    </w:p>
    <w:p>
      <w:pPr>
        <w:ind w:left="0"/>
        <w:keepLines w:val="0"/>
        <w:keepNext w:val="0"/>
        <w:pageBreakBefore w:val="0"/>
        <w:spacing w:after="0" w:line="360" w:lineRule="auto"/>
        <w:widowControl/>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lang w:eastAsia="zh-CN"/>
        </w:rPr>
        <w:t xml:space="preserve">、投标人参加政府采购活动前3年内在经营活动中没有重大违法记录的书面声明</w:t>
      </w:r>
      <w:r/>
    </w:p>
    <w:p>
      <w:pPr>
        <w:ind w:left="0"/>
        <w:keepLines w:val="0"/>
        <w:keepNext w:val="0"/>
        <w:pageBreakBefore w:val="0"/>
        <w:spacing w:after="0" w:line="360" w:lineRule="auto"/>
        <w:widowControl/>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lang w:eastAsia="zh-CN"/>
        </w:rPr>
        <w:t xml:space="preserve">、具备履行合同所必需的设备和专业技术能力的书面声明</w:t>
      </w:r>
      <w:r/>
    </w:p>
    <w:p>
      <w:pPr>
        <w:jc w:val="both"/>
        <w:keepLines w:val="0"/>
        <w:keepNext w:val="0"/>
        <w:pageBreakBefore w:val="0"/>
        <w:spacing w:after="0"/>
        <w:widowControl/>
        <w:rPr>
          <w:rFonts w:hint="default"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十、预付款保函支付条款模板</w:t>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rPr>
          <w:rFonts w:ascii="宋体" w:hAnsi="宋体" w:eastAsia="宋体" w:cs="宋体"/>
          <w:b/>
          <w:bCs/>
          <w:sz w:val="28"/>
          <w:szCs w:val="28"/>
          <w:lang w:eastAsia="zh-CN"/>
        </w:rPr>
      </w:pPr>
      <w:r>
        <w:rPr>
          <w:rFonts w:ascii="宋体" w:hAnsi="宋体" w:eastAsia="宋体" w:cs="宋体"/>
          <w:b/>
          <w:bCs/>
          <w:sz w:val="28"/>
          <w:szCs w:val="28"/>
          <w:lang w:eastAsia="zh-CN"/>
        </w:rPr>
      </w:r>
      <w:r/>
    </w:p>
    <w:p>
      <w:pPr>
        <w:rPr>
          <w:rFonts w:ascii="宋体" w:hAnsi="宋体" w:eastAsia="宋体" w:cs="宋体"/>
          <w:b/>
          <w:bCs/>
          <w:sz w:val="28"/>
          <w:szCs w:val="28"/>
          <w:lang w:eastAsia="zh-CN"/>
        </w:rPr>
      </w:pPr>
      <w:r>
        <w:rPr>
          <w:rFonts w:ascii="宋体" w:hAnsi="宋体" w:eastAsia="宋体" w:cs="宋体"/>
          <w:b/>
          <w:bCs/>
          <w:sz w:val="28"/>
          <w:szCs w:val="28"/>
          <w:lang w:eastAsia="zh-CN"/>
        </w:rPr>
      </w:r>
      <w:r/>
    </w:p>
    <w:p>
      <w:pPr>
        <w:pStyle w:val="839"/>
        <w:rPr>
          <w:rFonts w:ascii="宋体" w:hAnsi="宋体" w:eastAsia="宋体" w:cs="宋体"/>
          <w:b/>
          <w:bCs/>
          <w:sz w:val="28"/>
          <w:szCs w:val="28"/>
          <w:lang w:eastAsia="zh-CN"/>
        </w:rPr>
      </w:pPr>
      <w:r>
        <w:rPr>
          <w:rFonts w:ascii="宋体" w:hAnsi="宋体" w:eastAsia="宋体" w:cs="宋体"/>
          <w:b/>
          <w:bCs/>
          <w:sz w:val="28"/>
          <w:szCs w:val="28"/>
          <w:lang w:eastAsia="zh-CN"/>
        </w:rPr>
      </w:r>
      <w:r/>
    </w:p>
    <w:p>
      <w:pPr>
        <w:rPr>
          <w:rFonts w:ascii="宋体" w:hAnsi="宋体" w:eastAsia="宋体" w:cs="宋体"/>
          <w:b/>
          <w:bCs/>
          <w:sz w:val="28"/>
          <w:szCs w:val="28"/>
          <w:lang w:eastAsia="zh-CN"/>
        </w:rPr>
      </w:pPr>
      <w:r>
        <w:rPr>
          <w:rFonts w:ascii="宋体" w:hAnsi="宋体" w:eastAsia="宋体" w:cs="宋体"/>
          <w:b/>
          <w:bCs/>
          <w:sz w:val="28"/>
          <w:szCs w:val="28"/>
          <w:lang w:eastAsia="zh-CN"/>
        </w:rPr>
      </w:r>
      <w:r/>
    </w:p>
    <w:p>
      <w:pPr>
        <w:rPr>
          <w:rFonts w:ascii="宋体" w:hAnsi="宋体" w:eastAsia="宋体" w:cs="宋体"/>
          <w:b/>
          <w:bCs/>
          <w:sz w:val="28"/>
          <w:szCs w:val="28"/>
          <w:lang w:eastAsia="zh-CN"/>
        </w:rPr>
      </w:pPr>
      <w:r>
        <w:rPr>
          <w:rFonts w:ascii="宋体" w:hAnsi="宋体" w:eastAsia="宋体" w:cs="宋体"/>
          <w:b/>
          <w:bCs/>
          <w:sz w:val="28"/>
          <w:szCs w:val="28"/>
          <w:lang w:eastAsia="zh-CN"/>
        </w:rPr>
      </w:r>
      <w:r/>
    </w:p>
    <w:p>
      <w:pPr>
        <w:pStyle w:val="855"/>
        <w:rPr>
          <w:lang w:eastAsia="zh-CN"/>
        </w:rPr>
      </w:pPr>
      <w:r>
        <w:rPr>
          <w:lang w:eastAsia="zh-CN"/>
        </w:rPr>
      </w:r>
      <w:r/>
    </w:p>
    <w:p>
      <w:pPr>
        <w:pStyle w:val="855"/>
        <w:rPr>
          <w:lang w:eastAsia="zh-CN"/>
        </w:rPr>
      </w:pPr>
      <w:r>
        <w:rPr>
          <w:lang w:eastAsia="zh-CN"/>
        </w:rPr>
      </w:r>
      <w:r/>
    </w:p>
    <w:p>
      <w:pPr>
        <w:jc w:val="center"/>
        <w:spacing w:after="0" w:line="51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一、投标函</w:t>
      </w:r>
      <w:r/>
    </w:p>
    <w:p>
      <w:pPr>
        <w:pStyle w:val="859"/>
        <w:ind w:firstLine="0"/>
        <w:rPr>
          <w:lang w:eastAsia="zh-CN"/>
        </w:rPr>
      </w:pPr>
      <w:r>
        <w:rPr>
          <w:lang w:eastAsia="zh-CN"/>
        </w:rPr>
      </w:r>
      <w:r/>
    </w:p>
    <w:p>
      <w:pPr>
        <w:jc w:val="both"/>
        <w:spacing w:after="0" w:line="479" w:lineRule="atLeast"/>
        <w:rPr>
          <w:rFonts w:ascii="宋体" w:hAnsi="宋体" w:eastAsia="宋体" w:cs="宋体"/>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致：</w:t>
      </w:r>
      <w:r>
        <w:rPr>
          <w:rFonts w:hint="eastAsia" w:ascii="宋体" w:hAnsi="宋体" w:eastAsia="宋体" w:cs="宋体"/>
          <w:sz w:val="24"/>
          <w:szCs w:val="24"/>
          <w:u w:val="single"/>
          <w:lang w:eastAsia="zh-CN"/>
        </w:rPr>
        <w:t xml:space="preserve">新沂市检验检测中心/江苏众邦工程管理有限公司</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根据食品安全智慧监管（农药残留）检测能力提升</w:t>
      </w:r>
      <w:r>
        <w:rPr>
          <w:rFonts w:hint="eastAsia" w:ascii="宋体" w:hAnsi="宋体" w:eastAsia="宋体" w:cs="宋体"/>
          <w:sz w:val="24"/>
          <w:szCs w:val="24"/>
          <w:highlight w:val="none"/>
          <w:lang w:eastAsia="zh-CN"/>
        </w:rPr>
        <w:t xml:space="preserve">[项目编号：JSZC-320381-ZBGL-G2024-0019]招标文</w:t>
      </w:r>
      <w:r>
        <w:rPr>
          <w:rFonts w:hint="eastAsia" w:ascii="宋体" w:hAnsi="宋体" w:eastAsia="宋体" w:cs="宋体"/>
          <w:sz w:val="24"/>
          <w:szCs w:val="24"/>
          <w:lang w:eastAsia="zh-CN"/>
        </w:rPr>
        <w:t xml:space="preserve">件，</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(姓名)代表我方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（投标人的名称）全权处理本次投标的有关事宜。</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据此函，投标人承诺并同意如下： </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 投标人唯一投标报价见《开标一览表》。</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 投标人将按招标文件的规定履行合同责任和义务。</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 投标有效期为开标之日后90天。</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5.投标人同意提供按照贵方可能要求的与其投标有关的一切数据或资料，完全理解贵方不一定接受最低价的投标或收到的任何投标。</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 投标人同意在授予合同后，按照有关规定支付公证费(如有)。</w:t>
      </w:r>
      <w:r/>
    </w:p>
    <w:p>
      <w:pPr>
        <w:ind w:right="29"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7. 江苏众邦工程管理有限公司有权将我单位本项目的《开标一览表》和《分项价格表》予以公示，公示的方式由江苏众邦工程管理有限公司确定。</w:t>
      </w:r>
      <w:r/>
    </w:p>
    <w:p>
      <w:pPr>
        <w:ind w:right="29"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9. 与本投标有关的一切正式往来信函请寄：</w:t>
      </w:r>
      <w:r/>
    </w:p>
    <w:p>
      <w:pPr>
        <w:ind w:firstLine="96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地址： </w:t>
      </w:r>
      <w:r/>
    </w:p>
    <w:p>
      <w:pPr>
        <w:ind w:firstLine="96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电话：            </w:t>
      </w:r>
      <w:r/>
    </w:p>
    <w:p>
      <w:pPr>
        <w:ind w:firstLine="2433"/>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firstLine="2433"/>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firstLine="2673"/>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2673"/>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投标人法定代表人或其授权代表：</w:t>
      </w:r>
      <w:r>
        <w:rPr>
          <w:rFonts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2673"/>
        <w:jc w:val="both"/>
        <w:spacing w:after="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 </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年 </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月 </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日</w:t>
      </w:r>
      <w:r/>
    </w:p>
    <w:p>
      <w:pPr>
        <w:jc w:val="center"/>
        <w:spacing w:after="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lang w:eastAsia="zh-CN"/>
        </w:rPr>
      </w:r>
      <w:r/>
    </w:p>
    <w:p>
      <w:pPr>
        <w:jc w:val="center"/>
        <w:spacing w:after="0" w:line="47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r>
      <w:r/>
    </w:p>
    <w:p>
      <w:pPr>
        <w:jc w:val="center"/>
        <w:spacing w:after="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二、开标一览表</w:t>
      </w:r>
      <w:r/>
    </w:p>
    <w:p>
      <w:pPr>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项目名称：食品安全智慧监管（农药残留）检测能力提升</w:t>
      </w:r>
      <w:r/>
    </w:p>
    <w:p>
      <w:pPr>
        <w:jc w:val="both"/>
        <w:spacing w:after="0" w:line="519"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项目编号：JSZC-320381-ZBGL-G2024-0019</w:t>
      </w:r>
      <w:r/>
    </w:p>
    <w:p>
      <w:pPr>
        <w:jc w:val="center"/>
        <w:spacing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货币单位：人民币元</w:t>
      </w:r>
      <w:r/>
    </w:p>
    <w:tbl>
      <w:tblPr>
        <w:tblStyle w:val="861"/>
        <w:tblW w:w="10172" w:type="dxa"/>
        <w:tblInd w:w="-4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1"/>
        <w:gridCol w:w="4392"/>
        <w:gridCol w:w="1928"/>
        <w:gridCol w:w="2221"/>
      </w:tblGrid>
      <w:tr>
        <w:trPr>
          <w:trHeight w:val="850"/>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631"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采购包</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4392"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firstLine="31"/>
              <w:jc w:val="center"/>
              <w:rPr>
                <w:rFonts w:ascii="宋体" w:hAnsi="宋体" w:eastAsia="宋体" w:cs="宋体"/>
                <w:sz w:val="24"/>
                <w:szCs w:val="24"/>
              </w:rPr>
            </w:pPr>
            <w:r>
              <w:rPr>
                <w:rFonts w:hint="eastAsia" w:ascii="宋体" w:hAnsi="宋体" w:eastAsia="宋体" w:cs="宋体"/>
                <w:sz w:val="24"/>
                <w:szCs w:val="24"/>
              </w:rPr>
              <w:t xml:space="preserve">总价（小写）</w:t>
            </w:r>
            <w:r/>
          </w:p>
        </w:tc>
      </w:tr>
      <w:tr>
        <w:trPr>
          <w:trHeight w:val="8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31" w:type="dxa"/>
            <w:vAlign w:val="center"/>
            <w:textDirection w:val="lrTb"/>
            <w:noWrap w:val="false"/>
          </w:tcPr>
          <w:p>
            <w:pPr>
              <w:jc w:val="both"/>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宋体"/>
                <w:lang w:eastAsia="zh-CN"/>
              </w:rPr>
              <w:t xml:space="preserve">□</w:t>
            </w:r>
            <w:r>
              <w:rPr>
                <w:rFonts w:hint="eastAsia" w:ascii="宋体" w:hAnsi="宋体" w:eastAsia="宋体" w:cs="宋体"/>
                <w:sz w:val="24"/>
                <w:szCs w:val="24"/>
                <w:lang w:val="en-US" w:eastAsia="zh-CN"/>
              </w:rPr>
              <w:t xml:space="preserve">采购包1</w:t>
            </w:r>
            <w:r/>
          </w:p>
          <w:p>
            <w:pPr>
              <w:jc w:val="both"/>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宋体"/>
                <w:lang w:eastAsia="zh-CN"/>
              </w:rPr>
              <w:t xml:space="preserve">□</w:t>
            </w:r>
            <w:r>
              <w:rPr>
                <w:rFonts w:hint="eastAsia" w:ascii="宋体" w:hAnsi="宋体" w:eastAsia="宋体" w:cs="宋体"/>
                <w:sz w:val="24"/>
                <w:szCs w:val="24"/>
                <w:lang w:val="en-US" w:eastAsia="zh-CN"/>
              </w:rPr>
              <w:t xml:space="preserve">采购包2</w:t>
            </w:r>
            <w:r/>
          </w:p>
          <w:p>
            <w:pPr>
              <w:jc w:val="center"/>
              <w:spacing w:after="0" w:line="240" w:lineRule="auto"/>
              <w:rPr>
                <w:rFonts w:hint="default"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eastAsia="宋体" w:cs="宋体"/>
                <w:b/>
                <w:bCs/>
                <w:color w:val="000000"/>
              </w:rPr>
              <w:t xml:space="preserve">请勾选！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92" w:type="dxa"/>
            <w:vAlign w:val="center"/>
            <w:textDirection w:val="lrTb"/>
            <w:noWrap w:val="false"/>
          </w:tcPr>
          <w:p>
            <w:pPr>
              <w:jc w:val="center"/>
              <w:spacing w:after="0" w:line="24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食品安全智慧监管（农药残留）检测能力提升</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850"/>
        </w:trPr>
        <w:tc>
          <w:tcPr>
            <w:gridSpan w:val="2"/>
            <w:tcBorders>
              <w:top w:val="single" w:color="auto" w:sz="4" w:space="0"/>
              <w:left w:val="single" w:color="000000" w:sz="8" w:space="0"/>
              <w:bottom w:val="single" w:color="auto" w:sz="4" w:space="0"/>
              <w:right w:val="single" w:color="auto" w:sz="4" w:space="0"/>
            </w:tcBorders>
            <w:tcMar>
              <w:left w:w="108" w:type="dxa"/>
              <w:top w:w="0" w:type="dxa"/>
              <w:right w:w="108" w:type="dxa"/>
              <w:bottom w:w="0" w:type="dxa"/>
            </w:tcMar>
            <w:tcW w:w="6023"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总价（大写）：</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49"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r>
    </w:tbl>
    <w:p>
      <w:pPr>
        <w:pStyle w:val="1080"/>
        <w:spacing w:line="85" w:lineRule="atLeas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p>
      <w:pPr>
        <w:pStyle w:val="1080"/>
        <w:spacing w:line="85" w:lineRule="atLeast"/>
        <w:pBdr>
          <w:top w:val="none" w:color="000000" w:sz="0" w:space="0"/>
          <w:left w:val="none" w:color="000000" w:sz="0" w:space="0"/>
          <w:bottom w:val="none" w:color="000000" w:sz="0" w:space="0"/>
          <w:right w:val="none" w:color="000000" w:sz="0" w:space="0"/>
        </w:pBdr>
      </w:pPr>
      <w:r/>
      <w:r/>
    </w:p>
    <w:p>
      <w:pPr>
        <w:pStyle w:val="1080"/>
        <w:spacing w:line="85" w:lineRule="atLeast"/>
        <w:pBdr>
          <w:top w:val="none" w:color="000000" w:sz="0" w:space="0"/>
          <w:left w:val="none" w:color="000000" w:sz="0" w:space="0"/>
          <w:bottom w:val="none" w:color="000000" w:sz="0" w:space="0"/>
          <w:right w:val="none" w:color="000000" w:sz="0" w:space="0"/>
        </w:pBdr>
      </w:pPr>
      <w:r/>
      <w:r/>
    </w:p>
    <w:p>
      <w:pPr>
        <w:pStyle w:val="10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10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报价说明：</w:t>
      </w:r>
      <w:r/>
    </w:p>
    <w:p>
      <w:pPr>
        <w:pStyle w:val="1080"/>
        <w:ind w:left="4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1.报价包括完成项目的所有费用。采购人不再支付报价以外的任何费用；</w:t>
      </w:r>
      <w:r/>
    </w:p>
    <w:p>
      <w:pPr>
        <w:pStyle w:val="1080"/>
        <w:ind w:left="4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2.报价以总价为准，大小写不一致以大写为准；</w:t>
      </w:r>
      <w:r/>
    </w:p>
    <w:p>
      <w:pPr>
        <w:pStyle w:val="1080"/>
        <w:ind w:left="4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3.偏离说明：详见《偏离表》；</w:t>
      </w:r>
      <w:r/>
    </w:p>
    <w:p>
      <w:pPr>
        <w:jc w:val="both"/>
        <w:spacing w:after="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both"/>
        <w:spacing w:after="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pStyle w:val="829"/>
        <w:ind w:left="0" w:right="1540"/>
        <w:spacing w:line="360" w:lineRule="auto"/>
        <w:rPr>
          <w:rFonts w:ascii="宋体" w:hAnsi="宋体" w:eastAsia="宋体" w:cs="宋体"/>
          <w:sz w:val="24"/>
          <w:szCs w:val="24"/>
          <w:lang w:eastAsia="zh-CN"/>
        </w:rPr>
      </w:pPr>
      <w:r>
        <w:rPr>
          <w:rFonts w:ascii="宋体" w:hAnsi="宋体" w:eastAsia="宋体" w:cs="宋体"/>
          <w:sz w:val="24"/>
          <w:szCs w:val="24"/>
          <w:lang w:eastAsia="zh-CN"/>
        </w:rPr>
      </w:r>
      <w:r/>
    </w:p>
    <w:p>
      <w:pPr>
        <w:pStyle w:val="829"/>
        <w:ind w:left="442" w:right="1540"/>
        <w:spacing w:after="0" w:line="360" w:lineRule="auto"/>
        <w:rPr>
          <w:sz w:val="24"/>
          <w:szCs w:val="24"/>
          <w:lang w:eastAsia="zh-CN"/>
        </w:rPr>
      </w:pPr>
      <w:r>
        <w:rPr>
          <w:rFonts w:hint="eastAsia" w:ascii="宋体" w:hAnsi="宋体" w:eastAsia="宋体" w:cs="宋体"/>
          <w:sz w:val="24"/>
          <w:szCs w:val="24"/>
          <w:lang w:eastAsia="zh-CN"/>
        </w:rPr>
        <w:t xml:space="preserve">投标人（供应商电子签章）：</w:t>
      </w:r>
      <w:r>
        <w:rPr>
          <w:rFonts w:hint="eastAsia" w:ascii="宋体" w:hAnsi="宋体" w:eastAsia="宋体" w:cs="宋体"/>
          <w:sz w:val="24"/>
          <w:szCs w:val="24"/>
          <w:u w:val="single"/>
          <w:lang w:eastAsia="zh-CN"/>
        </w:rPr>
        <w:t xml:space="preserve"> </w:t>
      </w:r>
      <w:r/>
    </w:p>
    <w:p>
      <w:pPr>
        <w:ind w:left="442"/>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投标人法定代表人或其授权代表：</w:t>
      </w:r>
      <w:r>
        <w:rPr>
          <w:rFonts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left="442"/>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 </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年 </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月 </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日</w:t>
      </w:r>
      <w:r/>
    </w:p>
    <w:p>
      <w:pPr>
        <w:jc w:val="center"/>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lang w:eastAsia="zh-CN"/>
        </w:rPr>
      </w:r>
      <w:r/>
    </w:p>
    <w:p>
      <w:pPr>
        <w:pStyle w:val="829"/>
        <w:rPr>
          <w:rFonts w:ascii="宋体" w:hAnsi="宋体" w:eastAsia="宋体" w:cs="宋体"/>
          <w:sz w:val="28"/>
          <w:szCs w:val="28"/>
          <w:lang w:eastAsia="zh-CN"/>
        </w:rPr>
      </w:pPr>
      <w:r>
        <w:rPr>
          <w:rFonts w:ascii="宋体" w:hAnsi="宋体" w:eastAsia="宋体" w:cs="宋体"/>
          <w:sz w:val="28"/>
          <w:szCs w:val="28"/>
          <w:lang w:eastAsia="zh-CN"/>
        </w:rPr>
      </w:r>
      <w:r/>
    </w:p>
    <w:p>
      <w:pPr>
        <w:pStyle w:val="829"/>
        <w:rPr>
          <w:rFonts w:ascii="宋体" w:hAnsi="宋体" w:eastAsia="宋体" w:cs="宋体"/>
          <w:sz w:val="28"/>
          <w:szCs w:val="28"/>
          <w:lang w:eastAsia="zh-CN"/>
        </w:rPr>
      </w:pPr>
      <w:r>
        <w:rPr>
          <w:rFonts w:ascii="宋体" w:hAnsi="宋体" w:eastAsia="宋体" w:cs="宋体"/>
          <w:sz w:val="28"/>
          <w:szCs w:val="28"/>
          <w:lang w:eastAsia="zh-CN"/>
        </w:rPr>
      </w:r>
      <w:r/>
    </w:p>
    <w:p>
      <w:pPr>
        <w:pStyle w:val="829"/>
        <w:rPr>
          <w:rFonts w:ascii="宋体" w:hAnsi="宋体" w:eastAsia="宋体" w:cs="宋体"/>
          <w:sz w:val="28"/>
          <w:szCs w:val="28"/>
          <w:lang w:eastAsia="zh-CN"/>
        </w:rPr>
      </w:pPr>
      <w:r>
        <w:rPr>
          <w:rFonts w:ascii="宋体" w:hAnsi="宋体" w:eastAsia="宋体" w:cs="宋体"/>
          <w:sz w:val="28"/>
          <w:szCs w:val="28"/>
          <w:lang w:eastAsia="zh-CN"/>
        </w:rPr>
      </w:r>
      <w:r/>
    </w:p>
    <w:p>
      <w:pPr>
        <w:pStyle w:val="829"/>
        <w:rPr>
          <w:rFonts w:ascii="宋体" w:hAnsi="宋体" w:eastAsia="宋体" w:cs="宋体"/>
          <w:sz w:val="28"/>
          <w:szCs w:val="28"/>
          <w:lang w:eastAsia="zh-CN"/>
        </w:rPr>
      </w:pPr>
      <w:r>
        <w:rPr>
          <w:rFonts w:ascii="宋体" w:hAnsi="宋体" w:eastAsia="宋体" w:cs="宋体"/>
          <w:sz w:val="28"/>
          <w:szCs w:val="28"/>
          <w:lang w:eastAsia="zh-CN"/>
        </w:rPr>
      </w:r>
      <w:r/>
    </w:p>
    <w:p>
      <w:pPr>
        <w:pStyle w:val="829"/>
        <w:rPr>
          <w:rFonts w:ascii="宋体" w:hAnsi="宋体" w:eastAsia="宋体" w:cs="宋体"/>
          <w:sz w:val="28"/>
          <w:szCs w:val="28"/>
          <w:lang w:eastAsia="zh-CN"/>
        </w:rPr>
      </w:pPr>
      <w:r>
        <w:rPr>
          <w:rFonts w:ascii="宋体" w:hAnsi="宋体" w:eastAsia="宋体" w:cs="宋体"/>
          <w:sz w:val="28"/>
          <w:szCs w:val="28"/>
          <w:lang w:eastAsia="zh-CN"/>
        </w:rPr>
      </w:r>
      <w:r/>
    </w:p>
    <w:p>
      <w:pPr>
        <w:pStyle w:val="829"/>
        <w:rPr>
          <w:rFonts w:ascii="宋体" w:hAnsi="宋体" w:eastAsia="宋体" w:cs="宋体"/>
          <w:sz w:val="28"/>
          <w:szCs w:val="28"/>
          <w:lang w:eastAsia="zh-CN"/>
        </w:rPr>
      </w:pPr>
      <w:r>
        <w:rPr>
          <w:rFonts w:ascii="宋体" w:hAnsi="宋体" w:eastAsia="宋体" w:cs="宋体"/>
          <w:sz w:val="28"/>
          <w:szCs w:val="28"/>
          <w:lang w:eastAsia="zh-CN"/>
        </w:rPr>
      </w:r>
      <w:r/>
    </w:p>
    <w:p>
      <w:pPr>
        <w:jc w:val="center"/>
        <w:spacing w:after="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三、分项价格表</w:t>
      </w:r>
      <w:r/>
    </w:p>
    <w:p>
      <w:pPr>
        <w:jc w:val="center"/>
        <w:spacing w:after="0" w:line="479" w:lineRule="atLeas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（适用于采购包1、采购包2）</w:t>
      </w:r>
      <w:r/>
    </w:p>
    <w:p>
      <w:pPr>
        <w:pStyle w:val="829"/>
        <w:ind w:left="0" w:right="1540"/>
        <w:rPr>
          <w:lang w:eastAsia="zh-CN"/>
        </w:rPr>
      </w:pPr>
      <w:r>
        <w:rPr>
          <w:lang w:eastAsia="zh-CN"/>
        </w:rPr>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项目名称：食品安全智慧监管（农药残留）检测能力提升</w:t>
      </w:r>
      <w:r/>
    </w:p>
    <w:p>
      <w:pPr>
        <w:jc w:val="both"/>
        <w:spacing w:after="0" w:line="479"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项目编号：JSZC-320381-ZBGL-G2024-0019  </w:t>
      </w:r>
      <w:r/>
    </w:p>
    <w:p>
      <w:pPr>
        <w:jc w:val="right"/>
        <w:spacing w:after="0" w:line="24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货币单位：人民币元</w:t>
      </w:r>
      <w:r/>
    </w:p>
    <w:p>
      <w:pPr>
        <w:pStyle w:val="868"/>
        <w:ind w:firstLine="0"/>
        <w:spacing w:line="300" w:lineRule="auto"/>
        <w:rPr>
          <w:rFonts w:eastAsia="宋体"/>
        </w:rPr>
      </w:pPr>
      <w:r>
        <w:rPr>
          <w:rFonts w:eastAsia="宋体"/>
        </w:rPr>
      </w:r>
      <w:r/>
    </w:p>
    <w:tbl>
      <w:tblPr>
        <w:tblStyle w:val="828"/>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843"/>
        <w:gridCol w:w="791"/>
        <w:gridCol w:w="795"/>
        <w:gridCol w:w="720"/>
        <w:gridCol w:w="720"/>
        <w:gridCol w:w="1139"/>
      </w:tblGrid>
      <w:tr>
        <w:trPr>
          <w:jc w:val="center"/>
          <w:trHeight w:val="2515"/>
        </w:trPr>
        <w:tc>
          <w:tcPr>
            <w:shd w:val="clear" w:color="auto" w:fill="c0c0c0"/>
            <w:tcMar>
              <w:left w:w="15" w:type="dxa"/>
              <w:top w:w="15" w:type="dxa"/>
              <w:right w:w="15" w:type="dxa"/>
              <w:bottom w:w="0" w:type="dxa"/>
            </w:tcMar>
            <w:tcW w:w="50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产品制造企业名称</w:t>
            </w:r>
            <w:r/>
          </w:p>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c0c0c0"/>
            <w:tcMar>
              <w:left w:w="15" w:type="dxa"/>
              <w:top w:w="15" w:type="dxa"/>
              <w:right w:w="15" w:type="dxa"/>
              <w:bottom w:w="0" w:type="dxa"/>
            </w:tcMar>
            <w:tcW w:w="79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单位</w:t>
            </w:r>
            <w:r/>
          </w:p>
        </w:tc>
        <w:tc>
          <w:tcPr>
            <w:shd w:val="clear" w:color="auto" w:fill="c0c0c0"/>
            <w:tcMar>
              <w:left w:w="15" w:type="dxa"/>
              <w:top w:w="15" w:type="dxa"/>
              <w:right w:w="15" w:type="dxa"/>
              <w:bottom w:w="0" w:type="dxa"/>
            </w:tcMar>
            <w:tcW w:w="72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单价</w:t>
            </w:r>
            <w:r/>
          </w:p>
        </w:tc>
        <w:tc>
          <w:tcPr>
            <w:shd w:val="clear" w:color="auto" w:fill="c0c0c0"/>
            <w:tcW w:w="72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总价</w:t>
            </w:r>
            <w:r/>
          </w:p>
        </w:tc>
        <w:tc>
          <w:tcPr>
            <w:shd w:val="clear" w:color="auto" w:fill="c0c0c0"/>
            <w:tcMar>
              <w:left w:w="15" w:type="dxa"/>
              <w:top w:w="15" w:type="dxa"/>
              <w:right w:w="15" w:type="dxa"/>
              <w:bottom w:w="0" w:type="dxa"/>
            </w:tcMar>
            <w:tcW w:w="113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b/>
                <w:bCs/>
                <w:sz w:val="24"/>
                <w:szCs w:val="24"/>
              </w:rPr>
              <w:t xml:space="preserve">备注</w:t>
            </w:r>
            <w:r/>
          </w:p>
        </w:tc>
      </w:tr>
      <w:tr>
        <w:trPr>
          <w:jc w:val="center"/>
          <w:trHeight w:val="300"/>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1346"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1843"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791"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795"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720"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720"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1139"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1346"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1843"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791"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795"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720"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720"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1139"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1346"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1843"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791"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795"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720"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720"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Mar>
              <w:left w:w="15" w:type="dxa"/>
              <w:top w:w="15" w:type="dxa"/>
              <w:right w:w="15" w:type="dxa"/>
              <w:bottom w:w="0" w:type="dxa"/>
            </w:tcMar>
            <w:tcW w:w="1139"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755"/>
        </w:trPr>
        <w:tc>
          <w:tcPr>
            <w:gridSpan w:val="4"/>
            <w:tcMar>
              <w:left w:w="15" w:type="dxa"/>
              <w:top w:w="15" w:type="dxa"/>
              <w:right w:w="15" w:type="dxa"/>
              <w:bottom w:w="0" w:type="dxa"/>
            </w:tcMar>
            <w:tcW w:w="3831" w:type="dxa"/>
            <w:vAlign w:val="bottom"/>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总价合计（即《开标一览表》中的“总价”）</w:t>
            </w:r>
            <w:r/>
          </w:p>
        </w:tc>
        <w:tc>
          <w:tcPr>
            <w:gridSpan w:val="6"/>
            <w:tcW w:w="6008" w:type="dxa"/>
            <w:textDirection w:val="lrTb"/>
            <w:noWrap w:val="false"/>
          </w:tcPr>
          <w:p>
            <w:pPr>
              <w:jc w:val="both"/>
              <w:rPr>
                <w:rFonts w:ascii="宋体" w:hAnsi="宋体" w:eastAsia="宋体" w:cs="宋体"/>
                <w:sz w:val="24"/>
                <w:szCs w:val="24"/>
                <w:lang w:eastAsia="zh-CN"/>
              </w:rPr>
            </w:pPr>
            <w:r>
              <w:rPr>
                <w:rFonts w:ascii="宋体" w:hAnsi="宋体" w:eastAsia="宋体" w:cs="宋体"/>
                <w:sz w:val="24"/>
                <w:szCs w:val="24"/>
                <w:lang w:eastAsia="zh-CN"/>
              </w:rPr>
            </w:r>
            <w:r/>
          </w:p>
        </w:tc>
      </w:tr>
    </w:tbl>
    <w:p>
      <w:pPr>
        <w:pStyle w:val="869"/>
      </w:pPr>
      <w:r/>
      <w:r/>
    </w:p>
    <w:p>
      <w:pPr>
        <w:pStyle w:val="868"/>
        <w:ind w:firstLine="4842"/>
        <w:rPr>
          <w:rFonts w:eastAsia="宋体" w:cs="宋体"/>
        </w:rPr>
      </w:pPr>
      <w:r>
        <w:rPr>
          <w:rFonts w:eastAsia="宋体" w:cs="宋体"/>
        </w:rPr>
      </w:r>
      <w:r/>
    </w:p>
    <w:p>
      <w:pPr>
        <w:pStyle w:val="868"/>
        <w:ind w:firstLine="4842"/>
        <w:rPr>
          <w:rFonts w:eastAsia="宋体" w:cs="宋体"/>
        </w:rPr>
      </w:pPr>
      <w:r>
        <w:rPr>
          <w:rFonts w:eastAsia="宋体" w:cs="宋体"/>
        </w:rPr>
      </w:r>
      <w:r/>
    </w:p>
    <w:p>
      <w:pPr>
        <w:pStyle w:val="868"/>
        <w:ind w:firstLine="4842"/>
        <w:rPr>
          <w:rFonts w:eastAsia="宋体" w:cs="宋体"/>
          <w:u w:val="single"/>
        </w:rPr>
      </w:pPr>
      <w:r>
        <w:rPr>
          <w:rFonts w:hint="eastAsia" w:eastAsia="宋体" w:cs="宋体"/>
        </w:rPr>
        <w:t xml:space="preserve">投标人（供应商电子签章）：</w:t>
      </w:r>
      <w:r>
        <w:rPr>
          <w:rFonts w:hint="eastAsia" w:eastAsia="宋体" w:cs="宋体"/>
          <w:u w:val="single"/>
        </w:rPr>
        <w:t xml:space="preserve"> </w:t>
      </w:r>
      <w:r/>
    </w:p>
    <w:p>
      <w:pPr>
        <w:pStyle w:val="868"/>
        <w:ind w:firstLine="4842"/>
        <w:rPr>
          <w:rFonts w:eastAsia="宋体"/>
        </w:rPr>
      </w:pPr>
      <w:r>
        <w:rPr>
          <w:rFonts w:eastAsia="宋体"/>
        </w:rPr>
        <w:t xml:space="preserve">法定代表人或授权代表（签字或盖章）：</w:t>
      </w:r>
      <w:r/>
    </w:p>
    <w:p>
      <w:pPr>
        <w:pStyle w:val="868"/>
        <w:ind w:firstLine="4842"/>
        <w:rPr>
          <w:rFonts w:eastAsia="宋体" w:cs="宋体"/>
        </w:rPr>
      </w:pPr>
      <w:r>
        <w:rPr>
          <w:rFonts w:eastAsia="宋体"/>
        </w:rPr>
        <w:t xml:space="preserve">日期：   年  月  日</w:t>
      </w:r>
      <w:r/>
    </w:p>
    <w:p>
      <w:pPr>
        <w:rPr>
          <w:rFonts w:ascii="宋体" w:hAnsi="宋体" w:eastAsia="宋体" w:cs="宋体"/>
          <w:sz w:val="24"/>
          <w:szCs w:val="24"/>
          <w:lang w:eastAsia="zh-CN"/>
        </w:rPr>
        <w:outlineLvl w:val="2"/>
      </w:pPr>
      <w:r>
        <w:rPr>
          <w:rFonts w:ascii="宋体" w:hAnsi="宋体" w:eastAsia="宋体" w:cs="宋体"/>
          <w:sz w:val="24"/>
          <w:szCs w:val="24"/>
          <w:lang w:eastAsia="zh-CN"/>
        </w:rPr>
      </w:r>
      <w:r/>
    </w:p>
    <w:p>
      <w:pPr>
        <w:rPr>
          <w:rFonts w:ascii="宋体" w:hAnsi="宋体" w:eastAsia="宋体" w:cs="宋体"/>
          <w:sz w:val="24"/>
          <w:szCs w:val="24"/>
          <w:lang w:eastAsia="zh-CN"/>
        </w:rPr>
        <w:outlineLvl w:val="2"/>
      </w:pPr>
      <w:r>
        <w:rPr>
          <w:rFonts w:hint="eastAsia" w:ascii="宋体" w:hAnsi="宋体" w:eastAsia="宋体" w:cs="宋体"/>
          <w:sz w:val="24"/>
          <w:szCs w:val="24"/>
          <w:lang w:eastAsia="zh-CN"/>
        </w:rPr>
        <w:t xml:space="preserve">注：①如果不提供详细分项报价的，将视为没有实质性响应招标文件。</w:t>
      </w:r>
      <w:r/>
    </w:p>
    <w:p>
      <w:pPr>
        <w:rPr>
          <w:rFonts w:ascii="宋体" w:hAnsi="宋体" w:eastAsia="宋体" w:cs="宋体"/>
          <w:sz w:val="24"/>
          <w:szCs w:val="24"/>
          <w:lang w:eastAsia="zh-CN"/>
        </w:rPr>
        <w:outlineLvl w:val="2"/>
      </w:pPr>
      <w:r>
        <w:rPr>
          <w:rFonts w:hint="eastAsia" w:ascii="宋体" w:hAnsi="宋体" w:eastAsia="宋体" w:cs="宋体"/>
          <w:sz w:val="24"/>
          <w:szCs w:val="24"/>
          <w:lang w:eastAsia="zh-CN"/>
        </w:rPr>
        <w:t xml:space="preserve">②投标人对以上数据的真实性负责。</w:t>
      </w:r>
      <w:r/>
    </w:p>
    <w:p>
      <w:pPr>
        <w:rPr>
          <w:rFonts w:ascii="宋体" w:hAnsi="宋体" w:eastAsia="宋体" w:cs="宋体"/>
          <w:sz w:val="24"/>
          <w:szCs w:val="24"/>
          <w:lang w:eastAsia="zh-CN"/>
        </w:rPr>
        <w:outlineLvl w:val="2"/>
      </w:pPr>
      <w:r>
        <w:rPr>
          <w:rFonts w:hint="eastAsia" w:ascii="宋体" w:hAnsi="宋体" w:eastAsia="宋体" w:cs="宋体"/>
          <w:sz w:val="24"/>
          <w:szCs w:val="24"/>
          <w:lang w:eastAsia="zh-CN"/>
        </w:rPr>
        <w:t xml:space="preserve">江苏众邦工程管理有限公司有权将以上内容进行公示。</w:t>
      </w:r>
      <w:r/>
    </w:p>
    <w:p>
      <w:pPr>
        <w:jc w:val="center"/>
        <w:spacing w:after="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lang w:eastAsia="zh-CN"/>
        </w:rPr>
      </w:r>
      <w:r/>
    </w:p>
    <w:p>
      <w:pPr>
        <w:jc w:val="center"/>
        <w:spacing w:after="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lang w:eastAsia="zh-CN"/>
        </w:rPr>
      </w:r>
      <w:r/>
    </w:p>
    <w:p>
      <w:pPr>
        <w:jc w:val="center"/>
        <w:spacing w:after="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四、偏离表</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项目名称：食品安全智慧监管（农药残留）检测能力提升</w:t>
      </w:r>
      <w:r/>
    </w:p>
    <w:p>
      <w:pPr>
        <w:jc w:val="both"/>
        <w:spacing w:after="0" w:line="479"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项目编号：JSZC-320381-ZBGL-G2024-0019</w:t>
      </w:r>
      <w:r/>
    </w:p>
    <w:p>
      <w:pPr>
        <w:pStyle w:val="829"/>
        <w:ind w:left="1540" w:right="1540"/>
        <w:rPr>
          <w:rFonts w:ascii="宋体" w:hAnsi="宋体" w:eastAsia="宋体" w:cs="宋体"/>
          <w:sz w:val="24"/>
          <w:szCs w:val="24"/>
          <w:lang w:eastAsia="zh-CN"/>
        </w:rPr>
      </w:pPr>
      <w:r>
        <w:rPr>
          <w:rFonts w:ascii="宋体" w:hAnsi="宋体" w:eastAsia="宋体" w:cs="宋体"/>
          <w:sz w:val="24"/>
          <w:szCs w:val="24"/>
          <w:lang w:eastAsia="zh-CN"/>
        </w:rPr>
      </w:r>
      <w:r/>
    </w:p>
    <w:tbl>
      <w:tblPr>
        <w:tblStyle w:val="861"/>
        <w:tblW w:w="98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538"/>
        <w:gridCol w:w="1616"/>
        <w:gridCol w:w="1773"/>
        <w:gridCol w:w="1380"/>
        <w:gridCol w:w="2759"/>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bl>
    <w:p>
      <w:pPr>
        <w:ind w:firstLine="562"/>
        <w:jc w:val="both"/>
        <w:spacing w:after="0" w:line="43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注</w:t>
      </w:r>
      <w:r>
        <w:rPr>
          <w:rFonts w:hint="eastAsia" w:ascii="宋体" w:hAnsi="宋体" w:eastAsia="宋体" w:cs="宋体"/>
          <w:sz w:val="24"/>
          <w:szCs w:val="24"/>
          <w:lang w:eastAsia="zh-CN"/>
        </w:rPr>
        <w:t xml:space="preserve">：投标人的投标文件中的内容与招标文件（含招标文件的澄清或者修改的内容）的要求不同时，逐条列在偏离表中，否则将认为投标人接受招标文件的要求。</w:t>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投标人（供应商电子签章）：</w:t>
      </w:r>
      <w:r>
        <w:rPr>
          <w:rFonts w:hint="eastAsia" w:ascii="宋体" w:hAnsi="宋体" w:eastAsia="宋体" w:cs="宋体"/>
          <w:sz w:val="24"/>
          <w:szCs w:val="24"/>
          <w:u w:val="single"/>
          <w:lang w:eastAsia="zh-CN"/>
        </w:rPr>
        <w:t xml:space="preserve">                           </w:t>
      </w:r>
      <w:r/>
    </w:p>
    <w:p>
      <w:pPr>
        <w:pStyle w:val="829"/>
        <w:ind w:left="1540" w:right="1540"/>
        <w:rPr>
          <w:rFonts w:ascii="宋体" w:hAnsi="宋体" w:eastAsia="宋体" w:cs="宋体"/>
          <w:sz w:val="24"/>
          <w:szCs w:val="24"/>
          <w:lang w:eastAsia="zh-CN"/>
        </w:rPr>
      </w:pPr>
      <w:r>
        <w:rPr>
          <w:rFonts w:ascii="宋体" w:hAnsi="宋体" w:eastAsia="宋体" w:cs="宋体"/>
          <w:sz w:val="24"/>
          <w:szCs w:val="24"/>
          <w:lang w:eastAsia="zh-CN"/>
        </w:rPr>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投标人法定代表人或其授权代表：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pStyle w:val="829"/>
        <w:ind w:left="1540" w:right="1540"/>
        <w:rPr>
          <w:rFonts w:ascii="宋体" w:hAnsi="宋体" w:eastAsia="宋体" w:cs="宋体"/>
          <w:sz w:val="24"/>
          <w:szCs w:val="24"/>
          <w:lang w:eastAsia="zh-CN"/>
        </w:rPr>
      </w:pPr>
      <w:r>
        <w:rPr>
          <w:rFonts w:ascii="宋体" w:hAnsi="宋体" w:eastAsia="宋体" w:cs="宋体"/>
          <w:sz w:val="24"/>
          <w:szCs w:val="24"/>
          <w:lang w:eastAsia="zh-CN"/>
        </w:rPr>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     年   月   日</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jc w:val="both"/>
        <w:spacing w:after="0"/>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br w:type="page" w:clear="all"/>
      </w:r>
      <w:r/>
    </w:p>
    <w:p>
      <w:pPr>
        <w:jc w:val="center"/>
        <w:spacing w:after="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五、法定代表人授权书</w:t>
      </w:r>
      <w:r/>
    </w:p>
    <w:p>
      <w:pPr>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委托人：</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地址：</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法定代表人（负责人）：            职务：</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统一社会信用代码：</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受托人：                性别：男（女）</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年龄：岁                民族：    族</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职务：</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身份证号：</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兹委托（    ）全权代表我企业（公司）参与（食品安全智慧监管（农药残留）检测能力提</w:t>
      </w:r>
      <w:r>
        <w:rPr>
          <w:rFonts w:hint="eastAsia" w:ascii="宋体" w:hAnsi="宋体" w:eastAsia="宋体" w:cs="宋体"/>
          <w:sz w:val="24"/>
          <w:szCs w:val="24"/>
          <w:highlight w:val="none"/>
          <w:lang w:eastAsia="zh-CN"/>
        </w:rPr>
        <w:t xml:space="preserve">升）（项目编号：JSZC-320381-ZBGL-G2024-0019）的</w:t>
      </w:r>
      <w:r>
        <w:rPr>
          <w:rFonts w:hint="eastAsia" w:ascii="宋体" w:hAnsi="宋体" w:eastAsia="宋体" w:cs="宋体"/>
          <w:sz w:val="24"/>
          <w:szCs w:val="24"/>
          <w:lang w:eastAsia="zh-CN"/>
        </w:rPr>
        <w:t xml:space="preserve">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特此授权委托。</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委托人（公章）： </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受托人（签字或盖章）：</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法定代表人（签字或盖章）： </w:t>
      </w:r>
      <w:r/>
    </w:p>
    <w:p>
      <w:pPr>
        <w:ind w:right="600" w:firstLine="615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right="600" w:firstLine="615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年 </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月 </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日 </w:t>
      </w:r>
      <w:r/>
    </w:p>
    <w:p>
      <w:pPr>
        <w:jc w:val="center"/>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b/>
          <w:bCs/>
          <w:sz w:val="24"/>
          <w:szCs w:val="24"/>
          <w:lang w:eastAsia="zh-CN"/>
        </w:rPr>
        <w:t xml:space="preserve">法定代表人身份证</w:t>
      </w:r>
      <w:r>
        <w:rPr>
          <w:rFonts w:hint="eastAsia" w:ascii="宋体" w:hAnsi="宋体" w:eastAsia="宋体" w:cs="宋体"/>
          <w:sz w:val="24"/>
          <w:szCs w:val="24"/>
          <w:lang w:eastAsia="zh-CN"/>
        </w:rPr>
        <w:t xml:space="preserve">及</w:t>
      </w:r>
      <w:r>
        <w:rPr>
          <w:rFonts w:hint="eastAsia" w:ascii="宋体" w:hAnsi="宋体" w:eastAsia="宋体" w:cs="宋体"/>
          <w:b/>
          <w:bCs/>
          <w:sz w:val="24"/>
          <w:szCs w:val="24"/>
          <w:lang w:eastAsia="zh-CN"/>
        </w:rPr>
        <w:t xml:space="preserve">受托人身份证</w:t>
      </w:r>
      <w:r>
        <w:rPr>
          <w:rFonts w:hint="eastAsia" w:ascii="宋体" w:hAnsi="宋体" w:eastAsia="宋体" w:cs="宋体"/>
          <w:sz w:val="24"/>
          <w:szCs w:val="24"/>
          <w:lang w:eastAsia="zh-CN"/>
        </w:rPr>
        <w:t xml:space="preserve">正反面附后)</w:t>
      </w:r>
      <w:r/>
    </w:p>
    <w:p>
      <w:pPr>
        <w:ind w:firstLine="4470"/>
        <w:jc w:val="both"/>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ind w:firstLine="4470"/>
        <w:jc w:val="both"/>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ind w:firstLine="4470"/>
        <w:jc w:val="both"/>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ind w:firstLine="4470"/>
        <w:jc w:val="both"/>
        <w:spacing w:after="0"/>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jc w:val="center"/>
        <w:spacing w:before="100" w:after="10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六、中小企业声明函格式</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项目名称：食品安全智慧监管（农药残留）检测能力提升</w:t>
      </w:r>
      <w:r/>
    </w:p>
    <w:p>
      <w:pPr>
        <w:jc w:val="both"/>
        <w:spacing w:after="0" w:line="479"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项目编号：JSZC-320381-ZBGL-G2024-0019</w:t>
      </w:r>
      <w:r/>
    </w:p>
    <w:p>
      <w:pPr>
        <w:pStyle w:val="859"/>
        <w:rPr>
          <w:sz w:val="24"/>
          <w:szCs w:val="24"/>
          <w:lang w:eastAsia="zh-CN"/>
        </w:rPr>
      </w:pPr>
      <w:r>
        <w:rPr>
          <w:sz w:val="24"/>
          <w:szCs w:val="24"/>
          <w:lang w:eastAsia="zh-CN"/>
        </w:rPr>
      </w:r>
      <w:r/>
    </w:p>
    <w:p>
      <w:pPr>
        <w:ind w:firstLine="480"/>
        <w:spacing w:line="360" w:lineRule="auto"/>
        <w:rPr>
          <w:rFonts w:ascii="宋体" w:hAnsi="宋体" w:eastAsia="宋体" w:cs="宋体"/>
          <w:sz w:val="24"/>
        </w:rPr>
      </w:pPr>
      <w:r>
        <w:rPr>
          <w:rFonts w:hint="eastAsia" w:ascii="宋体" w:hAnsi="宋体" w:eastAsia="宋体" w:cs="宋体"/>
          <w:sz w:val="24"/>
          <w:lang w:eastAsia="zh-CN"/>
        </w:rPr>
        <w:t xml:space="preserve">本公司郑重声明，根据《政府采购促进中小企业发展管理办法》（财库﹝2020﹞46号）的规定，本公司参加（新沂市检验检测中心）的（食品安全智慧监管（农药残留）检测能力提升）采购活动，提供的货物全部由符合政策要求的中小企业制造。</w:t>
      </w:r>
      <w:r>
        <w:rPr>
          <w:rFonts w:hint="eastAsia" w:ascii="宋体" w:hAnsi="宋体" w:eastAsia="宋体" w:cs="宋体"/>
          <w:sz w:val="24"/>
        </w:rPr>
        <w:t xml:space="preserve">相关企业的具体情况如下：</w:t>
      </w:r>
      <w:r/>
    </w:p>
    <w:p>
      <w:pPr>
        <w:pStyle w:val="868"/>
        <w:numPr>
          <w:ilvl w:val="0"/>
          <w:numId w:val="7"/>
        </w:numPr>
        <w:ind w:firstLine="420"/>
        <w:spacing w:line="440" w:lineRule="exact"/>
        <w:rPr>
          <w:rFonts w:eastAsia="宋体" w:cs="宋体"/>
          <w:b/>
          <w:bCs/>
          <w:color w:val="000000"/>
        </w:rPr>
      </w:pPr>
      <w:r>
        <w:rPr>
          <w:rFonts w:hint="eastAsia" w:eastAsia="宋体" w:cs="宋体"/>
          <w:color w:val="000000"/>
        </w:rPr>
        <w:t xml:space="preserve">（</w:t>
      </w:r>
      <w:r>
        <w:rPr>
          <w:rFonts w:hint="eastAsia" w:eastAsia="宋体" w:cs="宋体"/>
          <w:color w:val="000000"/>
          <w:u w:val="single"/>
        </w:rPr>
        <w:t xml:space="preserve">标的名称</w:t>
      </w:r>
      <w:r>
        <w:rPr>
          <w:rFonts w:hint="eastAsia" w:eastAsia="宋体" w:cs="宋体"/>
          <w:color w:val="000000"/>
        </w:rPr>
        <w:t xml:space="preserve">），属于（</w:t>
      </w:r>
      <w:r>
        <w:rPr>
          <w:rFonts w:hint="eastAsia" w:eastAsia="宋体" w:cs="宋体"/>
          <w:color w:val="000000"/>
          <w:u w:val="single"/>
        </w:rPr>
        <w:t xml:space="preserve">工业</w:t>
      </w:r>
      <w:r>
        <w:rPr>
          <w:rFonts w:hint="eastAsia" w:eastAsia="宋体" w:cs="宋体"/>
          <w:color w:val="000000"/>
        </w:rPr>
        <w:t xml:space="preserve">）行业；制造商为</w:t>
      </w:r>
      <w:r>
        <w:rPr>
          <w:rFonts w:hint="eastAsia" w:eastAsia="宋体" w:cs="宋体"/>
          <w:color w:val="000000"/>
          <w:u w:val="single"/>
        </w:rPr>
        <w:t xml:space="preserve">（企业名称）</w:t>
      </w:r>
      <w:r>
        <w:rPr>
          <w:rFonts w:hint="eastAsia" w:eastAsia="宋体" w:cs="宋体"/>
          <w:color w:val="000000"/>
        </w:rPr>
        <w:t xml:space="preserve">，从业人员</w:t>
      </w:r>
      <w:r>
        <w:rPr>
          <w:rFonts w:hint="eastAsia" w:eastAsia="宋体" w:cs="宋体"/>
          <w:color w:val="000000"/>
          <w:u w:val="single"/>
        </w:rPr>
        <w:t xml:space="preserve">       </w:t>
      </w:r>
      <w:r>
        <w:rPr>
          <w:rFonts w:hint="eastAsia" w:eastAsia="宋体" w:cs="宋体"/>
          <w:color w:val="000000"/>
        </w:rPr>
        <w:t xml:space="preserve">人， 营业收入为</w:t>
      </w:r>
      <w:r>
        <w:rPr>
          <w:rFonts w:hint="eastAsia" w:eastAsia="宋体" w:cs="宋体"/>
          <w:color w:val="000000"/>
          <w:u w:val="single"/>
        </w:rPr>
        <w:t xml:space="preserve">    </w:t>
      </w:r>
      <w:r>
        <w:rPr>
          <w:rFonts w:hint="eastAsia" w:eastAsia="宋体" w:cs="宋体"/>
          <w:color w:val="000000"/>
        </w:rPr>
        <w:t xml:space="preserve">万元，资产总额为</w:t>
      </w:r>
      <w:r>
        <w:rPr>
          <w:rFonts w:hint="eastAsia" w:eastAsia="宋体" w:cs="宋体"/>
          <w:color w:val="000000"/>
          <w:u w:val="single"/>
        </w:rPr>
        <w:t xml:space="preserve">    </w:t>
      </w:r>
      <w:r>
        <w:rPr>
          <w:rFonts w:hint="eastAsia" w:eastAsia="宋体" w:cs="宋体"/>
          <w:color w:val="000000"/>
        </w:rPr>
        <w:t xml:space="preserve">万元，</w:t>
      </w:r>
      <w:r>
        <w:rPr>
          <w:rFonts w:hint="eastAsia" w:eastAsia="宋体" w:cs="宋体"/>
          <w:b/>
          <w:bCs/>
          <w:color w:val="000000"/>
        </w:rPr>
        <w:t xml:space="preserve">属于（</w:t>
      </w:r>
      <w:r>
        <w:rPr>
          <w:rFonts w:hint="eastAsia" w:eastAsia="宋体" w:cs="宋体"/>
        </w:rPr>
        <w:t xml:space="preserve">□</w:t>
      </w:r>
      <w:r>
        <w:rPr>
          <w:rFonts w:hint="eastAsia" w:eastAsia="宋体" w:cs="宋体"/>
          <w:b/>
          <w:bCs/>
          <w:color w:val="000000"/>
        </w:rPr>
        <w:t xml:space="preserve">中型企业、</w:t>
      </w:r>
      <w:r>
        <w:rPr>
          <w:rFonts w:hint="eastAsia" w:eastAsia="宋体" w:cs="宋体"/>
        </w:rPr>
        <w:t xml:space="preserve">□</w:t>
      </w:r>
      <w:r>
        <w:rPr>
          <w:rFonts w:hint="eastAsia" w:eastAsia="宋体" w:cs="宋体"/>
          <w:b/>
          <w:bCs/>
          <w:color w:val="000000"/>
        </w:rPr>
        <w:t xml:space="preserve">小型企业、</w:t>
      </w:r>
      <w:r>
        <w:rPr>
          <w:rFonts w:hint="eastAsia" w:eastAsia="宋体" w:cs="宋体"/>
        </w:rPr>
        <w:t xml:space="preserve">□</w:t>
      </w:r>
      <w:r>
        <w:rPr>
          <w:rFonts w:hint="eastAsia" w:eastAsia="宋体" w:cs="宋体"/>
          <w:b/>
          <w:bCs/>
          <w:color w:val="000000"/>
        </w:rPr>
        <w:t xml:space="preserve">微型企业，请勾选！)；</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 </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本企业对上述声明内容的真实性负责。如有虚假，将依法承担相应责任。</w:t>
      </w:r>
      <w:r/>
    </w:p>
    <w:p>
      <w:pPr>
        <w:spacing w:line="360" w:lineRule="auto"/>
        <w:rPr>
          <w:rFonts w:ascii="宋体" w:hAnsi="宋体" w:eastAsia="宋体" w:cs="宋体"/>
          <w:sz w:val="24"/>
          <w:szCs w:val="24"/>
          <w:lang w:eastAsia="zh-CN"/>
        </w:rPr>
      </w:pPr>
      <w:r>
        <w:rPr>
          <w:rFonts w:ascii="宋体" w:hAnsi="宋体" w:eastAsia="宋体" w:cs="宋体"/>
          <w:sz w:val="24"/>
          <w:szCs w:val="24"/>
          <w:lang w:eastAsia="zh-CN"/>
        </w:rPr>
      </w:r>
      <w:r/>
    </w:p>
    <w:p>
      <w:pPr>
        <w:ind w:firstLine="5448"/>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企业名称（电子签章）：</w:t>
      </w:r>
      <w:r/>
    </w:p>
    <w:p>
      <w:pPr>
        <w:ind w:firstLine="60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                       日    期：</w:t>
      </w:r>
      <w:r/>
    </w:p>
    <w:p>
      <w:pPr>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firstLine="60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备注：</w:t>
      </w:r>
      <w:r/>
    </w:p>
    <w:p>
      <w:pPr>
        <w:ind w:firstLine="600"/>
        <w:spacing w:after="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1.如未提供中小企业声明函的，则其提供服务的投标报价不能享受采购文件规定的价格扣除，但不影响投标人投标文件的有效性。</w:t>
      </w:r>
      <w:r/>
    </w:p>
    <w:p>
      <w:pPr>
        <w:ind w:firstLine="600"/>
        <w:spacing w:after="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2.如提供虚假中小企业声明函的，则采购人有权取消投标、中标候选或中标资格，有权终止合同，并报政府采购监管部门。</w:t>
      </w:r>
      <w:r/>
    </w:p>
    <w:p>
      <w:pPr>
        <w:ind w:firstLine="600"/>
        <w:spacing w:after="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3.《中小企业声明函》查询渠道用微信搜索“中小企业规模类型自测小程序”。</w:t>
      </w:r>
      <w:r/>
    </w:p>
    <w:p>
      <w:pPr>
        <w:ind w:firstLine="600"/>
        <w:spacing w:after="0"/>
        <w:rPr>
          <w:rFonts w:ascii="宋体" w:hAnsi="宋体" w:eastAsia="宋体" w:cs="宋体"/>
          <w:i/>
          <w:iCs/>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iCs/>
          <w:sz w:val="24"/>
          <w:szCs w:val="24"/>
          <w:lang w:eastAsia="zh-CN"/>
        </w:rPr>
      </w:r>
      <w:r/>
    </w:p>
    <w:p>
      <w:pPr>
        <w:pStyle w:val="829"/>
        <w:ind w:left="1540" w:right="1540"/>
        <w:jc w:val="center"/>
        <w:rPr>
          <w:rFonts w:ascii="宋体" w:hAnsi="宋体" w:eastAsia="宋体" w:cs="宋体"/>
          <w:sz w:val="24"/>
          <w:szCs w:val="24"/>
          <w:lang w:eastAsia="zh-CN"/>
        </w:rPr>
      </w:pPr>
      <w:r>
        <w:rPr>
          <w:rFonts w:ascii="宋体" w:hAnsi="宋体" w:eastAsia="宋体" w:cs="宋体"/>
          <w:sz w:val="24"/>
          <w:szCs w:val="24"/>
          <w:lang w:eastAsia="zh-CN"/>
        </w:rPr>
      </w:r>
      <w:r/>
    </w:p>
    <w:p>
      <w:pPr>
        <w:pStyle w:val="829"/>
        <w:ind w:left="1540" w:right="1540"/>
        <w:jc w:val="center"/>
        <w:rPr>
          <w:rFonts w:ascii="宋体" w:hAnsi="宋体" w:eastAsia="宋体" w:cs="宋体"/>
          <w:sz w:val="24"/>
          <w:szCs w:val="24"/>
          <w:lang w:eastAsia="zh-CN"/>
        </w:rPr>
      </w:pPr>
      <w:r>
        <w:rPr>
          <w:rFonts w:ascii="宋体" w:hAnsi="宋体" w:eastAsia="宋体" w:cs="宋体"/>
          <w:sz w:val="24"/>
          <w:szCs w:val="24"/>
          <w:lang w:eastAsia="zh-CN"/>
        </w:rPr>
      </w:r>
      <w:r/>
    </w:p>
    <w:p>
      <w:pPr>
        <w:pStyle w:val="829"/>
        <w:ind w:left="1540" w:right="1540"/>
        <w:jc w:val="center"/>
        <w:rPr>
          <w:rFonts w:ascii="宋体" w:hAnsi="宋体" w:eastAsia="宋体" w:cs="宋体"/>
          <w:sz w:val="28"/>
          <w:szCs w:val="28"/>
          <w:lang w:eastAsia="zh-CN"/>
        </w:rPr>
      </w:pPr>
      <w:r>
        <w:rPr>
          <w:rFonts w:hint="eastAsia" w:ascii="宋体" w:hAnsi="宋体" w:eastAsia="宋体" w:cs="宋体"/>
          <w:sz w:val="24"/>
          <w:szCs w:val="24"/>
          <w:lang w:eastAsia="zh-CN"/>
        </w:rPr>
        <w:t xml:space="preserve"> </w:t>
      </w:r>
      <w:r/>
    </w:p>
    <w:p>
      <w:pPr>
        <w:jc w:val="center"/>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eastAsia="宋体" w:cs="宋体"/>
          <w:b/>
          <w:bCs/>
          <w:sz w:val="28"/>
          <w:szCs w:val="28"/>
          <w:lang w:eastAsia="zh-CN"/>
        </w:rPr>
        <w:t xml:space="preserve">七、</w:t>
      </w:r>
      <w:r>
        <w:rPr>
          <w:rFonts w:hint="eastAsia" w:eastAsia="宋体" w:cs="宋体"/>
          <w:b/>
          <w:spacing w:val="6"/>
          <w:sz w:val="28"/>
          <w:szCs w:val="28"/>
          <w:lang w:eastAsia="zh-CN"/>
        </w:rPr>
        <w:t xml:space="preserve">残疾人福利性单位声明函</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项目名称：食品安全智慧监管（农药残留）检测能力提升</w:t>
      </w:r>
      <w:r/>
    </w:p>
    <w:p>
      <w:pPr>
        <w:jc w:val="both"/>
        <w:spacing w:after="0" w:line="479" w:lineRule="atLeast"/>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项目编号：JSZC-320381-ZBGL-G2024-0019</w:t>
      </w:r>
      <w:r/>
    </w:p>
    <w:p>
      <w:pPr>
        <w:pStyle w:val="868"/>
        <w:ind w:firstLine="504"/>
        <w:spacing w:line="588" w:lineRule="exact"/>
        <w:rPr>
          <w:rFonts w:eastAsia="宋体" w:cs="宋体"/>
          <w:spacing w:val="6"/>
        </w:rPr>
      </w:pPr>
      <w:r>
        <w:rPr>
          <w:rFonts w:hint="eastAsia" w:eastAsia="宋体" w:cs="宋体"/>
          <w:spacing w:val="6"/>
        </w:rPr>
        <w:t xml:space="preserve">本单位郑重声明，根据《财政部 民政部 中国残疾人联合会关于促进残疾人就业政府采购政策的通知》（财库</w:t>
      </w:r>
      <w:r>
        <w:rPr>
          <w:rFonts w:hint="eastAsia" w:eastAsia="宋体" w:cs="宋体"/>
        </w:rPr>
        <w:t xml:space="preserve">〔2017〕141</w:t>
      </w:r>
      <w:r>
        <w:rPr>
          <w:rFonts w:hint="eastAsia" w:eastAsia="宋体" w:cs="宋体"/>
          <w:spacing w:val="6"/>
        </w:rPr>
        <w:t xml:space="preserve">号）的规定，本单位为符合条件的残疾人福利性单位，且本单位参加</w:t>
      </w:r>
      <w:r>
        <w:rPr>
          <w:rFonts w:hint="eastAsia" w:eastAsia="宋体" w:cs="宋体"/>
          <w:spacing w:val="6"/>
          <w:u w:val="single"/>
        </w:rPr>
        <w:t xml:space="preserve">      </w:t>
      </w:r>
      <w:r>
        <w:rPr>
          <w:rFonts w:hint="eastAsia" w:eastAsia="宋体" w:cs="宋体"/>
          <w:spacing w:val="6"/>
        </w:rPr>
        <w:t xml:space="preserve">单位的</w:t>
      </w:r>
      <w:r>
        <w:rPr>
          <w:rFonts w:hint="eastAsia" w:eastAsia="宋体" w:cs="宋体"/>
          <w:spacing w:val="6"/>
          <w:u w:val="single"/>
        </w:rPr>
        <w:t xml:space="preserve">            </w:t>
      </w:r>
      <w:r>
        <w:rPr>
          <w:rFonts w:hint="eastAsia" w:eastAsia="宋体" w:cs="宋体"/>
          <w:spacing w:val="6"/>
        </w:rPr>
        <w:t xml:space="preserve">项目采购活动提供本单位制造的货物（由本单位承担工程/提供服务），或者提供其他残疾人福利性单位制造的货物（不包括使用非残疾人福利性单位注册商标的货物）。</w:t>
      </w:r>
      <w:r/>
    </w:p>
    <w:p>
      <w:pPr>
        <w:pStyle w:val="868"/>
        <w:ind w:firstLine="504"/>
        <w:spacing w:line="588" w:lineRule="exact"/>
        <w:rPr>
          <w:rFonts w:eastAsia="宋体" w:cs="宋体"/>
          <w:spacing w:val="6"/>
        </w:rPr>
      </w:pPr>
      <w:r>
        <w:rPr>
          <w:rFonts w:hint="eastAsia" w:eastAsia="宋体" w:cs="宋体"/>
          <w:spacing w:val="6"/>
        </w:rPr>
        <w:t xml:space="preserve">本单位对上述声明的真实性负责。如有虚假，将依法承担相应责任。</w:t>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firstLine="5448"/>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企业名称（电子签章）：</w:t>
      </w:r>
      <w:r/>
    </w:p>
    <w:p>
      <w:pPr>
        <w:ind w:firstLine="60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                       日    期：</w:t>
      </w:r>
      <w:r/>
    </w:p>
    <w:p>
      <w:pPr>
        <w:pStyle w:val="868"/>
        <w:ind w:right="1560" w:firstLine="504"/>
        <w:jc w:val="center"/>
        <w:spacing w:line="588" w:lineRule="exact"/>
        <w:tabs>
          <w:tab w:val="left" w:pos="4860" w:leader="none"/>
        </w:tabs>
        <w:rPr>
          <w:rFonts w:eastAsia="宋体" w:cs="宋体"/>
          <w:spacing w:val="6"/>
        </w:rPr>
      </w:pPr>
      <w:r>
        <w:rPr>
          <w:rFonts w:eastAsia="宋体" w:cs="宋体"/>
          <w:spacing w:val="6"/>
        </w:rPr>
      </w:r>
      <w:r/>
    </w:p>
    <w:p>
      <w:pPr>
        <w:jc w:val="both"/>
        <w:spacing w:line="360" w:lineRule="auto"/>
        <w:widowControl w:val="off"/>
        <w:rPr>
          <w:rFonts w:ascii="宋体" w:hAnsi="宋体" w:eastAsia="宋体" w:cs="宋体"/>
          <w:spacing w:val="6"/>
          <w:sz w:val="24"/>
          <w:lang w:eastAsia="zh-CN"/>
        </w:rPr>
      </w:pPr>
      <w:r>
        <w:rPr>
          <w:rFonts w:hint="eastAsia" w:ascii="宋体" w:hAnsi="宋体" w:eastAsia="宋体" w:cs="宋体"/>
          <w:spacing w:val="6"/>
          <w:sz w:val="24"/>
          <w:lang w:eastAsia="zh-CN"/>
        </w:rPr>
        <w:t xml:space="preserve">注：</w:t>
      </w:r>
      <w:r/>
    </w:p>
    <w:p>
      <w:pPr>
        <w:ind w:firstLine="504"/>
        <w:jc w:val="both"/>
        <w:spacing w:line="360" w:lineRule="auto"/>
        <w:widowControl w:val="off"/>
        <w:rPr>
          <w:rFonts w:ascii="宋体" w:hAnsi="宋体" w:eastAsia="宋体" w:cs="宋体"/>
          <w:sz w:val="28"/>
          <w:szCs w:val="28"/>
          <w:lang w:eastAsia="zh-CN"/>
        </w:rPr>
      </w:pPr>
      <w:r>
        <w:rPr>
          <w:rFonts w:hint="eastAsia" w:ascii="宋体" w:hAnsi="宋体" w:eastAsia="宋体" w:cs="宋体"/>
          <w:spacing w:val="6"/>
          <w:sz w:val="24"/>
          <w:lang w:eastAsia="zh-CN"/>
        </w:rPr>
        <w:t xml:space="preserve">1.具体以《关于促进残疾人就业政府采购政策的通知》（财库〔2017〕141号）的规定为准。</w:t>
      </w:r>
      <w:r/>
    </w:p>
    <w:p>
      <w:pPr>
        <w:ind w:firstLine="506"/>
        <w:jc w:val="both"/>
        <w:spacing w:line="360" w:lineRule="auto"/>
        <w:widowControl w:val="off"/>
        <w:rPr>
          <w:rFonts w:asciiTheme="minorEastAsia" w:hAnsiTheme="minorEastAsia" w:eastAsiaTheme="minorEastAsia"/>
          <w:b/>
          <w:bCs/>
          <w:color w:val="ff0000"/>
          <w:spacing w:val="6"/>
          <w:sz w:val="36"/>
          <w:szCs w:val="36"/>
          <w:lang w:eastAsia="zh-CN"/>
        </w:rPr>
      </w:pPr>
      <w:r>
        <w:rPr>
          <w:rFonts w:hint="eastAsia" w:ascii="宋体" w:hAnsi="宋体" w:eastAsia="宋体" w:cs="宋体"/>
          <w:b/>
          <w:bCs/>
          <w:color w:val="ff0000"/>
          <w:spacing w:val="6"/>
          <w:sz w:val="24"/>
          <w:lang w:eastAsia="zh-CN"/>
        </w:rPr>
        <w:t xml:space="preserve">2. 如供应商不属于残疾人福利性单位不需要提供此声明函。</w:t>
      </w:r>
      <w:r/>
    </w:p>
    <w:p>
      <w:pPr>
        <w:jc w:val="center"/>
        <w:rPr>
          <w:rFonts w:cs="宋体" w:asciiTheme="minorEastAsia" w:hAnsiTheme="minorEastAsia" w:eastAsiaTheme="minorEastAsia"/>
          <w:sz w:val="28"/>
          <w:szCs w:val="28"/>
          <w:lang w:eastAsia="zh-CN"/>
        </w:rPr>
      </w:pPr>
      <w:r>
        <w:rPr>
          <w:rFonts w:hint="eastAsia" w:cs="宋体" w:asciiTheme="minorEastAsia" w:hAnsiTheme="minorEastAsia" w:eastAsiaTheme="minorEastAsia"/>
          <w:sz w:val="28"/>
          <w:szCs w:val="28"/>
          <w:lang w:eastAsia="zh-CN"/>
        </w:rPr>
        <w:br w:type="page" w:clear="all"/>
      </w:r>
      <w:bookmarkStart w:id="3" w:name="_Toc12965_WPSOffice_Level2"/>
      <w:r/>
      <w:bookmarkStart w:id="4" w:name="_Toc27841_WPSOffice_Level2"/>
      <w:r/>
      <w:bookmarkEnd w:id="3"/>
      <w:r/>
      <w:bookmarkEnd w:id="4"/>
      <w:r/>
      <w:r/>
    </w:p>
    <w:p>
      <w:pPr>
        <w:jc w:val="center"/>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szCs w:val="24"/>
          <w:lang w:val="en-US" w:eastAsia="zh-CN"/>
        </w:rPr>
        <w:t xml:space="preserve">八</w:t>
      </w:r>
      <w:r>
        <w:rPr>
          <w:rFonts w:hint="eastAsia" w:cs="宋体" w:asciiTheme="minorEastAsia" w:hAnsiTheme="minorEastAsia" w:eastAsiaTheme="minorEastAsia"/>
          <w:b/>
          <w:bCs/>
          <w:sz w:val="24"/>
          <w:szCs w:val="24"/>
          <w:lang w:eastAsia="zh-CN"/>
        </w:rPr>
        <w:t xml:space="preserve">、投标人参加政府采购活动前3年内在经营活动中没有重大违法记录的书面声明</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ind w:firstLine="600"/>
        <w:jc w:val="both"/>
        <w:spacing w:after="0" w:line="479" w:lineRule="atLeast"/>
        <w:rPr>
          <w:rFonts w:ascii="宋体" w:hAnsi="宋体" w:eastAsia="宋体" w:cs="宋体"/>
          <w:spacing w:val="6"/>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4"/>
          <w:szCs w:val="24"/>
          <w:lang w:eastAsia="zh-CN"/>
        </w:rPr>
        <w:t xml:space="preserve">我单位在参加食品安全智慧监管（农药残留）检测能力提</w:t>
      </w:r>
      <w:r>
        <w:rPr>
          <w:rFonts w:hint="eastAsia" w:cs="宋体" w:asciiTheme="minorEastAsia" w:hAnsiTheme="minorEastAsia" w:eastAsiaTheme="minorEastAsia"/>
          <w:spacing w:val="6"/>
          <w:sz w:val="24"/>
          <w:szCs w:val="24"/>
          <w:highlight w:val="none"/>
          <w:lang w:eastAsia="zh-CN"/>
        </w:rPr>
        <w:t xml:space="preserve">升（项目编号：JSZC-320381-ZBGL-G2024-0019）政府采购活动前3年内，在</w:t>
      </w:r>
      <w:r>
        <w:rPr>
          <w:rFonts w:hint="eastAsia" w:cs="宋体" w:asciiTheme="minorEastAsia" w:hAnsiTheme="minorEastAsia" w:eastAsiaTheme="minorEastAsia"/>
          <w:spacing w:val="6"/>
          <w:sz w:val="24"/>
          <w:szCs w:val="24"/>
          <w:lang w:eastAsia="zh-CN"/>
        </w:rPr>
        <w:t xml:space="preserve">经营活动中没有重大违法记录。重大违法记录是指因违法经营受到刑事处罚或者责令停产停业、吊销许可证或者执照、较大数额罚款等行政处罚。</w:t>
      </w:r>
      <w:r/>
    </w:p>
    <w:p>
      <w:pPr>
        <w:ind w:firstLine="600"/>
        <w:spacing w:after="0" w:line="479" w:lineRule="atLeast"/>
        <w:rPr>
          <w:rFonts w:ascii="宋体" w:hAnsi="宋体" w:eastAsia="宋体" w:cs="宋体"/>
          <w:spacing w:val="6"/>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4"/>
          <w:szCs w:val="24"/>
          <w:lang w:eastAsia="zh-CN"/>
        </w:rPr>
        <w:t xml:space="preserve">我单位对上述声明的真实性负责。如有虚假，将依法承担相应责任。</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 </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 </w:t>
      </w:r>
      <w:r/>
    </w:p>
    <w:p>
      <w:pPr>
        <w:ind w:firstLine="1134"/>
        <w:jc w:val="both"/>
        <w:spacing w:after="0" w:line="479" w:lineRule="atLeast"/>
        <w:rPr>
          <w:rFonts w:ascii="宋体" w:hAnsi="宋体" w:eastAsia="宋体" w:cs="宋体"/>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投标人（供应商电子签章）：</w:t>
      </w:r>
      <w:r>
        <w:rPr>
          <w:rFonts w:hint="eastAsia" w:ascii="宋体" w:hAnsi="宋体" w:eastAsia="宋体" w:cs="宋体"/>
          <w:sz w:val="24"/>
          <w:szCs w:val="24"/>
          <w:u w:val="single"/>
          <w:lang w:eastAsia="zh-CN"/>
        </w:rPr>
        <w:t xml:space="preserve"> </w:t>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投标人法定代表人或其授权代表：</w:t>
      </w:r>
      <w:r>
        <w:rPr>
          <w:rFonts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lang w:eastAsia="zh-CN"/>
        </w:rPr>
        <w:t xml:space="preserve">（签字或盖章）</w:t>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日期： </w:t>
      </w:r>
      <w:r>
        <w:rPr>
          <w:rFonts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sz w:val="24"/>
          <w:szCs w:val="24"/>
          <w:lang w:eastAsia="zh-CN"/>
        </w:rPr>
        <w:t xml:space="preserve">年 </w:t>
      </w:r>
      <w:r>
        <w:rPr>
          <w:rFonts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sz w:val="24"/>
          <w:szCs w:val="24"/>
          <w:lang w:eastAsia="zh-CN"/>
        </w:rPr>
        <w:t xml:space="preserve">月 </w:t>
      </w:r>
      <w:r>
        <w:rPr>
          <w:rFonts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sz w:val="24"/>
          <w:szCs w:val="24"/>
          <w:lang w:eastAsia="zh-CN"/>
        </w:rPr>
        <w:t xml:space="preserve">日</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ind w:firstLine="562"/>
        <w:spacing w:after="0" w:line="479" w:lineRule="atLeast"/>
        <w:rPr>
          <w:rFonts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br w:type="page" w:clear="all"/>
      </w:r>
      <w:r/>
    </w:p>
    <w:p>
      <w:pPr>
        <w:jc w:val="center"/>
        <w:spacing w:after="0" w:line="479" w:lineRule="atLeast"/>
        <w:rPr>
          <w:rFonts w:cs="宋体" w:asciiTheme="minorEastAsia" w:hAnsiTheme="minorEastAsia" w:eastAsia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val="en-US" w:eastAsia="zh-CN"/>
        </w:rPr>
        <w:t xml:space="preserve">九</w:t>
      </w:r>
      <w:r>
        <w:rPr>
          <w:rFonts w:hint="eastAsia" w:cs="宋体" w:asciiTheme="minorEastAsia" w:hAnsiTheme="minorEastAsia" w:eastAsiaTheme="minorEastAsia"/>
          <w:b/>
          <w:bCs/>
          <w:sz w:val="28"/>
          <w:szCs w:val="28"/>
          <w:lang w:eastAsia="zh-CN"/>
        </w:rPr>
        <w:t xml:space="preserve">、具备履行合同所必需的设备和专业技术能力的书面声明</w:t>
      </w:r>
      <w:r/>
    </w:p>
    <w:p>
      <w:pPr>
        <w:jc w:val="both"/>
        <w:spacing w:after="0" w:line="479" w:lineRule="atLeas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项目名称：食品安全智慧监管（农药残留）检测能力提升</w:t>
      </w:r>
      <w:r/>
    </w:p>
    <w:p>
      <w:pPr>
        <w:spacing w:after="0" w:line="479"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项目编号：JSZC-320381-ZBGL-G2024-0019</w:t>
      </w:r>
      <w:r/>
    </w:p>
    <w:p>
      <w:pPr>
        <w:pStyle w:val="859"/>
        <w:rPr>
          <w:lang w:eastAsia="zh-CN"/>
        </w:rPr>
      </w:pPr>
      <w:r>
        <w:rPr>
          <w:lang w:eastAsia="zh-CN"/>
        </w:rPr>
      </w:r>
      <w:r/>
    </w:p>
    <w:p>
      <w:pPr>
        <w:pStyle w:val="868"/>
        <w:ind w:firstLine="0"/>
        <w:jc w:val="left"/>
        <w:rPr>
          <w:rFonts w:eastAsia="宋体"/>
          <w:b/>
          <w:bCs/>
        </w:rPr>
      </w:pPr>
      <w:r>
        <w:rPr>
          <w:rFonts w:hint="eastAsia" w:cs="宋体" w:asciiTheme="minorEastAsia" w:hAnsiTheme="minorEastAsia" w:eastAsiaTheme="minorEastAsia"/>
        </w:rPr>
        <w:t xml:space="preserve">    投标人郑重声明：投标人具备履行合同（项目名称：食品安全智慧监管（农药残留）检测能力提</w:t>
      </w:r>
      <w:r>
        <w:rPr>
          <w:rFonts w:hint="eastAsia" w:cs="宋体" w:asciiTheme="minorEastAsia" w:hAnsiTheme="minorEastAsia" w:eastAsiaTheme="minorEastAsia"/>
          <w:highlight w:val="none"/>
        </w:rPr>
        <w:t xml:space="preserve">升，项目编号：JSZC-320381-ZBGL-G2024-0019）所必需的设备和专业</w:t>
      </w:r>
      <w:r>
        <w:rPr>
          <w:rFonts w:hint="eastAsia" w:cs="宋体" w:asciiTheme="minorEastAsia" w:hAnsiTheme="minorEastAsia" w:eastAsiaTheme="minorEastAsia"/>
        </w:rPr>
        <w:t xml:space="preserve">技术能力。</w:t>
      </w:r>
      <w:r/>
    </w:p>
    <w:p>
      <w:pPr>
        <w:spacing w:after="0" w:line="479" w:lineRule="atLeas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r>
      <w:r/>
    </w:p>
    <w:p>
      <w:pPr>
        <w:spacing w:after="0" w:line="479" w:lineRule="atLeas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r>
      <w:r/>
    </w:p>
    <w:p>
      <w:pPr>
        <w:spacing w:after="0" w:line="479" w:lineRule="atLeas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r>
      <w:r/>
    </w:p>
    <w:p>
      <w:pPr>
        <w:spacing w:after="0" w:line="479" w:lineRule="atLeas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特此声明。</w:t>
      </w:r>
      <w:r/>
    </w:p>
    <w:p>
      <w:pPr>
        <w:spacing w:after="0" w:line="479" w:lineRule="atLeas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投标人对上述声明的真实性负责。如有虚假，将依法承担相应责任。</w:t>
      </w:r>
      <w:r/>
    </w:p>
    <w:p>
      <w:pPr>
        <w:spacing w:after="0" w:line="479" w:lineRule="atLeas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r>
      <w:r/>
    </w:p>
    <w:p>
      <w:pPr>
        <w:spacing w:after="0" w:line="479" w:lineRule="atLeas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lang w:eastAsia="zh-CN"/>
        </w:rPr>
      </w:r>
      <w:r/>
    </w:p>
    <w:p>
      <w:pPr>
        <w:pStyle w:val="839"/>
        <w:rPr>
          <w:lang w:eastAsia="zh-CN"/>
        </w:rPr>
      </w:pPr>
      <w:r>
        <w:rPr>
          <w:lang w:eastAsia="zh-CN"/>
        </w:rPr>
      </w:r>
      <w:r/>
    </w:p>
    <w:p>
      <w:pPr>
        <w:ind w:firstLine="2160"/>
        <w:spacing w:after="0" w:line="479" w:lineRule="atLeast"/>
        <w:rPr>
          <w:rFonts w:ascii="宋体" w:hAnsi="宋体" w:eastAsia="宋体" w:cs="宋体"/>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投标人（供应商电子签章）：</w:t>
      </w:r>
      <w:r>
        <w:rPr>
          <w:rFonts w:hint="eastAsia" w:ascii="宋体" w:hAnsi="宋体" w:eastAsia="宋体" w:cs="宋体"/>
          <w:sz w:val="24"/>
          <w:szCs w:val="24"/>
          <w:u w:val="single"/>
          <w:lang w:eastAsia="zh-CN"/>
        </w:rPr>
        <w:t xml:space="preserve"> </w:t>
      </w:r>
      <w:r/>
    </w:p>
    <w:p>
      <w:pPr>
        <w:spacing w:after="0" w:line="479" w:lineRule="atLeas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                  投标人法定代表人或其授权代表：</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lang w:eastAsia="zh-CN"/>
        </w:rPr>
        <w:t xml:space="preserve">（签字或电子签章）  </w:t>
      </w:r>
      <w:r/>
    </w:p>
    <w:p>
      <w:pPr>
        <w:ind w:firstLine="2160"/>
        <w:spacing w:after="0" w:line="479" w:lineRule="atLeast"/>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日期：   年  月  日</w:t>
      </w:r>
      <w:r/>
    </w:p>
    <w:p>
      <w:pPr>
        <w:rPr>
          <w:rFonts w:ascii="宋体" w:hAnsi="宋体" w:eastAsia="宋体" w:cs="宋体"/>
          <w:sz w:val="28"/>
          <w:szCs w:val="28"/>
          <w:lang w:eastAsia="zh-CN"/>
        </w:rPr>
      </w:pPr>
      <w:r>
        <w:rPr>
          <w:rFonts w:ascii="宋体" w:hAnsi="宋体" w:eastAsia="宋体" w:cs="宋体"/>
          <w:sz w:val="28"/>
          <w:szCs w:val="28"/>
          <w:lang w:eastAsia="zh-CN"/>
        </w:rPr>
      </w:r>
      <w:r/>
    </w:p>
    <w:p>
      <w:pPr>
        <w:rPr>
          <w:rFonts w:ascii="宋体" w:hAnsi="宋体" w:eastAsia="宋体" w:cs="宋体"/>
          <w:sz w:val="28"/>
          <w:szCs w:val="28"/>
          <w:lang w:eastAsia="zh-CN"/>
        </w:rPr>
      </w:pPr>
      <w:r>
        <w:rPr>
          <w:rFonts w:ascii="宋体" w:hAnsi="宋体" w:eastAsia="宋体" w:cs="宋体"/>
          <w:sz w:val="28"/>
          <w:szCs w:val="28"/>
          <w:lang w:eastAsia="zh-CN"/>
        </w:rPr>
      </w:r>
      <w:r/>
    </w:p>
    <w:p>
      <w:pPr>
        <w:rPr>
          <w:rFonts w:ascii="宋体" w:hAnsi="宋体" w:eastAsia="宋体" w:cs="宋体"/>
          <w:sz w:val="28"/>
          <w:szCs w:val="28"/>
          <w:lang w:eastAsia="zh-CN"/>
        </w:rPr>
      </w:pPr>
      <w:r>
        <w:rPr>
          <w:rFonts w:ascii="宋体" w:hAnsi="宋体" w:eastAsia="宋体" w:cs="宋体"/>
          <w:sz w:val="28"/>
          <w:szCs w:val="28"/>
          <w:lang w:eastAsia="zh-CN"/>
        </w:rPr>
      </w:r>
      <w:r/>
    </w:p>
    <w:p>
      <w:pPr>
        <w:rPr>
          <w:rFonts w:ascii="宋体" w:hAnsi="宋体" w:eastAsia="宋体" w:cs="宋体"/>
          <w:sz w:val="28"/>
          <w:szCs w:val="28"/>
          <w:lang w:eastAsia="zh-CN"/>
        </w:rPr>
      </w:pPr>
      <w:r>
        <w:rPr>
          <w:rFonts w:ascii="宋体" w:hAnsi="宋体" w:eastAsia="宋体" w:cs="宋体"/>
          <w:sz w:val="28"/>
          <w:szCs w:val="28"/>
          <w:lang w:eastAsia="zh-CN"/>
        </w:rPr>
      </w:r>
      <w:r/>
    </w:p>
    <w:p>
      <w:pPr>
        <w:rPr>
          <w:rFonts w:ascii="宋体" w:hAnsi="宋体" w:eastAsia="宋体" w:cs="宋体"/>
          <w:sz w:val="28"/>
          <w:szCs w:val="28"/>
          <w:lang w:eastAsia="zh-CN"/>
        </w:rPr>
      </w:pPr>
      <w:r>
        <w:rPr>
          <w:rFonts w:ascii="宋体" w:hAnsi="宋体" w:eastAsia="宋体" w:cs="宋体"/>
          <w:sz w:val="28"/>
          <w:szCs w:val="28"/>
          <w:lang w:eastAsia="zh-CN"/>
        </w:rPr>
      </w:r>
      <w:r/>
    </w:p>
    <w:p>
      <w:pPr>
        <w:rPr>
          <w:rFonts w:ascii="宋体" w:hAnsi="宋体" w:eastAsia="宋体" w:cs="宋体"/>
          <w:sz w:val="28"/>
          <w:szCs w:val="28"/>
          <w:lang w:eastAsia="zh-CN"/>
        </w:rPr>
      </w:pPr>
      <w:r>
        <w:rPr>
          <w:rFonts w:ascii="宋体" w:hAnsi="宋体" w:eastAsia="宋体" w:cs="宋体"/>
          <w:sz w:val="28"/>
          <w:szCs w:val="28"/>
          <w:lang w:eastAsia="zh-CN"/>
        </w:rPr>
      </w:r>
      <w:r/>
    </w:p>
    <w:p>
      <w:pPr>
        <w:rPr>
          <w:rFonts w:ascii="宋体" w:hAnsi="宋体" w:eastAsia="宋体" w:cs="宋体"/>
          <w:sz w:val="28"/>
          <w:szCs w:val="28"/>
          <w:lang w:eastAsia="zh-CN"/>
        </w:rPr>
      </w:pPr>
      <w:r>
        <w:rPr>
          <w:rFonts w:ascii="宋体" w:hAnsi="宋体" w:eastAsia="宋体" w:cs="宋体"/>
          <w:sz w:val="28"/>
          <w:szCs w:val="28"/>
          <w:lang w:eastAsia="zh-CN"/>
        </w:rPr>
      </w:r>
      <w:r/>
    </w:p>
    <w:p>
      <w:pPr>
        <w:rPr>
          <w:rFonts w:ascii="宋体" w:hAnsi="宋体" w:eastAsia="宋体" w:cs="宋体"/>
          <w:sz w:val="28"/>
          <w:szCs w:val="28"/>
          <w:lang w:eastAsia="zh-CN"/>
        </w:rPr>
      </w:pPr>
      <w:r>
        <w:rPr>
          <w:rFonts w:ascii="宋体" w:hAnsi="宋体" w:eastAsia="宋体" w:cs="宋体"/>
          <w:sz w:val="28"/>
          <w:szCs w:val="28"/>
          <w:lang w:eastAsia="zh-CN"/>
        </w:rPr>
      </w:r>
      <w:r/>
    </w:p>
    <w:p>
      <w:pPr>
        <w:rPr>
          <w:rFonts w:ascii="宋体" w:hAnsi="宋体" w:eastAsia="宋体" w:cs="宋体"/>
          <w:sz w:val="28"/>
          <w:szCs w:val="28"/>
          <w:lang w:eastAsia="zh-CN"/>
        </w:rPr>
      </w:pPr>
      <w:r>
        <w:rPr>
          <w:rFonts w:ascii="宋体" w:hAnsi="宋体" w:eastAsia="宋体" w:cs="宋体"/>
          <w:sz w:val="28"/>
          <w:szCs w:val="28"/>
          <w:lang w:eastAsia="zh-CN"/>
        </w:rPr>
      </w:r>
      <w:r/>
    </w:p>
    <w:p>
      <w:pPr>
        <w:rPr>
          <w:rFonts w:ascii="宋体" w:hAnsi="宋体" w:eastAsia="宋体" w:cs="宋体"/>
          <w:sz w:val="28"/>
          <w:szCs w:val="28"/>
          <w:lang w:eastAsia="zh-CN"/>
        </w:rPr>
      </w:pPr>
      <w:r>
        <w:rPr>
          <w:rFonts w:ascii="宋体" w:hAnsi="宋体" w:eastAsia="宋体" w:cs="宋体"/>
          <w:sz w:val="28"/>
          <w:szCs w:val="28"/>
          <w:lang w:eastAsia="zh-CN"/>
        </w:rPr>
      </w:r>
      <w:r/>
    </w:p>
    <w:p>
      <w:pPr>
        <w:jc w:val="center"/>
        <w:rPr>
          <w:rFonts w:hint="eastAsia" w:ascii="宋体" w:hAnsi="宋体" w:eastAsia="宋体" w:cs="宋体"/>
          <w:sz w:val="28"/>
          <w:szCs w:val="28"/>
          <w:lang w:val="en-US" w:eastAsia="zh-CN"/>
        </w:rPr>
      </w:pPr>
      <w:r>
        <w:rPr>
          <w:rFonts w:hint="eastAsia" w:cs="宋体" w:asciiTheme="minorEastAsia" w:hAnsiTheme="minorEastAsia" w:eastAsiaTheme="minorEastAsia"/>
          <w:b/>
          <w:bCs/>
          <w:sz w:val="28"/>
          <w:szCs w:val="28"/>
          <w:lang w:val="en-US" w:eastAsia="zh-CN"/>
        </w:rPr>
        <w:t xml:space="preserve">十、预付款保函支付条款模板</w:t>
      </w:r>
      <w:r/>
    </w:p>
    <w:p>
      <w:pPr>
        <w:ind w:firstLine="241"/>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b/>
          <w:bCs/>
          <w:sz w:val="24"/>
          <w:szCs w:val="24"/>
          <w:lang w:val="en-US" w:eastAsia="zh-CN" w:bidi="ar-SA"/>
        </w:rPr>
        <w:t xml:space="preserve">符合条件一：提交预付款保函的</w:t>
      </w:r>
      <w:r>
        <w:rPr>
          <w:rFonts w:hint="eastAsia" w:cs="宋体" w:asciiTheme="minorEastAsia" w:hAnsiTheme="minorEastAsia" w:eastAsiaTheme="minorEastAsia"/>
          <w:sz w:val="24"/>
          <w:szCs w:val="24"/>
          <w:lang w:val="en-US" w:eastAsia="zh-CN" w:bidi="ar-SA"/>
        </w:rPr>
        <w:t xml:space="preserve"> </w:t>
      </w:r>
      <w:r/>
    </w:p>
    <w:p>
      <w:pPr>
        <w:ind w:firstLine="240"/>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val="en-US" w:eastAsia="zh-CN" w:bidi="ar-SA"/>
        </w:rPr>
        <w:t xml:space="preserve">（1）合同签订且乙方向甲方出具预付款保函后  个工作日内，甲方应支付合同价款的百分之XX（    XX%），小写￥      大写：人民币     。 </w:t>
      </w:r>
      <w:r/>
    </w:p>
    <w:p>
      <w:pPr>
        <w:ind w:firstLine="240"/>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val="en-US" w:eastAsia="zh-CN" w:bidi="ar-SA"/>
        </w:rPr>
        <w:t xml:space="preserve">乙方需提交的支付文件：乙方出具的全额正式发票。 </w:t>
      </w:r>
      <w:r/>
    </w:p>
    <w:p>
      <w:pPr>
        <w:ind w:firstLine="240"/>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val="en-US" w:eastAsia="zh-CN" w:bidi="ar-SA"/>
        </w:rPr>
        <w:t xml:space="preserve">（2）验收合格后  个工作日内，甲方应支付合同价款的百分之XX（    XX%），小写￥    大写：人民币          。 </w:t>
      </w:r>
      <w:r/>
    </w:p>
    <w:p>
      <w:pPr>
        <w:ind w:firstLine="240"/>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val="en-US" w:eastAsia="zh-CN" w:bidi="ar-SA"/>
        </w:rPr>
        <w:t xml:space="preserve">…… </w:t>
      </w:r>
      <w:r/>
    </w:p>
    <w:p>
      <w:pPr>
        <w:ind w:firstLine="241"/>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b/>
          <w:bCs/>
          <w:sz w:val="24"/>
          <w:szCs w:val="24"/>
          <w:lang w:val="en-US" w:eastAsia="zh-CN" w:bidi="ar-SA"/>
        </w:rPr>
        <w:t xml:space="preserve">符合条件二：不提交预付款保函的</w:t>
      </w:r>
      <w:r>
        <w:rPr>
          <w:rFonts w:hint="eastAsia" w:cs="宋体" w:asciiTheme="minorEastAsia" w:hAnsiTheme="minorEastAsia" w:eastAsiaTheme="minorEastAsia"/>
          <w:sz w:val="24"/>
          <w:szCs w:val="24"/>
          <w:lang w:val="en-US" w:eastAsia="zh-CN" w:bidi="ar-SA"/>
        </w:rPr>
        <w:t xml:space="preserve"> </w:t>
      </w:r>
      <w:r/>
    </w:p>
    <w:p>
      <w:pPr>
        <w:ind w:firstLine="240"/>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val="en-US" w:eastAsia="zh-CN" w:bidi="ar-SA"/>
        </w:rPr>
        <w:t xml:space="preserve">（1）合同签订后  个工作日内，甲方应支付合同价款的百分之XX（    XX%），小写￥      大写：人民币   。 </w:t>
      </w:r>
      <w:r/>
    </w:p>
    <w:p>
      <w:pPr>
        <w:ind w:firstLine="240"/>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val="en-US" w:eastAsia="zh-CN" w:bidi="ar-SA"/>
        </w:rPr>
        <w:t xml:space="preserve">乙方需提交的支付文件：乙方出具的全额正式发票。 </w:t>
      </w:r>
      <w:r/>
    </w:p>
    <w:p>
      <w:pPr>
        <w:ind w:firstLine="240"/>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val="en-US" w:eastAsia="zh-CN" w:bidi="ar-SA"/>
        </w:rPr>
        <w:t xml:space="preserve">（2）验收合格后  个工作日内，甲方应支付合同价款的百分之XX（   XX%），小写￥      大写：人民币  。 </w:t>
      </w:r>
      <w:r/>
    </w:p>
    <w:p>
      <w:pPr>
        <w:ind w:firstLine="240"/>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val="en-US" w:eastAsia="zh-CN" w:bidi="ar-SA"/>
        </w:rPr>
        <w:t xml:space="preserve">…… </w:t>
      </w:r>
      <w:r/>
    </w:p>
    <w:p>
      <w:pPr>
        <w:ind w:firstLine="240"/>
        <w:keepLines w:val="0"/>
        <w:keepNext w:val="0"/>
        <w:pageBreakBefore w:val="0"/>
        <w:spacing w:after="0"/>
        <w:widowControl/>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val="en-US" w:eastAsia="zh-CN" w:bidi="ar-SA"/>
        </w:rPr>
        <w:t xml:space="preserve">注：1、付款条件一中，出具预付款保函后支付的合同款应当与保函金额一致。 </w:t>
      </w:r>
      <w:r/>
    </w:p>
    <w:p>
      <w:pPr>
        <w:ind w:firstLine="240"/>
        <w:keepLines w:val="0"/>
        <w:keepNext w:val="0"/>
        <w:pageBreakBefore w:val="0"/>
        <w:spacing w:after="0"/>
        <w:widowControl/>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val="en-US" w:eastAsia="zh-CN" w:bidi="ar-SA"/>
        </w:rPr>
        <w:t xml:space="preserve">2、付款条件二中，预付款比例设定应符合《关于做好政府采购支持企业发展有关事项的通知》(苏财购〔2020〕52号)要求。</w:t>
      </w:r>
      <w:r/>
    </w:p>
    <w:p>
      <w:pPr>
        <w:ind w:firstLine="280"/>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r>
      <w:r/>
    </w:p>
    <w:sectPr>
      <w:headerReference w:type="default" r:id="rId11"/>
      <w:footerReference w:type="default" r:id="rId15"/>
      <w:footnotePr/>
      <w:endnotePr/>
      <w:type w:val="continuous"/>
      <w:pgSz w:w="11906" w:h="16838" w:orient="portrait"/>
      <w:pgMar w:top="1134" w:right="1134" w:bottom="1134"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黑体">
    <w:panose1 w:val="02010609060101010101"/>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both"/>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rPr>
                              <w:rFonts w:eastAsia="宋体"/>
                              <w:lang w:eastAsia="zh-CN"/>
                            </w:rPr>
                          </w:pPr>
                          <w:r>
                            <w:rPr>
                              <w:rFonts w:eastAsia="宋体"/>
                              <w:lang w:eastAsia="zh-CN"/>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rPr>
                        <w:rFonts w:eastAsia="宋体"/>
                        <w:lang w:eastAsia="zh-CN"/>
                      </w:rPr>
                    </w:pPr>
                    <w:r>
                      <w:rPr>
                        <w:rFonts w:eastAsia="宋体"/>
                        <w:lang w:eastAsia="zh-CN"/>
                      </w:rPr>
                    </w:r>
                    <w:r/>
                  </w:p>
                </w:txbxContent>
              </v:textbox>
            </v:shape>
          </w:pict>
        </mc:Fallback>
      </mc:AlternateContent>
    </w:r>
    <w:r/>
  </w:p>
  <w:p>
    <w:pPr>
      <w:pStyle w:val="84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r/>
  </w:p>
  <w:p>
    <w:pPr>
      <w:pStyle w:val="8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4934" cy="160641"/>
              <wp:effectExtent l="3175" t="3175" r="3175" b="3175"/>
              <wp:wrapNone/>
              <wp:docPr id="2" name="文本框 4"/>
              <wp:cNvGraphicFramePr/>
              <a:graphic xmlns:a="http://schemas.openxmlformats.org/drawingml/2006/main">
                <a:graphicData uri="http://schemas.microsoft.com/office/word/2010/wordprocessingShape">
                  <wps:wsp>
                    <wps:cNvPr id="0" name=""/>
                    <wps:cNvSpPr txBox="1"/>
                    <wps:spPr bwMode="auto">
                      <a:xfrm flipH="0" flipV="0">
                        <a:off x="0" y="0"/>
                        <a:ext cx="164934" cy="16064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2.6pt;mso-wrap-distance-left:9.0pt;mso-wrap-distance-top:0.0pt;mso-wrap-distance-right:9.0pt;mso-wrap-distance-bottom:0.0pt;v-text-anchor:top;visibility:visible;" filled="f" stroked="f" strokeweight="0.50pt">
              <v:textbox inset="0,0,0,0">
                <w:txbxContent>
                  <w:p>
                    <w:pPr>
                      <w:pStyle w:val="84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3984" cy="160641"/>
              <wp:effectExtent l="3175" t="3175" r="3175" b="3175"/>
              <wp:wrapNone/>
              <wp:docPr id="3" name="文本框 5"/>
              <wp:cNvGraphicFramePr/>
              <a:graphic xmlns:a="http://schemas.openxmlformats.org/drawingml/2006/main">
                <a:graphicData uri="http://schemas.microsoft.com/office/word/2010/wordprocessingShape">
                  <wps:wsp>
                    <wps:cNvPr id="0" name=""/>
                    <wps:cNvSpPr txBox="1"/>
                    <wps:spPr bwMode="auto">
                      <a:xfrm flipH="0" flipV="0">
                        <a:off x="0" y="0"/>
                        <a:ext cx="183984" cy="16064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5pt;height:12.6pt;mso-wrap-distance-left:9.0pt;mso-wrap-distance-top:0.0pt;mso-wrap-distance-right:9.0pt;mso-wrap-distance-bottom:0.0pt;v-text-anchor:top;visibility:visible;" filled="f" stroked="f" strokeweight="0.50pt">
              <v:textbox inset="0,0,0,0">
                <w:txbxContent>
                  <w:p>
                    <w:pPr>
                      <w:pStyle w:val="845"/>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right"/>
      <w:tabs>
        <w:tab w:val="center" w:pos="4153" w:leader="none"/>
        <w:tab w:val="clear" w:pos="7143" w:leader="none"/>
        <w:tab w:val="right" w:pos="8306" w:leader="none"/>
        <w:tab w:val="clear" w:pos="14287" w:leader="none"/>
      </w:tabs>
      <w:rPr>
        <w:sz w:val="18"/>
      </w:rP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right"/>
      <w:tabs>
        <w:tab w:val="center" w:pos="4153" w:leader="none"/>
        <w:tab w:val="clear" w:pos="7143" w:leader="none"/>
        <w:tab w:val="right" w:pos="8306" w:leader="none"/>
        <w:tab w:val="clear" w:pos="14287" w:leader="none"/>
      </w:tabs>
      <w:rPr>
        <w:rFonts w:ascii="宋体" w:hAnsi="宋体" w:eastAsia="宋体" w:cs="宋体"/>
        <w:sz w:val="24"/>
        <w:szCs w:val="24"/>
        <w:u w:val="single"/>
        <w:lang w:eastAsia="zh-CN"/>
      </w:rPr>
    </w:pPr>
    <w:r>
      <w:rPr>
        <w:rFonts w:ascii="宋体" w:hAnsi="宋体" w:eastAsia="宋体" w:cs="宋体"/>
        <w:sz w:val="24"/>
        <w:szCs w:val="24"/>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ascii="宋体" w:hAnsi="宋体" w:eastAsia="宋体" w:cs="宋体"/>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7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7"/>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7">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6">
    <w:name w:val="TOC Heading"/>
    <w:uiPriority w:val="39"/>
    <w:unhideWhenUsed/>
  </w:style>
  <w:style w:type="paragraph" w:styleId="817"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818">
    <w:name w:val="Heading 1"/>
    <w:basedOn w:val="829"/>
    <w:next w:val="829"/>
    <w:link w:val="931"/>
    <w:uiPriority w:val="9"/>
    <w:qFormat/>
    <w:pPr>
      <w:keepLines/>
      <w:keepNext/>
      <w:spacing w:before="480"/>
      <w:outlineLvl w:val="0"/>
    </w:pPr>
    <w:rPr>
      <w:rFonts w:ascii="Arial" w:hAnsi="Arial" w:eastAsia="Arial" w:cs="Arial"/>
      <w:sz w:val="40"/>
      <w:szCs w:val="40"/>
    </w:rPr>
  </w:style>
  <w:style w:type="paragraph" w:styleId="819">
    <w:name w:val="Heading 2"/>
    <w:basedOn w:val="817"/>
    <w:next w:val="817"/>
    <w:link w:val="932"/>
    <w:uiPriority w:val="9"/>
    <w:unhideWhenUsed/>
    <w:qFormat/>
    <w:pPr>
      <w:keepLines/>
      <w:keepNext/>
      <w:spacing w:before="360"/>
      <w:outlineLvl w:val="1"/>
    </w:pPr>
    <w:rPr>
      <w:rFonts w:ascii="Arial" w:hAnsi="Arial" w:eastAsia="Arial" w:cs="Arial"/>
      <w:sz w:val="34"/>
    </w:rPr>
  </w:style>
  <w:style w:type="paragraph" w:styleId="820">
    <w:name w:val="Heading 3"/>
    <w:basedOn w:val="817"/>
    <w:next w:val="817"/>
    <w:link w:val="933"/>
    <w:uiPriority w:val="9"/>
    <w:unhideWhenUsed/>
    <w:qFormat/>
    <w:pPr>
      <w:keepLines/>
      <w:keepNext/>
      <w:spacing w:before="320"/>
      <w:outlineLvl w:val="2"/>
    </w:pPr>
    <w:rPr>
      <w:rFonts w:ascii="Arial" w:hAnsi="Arial" w:eastAsia="Arial" w:cs="Arial"/>
      <w:sz w:val="30"/>
      <w:szCs w:val="30"/>
    </w:rPr>
  </w:style>
  <w:style w:type="paragraph" w:styleId="821">
    <w:name w:val="Heading 4"/>
    <w:basedOn w:val="817"/>
    <w:next w:val="817"/>
    <w:link w:val="934"/>
    <w:uiPriority w:val="9"/>
    <w:unhideWhenUsed/>
    <w:qFormat/>
    <w:pPr>
      <w:keepLines/>
      <w:keepNext/>
      <w:spacing w:before="320"/>
      <w:outlineLvl w:val="3"/>
    </w:pPr>
    <w:rPr>
      <w:rFonts w:ascii="Arial" w:hAnsi="Arial" w:eastAsia="Arial" w:cs="Arial"/>
      <w:b/>
      <w:bCs/>
      <w:sz w:val="26"/>
      <w:szCs w:val="26"/>
    </w:rPr>
  </w:style>
  <w:style w:type="paragraph" w:styleId="822">
    <w:name w:val="Heading 5"/>
    <w:basedOn w:val="817"/>
    <w:next w:val="817"/>
    <w:link w:val="935"/>
    <w:uiPriority w:val="9"/>
    <w:unhideWhenUsed/>
    <w:qFormat/>
    <w:pPr>
      <w:keepLines/>
      <w:keepNext/>
      <w:spacing w:before="320"/>
      <w:outlineLvl w:val="4"/>
    </w:pPr>
    <w:rPr>
      <w:rFonts w:ascii="Arial" w:hAnsi="Arial" w:eastAsia="Arial" w:cs="Arial"/>
      <w:b/>
      <w:bCs/>
      <w:sz w:val="24"/>
      <w:szCs w:val="24"/>
    </w:rPr>
  </w:style>
  <w:style w:type="paragraph" w:styleId="823">
    <w:name w:val="Heading 6"/>
    <w:basedOn w:val="817"/>
    <w:next w:val="817"/>
    <w:link w:val="936"/>
    <w:uiPriority w:val="9"/>
    <w:unhideWhenUsed/>
    <w:qFormat/>
    <w:pPr>
      <w:keepLines/>
      <w:keepNext/>
      <w:spacing w:before="320"/>
      <w:outlineLvl w:val="5"/>
    </w:pPr>
    <w:rPr>
      <w:rFonts w:ascii="Arial" w:hAnsi="Arial" w:eastAsia="Arial" w:cs="Arial"/>
      <w:b/>
      <w:bCs/>
    </w:rPr>
  </w:style>
  <w:style w:type="paragraph" w:styleId="824">
    <w:name w:val="Heading 7"/>
    <w:basedOn w:val="817"/>
    <w:next w:val="817"/>
    <w:link w:val="937"/>
    <w:uiPriority w:val="9"/>
    <w:unhideWhenUsed/>
    <w:qFormat/>
    <w:pPr>
      <w:keepLines/>
      <w:keepNext/>
      <w:spacing w:before="320"/>
      <w:outlineLvl w:val="6"/>
    </w:pPr>
    <w:rPr>
      <w:rFonts w:ascii="Arial" w:hAnsi="Arial" w:eastAsia="Arial" w:cs="Arial"/>
      <w:b/>
      <w:bCs/>
      <w:i/>
      <w:iCs/>
    </w:rPr>
  </w:style>
  <w:style w:type="paragraph" w:styleId="825">
    <w:name w:val="Heading 8"/>
    <w:basedOn w:val="817"/>
    <w:next w:val="817"/>
    <w:link w:val="938"/>
    <w:uiPriority w:val="9"/>
    <w:unhideWhenUsed/>
    <w:qFormat/>
    <w:pPr>
      <w:keepLines/>
      <w:keepNext/>
      <w:spacing w:before="320"/>
      <w:outlineLvl w:val="7"/>
    </w:pPr>
    <w:rPr>
      <w:rFonts w:ascii="Arial" w:hAnsi="Arial" w:eastAsia="Arial" w:cs="Arial"/>
      <w:i/>
      <w:iCs/>
    </w:rPr>
  </w:style>
  <w:style w:type="paragraph" w:styleId="826">
    <w:name w:val="Heading 9"/>
    <w:basedOn w:val="817"/>
    <w:next w:val="817"/>
    <w:link w:val="939"/>
    <w:uiPriority w:val="9"/>
    <w:unhideWhenUsed/>
    <w:qFormat/>
    <w:pPr>
      <w:keepLines/>
      <w:keepNext/>
      <w:spacing w:before="320"/>
      <w:outlineLvl w:val="8"/>
    </w:pPr>
    <w:rPr>
      <w:rFonts w:ascii="Arial" w:hAnsi="Arial" w:eastAsia="Arial" w:cs="Arial"/>
      <w:i/>
      <w:iCs/>
      <w:sz w:val="21"/>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Block Text"/>
    <w:basedOn w:val="817"/>
    <w:uiPriority w:val="0"/>
    <w:unhideWhenUsed/>
    <w:qFormat/>
    <w:pPr>
      <w:ind w:left="1440" w:right="1440"/>
      <w:spacing w:after="120"/>
    </w:pPr>
    <w:rPr>
      <w:rFonts w:ascii="Calibri" w:hAnsi="Calibri"/>
    </w:rPr>
  </w:style>
  <w:style w:type="paragraph" w:styleId="830">
    <w:name w:val="toc 7"/>
    <w:basedOn w:val="817"/>
    <w:next w:val="817"/>
    <w:uiPriority w:val="39"/>
    <w:unhideWhenUsed/>
    <w:qFormat/>
    <w:pPr>
      <w:ind w:left="1701"/>
      <w:spacing w:after="57"/>
    </w:pPr>
  </w:style>
  <w:style w:type="paragraph" w:styleId="831">
    <w:name w:val="Note Heading"/>
    <w:basedOn w:val="817"/>
    <w:next w:val="817"/>
    <w:uiPriority w:val="0"/>
    <w:qFormat/>
    <w:pPr>
      <w:jc w:val="center"/>
    </w:pPr>
  </w:style>
  <w:style w:type="paragraph" w:styleId="832">
    <w:name w:val="Normal Indent"/>
    <w:basedOn w:val="817"/>
    <w:uiPriority w:val="0"/>
    <w:qFormat/>
    <w:pPr>
      <w:ind w:firstLine="420"/>
    </w:pPr>
  </w:style>
  <w:style w:type="paragraph" w:styleId="833">
    <w:name w:val="Caption"/>
    <w:basedOn w:val="817"/>
    <w:next w:val="817"/>
    <w:uiPriority w:val="35"/>
    <w:semiHidden/>
    <w:unhideWhenUsed/>
    <w:qFormat/>
    <w:rPr>
      <w:b/>
      <w:bCs/>
      <w:color w:val="5b9bd5" w:themeColor="accent1"/>
      <w:sz w:val="18"/>
      <w:szCs w:val="18"/>
      <w14:textFill>
        <w14:solidFill>
          <w14:schemeClr w14:val="accent1"/>
        </w14:solidFill>
      </w14:textFill>
    </w:rPr>
  </w:style>
  <w:style w:type="paragraph" w:styleId="834">
    <w:name w:val="index 5"/>
    <w:basedOn w:val="817"/>
    <w:next w:val="817"/>
    <w:uiPriority w:val="0"/>
    <w:qFormat/>
    <w:pPr>
      <w:ind w:left="798"/>
    </w:pPr>
    <w:rPr>
      <w:rFonts w:ascii="Calibri" w:hAnsi="Calibri"/>
      <w:sz w:val="21"/>
    </w:rPr>
  </w:style>
  <w:style w:type="paragraph" w:styleId="835">
    <w:name w:val="annotation text"/>
    <w:basedOn w:val="817"/>
    <w:uiPriority w:val="0"/>
    <w:qFormat/>
  </w:style>
  <w:style w:type="paragraph" w:styleId="836">
    <w:name w:val="Body Text"/>
    <w:basedOn w:val="817"/>
    <w:next w:val="817"/>
    <w:link w:val="1090"/>
    <w:uiPriority w:val="0"/>
    <w:qFormat/>
    <w:pPr>
      <w:spacing w:after="120"/>
    </w:pPr>
  </w:style>
  <w:style w:type="paragraph" w:styleId="837">
    <w:name w:val="Body Text Indent"/>
    <w:basedOn w:val="817"/>
    <w:next w:val="838"/>
    <w:uiPriority w:val="0"/>
    <w:qFormat/>
    <w:pPr>
      <w:ind w:left="420"/>
      <w:spacing w:after="120"/>
    </w:pPr>
    <w:rPr>
      <w:rFonts w:ascii="Calibri" w:hAnsi="Calibri"/>
    </w:rPr>
  </w:style>
  <w:style w:type="paragraph" w:styleId="838">
    <w:name w:val="envelope return"/>
    <w:basedOn w:val="817"/>
    <w:uiPriority w:val="0"/>
    <w:qFormat/>
    <w:rPr>
      <w:rFonts w:ascii="Arial" w:hAnsi="Arial"/>
    </w:rPr>
  </w:style>
  <w:style w:type="paragraph" w:styleId="839">
    <w:name w:val="index 4"/>
    <w:basedOn w:val="817"/>
    <w:next w:val="817"/>
    <w:uiPriority w:val="99"/>
    <w:qFormat/>
    <w:pPr>
      <w:ind w:left="600"/>
    </w:pPr>
    <w:rPr>
      <w:sz w:val="24"/>
      <w:szCs w:val="24"/>
    </w:rPr>
  </w:style>
  <w:style w:type="paragraph" w:styleId="840">
    <w:name w:val="toc 5"/>
    <w:basedOn w:val="817"/>
    <w:next w:val="817"/>
    <w:uiPriority w:val="39"/>
    <w:unhideWhenUsed/>
    <w:qFormat/>
    <w:pPr>
      <w:ind w:left="1134"/>
      <w:spacing w:after="57"/>
    </w:pPr>
  </w:style>
  <w:style w:type="paragraph" w:styleId="841">
    <w:name w:val="toc 3"/>
    <w:basedOn w:val="817"/>
    <w:next w:val="817"/>
    <w:uiPriority w:val="39"/>
    <w:unhideWhenUsed/>
    <w:qFormat/>
    <w:pPr>
      <w:ind w:left="567"/>
      <w:spacing w:after="57"/>
    </w:pPr>
  </w:style>
  <w:style w:type="paragraph" w:styleId="842">
    <w:name w:val="Plain Text"/>
    <w:basedOn w:val="817"/>
    <w:uiPriority w:val="0"/>
    <w:qFormat/>
    <w:rPr>
      <w:rFonts w:ascii="宋体" w:hAnsi="Courier New"/>
    </w:rPr>
  </w:style>
  <w:style w:type="paragraph" w:styleId="843">
    <w:name w:val="toc 8"/>
    <w:basedOn w:val="817"/>
    <w:next w:val="817"/>
    <w:uiPriority w:val="39"/>
    <w:unhideWhenUsed/>
    <w:qFormat/>
    <w:pPr>
      <w:ind w:left="1984"/>
      <w:spacing w:after="57"/>
    </w:pPr>
  </w:style>
  <w:style w:type="paragraph" w:styleId="844">
    <w:name w:val="endnote text"/>
    <w:basedOn w:val="817"/>
    <w:link w:val="1056"/>
    <w:uiPriority w:val="99"/>
    <w:semiHidden/>
    <w:unhideWhenUsed/>
    <w:qFormat/>
    <w:pPr>
      <w:spacing w:after="0" w:line="240" w:lineRule="auto"/>
    </w:pPr>
    <w:rPr>
      <w:sz w:val="20"/>
    </w:rPr>
  </w:style>
  <w:style w:type="paragraph" w:styleId="845">
    <w:name w:val="Footer"/>
    <w:basedOn w:val="817"/>
    <w:link w:val="948"/>
    <w:uiPriority w:val="99"/>
    <w:unhideWhenUsed/>
    <w:qFormat/>
    <w:pPr>
      <w:spacing w:after="0" w:line="240" w:lineRule="auto"/>
      <w:tabs>
        <w:tab w:val="center" w:pos="7143" w:leader="none"/>
        <w:tab w:val="right" w:pos="14287" w:leader="none"/>
      </w:tabs>
    </w:pPr>
  </w:style>
  <w:style w:type="paragraph" w:styleId="846">
    <w:name w:val="Header"/>
    <w:basedOn w:val="817"/>
    <w:link w:val="946"/>
    <w:uiPriority w:val="99"/>
    <w:unhideWhenUsed/>
    <w:qFormat/>
    <w:pPr>
      <w:spacing w:after="0" w:line="240" w:lineRule="auto"/>
      <w:tabs>
        <w:tab w:val="center" w:pos="7143" w:leader="none"/>
        <w:tab w:val="right" w:pos="14287" w:leader="none"/>
      </w:tabs>
    </w:pPr>
  </w:style>
  <w:style w:type="paragraph" w:styleId="847">
    <w:name w:val="toc 1"/>
    <w:basedOn w:val="817"/>
    <w:next w:val="817"/>
    <w:uiPriority w:val="39"/>
    <w:unhideWhenUsed/>
    <w:qFormat/>
    <w:pPr>
      <w:spacing w:after="57"/>
    </w:pPr>
  </w:style>
  <w:style w:type="paragraph" w:styleId="848">
    <w:name w:val="toc 4"/>
    <w:basedOn w:val="817"/>
    <w:next w:val="817"/>
    <w:uiPriority w:val="39"/>
    <w:unhideWhenUsed/>
    <w:qFormat/>
    <w:pPr>
      <w:ind w:left="850"/>
      <w:spacing w:after="57"/>
    </w:pPr>
  </w:style>
  <w:style w:type="paragraph" w:styleId="849">
    <w:name w:val="Subtitle"/>
    <w:basedOn w:val="817"/>
    <w:next w:val="817"/>
    <w:link w:val="941"/>
    <w:uiPriority w:val="11"/>
    <w:qFormat/>
    <w:pPr>
      <w:spacing w:before="200"/>
    </w:pPr>
    <w:rPr>
      <w:sz w:val="24"/>
      <w:szCs w:val="24"/>
    </w:rPr>
  </w:style>
  <w:style w:type="paragraph" w:styleId="850">
    <w:name w:val="footnote text"/>
    <w:basedOn w:val="817"/>
    <w:next w:val="834"/>
    <w:link w:val="1055"/>
    <w:uiPriority w:val="99"/>
    <w:semiHidden/>
    <w:unhideWhenUsed/>
    <w:qFormat/>
    <w:pPr>
      <w:spacing w:after="40" w:line="240" w:lineRule="auto"/>
    </w:pPr>
    <w:rPr>
      <w:sz w:val="18"/>
    </w:rPr>
  </w:style>
  <w:style w:type="paragraph" w:styleId="851">
    <w:name w:val="toc 6"/>
    <w:basedOn w:val="817"/>
    <w:next w:val="817"/>
    <w:uiPriority w:val="39"/>
    <w:unhideWhenUsed/>
    <w:qFormat/>
    <w:pPr>
      <w:ind w:left="1417"/>
      <w:spacing w:after="57"/>
    </w:pPr>
  </w:style>
  <w:style w:type="paragraph" w:styleId="852">
    <w:name w:val="table of figures"/>
    <w:basedOn w:val="817"/>
    <w:next w:val="817"/>
    <w:uiPriority w:val="99"/>
    <w:unhideWhenUsed/>
    <w:qFormat/>
    <w:pPr>
      <w:spacing w:after="0"/>
    </w:pPr>
  </w:style>
  <w:style w:type="paragraph" w:styleId="853">
    <w:name w:val="toc 2"/>
    <w:basedOn w:val="817"/>
    <w:next w:val="817"/>
    <w:uiPriority w:val="39"/>
    <w:unhideWhenUsed/>
    <w:qFormat/>
    <w:pPr>
      <w:ind w:left="283"/>
      <w:spacing w:after="57"/>
    </w:pPr>
  </w:style>
  <w:style w:type="paragraph" w:styleId="854">
    <w:name w:val="toc 9"/>
    <w:basedOn w:val="817"/>
    <w:next w:val="817"/>
    <w:uiPriority w:val="39"/>
    <w:unhideWhenUsed/>
    <w:qFormat/>
    <w:pPr>
      <w:ind w:left="2268"/>
      <w:spacing w:after="57"/>
    </w:pPr>
  </w:style>
  <w:style w:type="paragraph" w:styleId="855">
    <w:name w:val="Body Text 2"/>
    <w:basedOn w:val="817"/>
    <w:uiPriority w:val="0"/>
    <w:qFormat/>
    <w:pPr>
      <w:jc w:val="center"/>
    </w:pPr>
    <w:rPr>
      <w:rFonts w:ascii="楷体_GB2312" w:eastAsia="楷体_GB2312"/>
      <w:sz w:val="28"/>
      <w:szCs w:val="28"/>
    </w:rPr>
  </w:style>
  <w:style w:type="paragraph" w:styleId="856">
    <w:name w:val="Message Header"/>
    <w:basedOn w:val="817"/>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857">
    <w:name w:val="Normal (Web)"/>
    <w:basedOn w:val="817"/>
    <w:uiPriority w:val="99"/>
    <w:unhideWhenUsed/>
    <w:qFormat/>
    <w:pPr>
      <w:spacing w:before="100" w:beforeAutospacing="1" w:after="100" w:afterAutospacing="1"/>
    </w:pPr>
    <w:rPr>
      <w:rFonts w:ascii="宋体" w:hAnsi="宋体" w:eastAsia="宋体" w:cs="宋体"/>
      <w:sz w:val="24"/>
      <w:szCs w:val="24"/>
    </w:rPr>
  </w:style>
  <w:style w:type="paragraph" w:styleId="858">
    <w:name w:val="Title"/>
    <w:basedOn w:val="817"/>
    <w:next w:val="817"/>
    <w:link w:val="940"/>
    <w:uiPriority w:val="10"/>
    <w:qFormat/>
    <w:pPr>
      <w:contextualSpacing/>
      <w:spacing w:before="300"/>
    </w:pPr>
    <w:rPr>
      <w:sz w:val="48"/>
      <w:szCs w:val="48"/>
    </w:rPr>
  </w:style>
  <w:style w:type="paragraph" w:styleId="859">
    <w:name w:val="Body Text First Indent"/>
    <w:basedOn w:val="817"/>
    <w:next w:val="860"/>
    <w:uiPriority w:val="99"/>
    <w:unhideWhenUsed/>
    <w:qFormat/>
    <w:pPr>
      <w:ind w:firstLine="420"/>
    </w:pPr>
  </w:style>
  <w:style w:type="paragraph" w:styleId="860">
    <w:name w:val="Body Text First Indent 2"/>
    <w:basedOn w:val="837"/>
    <w:next w:val="836"/>
    <w:uiPriority w:val="0"/>
    <w:qFormat/>
    <w:pPr>
      <w:ind w:left="0" w:firstLine="420"/>
      <w:spacing w:after="0" w:line="360" w:lineRule="auto"/>
    </w:pPr>
    <w:rPr>
      <w:rFonts w:ascii="宋体" w:hAnsi="宋体" w:eastAsia="宋体" w:cs="Times New Roman"/>
      <w:sz w:val="20"/>
      <w:szCs w:val="20"/>
    </w:rPr>
  </w:style>
  <w:style w:type="table" w:styleId="861">
    <w:name w:val="Table Grid"/>
    <w:basedOn w:val="82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endnote reference"/>
    <w:uiPriority w:val="99"/>
    <w:semiHidden/>
    <w:unhideWhenUsed/>
    <w:qFormat/>
    <w:rPr>
      <w:vertAlign w:val="superscript"/>
    </w:rPr>
  </w:style>
  <w:style w:type="character" w:styleId="863">
    <w:name w:val="page number"/>
    <w:basedOn w:val="827"/>
    <w:uiPriority w:val="0"/>
    <w:qFormat/>
  </w:style>
  <w:style w:type="character" w:styleId="864">
    <w:name w:val="Hyperlink"/>
    <w:basedOn w:val="827"/>
    <w:uiPriority w:val="99"/>
    <w:unhideWhenUsed/>
    <w:qFormat/>
    <w:rPr>
      <w:color w:val="0563c1" w:themeColor="hyperlink"/>
      <w:u w:val="single"/>
      <w14:textFill>
        <w14:solidFill>
          <w14:schemeClr w14:val="hlink"/>
        </w14:solidFill>
      </w14:textFill>
    </w:rPr>
  </w:style>
  <w:style w:type="character" w:styleId="865">
    <w:name w:val="footnote reference"/>
    <w:uiPriority w:val="99"/>
    <w:unhideWhenUsed/>
    <w:qFormat/>
    <w:rPr>
      <w:vertAlign w:val="superscript"/>
    </w:rPr>
  </w:style>
  <w:style w:type="paragraph" w:styleId="866" w:customStyle="1">
    <w:name w:val="BodyTextIndent"/>
    <w:basedOn w:val="817"/>
    <w:next w:val="817"/>
    <w:uiPriority w:val="0"/>
    <w:qFormat/>
    <w:pPr>
      <w:ind w:left="420" w:firstLine="200"/>
      <w:spacing w:after="120" w:line="360" w:lineRule="auto"/>
    </w:pPr>
    <w:rPr>
      <w:rFonts w:ascii="Verdana" w:hAnsi="Verdana"/>
      <w:sz w:val="24"/>
      <w:szCs w:val="28"/>
    </w:rPr>
  </w:style>
  <w:style w:type="paragraph" w:styleId="867" w:customStyle="1">
    <w:name w:val="段"/>
    <w:basedOn w:val="868"/>
    <w:next w:val="873"/>
    <w:uiPriority w:val="0"/>
    <w:qFormat/>
    <w:pPr>
      <w:ind w:firstLine="200"/>
    </w:pPr>
    <w:rPr>
      <w:rFonts w:hint="eastAsia"/>
    </w:rPr>
  </w:style>
  <w:style w:type="paragraph" w:styleId="868" w:customStyle="1">
    <w:name w:val="正文1"/>
    <w:basedOn w:val="869"/>
    <w:uiPriority w:val="0"/>
    <w:qFormat/>
    <w:pPr>
      <w:ind w:firstLine="361"/>
      <w:spacing w:line="360" w:lineRule="auto"/>
    </w:pPr>
    <w:rPr>
      <w:rFonts w:ascii="宋体" w:hAnsi="宋体" w:eastAsia="等线"/>
      <w:sz w:val="24"/>
    </w:rPr>
  </w:style>
  <w:style w:type="paragraph" w:styleId="869" w:customStyle="1">
    <w:name w:val="正文11"/>
    <w:next w:val="870"/>
    <w:uiPriority w:val="0"/>
    <w:qFormat/>
    <w:pPr>
      <w:jc w:val="both"/>
      <w:widowControl w:val="off"/>
    </w:pPr>
    <w:rPr>
      <w:rFonts w:ascii="Times New Roman" w:hAnsi="Times New Roman" w:eastAsia="宋体" w:cs="Times New Roman"/>
      <w:sz w:val="21"/>
      <w:szCs w:val="24"/>
      <w:lang w:val="en-US" w:eastAsia="zh-CN" w:bidi="ar-SA"/>
    </w:rPr>
  </w:style>
  <w:style w:type="paragraph" w:styleId="870" w:customStyle="1">
    <w:name w:val="文本块1"/>
    <w:basedOn w:val="868"/>
    <w:next w:val="871"/>
    <w:uiPriority w:val="0"/>
    <w:qFormat/>
    <w:pPr>
      <w:ind w:left="256" w:right="6" w:firstLine="624"/>
    </w:pPr>
    <w:rPr>
      <w:rFonts w:eastAsia="仿宋_GB2312"/>
      <w:sz w:val="28"/>
    </w:rPr>
  </w:style>
  <w:style w:type="paragraph" w:styleId="871" w:customStyle="1">
    <w:name w:val="标题 41"/>
    <w:basedOn w:val="872"/>
    <w:next w:val="869"/>
    <w:uiPriority w:val="0"/>
    <w:qFormat/>
    <w:pPr>
      <w:keepLines/>
      <w:keepNext/>
      <w:spacing w:before="280" w:after="290" w:line="376" w:lineRule="auto"/>
      <w:outlineLvl w:val="3"/>
    </w:pPr>
    <w:rPr>
      <w:rFonts w:ascii="Cambria" w:hAnsi="Cambria"/>
      <w:b/>
      <w:bCs/>
      <w:sz w:val="28"/>
      <w:szCs w:val="28"/>
    </w:rPr>
  </w:style>
  <w:style w:type="paragraph" w:styleId="872" w:customStyle="1">
    <w:name w:val="正文111"/>
    <w:next w:val="870"/>
    <w:link w:val="1069"/>
    <w:uiPriority w:val="0"/>
    <w:qFormat/>
    <w:pPr>
      <w:jc w:val="both"/>
      <w:widowControl w:val="off"/>
    </w:pPr>
    <w:rPr>
      <w:rFonts w:ascii="Times New Roman" w:hAnsi="Times New Roman" w:eastAsia="宋体" w:cs="Times New Roman"/>
      <w:sz w:val="21"/>
      <w:szCs w:val="24"/>
      <w:lang w:val="en-US" w:eastAsia="zh-CN" w:bidi="ar-SA"/>
    </w:rPr>
  </w:style>
  <w:style w:type="paragraph" w:styleId="873" w:customStyle="1">
    <w:name w:val="正文13"/>
    <w:next w:val="874"/>
    <w:uiPriority w:val="0"/>
    <w:qFormat/>
    <w:pPr>
      <w:jc w:val="both"/>
      <w:widowControl w:val="off"/>
    </w:pPr>
    <w:rPr>
      <w:rFonts w:ascii="Times New Roman" w:hAnsi="Times New Roman" w:eastAsia="宋体" w:cs="Times New Roman"/>
      <w:sz w:val="21"/>
      <w:szCs w:val="24"/>
      <w:lang w:val="en-US" w:eastAsia="zh-CN" w:bidi="ar-SA"/>
    </w:rPr>
  </w:style>
  <w:style w:type="paragraph" w:styleId="874" w:customStyle="1">
    <w:name w:val="正文首行缩进1"/>
    <w:basedOn w:val="875"/>
    <w:next w:val="878"/>
    <w:uiPriority w:val="0"/>
    <w:qFormat/>
    <w:pPr>
      <w:ind w:firstLine="420"/>
    </w:pPr>
    <w:rPr>
      <w:rFonts w:ascii="仿宋_GB2312" w:hAnsi="Times New Roman" w:eastAsia="仿宋_GB2312"/>
      <w:sz w:val="30"/>
      <w:szCs w:val="30"/>
    </w:rPr>
  </w:style>
  <w:style w:type="paragraph" w:styleId="875" w:customStyle="1">
    <w:name w:val="正文文本1"/>
    <w:basedOn w:val="873"/>
    <w:next w:val="876"/>
    <w:uiPriority w:val="0"/>
    <w:qFormat/>
    <w:pPr>
      <w:spacing w:after="120"/>
    </w:pPr>
    <w:rPr>
      <w:rFonts w:ascii="Calibri" w:hAnsi="Calibri"/>
    </w:rPr>
  </w:style>
  <w:style w:type="paragraph" w:styleId="876" w:customStyle="1">
    <w:name w:val="一级条标题"/>
    <w:basedOn w:val="877"/>
    <w:next w:val="8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7" w:customStyle="1">
    <w:name w:val="章标题"/>
    <w:basedOn w:val="817"/>
    <w:next w:val="873"/>
    <w:uiPriority w:val="0"/>
    <w:qFormat/>
    <w:pPr>
      <w:jc w:val="center"/>
      <w:spacing w:before="158" w:after="153" w:line="1292" w:lineRule="atLeast"/>
    </w:pPr>
    <w:rPr>
      <w:rFonts w:ascii="Arial" w:hAnsi="Calibri" w:eastAsia="黑体" w:cs="黑体"/>
      <w:sz w:val="31"/>
      <w:lang w:bidi="en-US"/>
    </w:rPr>
  </w:style>
  <w:style w:type="paragraph" w:styleId="878" w:customStyle="1">
    <w:name w:val="正文首行缩进 211"/>
    <w:basedOn w:val="879"/>
    <w:next w:val="880"/>
    <w:uiPriority w:val="0"/>
    <w:qFormat/>
    <w:pPr>
      <w:ind w:firstLine="420"/>
    </w:pPr>
    <w:rPr>
      <w:sz w:val="24"/>
    </w:rPr>
  </w:style>
  <w:style w:type="paragraph" w:styleId="879" w:customStyle="1">
    <w:name w:val="正文文本缩进11"/>
    <w:basedOn w:val="869"/>
    <w:next w:val="880"/>
    <w:uiPriority w:val="0"/>
    <w:qFormat/>
    <w:pPr>
      <w:ind w:firstLine="538"/>
    </w:pPr>
    <w:rPr>
      <w:sz w:val="28"/>
    </w:rPr>
  </w:style>
  <w:style w:type="paragraph" w:styleId="880" w:customStyle="1">
    <w:name w:val="正文112"/>
    <w:next w:val="874"/>
    <w:uiPriority w:val="0"/>
    <w:qFormat/>
    <w:pPr>
      <w:jc w:val="both"/>
      <w:widowControl w:val="off"/>
    </w:pPr>
    <w:rPr>
      <w:rFonts w:ascii="Times New Roman" w:hAnsi="Times New Roman" w:eastAsia="宋体" w:cs="Times New Roman"/>
      <w:sz w:val="21"/>
      <w:szCs w:val="24"/>
      <w:lang w:val="en-US" w:eastAsia="zh-CN" w:bidi="ar-SA"/>
    </w:rPr>
  </w:style>
  <w:style w:type="paragraph" w:styleId="881" w:customStyle="1">
    <w:name w:val="正文首行缩进 22"/>
    <w:basedOn w:val="879"/>
    <w:uiPriority w:val="0"/>
    <w:qFormat/>
    <w:pPr>
      <w:ind w:firstLine="420"/>
    </w:pPr>
  </w:style>
  <w:style w:type="paragraph" w:styleId="882" w:customStyle="1">
    <w:name w:val="样式 正文文本缩进 + 首行缩进:  2 字符 行距: 1.5 倍行距"/>
    <w:basedOn w:val="883"/>
    <w:uiPriority w:val="0"/>
    <w:qFormat/>
    <w:pPr>
      <w:ind w:firstLine="645"/>
      <w:spacing w:before="156"/>
    </w:pPr>
    <w:rPr>
      <w:sz w:val="28"/>
    </w:rPr>
  </w:style>
  <w:style w:type="paragraph" w:styleId="883" w:customStyle="1">
    <w:name w:val="正文文本缩进1"/>
    <w:basedOn w:val="869"/>
    <w:next w:val="884"/>
    <w:uiPriority w:val="0"/>
    <w:qFormat/>
    <w:pPr>
      <w:ind w:left="420"/>
      <w:spacing w:after="120"/>
    </w:pPr>
    <w:rPr>
      <w:rFonts w:ascii="Calibri" w:hAnsi="Calibri"/>
    </w:rPr>
  </w:style>
  <w:style w:type="paragraph" w:styleId="884" w:customStyle="1">
    <w:name w:val="寄信人地址1"/>
    <w:basedOn w:val="872"/>
    <w:uiPriority w:val="0"/>
    <w:qFormat/>
    <w:rPr>
      <w:rFonts w:ascii="Arial" w:hAnsi="Arial"/>
    </w:rPr>
  </w:style>
  <w:style w:type="paragraph" w:styleId="885" w:customStyle="1">
    <w:name w:val="正文1121"/>
    <w:next w:val="879"/>
    <w:uiPriority w:val="0"/>
    <w:qFormat/>
    <w:pPr>
      <w:jc w:val="both"/>
      <w:widowControl w:val="off"/>
    </w:pPr>
    <w:rPr>
      <w:rFonts w:ascii="Times New Roman" w:hAnsi="Times New Roman" w:eastAsia="宋体" w:cs="Times New Roman"/>
      <w:sz w:val="21"/>
      <w:szCs w:val="24"/>
      <w:lang w:val="en-US" w:eastAsia="zh-CN" w:bidi="ar-SA"/>
    </w:rPr>
  </w:style>
  <w:style w:type="paragraph" w:styleId="886" w:customStyle="1">
    <w:name w:val="寄信人地址11"/>
    <w:basedOn w:val="885"/>
    <w:uiPriority w:val="0"/>
    <w:qFormat/>
    <w:rPr>
      <w:rFonts w:ascii="Arial" w:hAnsi="Arial"/>
    </w:rPr>
  </w:style>
  <w:style w:type="paragraph" w:styleId="887" w:customStyle="1">
    <w:name w:val="目录 11"/>
    <w:basedOn w:val="869"/>
    <w:next w:val="868"/>
    <w:uiPriority w:val="0"/>
    <w:semiHidden/>
    <w:qFormat/>
    <w:pPr>
      <w:ind w:left="1170"/>
      <w:spacing w:line="960" w:lineRule="exact"/>
      <w:tabs>
        <w:tab w:val="right" w:pos="8647" w:leader="dot"/>
      </w:tabs>
    </w:pPr>
  </w:style>
  <w:style w:type="paragraph" w:styleId="888" w:customStyle="1">
    <w:name w:val="脚注文本1"/>
    <w:basedOn w:val="868"/>
    <w:next w:val="889"/>
    <w:uiPriority w:val="0"/>
    <w:qFormat/>
    <w:rPr>
      <w:rFonts w:eastAsia="Times New Roman"/>
      <w:sz w:val="18"/>
      <w:szCs w:val="18"/>
    </w:rPr>
  </w:style>
  <w:style w:type="paragraph" w:styleId="889" w:customStyle="1">
    <w:name w:val="索引 51"/>
    <w:basedOn w:val="868"/>
    <w:next w:val="868"/>
    <w:uiPriority w:val="0"/>
    <w:qFormat/>
    <w:pPr>
      <w:ind w:left="798"/>
    </w:pPr>
    <w:rPr>
      <w:rFonts w:ascii="Calibri" w:hAnsi="Calibri"/>
    </w:rPr>
  </w:style>
  <w:style w:type="paragraph" w:styleId="890" w:customStyle="1">
    <w:name w:val="标题 21"/>
    <w:basedOn w:val="891"/>
    <w:next w:val="869"/>
    <w:uiPriority w:val="0"/>
    <w:qFormat/>
    <w:pPr>
      <w:keepLines/>
      <w:keepNext/>
      <w:spacing w:before="260" w:after="260" w:line="416" w:lineRule="auto"/>
      <w:outlineLvl w:val="1"/>
    </w:pPr>
    <w:rPr>
      <w:rFonts w:ascii="Cambria" w:hAnsi="Cambria"/>
      <w:b/>
      <w:bCs/>
      <w:sz w:val="32"/>
      <w:szCs w:val="32"/>
    </w:rPr>
  </w:style>
  <w:style w:type="paragraph" w:styleId="891" w:customStyle="1">
    <w:name w:val="正文12"/>
    <w:next w:val="870"/>
    <w:uiPriority w:val="0"/>
    <w:qFormat/>
    <w:pPr>
      <w:jc w:val="both"/>
      <w:widowControl w:val="off"/>
    </w:pPr>
    <w:rPr>
      <w:rFonts w:ascii="Times New Roman" w:hAnsi="Times New Roman" w:eastAsia="宋体" w:cs="Times New Roman"/>
      <w:sz w:val="21"/>
      <w:szCs w:val="24"/>
      <w:lang w:val="en-US" w:eastAsia="zh-CN" w:bidi="ar-SA"/>
    </w:rPr>
  </w:style>
  <w:style w:type="paragraph" w:styleId="892" w:customStyle="1">
    <w:name w:val="首行缩进"/>
    <w:basedOn w:val="868"/>
    <w:uiPriority w:val="0"/>
    <w:qFormat/>
    <w:pPr>
      <w:ind w:firstLine="480"/>
    </w:pPr>
    <w:rPr>
      <w:sz w:val="20"/>
      <w:szCs w:val="20"/>
      <w:lang w:val="zh-CN"/>
    </w:rPr>
  </w:style>
  <w:style w:type="paragraph" w:styleId="893" w:customStyle="1">
    <w:name w:val="正文缩进1"/>
    <w:basedOn w:val="868"/>
    <w:uiPriority w:val="0"/>
    <w:qFormat/>
    <w:pPr>
      <w:ind w:firstLine="420"/>
    </w:pPr>
    <w:rPr>
      <w:rFonts w:ascii="Calibri" w:hAnsi="Calibri"/>
      <w:sz w:val="21"/>
    </w:rPr>
  </w:style>
  <w:style w:type="character" w:styleId="894" w:customStyle="1">
    <w:name w:val="Heading 1 Char"/>
    <w:basedOn w:val="827"/>
    <w:uiPriority w:val="9"/>
    <w:qFormat/>
    <w:rPr>
      <w:rFonts w:ascii="Arial" w:hAnsi="Arial" w:eastAsia="Arial" w:cs="Arial"/>
      <w:sz w:val="40"/>
      <w:szCs w:val="40"/>
    </w:rPr>
  </w:style>
  <w:style w:type="character" w:styleId="895" w:customStyle="1">
    <w:name w:val="Heading 2 Char"/>
    <w:basedOn w:val="827"/>
    <w:uiPriority w:val="9"/>
    <w:qFormat/>
    <w:rPr>
      <w:rFonts w:ascii="Arial" w:hAnsi="Arial" w:eastAsia="Arial" w:cs="Arial"/>
      <w:sz w:val="34"/>
    </w:rPr>
  </w:style>
  <w:style w:type="character" w:styleId="896" w:customStyle="1">
    <w:name w:val="Heading 3 Char"/>
    <w:basedOn w:val="827"/>
    <w:uiPriority w:val="9"/>
    <w:qFormat/>
    <w:rPr>
      <w:rFonts w:ascii="Arial" w:hAnsi="Arial" w:eastAsia="Arial" w:cs="Arial"/>
      <w:sz w:val="30"/>
      <w:szCs w:val="30"/>
    </w:rPr>
  </w:style>
  <w:style w:type="character" w:styleId="897" w:customStyle="1">
    <w:name w:val="Heading 4 Char"/>
    <w:basedOn w:val="827"/>
    <w:uiPriority w:val="9"/>
    <w:qFormat/>
    <w:rPr>
      <w:rFonts w:ascii="Arial" w:hAnsi="Arial" w:eastAsia="Arial" w:cs="Arial"/>
      <w:b/>
      <w:bCs/>
      <w:sz w:val="26"/>
      <w:szCs w:val="26"/>
    </w:rPr>
  </w:style>
  <w:style w:type="character" w:styleId="898" w:customStyle="1">
    <w:name w:val="Heading 5 Char"/>
    <w:basedOn w:val="827"/>
    <w:uiPriority w:val="9"/>
    <w:qFormat/>
    <w:rPr>
      <w:rFonts w:ascii="Arial" w:hAnsi="Arial" w:eastAsia="Arial" w:cs="Arial"/>
      <w:b/>
      <w:bCs/>
      <w:sz w:val="24"/>
      <w:szCs w:val="24"/>
    </w:rPr>
  </w:style>
  <w:style w:type="character" w:styleId="899" w:customStyle="1">
    <w:name w:val="Heading 6 Char"/>
    <w:basedOn w:val="827"/>
    <w:uiPriority w:val="9"/>
    <w:qFormat/>
    <w:rPr>
      <w:rFonts w:ascii="Arial" w:hAnsi="Arial" w:eastAsia="Arial" w:cs="Arial"/>
      <w:b/>
      <w:bCs/>
      <w:sz w:val="22"/>
      <w:szCs w:val="22"/>
    </w:rPr>
  </w:style>
  <w:style w:type="character" w:styleId="900" w:customStyle="1">
    <w:name w:val="Heading 7 Char"/>
    <w:basedOn w:val="827"/>
    <w:uiPriority w:val="9"/>
    <w:qFormat/>
    <w:rPr>
      <w:rFonts w:ascii="Arial" w:hAnsi="Arial" w:eastAsia="Arial" w:cs="Arial"/>
      <w:b/>
      <w:bCs/>
      <w:i/>
      <w:iCs/>
      <w:sz w:val="22"/>
      <w:szCs w:val="22"/>
    </w:rPr>
  </w:style>
  <w:style w:type="character" w:styleId="901" w:customStyle="1">
    <w:name w:val="Heading 8 Char"/>
    <w:basedOn w:val="827"/>
    <w:uiPriority w:val="9"/>
    <w:qFormat/>
    <w:rPr>
      <w:rFonts w:ascii="Arial" w:hAnsi="Arial" w:eastAsia="Arial" w:cs="Arial"/>
      <w:i/>
      <w:iCs/>
      <w:sz w:val="22"/>
      <w:szCs w:val="22"/>
    </w:rPr>
  </w:style>
  <w:style w:type="character" w:styleId="902" w:customStyle="1">
    <w:name w:val="Heading 9 Char"/>
    <w:basedOn w:val="827"/>
    <w:uiPriority w:val="9"/>
    <w:qFormat/>
    <w:rPr>
      <w:rFonts w:ascii="Arial" w:hAnsi="Arial" w:eastAsia="Arial" w:cs="Arial"/>
      <w:i/>
      <w:iCs/>
      <w:sz w:val="21"/>
      <w:szCs w:val="21"/>
    </w:rPr>
  </w:style>
  <w:style w:type="character" w:styleId="903" w:customStyle="1">
    <w:name w:val="Title Char"/>
    <w:basedOn w:val="827"/>
    <w:uiPriority w:val="10"/>
    <w:qFormat/>
    <w:rPr>
      <w:sz w:val="48"/>
      <w:szCs w:val="48"/>
    </w:rPr>
  </w:style>
  <w:style w:type="character" w:styleId="904" w:customStyle="1">
    <w:name w:val="Subtitle Char"/>
    <w:basedOn w:val="827"/>
    <w:uiPriority w:val="11"/>
    <w:qFormat/>
    <w:rPr>
      <w:sz w:val="24"/>
      <w:szCs w:val="24"/>
    </w:rPr>
  </w:style>
  <w:style w:type="character" w:styleId="905" w:customStyle="1">
    <w:name w:val="Quote Char"/>
    <w:uiPriority w:val="29"/>
    <w:qFormat/>
    <w:rPr>
      <w:i/>
    </w:rPr>
  </w:style>
  <w:style w:type="character" w:styleId="906" w:customStyle="1">
    <w:name w:val="Intense Quote Char"/>
    <w:uiPriority w:val="30"/>
    <w:qFormat/>
    <w:rPr>
      <w:i/>
    </w:rPr>
  </w:style>
  <w:style w:type="character" w:styleId="907" w:customStyle="1">
    <w:name w:val="Header Char"/>
    <w:basedOn w:val="827"/>
    <w:uiPriority w:val="99"/>
    <w:qFormat/>
  </w:style>
  <w:style w:type="character" w:styleId="908" w:customStyle="1">
    <w:name w:val="Caption Char"/>
    <w:uiPriority w:val="99"/>
    <w:qFormat/>
  </w:style>
  <w:style w:type="table" w:styleId="909" w:customStyle="1">
    <w:name w:val="无格式表格 11"/>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21"/>
    <w:basedOn w:val="8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3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无格式表格 4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无格式表格 5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网格表 1 浅色1"/>
    <w:basedOn w:val="8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5" w:customStyle="1">
    <w:name w:val="网格表 2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网格表 3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
    <w:basedOn w:val="8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网格表 5 深色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网格表 6 彩色1"/>
    <w:basedOn w:val="8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网格表 7 彩色1"/>
    <w:basedOn w:val="8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清单表 1 浅色1"/>
    <w:basedOn w:val="82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清单表 21"/>
    <w:basedOn w:val="8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清单表 3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清单表 4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清单表 5 深色1"/>
    <w:basedOn w:val="8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basedOn w:val="82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清单表 7 彩色1"/>
    <w:basedOn w:val="82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TOC 标题1"/>
    <w:uiPriority w:val="39"/>
    <w:unhideWhenUsed/>
    <w:qFormat/>
    <w:rPr>
      <w:rFonts w:asciiTheme="minorHAnsi" w:hAnsiTheme="minorHAnsi" w:eastAsiaTheme="minorEastAsia" w:cstheme="minorBidi"/>
      <w:lang w:val="en-US" w:eastAsia="zh-CN" w:bidi="ar-SA"/>
    </w:rPr>
  </w:style>
  <w:style w:type="character" w:styleId="931" w:customStyle="1">
    <w:name w:val="标题 1 字符"/>
    <w:link w:val="818"/>
    <w:uiPriority w:val="9"/>
    <w:qFormat/>
    <w:rPr>
      <w:rFonts w:ascii="Arial" w:hAnsi="Arial" w:eastAsia="Arial" w:cs="Arial"/>
      <w:sz w:val="40"/>
      <w:szCs w:val="40"/>
    </w:rPr>
  </w:style>
  <w:style w:type="character" w:styleId="932" w:customStyle="1">
    <w:name w:val="标题 2 字符"/>
    <w:link w:val="819"/>
    <w:uiPriority w:val="9"/>
    <w:qFormat/>
    <w:rPr>
      <w:rFonts w:ascii="Arial" w:hAnsi="Arial" w:eastAsia="Arial" w:cs="Arial"/>
      <w:sz w:val="34"/>
    </w:rPr>
  </w:style>
  <w:style w:type="character" w:styleId="933" w:customStyle="1">
    <w:name w:val="标题 3 字符"/>
    <w:link w:val="820"/>
    <w:uiPriority w:val="9"/>
    <w:qFormat/>
    <w:rPr>
      <w:rFonts w:ascii="Arial" w:hAnsi="Arial" w:eastAsia="Arial" w:cs="Arial"/>
      <w:sz w:val="30"/>
      <w:szCs w:val="30"/>
    </w:rPr>
  </w:style>
  <w:style w:type="character" w:styleId="934" w:customStyle="1">
    <w:name w:val="标题 4 字符"/>
    <w:link w:val="821"/>
    <w:uiPriority w:val="9"/>
    <w:qFormat/>
    <w:rPr>
      <w:rFonts w:ascii="Arial" w:hAnsi="Arial" w:eastAsia="Arial" w:cs="Arial"/>
      <w:b/>
      <w:bCs/>
      <w:sz w:val="26"/>
      <w:szCs w:val="26"/>
    </w:rPr>
  </w:style>
  <w:style w:type="character" w:styleId="935" w:customStyle="1">
    <w:name w:val="标题 5 字符"/>
    <w:link w:val="822"/>
    <w:uiPriority w:val="9"/>
    <w:qFormat/>
    <w:rPr>
      <w:rFonts w:ascii="Arial" w:hAnsi="Arial" w:eastAsia="Arial" w:cs="Arial"/>
      <w:b/>
      <w:bCs/>
      <w:sz w:val="24"/>
      <w:szCs w:val="24"/>
    </w:rPr>
  </w:style>
  <w:style w:type="character" w:styleId="936" w:customStyle="1">
    <w:name w:val="标题 6 字符"/>
    <w:link w:val="823"/>
    <w:uiPriority w:val="9"/>
    <w:qFormat/>
    <w:rPr>
      <w:rFonts w:ascii="Arial" w:hAnsi="Arial" w:eastAsia="Arial" w:cs="Arial"/>
      <w:b/>
      <w:bCs/>
      <w:sz w:val="22"/>
      <w:szCs w:val="22"/>
    </w:rPr>
  </w:style>
  <w:style w:type="character" w:styleId="937" w:customStyle="1">
    <w:name w:val="标题 7 字符"/>
    <w:link w:val="824"/>
    <w:uiPriority w:val="9"/>
    <w:qFormat/>
    <w:rPr>
      <w:rFonts w:ascii="Arial" w:hAnsi="Arial" w:eastAsia="Arial" w:cs="Arial"/>
      <w:b/>
      <w:bCs/>
      <w:i/>
      <w:iCs/>
      <w:sz w:val="22"/>
      <w:szCs w:val="22"/>
    </w:rPr>
  </w:style>
  <w:style w:type="character" w:styleId="938" w:customStyle="1">
    <w:name w:val="标题 8 字符"/>
    <w:link w:val="825"/>
    <w:uiPriority w:val="9"/>
    <w:qFormat/>
    <w:rPr>
      <w:rFonts w:ascii="Arial" w:hAnsi="Arial" w:eastAsia="Arial" w:cs="Arial"/>
      <w:i/>
      <w:iCs/>
      <w:sz w:val="22"/>
      <w:szCs w:val="22"/>
    </w:rPr>
  </w:style>
  <w:style w:type="character" w:styleId="939" w:customStyle="1">
    <w:name w:val="标题 9 字符"/>
    <w:link w:val="826"/>
    <w:uiPriority w:val="9"/>
    <w:qFormat/>
    <w:rPr>
      <w:rFonts w:ascii="Arial" w:hAnsi="Arial" w:eastAsia="Arial" w:cs="Arial"/>
      <w:i/>
      <w:iCs/>
      <w:sz w:val="21"/>
      <w:szCs w:val="21"/>
    </w:rPr>
  </w:style>
  <w:style w:type="character" w:styleId="940" w:customStyle="1">
    <w:name w:val="标题 字符"/>
    <w:link w:val="858"/>
    <w:uiPriority w:val="10"/>
    <w:qFormat/>
    <w:rPr>
      <w:sz w:val="48"/>
      <w:szCs w:val="48"/>
    </w:rPr>
  </w:style>
  <w:style w:type="character" w:styleId="941" w:customStyle="1">
    <w:name w:val="副标题 字符"/>
    <w:link w:val="849"/>
    <w:uiPriority w:val="11"/>
    <w:qFormat/>
    <w:rPr>
      <w:sz w:val="24"/>
      <w:szCs w:val="24"/>
    </w:rPr>
  </w:style>
  <w:style w:type="paragraph" w:styleId="942">
    <w:name w:val="Quote"/>
    <w:basedOn w:val="817"/>
    <w:next w:val="817"/>
    <w:link w:val="943"/>
    <w:uiPriority w:val="29"/>
    <w:qFormat/>
    <w:pPr>
      <w:ind w:left="720" w:right="720"/>
    </w:pPr>
    <w:rPr>
      <w:i/>
    </w:rPr>
  </w:style>
  <w:style w:type="character" w:styleId="943" w:customStyle="1">
    <w:name w:val="引用 字符"/>
    <w:link w:val="942"/>
    <w:uiPriority w:val="29"/>
    <w:qFormat/>
    <w:rPr>
      <w:i/>
    </w:rPr>
  </w:style>
  <w:style w:type="paragraph" w:styleId="944">
    <w:name w:val="Intense Quote"/>
    <w:basedOn w:val="817"/>
    <w:next w:val="817"/>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明显引用 字符"/>
    <w:link w:val="944"/>
    <w:uiPriority w:val="30"/>
    <w:qFormat/>
    <w:rPr>
      <w:i/>
    </w:rPr>
  </w:style>
  <w:style w:type="character" w:styleId="946" w:customStyle="1">
    <w:name w:val="页眉 字符"/>
    <w:link w:val="846"/>
    <w:uiPriority w:val="99"/>
    <w:qFormat/>
  </w:style>
  <w:style w:type="character" w:styleId="947" w:customStyle="1">
    <w:name w:val="Footer Char"/>
    <w:uiPriority w:val="99"/>
    <w:qFormat/>
  </w:style>
  <w:style w:type="character" w:styleId="948" w:customStyle="1">
    <w:name w:val="页脚 字符"/>
    <w:link w:val="845"/>
    <w:uiPriority w:val="99"/>
    <w:qFormat/>
  </w:style>
  <w:style w:type="table" w:styleId="949" w:customStyle="1">
    <w:name w:val="Table Grid Light"/>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0" w:customStyle="1">
    <w:name w:val="Grid Table 1 Light - Accent 1"/>
    <w:basedOn w:val="82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2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6" w:customStyle="1">
    <w:name w:val="Grid Table 2 - Accent 1"/>
    <w:basedOn w:val="82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basedOn w:val="8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basedOn w:val="8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basedOn w:val="8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basedOn w:val="82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1" w:customStyle="1">
    <w:name w:val="Grid Table 2 - Accent 6"/>
    <w:basedOn w:val="82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2" w:customStyle="1">
    <w:name w:val="Grid Table 3 - Accent 1"/>
    <w:basedOn w:val="82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basedOn w:val="8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basedOn w:val="8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basedOn w:val="8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basedOn w:val="82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basedOn w:val="82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4 - Accent 1"/>
    <w:basedOn w:val="82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9" w:customStyle="1">
    <w:name w:val="Grid Table 4 - Accent 2"/>
    <w:basedOn w:val="82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0" w:customStyle="1">
    <w:name w:val="Grid Table 4 - Accent 3"/>
    <w:basedOn w:val="82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1" w:customStyle="1">
    <w:name w:val="Grid Table 4 - Accent 4"/>
    <w:basedOn w:val="82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2" w:customStyle="1">
    <w:name w:val="Grid Table 4 - Accent 5"/>
    <w:basedOn w:val="82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3" w:customStyle="1">
    <w:name w:val="Grid Table 4 - Accent 6"/>
    <w:basedOn w:val="82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4" w:customStyle="1">
    <w:name w:val="Grid Table 5 Dark- Accent 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5" w:customStyle="1">
    <w:name w:val="Grid Table 5 Dark - Accent 2"/>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6" w:customStyle="1">
    <w:name w:val="Grid Table 5 Dark - Accent 3"/>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7" w:customStyle="1">
    <w:name w:val="Grid Table 5 Dark- Accent 4"/>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8" w:customStyle="1">
    <w:name w:val="Grid Table 5 Dark - Accent 5"/>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9" w:customStyle="1">
    <w:name w:val="Grid Table 5 Dark - Accent 6"/>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0" w:customStyle="1">
    <w:name w:val="Grid Table 6 Colorful - Accent 1"/>
    <w:basedOn w:val="82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1" w:customStyle="1">
    <w:name w:val="Grid Table 6 Colorful - Accent 2"/>
    <w:basedOn w:val="8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2" w:customStyle="1">
    <w:name w:val="Grid Table 6 Colorful - Accent 3"/>
    <w:basedOn w:val="82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3" w:customStyle="1">
    <w:name w:val="Grid Table 6 Colorful - Accent 4"/>
    <w:basedOn w:val="8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4" w:customStyle="1">
    <w:name w:val="Grid Table 6 Colorful - Accent 5"/>
    <w:basedOn w:val="82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5" w:customStyle="1">
    <w:name w:val="Grid Table 6 Colorful - Accent 6"/>
    <w:basedOn w:val="82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6" w:customStyle="1">
    <w:name w:val="Grid Table 7 Colorful - Accent 1"/>
    <w:basedOn w:val="82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basedOn w:val="82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basedOn w:val="82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basedOn w:val="82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basedOn w:val="82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basedOn w:val="82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2" w:customStyle="1">
    <w:name w:val="List Table 1 Light - Accent 1"/>
    <w:basedOn w:val="82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3" w:customStyle="1">
    <w:name w:val="List Table 1 Light - Accent 2"/>
    <w:basedOn w:val="82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4" w:customStyle="1">
    <w:name w:val="List Table 1 Light - Accent 3"/>
    <w:basedOn w:val="82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5" w:customStyle="1">
    <w:name w:val="List Table 1 Light - Accent 4"/>
    <w:basedOn w:val="82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6" w:customStyle="1">
    <w:name w:val="List Table 1 Light - Accent 5"/>
    <w:basedOn w:val="82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7" w:customStyle="1">
    <w:name w:val="List Table 1 Light - Accent 6"/>
    <w:basedOn w:val="82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8" w:customStyle="1">
    <w:name w:val="List Table 2 - Accent 1"/>
    <w:basedOn w:val="82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9" w:customStyle="1">
    <w:name w:val="List Table 2 - Accent 2"/>
    <w:basedOn w:val="82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0" w:customStyle="1">
    <w:name w:val="List Table 2 - Accent 3"/>
    <w:basedOn w:val="82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1" w:customStyle="1">
    <w:name w:val="List Table 2 - Accent 4"/>
    <w:basedOn w:val="82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2" w:customStyle="1">
    <w:name w:val="List Table 2 - Accent 5"/>
    <w:basedOn w:val="82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3" w:customStyle="1">
    <w:name w:val="List Table 2 - Accent 6"/>
    <w:basedOn w:val="82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4" w:customStyle="1">
    <w:name w:val="List Table 3 - Accent 1"/>
    <w:basedOn w:val="82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5" w:customStyle="1">
    <w:name w:val="List Table 3 - Accent 2"/>
    <w:basedOn w:val="8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6" w:customStyle="1">
    <w:name w:val="List Table 3 - Accent 3"/>
    <w:basedOn w:val="82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7" w:customStyle="1">
    <w:name w:val="List Table 3 - Accent 4"/>
    <w:basedOn w:val="8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8" w:customStyle="1">
    <w:name w:val="List Table 3 - Accent 5"/>
    <w:basedOn w:val="82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9" w:customStyle="1">
    <w:name w:val="List Table 3 - Accent 6"/>
    <w:basedOn w:val="82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0" w:customStyle="1">
    <w:name w:val="List Table 4 - Accent 1"/>
    <w:basedOn w:val="82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1" w:customStyle="1">
    <w:name w:val="List Table 4 - Accent 2"/>
    <w:basedOn w:val="82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2" w:customStyle="1">
    <w:name w:val="List Table 4 - Accent 3"/>
    <w:basedOn w:val="82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3" w:customStyle="1">
    <w:name w:val="List Table 4 - Accent 4"/>
    <w:basedOn w:val="82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4" w:customStyle="1">
    <w:name w:val="List Table 4 - Accent 5"/>
    <w:basedOn w:val="82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5" w:customStyle="1">
    <w:name w:val="List Table 4 - Accent 6"/>
    <w:basedOn w:val="82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6" w:customStyle="1">
    <w:name w:val="List Table 5 Dark - Accent 1"/>
    <w:basedOn w:val="82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basedOn w:val="82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basedOn w:val="82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basedOn w:val="82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basedOn w:val="82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basedOn w:val="82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6 Colorful - Accent 1"/>
    <w:basedOn w:val="82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3" w:customStyle="1">
    <w:name w:val="List Table 6 Colorful - Accent 2"/>
    <w:basedOn w:val="82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4" w:customStyle="1">
    <w:name w:val="List Table 6 Colorful - Accent 3"/>
    <w:basedOn w:val="82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5" w:customStyle="1">
    <w:name w:val="List Table 6 Colorful - Accent 4"/>
    <w:basedOn w:val="82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6" w:customStyle="1">
    <w:name w:val="List Table 6 Colorful - Accent 5"/>
    <w:basedOn w:val="82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7" w:customStyle="1">
    <w:name w:val="List Table 6 Colorful - Accent 6"/>
    <w:basedOn w:val="82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8" w:customStyle="1">
    <w:name w:val="List Table 7 Colorful - Accent 1"/>
    <w:basedOn w:val="82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basedOn w:val="82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basedOn w:val="82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basedOn w:val="82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basedOn w:val="82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basedOn w:val="82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4" w:customStyle="1">
    <w:name w:val="Lined - Accent"/>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6" w:customStyle="1">
    <w:name w:val="Lined - Accent 2"/>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7" w:customStyle="1">
    <w:name w:val="Lined - Accent 3"/>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8" w:customStyle="1">
    <w:name w:val="Lined - Accent 4"/>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9" w:customStyle="1">
    <w:name w:val="Lined - Accent 5"/>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0" w:customStyle="1">
    <w:name w:val="Lined - Accent 6"/>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1" w:customStyle="1">
    <w:name w:val="Bordered &amp; Lined - Accent"/>
    <w:basedOn w:val="82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basedOn w:val="82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3" w:customStyle="1">
    <w:name w:val="Bordered &amp; Lined - Accent 2"/>
    <w:basedOn w:val="82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4" w:customStyle="1">
    <w:name w:val="Bordered &amp; Lined - Accent 3"/>
    <w:basedOn w:val="82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5" w:customStyle="1">
    <w:name w:val="Bordered &amp; Lined - Accent 4"/>
    <w:basedOn w:val="82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6" w:customStyle="1">
    <w:name w:val="Bordered &amp; Lined - Accent 5"/>
    <w:basedOn w:val="82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7" w:customStyle="1">
    <w:name w:val="Bordered &amp; Lined - Accent 6"/>
    <w:basedOn w:val="82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8" w:customStyle="1">
    <w:name w:val="Bordered"/>
    <w:basedOn w:val="82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basedOn w:val="82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0" w:customStyle="1">
    <w:name w:val="Bordered - Accent 2"/>
    <w:basedOn w:val="8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1" w:customStyle="1">
    <w:name w:val="Bordered - Accent 3"/>
    <w:basedOn w:val="8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2" w:customStyle="1">
    <w:name w:val="Bordered - Accent 4"/>
    <w:basedOn w:val="8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3" w:customStyle="1">
    <w:name w:val="Bordered - Accent 5"/>
    <w:basedOn w:val="82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4" w:customStyle="1">
    <w:name w:val="Bordered - Accent 6"/>
    <w:basedOn w:val="8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5" w:customStyle="1">
    <w:name w:val="脚注文本 字符"/>
    <w:link w:val="850"/>
    <w:uiPriority w:val="99"/>
    <w:qFormat/>
    <w:rPr>
      <w:sz w:val="18"/>
    </w:rPr>
  </w:style>
  <w:style w:type="character" w:styleId="1056" w:customStyle="1">
    <w:name w:val="尾注文本 字符"/>
    <w:link w:val="844"/>
    <w:uiPriority w:val="99"/>
    <w:qFormat/>
    <w:rPr>
      <w:sz w:val="20"/>
    </w:rPr>
  </w:style>
  <w:style w:type="paragraph" w:styleId="1057" w:customStyle="1">
    <w:name w:val="TOC 标题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1058">
    <w:name w:val="No Spacing"/>
    <w:basedOn w:val="817"/>
    <w:uiPriority w:val="1"/>
    <w:qFormat/>
    <w:pPr>
      <w:spacing w:after="0" w:line="240" w:lineRule="auto"/>
    </w:pPr>
  </w:style>
  <w:style w:type="paragraph" w:styleId="1059">
    <w:name w:val="List Paragraph"/>
    <w:basedOn w:val="817"/>
    <w:uiPriority w:val="34"/>
    <w:qFormat/>
    <w:pPr>
      <w:contextualSpacing/>
      <w:ind w:left="720"/>
    </w:pPr>
  </w:style>
  <w:style w:type="paragraph" w:styleId="1060" w:customStyle="1">
    <w:name w:val="无间隔1"/>
    <w:uiPriority w:val="0"/>
    <w:qFormat/>
    <w:rPr>
      <w:rFonts w:ascii="Times New Roman" w:hAnsi="Times New Roman" w:eastAsia="宋体" w:cs="Times New Roman"/>
      <w:sz w:val="22"/>
      <w:szCs w:val="22"/>
      <w:lang w:val="en-US" w:eastAsia="en-US" w:bidi="ar-SA"/>
    </w:rPr>
  </w:style>
  <w:style w:type="paragraph" w:styleId="1061" w:customStyle="1">
    <w:name w:val="普通(网站)1"/>
    <w:basedOn w:val="868"/>
    <w:uiPriority w:val="0"/>
    <w:qFormat/>
    <w:pPr>
      <w:spacing w:before="100" w:beforeAutospacing="1" w:after="100" w:afterAutospacing="1"/>
    </w:pPr>
  </w:style>
  <w:style w:type="paragraph" w:styleId="1062" w:customStyle="1">
    <w:name w:val="正文（缩进）"/>
    <w:basedOn w:val="817"/>
    <w:uiPriority w:val="0"/>
    <w:unhideWhenUsed/>
    <w:qFormat/>
    <w:pPr>
      <w:jc w:val="both"/>
      <w:spacing w:line="240" w:lineRule="auto"/>
    </w:pPr>
    <w:rPr>
      <w:rFonts w:hint="eastAsia" w:ascii="宋体" w:eastAsia="宋体" w:cs="Times New Roman"/>
      <w:sz w:val="21"/>
      <w:szCs w:val="21"/>
    </w:rPr>
  </w:style>
  <w:style w:type="character" w:styleId="1063" w:customStyle="1">
    <w:name w:val="NormalCharacter"/>
    <w:uiPriority w:val="0"/>
    <w:semiHidden/>
    <w:qFormat/>
    <w:rPr>
      <w:rFonts w:hint="default" w:ascii="Times New Roman" w:hAnsi="Times New Roman" w:eastAsia="宋体" w:cs="Times New Roman"/>
      <w:sz w:val="21"/>
      <w:szCs w:val="24"/>
      <w:lang w:val="en-US" w:eastAsia="zh-CN" w:bidi="ar-SA"/>
    </w:rPr>
  </w:style>
  <w:style w:type="paragraph" w:styleId="1064" w:customStyle="1">
    <w:name w:val="Table Paragraph"/>
    <w:basedOn w:val="817"/>
    <w:uiPriority w:val="1"/>
    <w:qFormat/>
    <w:rPr>
      <w:rFonts w:ascii="仿宋" w:hAnsi="仿宋" w:eastAsia="仿宋" w:cs="仿宋"/>
      <w:lang w:val="zh-CN" w:eastAsia="zh-CN" w:bidi="zh-CN"/>
    </w:rPr>
  </w:style>
  <w:style w:type="paragraph" w:styleId="1065" w:customStyle="1">
    <w:name w:val="页脚1"/>
    <w:basedOn w:val="872"/>
    <w:uiPriority w:val="0"/>
    <w:qFormat/>
    <w:pPr>
      <w:jc w:val="left"/>
      <w:tabs>
        <w:tab w:val="center" w:pos="4153" w:leader="none"/>
        <w:tab w:val="right" w:pos="8306" w:leader="none"/>
      </w:tabs>
    </w:pPr>
    <w:rPr>
      <w:sz w:val="18"/>
      <w:szCs w:val="18"/>
    </w:rPr>
  </w:style>
  <w:style w:type="paragraph" w:styleId="1066" w:customStyle="1">
    <w:name w:val="正文首行缩进 21"/>
    <w:basedOn w:val="883"/>
    <w:next w:val="872"/>
    <w:uiPriority w:val="0"/>
    <w:qFormat/>
    <w:pPr>
      <w:ind w:firstLine="420"/>
    </w:pPr>
    <w:rPr>
      <w:rFonts w:ascii="Times New Roman" w:hAnsi="Times New Roman"/>
      <w:sz w:val="24"/>
    </w:rPr>
  </w:style>
  <w:style w:type="character" w:styleId="1067" w:customStyle="1">
    <w:name w:val="font01"/>
    <w:basedOn w:val="1068"/>
    <w:uiPriority w:val="0"/>
    <w:qFormat/>
    <w:rPr>
      <w:rFonts w:ascii="等线" w:hAnsi="等线" w:eastAsia="等线"/>
      <w:color w:val="000000"/>
      <w:sz w:val="24"/>
      <w:szCs w:val="24"/>
      <w:u w:val="none"/>
    </w:rPr>
  </w:style>
  <w:style w:type="character" w:styleId="1068" w:customStyle="1">
    <w:name w:val="默认段落字体1"/>
    <w:uiPriority w:val="0"/>
    <w:qFormat/>
    <w:rPr>
      <w:rFonts w:ascii="Times New Roman" w:hAnsi="Times New Roman" w:eastAsia="宋体"/>
    </w:rPr>
  </w:style>
  <w:style w:type="character" w:styleId="1069" w:customStyle="1">
    <w:name w:val="font21"/>
    <w:basedOn w:val="1068"/>
    <w:link w:val="872"/>
    <w:uiPriority w:val="0"/>
    <w:qFormat/>
    <w:rPr>
      <w:rFonts w:ascii="等线" w:hAnsi="等线" w:eastAsia="等线"/>
      <w:b/>
      <w:color w:val="000000"/>
      <w:sz w:val="24"/>
      <w:szCs w:val="24"/>
      <w:u w:val="none"/>
    </w:rPr>
  </w:style>
  <w:style w:type="paragraph" w:styleId="1070" w:customStyle="1">
    <w:name w:val="脚注文本11"/>
    <w:basedOn w:val="872"/>
    <w:next w:val="1071"/>
    <w:uiPriority w:val="0"/>
    <w:qFormat/>
    <w:rPr>
      <w:b/>
      <w:bCs/>
      <w:sz w:val="24"/>
      <w:szCs w:val="28"/>
    </w:rPr>
  </w:style>
  <w:style w:type="paragraph" w:styleId="1071" w:customStyle="1">
    <w:name w:val="索引 511"/>
    <w:basedOn w:val="872"/>
    <w:next w:val="872"/>
    <w:uiPriority w:val="0"/>
    <w:qFormat/>
    <w:pPr>
      <w:ind w:left="798"/>
      <w:jc w:val="left"/>
    </w:pPr>
    <w:rPr>
      <w:rFonts w:ascii="Calibri" w:hAnsi="Calibri" w:eastAsia="Times New Roman"/>
      <w:sz w:val="24"/>
    </w:rPr>
  </w:style>
  <w:style w:type="paragraph" w:styleId="1072" w:customStyle="1">
    <w:name w:val="标题 411"/>
    <w:basedOn w:val="872"/>
    <w:next w:val="872"/>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73" w:customStyle="1">
    <w:name w:val="正文 New"/>
    <w:uiPriority w:val="0"/>
    <w:qFormat/>
    <w:pPr>
      <w:jc w:val="both"/>
      <w:spacing w:after="200" w:line="276" w:lineRule="auto"/>
      <w:widowControl w:val="off"/>
    </w:pPr>
    <w:rPr>
      <w:rFonts w:ascii="Times New Roman" w:hAnsi="Times New Roman" w:eastAsia="宋体" w:cs="Times New Roman"/>
      <w:sz w:val="24"/>
      <w:szCs w:val="24"/>
      <w:lang w:val="en-US" w:eastAsia="en-US" w:bidi="en-US"/>
    </w:rPr>
  </w:style>
  <w:style w:type="paragraph" w:styleId="1074" w:customStyle="1">
    <w:name w:val="普通(网站)11"/>
    <w:basedOn w:val="872"/>
    <w:uiPriority w:val="0"/>
    <w:qFormat/>
    <w:pPr>
      <w:jc w:val="left"/>
      <w:spacing w:before="100" w:beforeAutospacing="1" w:after="100" w:afterAutospacing="1"/>
      <w:widowControl/>
    </w:pPr>
    <w:rPr>
      <w:rFonts w:ascii="宋体" w:hAnsi="宋体"/>
      <w:sz w:val="24"/>
      <w:szCs w:val="20"/>
    </w:rPr>
  </w:style>
  <w:style w:type="paragraph" w:styleId="1075" w:customStyle="1">
    <w:name w:val="列出段落"/>
    <w:basedOn w:val="872"/>
    <w:uiPriority w:val="0"/>
    <w:qFormat/>
    <w:pPr>
      <w:ind w:firstLine="420"/>
    </w:pPr>
    <w:rPr>
      <w:rFonts w:ascii="Calibri" w:hAnsi="Calibri"/>
      <w:sz w:val="22"/>
      <w:szCs w:val="22"/>
    </w:rPr>
  </w:style>
  <w:style w:type="paragraph" w:styleId="1076" w:customStyle="1">
    <w:name w:val="Normal New New New"/>
    <w:uiPriority w:val="0"/>
    <w:qFormat/>
    <w:pPr>
      <w:jc w:val="both"/>
      <w:widowControl w:val="off"/>
    </w:pPr>
    <w:rPr>
      <w:rFonts w:ascii="Times New Roman" w:hAnsi="Times New Roman" w:eastAsia="宋体" w:cs="Times New Roman"/>
      <w:sz w:val="21"/>
      <w:lang w:val="en-US" w:eastAsia="zh-CN" w:bidi="ar-SA"/>
    </w:rPr>
  </w:style>
  <w:style w:type="paragraph" w:styleId="1077" w:customStyle="1">
    <w:name w:val="标题1"/>
    <w:basedOn w:val="868"/>
    <w:next w:val="868"/>
    <w:uiPriority w:val="0"/>
    <w:qFormat/>
    <w:pPr>
      <w:contextualSpacing/>
      <w:spacing w:before="300" w:after="200"/>
    </w:pPr>
    <w:rPr>
      <w:sz w:val="48"/>
      <w:szCs w:val="48"/>
    </w:rPr>
  </w:style>
  <w:style w:type="paragraph" w:styleId="1078" w:customStyle="1">
    <w:name w:val="彩色列表 - 着色 11"/>
    <w:basedOn w:val="817"/>
    <w:uiPriority w:val="0"/>
    <w:qFormat/>
    <w:pPr>
      <w:ind w:firstLine="420"/>
    </w:pPr>
    <w:rPr>
      <w:rFonts w:ascii="Times New Roman" w:hAnsi="Times New Roman" w:eastAsia="宋体" w:cs="Times New Roman"/>
      <w:sz w:val="24"/>
      <w:szCs w:val="24"/>
    </w:rPr>
  </w:style>
  <w:style w:type="paragraph" w:styleId="1079" w:customStyle="1">
    <w:name w:val="DAS正文"/>
    <w:basedOn w:val="817"/>
    <w:uiPriority w:val="0"/>
    <w:qFormat/>
    <w:pPr>
      <w:ind w:right="181" w:firstLine="480"/>
      <w:jc w:val="both"/>
      <w:spacing w:after="0" w:line="360" w:lineRule="auto"/>
    </w:pPr>
    <w:rPr>
      <w:rFonts w:ascii="Verdana" w:hAnsi="Verdana" w:eastAsia="宋体" w:cs="Times New Roman"/>
      <w:szCs w:val="24"/>
    </w:rPr>
  </w:style>
  <w:style w:type="paragraph" w:styleId="1080" w:customStyle="1">
    <w:name w:val="正文1111"/>
    <w:next w:val="868"/>
    <w:uiPriority w:val="0"/>
    <w:qFormat/>
    <w:pPr>
      <w:jc w:val="both"/>
      <w:widowControl w:val="off"/>
    </w:pPr>
    <w:rPr>
      <w:rFonts w:ascii="Times New Roman" w:hAnsi="Times New Roman" w:eastAsia="宋体" w:cs="Times New Roman"/>
      <w:sz w:val="21"/>
      <w:szCs w:val="24"/>
      <w:lang w:val="en-US" w:eastAsia="zh-CN" w:bidi="ar-SA"/>
    </w:rPr>
  </w:style>
  <w:style w:type="paragraph" w:styleId="1081" w:customStyle="1">
    <w:name w:val="正文1112"/>
    <w:next w:val="868"/>
    <w:uiPriority w:val="0"/>
    <w:qFormat/>
    <w:rPr>
      <w:rFonts w:ascii="Times New Roman" w:hAnsi="Times New Roman" w:eastAsia="宋体" w:cs="Times New Roman"/>
      <w:lang w:val="en-US" w:eastAsia="zh-CN" w:bidi="ar-SA"/>
    </w:rPr>
  </w:style>
  <w:style w:type="paragraph" w:styleId="1082" w:customStyle="1">
    <w:name w:val="p0"/>
    <w:basedOn w:val="817"/>
    <w:uiPriority w:val="0"/>
    <w:qFormat/>
    <w:pPr>
      <w:spacing w:before="100" w:beforeAutospacing="1" w:after="100" w:afterAutospacing="1"/>
    </w:pPr>
    <w:rPr>
      <w:rFonts w:ascii="宋体" w:hAnsi="宋体" w:eastAsia="宋体" w:cs="宋体"/>
      <w:szCs w:val="24"/>
      <w:lang w:eastAsia="zh-CN"/>
    </w:rPr>
  </w:style>
  <w:style w:type="paragraph" w:styleId="1083" w:customStyle="1">
    <w:name w:val="Default"/>
    <w:basedOn w:val="817"/>
    <w:uiPriority w:val="0"/>
    <w:qFormat/>
    <w:rPr>
      <w:rFonts w:ascii="黑体" w:hAnsi="Times New Roman" w:eastAsia="黑体" w:cs="宋体"/>
      <w:color w:val="000000"/>
      <w:sz w:val="24"/>
      <w:szCs w:val="24"/>
    </w:rPr>
  </w:style>
  <w:style w:type="paragraph" w:styleId="1084" w:customStyle="1">
    <w:name w:val="彩色列表 - 着色 111"/>
    <w:basedOn w:val="817"/>
    <w:uiPriority w:val="0"/>
    <w:qFormat/>
    <w:pPr>
      <w:ind w:firstLine="420"/>
    </w:pPr>
    <w:rPr>
      <w:rFonts w:ascii="Times New Roman" w:hAnsi="Times New Roman" w:eastAsia="宋体" w:cs="Times New Roman"/>
      <w:sz w:val="20"/>
    </w:rPr>
  </w:style>
  <w:style w:type="paragraph" w:styleId="1085" w:customStyle="1">
    <w:name w:val="纯文本11"/>
    <w:basedOn w:val="885"/>
    <w:uiPriority w:val="0"/>
    <w:qFormat/>
    <w:rPr>
      <w:rFonts w:ascii="宋体" w:hAnsi="Courier New" w:eastAsia="仿宋_GB2312"/>
      <w:sz w:val="30"/>
      <w:szCs w:val="20"/>
    </w:rPr>
  </w:style>
  <w:style w:type="paragraph" w:styleId="1086" w:customStyle="1">
    <w:name w:val="纯文本1"/>
    <w:basedOn w:val="869"/>
    <w:uiPriority w:val="0"/>
    <w:qFormat/>
    <w:rPr>
      <w:rFonts w:ascii="宋体" w:hAnsi="Courier New" w:eastAsia="等线"/>
      <w:sz w:val="22"/>
      <w:szCs w:val="22"/>
    </w:rPr>
  </w:style>
  <w:style w:type="paragraph" w:styleId="1087" w:customStyle="1">
    <w:name w:val="无间隔11"/>
    <w:uiPriority w:val="0"/>
    <w:qFormat/>
    <w:rPr>
      <w:rFonts w:ascii="Times New Roman" w:hAnsi="Times New Roman" w:eastAsia="宋体" w:cs="Times New Roman"/>
      <w:sz w:val="22"/>
      <w:szCs w:val="22"/>
      <w:lang w:val="en-US" w:eastAsia="en-US" w:bidi="ar-SA"/>
    </w:rPr>
  </w:style>
  <w:style w:type="paragraph" w:styleId="1088" w:customStyle="1">
    <w:name w:val="目录 111"/>
    <w:basedOn w:val="872"/>
    <w:next w:val="872"/>
    <w:uiPriority w:val="0"/>
    <w:qFormat/>
    <w:pPr>
      <w:jc w:val="left"/>
      <w:spacing w:after="100" w:line="259" w:lineRule="auto"/>
      <w:widowControl/>
    </w:pPr>
    <w:rPr>
      <w:rFonts w:ascii="Calibri" w:hAnsi="Calibri"/>
      <w:sz w:val="22"/>
      <w:szCs w:val="22"/>
    </w:rPr>
  </w:style>
  <w:style w:type="paragraph" w:styleId="1089" w:customStyle="1">
    <w:name w:val="Plain Text1"/>
    <w:basedOn w:val="817"/>
    <w:uiPriority w:val="0"/>
    <w:qFormat/>
    <w:rPr>
      <w:rFonts w:ascii="宋体" w:hAnsi="宋体" w:eastAsia="楷体_GB2312"/>
      <w:sz w:val="26"/>
      <w:szCs w:val="20"/>
    </w:rPr>
  </w:style>
  <w:style w:type="character" w:styleId="1090" w:customStyle="1">
    <w:name w:val="正文文本 字符"/>
    <w:basedOn w:val="827"/>
    <w:link w:val="836"/>
    <w:uiPriority w:val="0"/>
    <w:qFormat/>
    <w:rPr>
      <w:rFonts w:asciiTheme="minorHAnsi" w:hAnsiTheme="minorHAnsi" w:eastAsiaTheme="minorHAnsi" w:cstheme="minorBidi"/>
      <w:sz w:val="22"/>
      <w:szCs w:val="22"/>
      <w:lang w:eastAsia="en-US"/>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 Id="rId20" Type="http://schemas.openxmlformats.org/officeDocument/2006/relationships/customXml" Target="../customXml/item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江苏万达</dc:creator>
  <cp:lastModifiedBy>徐宁</cp:lastModifiedBy>
  <cp:revision>4</cp:revision>
  <dcterms:created xsi:type="dcterms:W3CDTF">2023-12-18T08:13:00Z</dcterms:created>
  <dcterms:modified xsi:type="dcterms:W3CDTF">2024-10-15T06:35:00Z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3FCD5C7577A94F64B8416816F40138E9_13</vt:lpwstr>
  </property>
</Properties>
</file>