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B68129">
      <w:pPr>
        <w:adjustRightInd w:val="0"/>
        <w:snapToGrid w:val="0"/>
        <w:spacing w:line="360" w:lineRule="auto"/>
        <w:jc w:val="left"/>
        <w:textAlignment w:val="baseline"/>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bookmarkStart w:id="343" w:name="_GoBack"/>
      <w:bookmarkEnd w:id="343"/>
    </w:p>
    <w:p w14:paraId="0C04B89D">
      <w:pPr>
        <w:adjustRightInd w:val="0"/>
        <w:snapToGrid w:val="0"/>
        <w:spacing w:before="120" w:after="120" w:line="360" w:lineRule="auto"/>
        <w:jc w:val="center"/>
        <w:textAlignment w:val="baseline"/>
        <w:rPr>
          <w:rFonts w:hint="eastAsia" w:ascii="宋体" w:hAnsi="宋体" w:eastAsia="宋体" w:cs="宋体"/>
          <w:b/>
          <w:bCs/>
          <w:color w:val="auto"/>
          <w:kern w:val="0"/>
          <w:sz w:val="84"/>
          <w:szCs w:val="84"/>
          <w:highlight w:val="none"/>
        </w:rPr>
      </w:pPr>
      <w:r>
        <w:rPr>
          <w:rFonts w:hint="eastAsia" w:ascii="宋体" w:hAnsi="宋体" w:eastAsia="宋体" w:cs="宋体"/>
          <w:b/>
          <w:bCs/>
          <w:color w:val="auto"/>
          <w:kern w:val="0"/>
          <w:sz w:val="84"/>
          <w:szCs w:val="84"/>
          <w:highlight w:val="none"/>
        </w:rPr>
        <w:t> </w:t>
      </w:r>
    </w:p>
    <w:p w14:paraId="5C68313B">
      <w:pPr>
        <w:pStyle w:val="23"/>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招　标　文　件</w:t>
      </w:r>
    </w:p>
    <w:p w14:paraId="5EB4DF6A">
      <w:pPr>
        <w:pStyle w:val="23"/>
        <w:ind w:firstLine="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项目名称：</w:t>
      </w:r>
      <w:r>
        <w:rPr>
          <w:rFonts w:hint="eastAsia" w:ascii="宋体" w:hAnsi="宋体" w:eastAsia="宋体" w:cs="宋体"/>
          <w:b/>
          <w:bCs/>
          <w:color w:val="auto"/>
          <w:sz w:val="32"/>
          <w:szCs w:val="32"/>
          <w:highlight w:val="none"/>
          <w:lang w:val="en-US" w:eastAsia="zh-CN"/>
        </w:rPr>
        <w:t>2025-2027年度南丰镇镇级河道及镇区相关河道保洁</w:t>
      </w:r>
    </w:p>
    <w:p w14:paraId="658959F0">
      <w:pPr>
        <w:pStyle w:val="23"/>
        <w:ind w:left="0" w:leftChars="0" w:firstLine="0" w:firstLineChars="0"/>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标书编号：JSZC-320582-JHYZ-G2024-0031</w:t>
      </w:r>
    </w:p>
    <w:p w14:paraId="67440780">
      <w:pPr>
        <w:pStyle w:val="23"/>
        <w:spacing w:line="360" w:lineRule="auto"/>
        <w:ind w:firstLine="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项目属性：</w:t>
      </w:r>
      <w:r>
        <w:rPr>
          <w:rFonts w:hint="eastAsia" w:ascii="宋体" w:hAnsi="宋体" w:eastAsia="宋体" w:cs="宋体"/>
          <w:b/>
          <w:color w:val="auto"/>
          <w:sz w:val="32"/>
          <w:szCs w:val="32"/>
          <w:highlight w:val="none"/>
          <w:lang w:val="en-US" w:eastAsia="zh-CN"/>
        </w:rPr>
        <w:t>服务</w:t>
      </w:r>
      <w:r>
        <w:rPr>
          <w:rFonts w:hint="eastAsia" w:ascii="宋体" w:hAnsi="宋体" w:eastAsia="宋体" w:cs="宋体"/>
          <w:b/>
          <w:color w:val="auto"/>
          <w:sz w:val="32"/>
          <w:szCs w:val="32"/>
          <w:highlight w:val="none"/>
        </w:rPr>
        <w:t>类</w:t>
      </w:r>
    </w:p>
    <w:p w14:paraId="3917EFA8">
      <w:pPr>
        <w:pStyle w:val="23"/>
        <w:spacing w:before="0" w:after="0"/>
        <w:ind w:firstLine="0"/>
        <w:jc w:val="center"/>
        <w:rPr>
          <w:rFonts w:hint="eastAsia" w:ascii="宋体" w:hAnsi="宋体" w:eastAsia="宋体" w:cs="宋体"/>
          <w:color w:val="auto"/>
          <w:sz w:val="32"/>
          <w:szCs w:val="32"/>
          <w:highlight w:val="none"/>
        </w:rPr>
      </w:pPr>
    </w:p>
    <w:p w14:paraId="1AEF24F3">
      <w:pPr>
        <w:pStyle w:val="23"/>
        <w:spacing w:before="0" w:after="0"/>
        <w:ind w:firstLine="0"/>
        <w:rPr>
          <w:rFonts w:hint="eastAsia" w:ascii="宋体" w:hAnsi="宋体" w:eastAsia="宋体" w:cs="宋体"/>
          <w:color w:val="auto"/>
          <w:sz w:val="32"/>
          <w:szCs w:val="32"/>
          <w:highlight w:val="none"/>
        </w:rPr>
      </w:pPr>
    </w:p>
    <w:p w14:paraId="4B9559B9">
      <w:pPr>
        <w:pStyle w:val="23"/>
        <w:spacing w:before="0" w:after="0"/>
        <w:ind w:firstLine="0"/>
        <w:rPr>
          <w:rFonts w:hint="eastAsia" w:ascii="宋体" w:hAnsi="宋体" w:eastAsia="宋体" w:cs="宋体"/>
          <w:color w:val="auto"/>
          <w:sz w:val="32"/>
          <w:szCs w:val="32"/>
          <w:highlight w:val="none"/>
        </w:rPr>
      </w:pPr>
    </w:p>
    <w:p w14:paraId="28CEDD50">
      <w:pPr>
        <w:pStyle w:val="23"/>
        <w:spacing w:before="0" w:after="0"/>
        <w:ind w:firstLine="0"/>
        <w:rPr>
          <w:rFonts w:hint="eastAsia" w:ascii="宋体" w:hAnsi="宋体" w:eastAsia="宋体" w:cs="宋体"/>
          <w:color w:val="auto"/>
          <w:sz w:val="32"/>
          <w:szCs w:val="32"/>
          <w:highlight w:val="none"/>
        </w:rPr>
      </w:pPr>
    </w:p>
    <w:p w14:paraId="025A229D">
      <w:pPr>
        <w:pStyle w:val="23"/>
        <w:spacing w:before="0" w:after="0"/>
        <w:ind w:firstLine="0"/>
        <w:rPr>
          <w:rFonts w:hint="eastAsia" w:ascii="宋体" w:hAnsi="宋体" w:eastAsia="宋体" w:cs="宋体"/>
          <w:color w:val="auto"/>
          <w:sz w:val="32"/>
          <w:szCs w:val="32"/>
          <w:highlight w:val="none"/>
        </w:rPr>
      </w:pPr>
    </w:p>
    <w:p w14:paraId="5285E03B">
      <w:pPr>
        <w:pStyle w:val="23"/>
        <w:spacing w:before="0" w:after="0"/>
        <w:ind w:firstLine="0"/>
        <w:rPr>
          <w:rFonts w:hint="eastAsia" w:ascii="宋体" w:hAnsi="宋体" w:eastAsia="宋体" w:cs="宋体"/>
          <w:color w:val="auto"/>
          <w:sz w:val="32"/>
          <w:szCs w:val="32"/>
          <w:highlight w:val="none"/>
        </w:rPr>
      </w:pPr>
    </w:p>
    <w:p w14:paraId="2510339C">
      <w:pPr>
        <w:pStyle w:val="23"/>
        <w:spacing w:before="0" w:after="0"/>
        <w:ind w:firstLine="0"/>
        <w:rPr>
          <w:rFonts w:hint="eastAsia" w:ascii="宋体" w:hAnsi="宋体" w:eastAsia="宋体" w:cs="宋体"/>
          <w:color w:val="auto"/>
          <w:sz w:val="32"/>
          <w:szCs w:val="32"/>
          <w:highlight w:val="none"/>
        </w:rPr>
      </w:pPr>
    </w:p>
    <w:p w14:paraId="3F4F6A9E">
      <w:pPr>
        <w:pStyle w:val="23"/>
        <w:spacing w:before="0" w:after="0"/>
        <w:ind w:firstLine="0"/>
        <w:rPr>
          <w:rFonts w:hint="eastAsia" w:ascii="宋体" w:hAnsi="宋体" w:eastAsia="宋体" w:cs="宋体"/>
          <w:color w:val="auto"/>
          <w:sz w:val="32"/>
          <w:szCs w:val="32"/>
          <w:highlight w:val="none"/>
        </w:rPr>
      </w:pPr>
    </w:p>
    <w:p w14:paraId="0FAA7E69">
      <w:pPr>
        <w:pStyle w:val="8"/>
        <w:spacing w:line="360" w:lineRule="auto"/>
        <w:jc w:val="center"/>
        <w:rPr>
          <w:rFonts w:hint="eastAsia" w:ascii="宋体" w:hAnsi="宋体" w:eastAsia="宋体" w:cs="宋体"/>
          <w:b/>
          <w:bCs/>
          <w:color w:val="auto"/>
          <w:kern w:val="0"/>
          <w:sz w:val="32"/>
          <w:szCs w:val="32"/>
          <w:highlight w:val="none"/>
        </w:rPr>
      </w:pPr>
      <w:bookmarkStart w:id="0" w:name="EB8ecef8d8d20b42199abb5fc67b67d8bb"/>
      <w:r>
        <w:rPr>
          <w:rFonts w:hint="eastAsia" w:ascii="宋体" w:hAnsi="宋体" w:eastAsia="宋体" w:cs="宋体"/>
          <w:b/>
          <w:bCs/>
          <w:color w:val="auto"/>
          <w:kern w:val="0"/>
          <w:sz w:val="32"/>
          <w:szCs w:val="32"/>
          <w:highlight w:val="none"/>
        </w:rPr>
        <w:t>张家港市金浩源招投标代理有限公司</w:t>
      </w:r>
      <w:bookmarkEnd w:id="0"/>
    </w:p>
    <w:p w14:paraId="69ABB1B3">
      <w:pPr>
        <w:pStyle w:val="23"/>
        <w:ind w:firstLine="0"/>
        <w:jc w:val="center"/>
        <w:rPr>
          <w:rFonts w:hint="eastAsia" w:ascii="宋体" w:hAnsi="宋体" w:eastAsia="宋体" w:cs="宋体"/>
          <w:b/>
          <w:bCs/>
          <w:color w:val="auto"/>
          <w:sz w:val="32"/>
          <w:highlight w:val="none"/>
        </w:rPr>
      </w:pPr>
      <w:bookmarkStart w:id="1" w:name="EB52307051e0d04806912e5842f73c8551"/>
      <w:r>
        <w:rPr>
          <w:rFonts w:hint="eastAsia" w:ascii="宋体" w:hAnsi="宋体" w:eastAsia="宋体" w:cs="宋体"/>
          <w:b/>
          <w:bCs/>
          <w:color w:val="auto"/>
          <w:sz w:val="32"/>
          <w:highlight w:val="none"/>
        </w:rPr>
        <w:t>202</w:t>
      </w:r>
      <w:r>
        <w:rPr>
          <w:rFonts w:hint="eastAsia" w:ascii="宋体" w:hAnsi="宋体" w:eastAsia="宋体" w:cs="宋体"/>
          <w:b/>
          <w:bCs/>
          <w:color w:val="auto"/>
          <w:sz w:val="32"/>
          <w:highlight w:val="none"/>
          <w:lang w:val="en-US" w:eastAsia="zh-CN"/>
        </w:rPr>
        <w:t>4</w:t>
      </w:r>
      <w:r>
        <w:rPr>
          <w:rFonts w:hint="eastAsia" w:ascii="宋体" w:hAnsi="宋体" w:eastAsia="宋体" w:cs="宋体"/>
          <w:b/>
          <w:bCs/>
          <w:color w:val="auto"/>
          <w:sz w:val="32"/>
          <w:highlight w:val="none"/>
        </w:rPr>
        <w:t>年</w:t>
      </w:r>
      <w:r>
        <w:rPr>
          <w:rFonts w:hint="eastAsia" w:ascii="宋体" w:hAnsi="宋体" w:cs="宋体"/>
          <w:b/>
          <w:bCs/>
          <w:color w:val="auto"/>
          <w:sz w:val="32"/>
          <w:highlight w:val="none"/>
          <w:lang w:val="en-US" w:eastAsia="zh-CN"/>
        </w:rPr>
        <w:t>12</w:t>
      </w:r>
      <w:r>
        <w:rPr>
          <w:rFonts w:hint="eastAsia" w:ascii="宋体" w:hAnsi="宋体" w:eastAsia="宋体" w:cs="宋体"/>
          <w:b/>
          <w:bCs/>
          <w:color w:val="auto"/>
          <w:sz w:val="32"/>
          <w:highlight w:val="none"/>
        </w:rPr>
        <w:t>月</w:t>
      </w:r>
      <w:r>
        <w:rPr>
          <w:rFonts w:hint="eastAsia" w:ascii="宋体" w:hAnsi="宋体" w:cs="宋体"/>
          <w:b/>
          <w:bCs/>
          <w:color w:val="auto"/>
          <w:sz w:val="32"/>
          <w:highlight w:val="none"/>
          <w:lang w:val="en-US" w:eastAsia="zh-CN"/>
        </w:rPr>
        <w:t>16</w:t>
      </w:r>
      <w:r>
        <w:rPr>
          <w:rFonts w:hint="eastAsia" w:ascii="宋体" w:hAnsi="宋体" w:eastAsia="宋体" w:cs="宋体"/>
          <w:b/>
          <w:bCs/>
          <w:color w:val="auto"/>
          <w:sz w:val="32"/>
          <w:highlight w:val="none"/>
        </w:rPr>
        <w:t>日</w:t>
      </w:r>
      <w:bookmarkEnd w:id="1"/>
    </w:p>
    <w:p w14:paraId="106F7BD0">
      <w:pPr>
        <w:adjustRightInd w:val="0"/>
        <w:snapToGrid w:val="0"/>
        <w:spacing w:before="120" w:after="120" w:line="360" w:lineRule="auto"/>
        <w:jc w:val="center"/>
        <w:textAlignment w:val="baseline"/>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4D1C1A27">
      <w:pPr>
        <w:adjustRightInd w:val="0"/>
        <w:snapToGrid w:val="0"/>
        <w:spacing w:before="120" w:after="120" w:line="360" w:lineRule="auto"/>
        <w:jc w:val="center"/>
        <w:textAlignment w:val="baseline"/>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w:t>
      </w:r>
    </w:p>
    <w:p w14:paraId="744B8674">
      <w:pPr>
        <w:rPr>
          <w:rFonts w:hint="eastAsia" w:ascii="宋体" w:hAnsi="宋体" w:eastAsia="宋体" w:cs="宋体"/>
          <w:b/>
          <w:bCs/>
          <w:color w:val="auto"/>
          <w:sz w:val="44"/>
          <w:szCs w:val="44"/>
          <w:highlight w:val="none"/>
        </w:rPr>
      </w:pPr>
      <w:bookmarkStart w:id="2" w:name="_Toc120614210"/>
      <w:bookmarkStart w:id="3" w:name="_Toc20823272"/>
      <w:bookmarkStart w:id="4" w:name="_Toc513029200"/>
      <w:bookmarkStart w:id="5" w:name="_Toc16938516"/>
      <w:bookmarkStart w:id="6" w:name="_Toc479757206"/>
      <w:bookmarkStart w:id="7" w:name="_Toc523127445"/>
      <w:r>
        <w:rPr>
          <w:rFonts w:hint="eastAsia" w:ascii="宋体" w:hAnsi="宋体" w:eastAsia="宋体" w:cs="宋体"/>
          <w:b/>
          <w:bCs/>
          <w:color w:val="auto"/>
          <w:sz w:val="44"/>
          <w:szCs w:val="44"/>
          <w:highlight w:val="none"/>
        </w:rPr>
        <w:br w:type="page"/>
      </w:r>
    </w:p>
    <w:p w14:paraId="702AF899">
      <w:pPr>
        <w:snapToGrid w:val="0"/>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总  目  录</w:t>
      </w:r>
    </w:p>
    <w:p w14:paraId="57D2ADD9">
      <w:pPr>
        <w:pStyle w:val="11"/>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TOC \o "1-2" \h \z \u </w:instrText>
      </w:r>
      <w:r>
        <w:rPr>
          <w:rFonts w:hint="eastAsia" w:ascii="宋体" w:hAnsi="宋体" w:eastAsia="宋体" w:cs="宋体"/>
          <w:b w:val="0"/>
          <w:bCs w:val="0"/>
          <w:color w:val="auto"/>
          <w:sz w:val="24"/>
          <w:szCs w:val="24"/>
          <w:highlight w:val="none"/>
        </w:rPr>
        <w:fldChar w:fldCharType="separate"/>
      </w:r>
      <w:r>
        <w:rPr>
          <w:rFonts w:hint="eastAsia" w:asciiTheme="minorEastAsia" w:hAnsiTheme="minorEastAsia" w:eastAsiaTheme="minorEastAsia" w:cstheme="minorEastAsia"/>
          <w:bCs w:val="0"/>
          <w:color w:val="auto"/>
          <w:sz w:val="24"/>
          <w:szCs w:val="24"/>
          <w:highlight w:val="none"/>
        </w:rPr>
        <w:fldChar w:fldCharType="begin"/>
      </w:r>
      <w:r>
        <w:rPr>
          <w:rFonts w:hint="eastAsia" w:asciiTheme="minorEastAsia" w:hAnsiTheme="minorEastAsia" w:eastAsiaTheme="minorEastAsia" w:cstheme="minorEastAsia"/>
          <w:bCs w:val="0"/>
          <w:color w:val="auto"/>
          <w:sz w:val="24"/>
          <w:szCs w:val="24"/>
          <w:highlight w:val="none"/>
        </w:rPr>
        <w:instrText xml:space="preserve"> HYPERLINK \l _Toc5364 </w:instrText>
      </w:r>
      <w:r>
        <w:rPr>
          <w:rFonts w:hint="eastAsia" w:asciiTheme="minorEastAsia" w:hAnsiTheme="minorEastAsia" w:eastAsiaTheme="minorEastAsia" w:cstheme="minorEastAsia"/>
          <w:bCs w:val="0"/>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第一章  投标邀请</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_Toc5364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val="0"/>
          <w:color w:val="auto"/>
          <w:sz w:val="24"/>
          <w:szCs w:val="24"/>
          <w:highlight w:val="none"/>
        </w:rPr>
        <w:fldChar w:fldCharType="end"/>
      </w:r>
    </w:p>
    <w:p w14:paraId="16AACE7E">
      <w:pPr>
        <w:pStyle w:val="11"/>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_Toc2469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第二章  投标人须知</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_Toc2469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3D3E32A1">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_Toc951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color w:val="auto"/>
          <w:sz w:val="24"/>
          <w:szCs w:val="24"/>
          <w:highlight w:val="none"/>
        </w:rPr>
        <w:t>一、总则</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_Toc951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699757C4">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_Toc2757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val="0"/>
          <w:color w:val="auto"/>
          <w:sz w:val="24"/>
          <w:szCs w:val="24"/>
          <w:highlight w:val="none"/>
        </w:rPr>
        <w:t>二、招标文件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_Toc2757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1B15A782">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_Toc23739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color w:val="auto"/>
          <w:sz w:val="24"/>
          <w:szCs w:val="24"/>
          <w:highlight w:val="none"/>
        </w:rPr>
        <w:t>三、投标文件的编制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_Toc23739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313A4CCC">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_Toc7334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val="0"/>
          <w:color w:val="auto"/>
          <w:sz w:val="24"/>
          <w:szCs w:val="24"/>
          <w:highlight w:val="none"/>
        </w:rPr>
        <w:t>四、投标文件的制作、上传、递交</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_Toc7334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10</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592865ED">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_Toc14831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val="0"/>
          <w:color w:val="auto"/>
          <w:sz w:val="24"/>
          <w:szCs w:val="24"/>
          <w:highlight w:val="none"/>
        </w:rPr>
        <w:t>五、开标与评标</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_Toc14831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24C8D2E9">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_Toc4009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val="0"/>
          <w:color w:val="auto"/>
          <w:sz w:val="24"/>
          <w:szCs w:val="24"/>
          <w:highlight w:val="none"/>
        </w:rPr>
        <w:t>六、定标</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_Toc4009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14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73C8042A">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_Toc30639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val="0"/>
          <w:color w:val="auto"/>
          <w:sz w:val="24"/>
          <w:szCs w:val="24"/>
          <w:highlight w:val="none"/>
        </w:rPr>
        <w:t>七、授予合同</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_Toc30639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16</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074637B2">
      <w:pPr>
        <w:pStyle w:val="11"/>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_Toc28207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第三章 合同条款及格式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_Toc28207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18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0673A21D">
      <w:pPr>
        <w:pStyle w:val="11"/>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_Toc106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第四章 项目需求</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_Toc106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22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7E5369DD">
      <w:pPr>
        <w:pStyle w:val="11"/>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_Toc9271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第五章 评标方法与评标标准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_Toc9271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51176A82">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_Toc13893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val="0"/>
          <w:color w:val="auto"/>
          <w:sz w:val="24"/>
          <w:szCs w:val="24"/>
          <w:highlight w:val="none"/>
        </w:rPr>
        <w:t>一、评标方法与定标原则</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_Toc13893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5D33EA49">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_Toc8429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color w:val="auto"/>
          <w:sz w:val="24"/>
          <w:szCs w:val="24"/>
          <w:highlight w:val="none"/>
        </w:rPr>
        <w:t>二、评标标准</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_Toc8429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572870EC">
      <w:pPr>
        <w:pStyle w:val="11"/>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_Toc29421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第六章 投标文件格式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_Toc29421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4F81A896">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_Toc10675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一、封面</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_Toc10675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36</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23917956">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_Toc5888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二、投标函格式</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_Toc5888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3AE33F22">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_Toc4713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三、开标一览表（</w:t>
      </w:r>
      <w:r>
        <w:rPr>
          <w:rFonts w:hint="eastAsia" w:asciiTheme="minorEastAsia" w:hAnsiTheme="minorEastAsia" w:eastAsiaTheme="minorEastAsia" w:cstheme="minorEastAsia"/>
          <w:color w:val="auto"/>
          <w:sz w:val="24"/>
          <w:szCs w:val="24"/>
          <w:highlight w:val="none"/>
          <w:lang w:val="en-US" w:eastAsia="zh-CN"/>
        </w:rPr>
        <w:t>优惠率</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_Toc4713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17793AC6">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_Toc4756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四、资格证明文件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_Toc4756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39</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2C9A3EBB">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_Toc10156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五、经费测算明细表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_Toc10156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44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7582110E">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_Toc20508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val="en-US" w:eastAsia="zh-CN"/>
        </w:rPr>
        <w:t>六</w:t>
      </w:r>
      <w:r>
        <w:rPr>
          <w:rFonts w:hint="eastAsia" w:asciiTheme="minorEastAsia" w:hAnsiTheme="minorEastAsia" w:eastAsiaTheme="minorEastAsia" w:cstheme="minorEastAsia"/>
          <w:color w:val="auto"/>
          <w:sz w:val="24"/>
          <w:szCs w:val="24"/>
          <w:highlight w:val="none"/>
        </w:rPr>
        <w:t>、第四章项目需求中实质性要求响应对照表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_Toc20508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45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4F48BD56">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_Toc15411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val="en-US" w:eastAsia="zh-CN"/>
        </w:rPr>
        <w:t>七</w:t>
      </w:r>
      <w:r>
        <w:rPr>
          <w:rFonts w:hint="eastAsia" w:asciiTheme="minorEastAsia" w:hAnsiTheme="minorEastAsia" w:eastAsiaTheme="minorEastAsia" w:cstheme="minorEastAsia"/>
          <w:color w:val="auto"/>
          <w:sz w:val="24"/>
          <w:szCs w:val="24"/>
          <w:highlight w:val="none"/>
        </w:rPr>
        <w:t>、服务方案</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_Toc15411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46</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0CACFC0B">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_Toc9832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val="en-US" w:eastAsia="zh-CN"/>
        </w:rPr>
        <w:t>八</w:t>
      </w:r>
      <w:r>
        <w:rPr>
          <w:rFonts w:hint="eastAsia" w:asciiTheme="minorEastAsia" w:hAnsiTheme="minorEastAsia" w:eastAsiaTheme="minorEastAsia" w:cstheme="minorEastAsia"/>
          <w:color w:val="auto"/>
          <w:sz w:val="24"/>
          <w:szCs w:val="24"/>
          <w:highlight w:val="none"/>
        </w:rPr>
        <w:t>、投标人情况介绍</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_Toc9832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47</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171F4AD7">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_Toc80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bCs/>
          <w:color w:val="auto"/>
          <w:sz w:val="24"/>
          <w:szCs w:val="24"/>
          <w:highlight w:val="none"/>
          <w:lang w:val="en-US" w:eastAsia="zh-CN"/>
        </w:rPr>
        <w:t>九</w:t>
      </w:r>
      <w:r>
        <w:rPr>
          <w:rFonts w:hint="eastAsia" w:asciiTheme="minorEastAsia" w:hAnsiTheme="minorEastAsia" w:eastAsiaTheme="minorEastAsia" w:cstheme="minorEastAsia"/>
          <w:bCs/>
          <w:color w:val="auto"/>
          <w:sz w:val="24"/>
          <w:szCs w:val="24"/>
          <w:highlight w:val="none"/>
        </w:rPr>
        <w:t>、中小企业声明函</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_Toc80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48</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2EB726AD">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_Toc32049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lang w:val="en-US" w:eastAsia="zh-CN"/>
        </w:rPr>
        <w:t>十</w:t>
      </w:r>
      <w:r>
        <w:rPr>
          <w:rFonts w:hint="eastAsia" w:asciiTheme="minorEastAsia" w:hAnsiTheme="minorEastAsia" w:eastAsiaTheme="minorEastAsia" w:cstheme="minorEastAsia"/>
          <w:color w:val="auto"/>
          <w:sz w:val="24"/>
          <w:szCs w:val="24"/>
          <w:highlight w:val="none"/>
        </w:rPr>
        <w:t>、残疾人福利性单位声明函</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_Toc32049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51</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3D2711B1">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_Toc10799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十</w:t>
      </w:r>
      <w:r>
        <w:rPr>
          <w:rFonts w:hint="eastAsia" w:asciiTheme="minorEastAsia" w:hAnsiTheme="minorEastAsia" w:eastAsiaTheme="minorEastAsia" w:cstheme="minorEastAsia"/>
          <w:color w:val="auto"/>
          <w:sz w:val="24"/>
          <w:szCs w:val="24"/>
          <w:highlight w:val="none"/>
          <w:lang w:eastAsia="zh-CN"/>
        </w:rPr>
        <w:t>一</w:t>
      </w:r>
      <w:r>
        <w:rPr>
          <w:rFonts w:hint="eastAsia" w:asciiTheme="minorEastAsia" w:hAnsiTheme="minorEastAsia" w:eastAsiaTheme="minorEastAsia" w:cstheme="minorEastAsia"/>
          <w:color w:val="auto"/>
          <w:sz w:val="24"/>
          <w:szCs w:val="24"/>
          <w:highlight w:val="none"/>
        </w:rPr>
        <w:t>、监狱企业的证明文件</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_Toc10799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52</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7522EFD5">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_Toc11777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十</w:t>
      </w: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、技术参数响应及偏离表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_Toc11777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53</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20BDB5A6">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_Toc24859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十</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rPr>
        <w:t>、商务条款响应及偏离表</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_Toc24859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54</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70A8264A">
      <w:pPr>
        <w:pStyle w:val="12"/>
        <w:keepNext w:val="0"/>
        <w:keepLines w:val="0"/>
        <w:pageBreakBefore w:val="0"/>
        <w:widowControl w:val="0"/>
        <w:tabs>
          <w:tab w:val="right" w:leader="dot" w:pos="10092"/>
        </w:tabs>
        <w:kinsoku/>
        <w:wordWrap/>
        <w:overflowPunct/>
        <w:topLinePunct w:val="0"/>
        <w:autoSpaceDE/>
        <w:autoSpaceDN/>
        <w:bidi w:val="0"/>
        <w:adjustRightInd/>
        <w:snapToGrid/>
        <w:spacing w:line="400" w:lineRule="exact"/>
        <w:textAlignment w:val="auto"/>
        <w:rPr>
          <w:color w:val="auto"/>
          <w:highlight w:val="none"/>
        </w:rPr>
      </w:pPr>
      <w:r>
        <w:rPr>
          <w:rFonts w:hint="eastAsia" w:asciiTheme="minorEastAsia" w:hAnsiTheme="minorEastAsia" w:eastAsiaTheme="minorEastAsia" w:cstheme="minorEastAsia"/>
          <w:bCs/>
          <w:color w:val="auto"/>
          <w:sz w:val="24"/>
          <w:szCs w:val="24"/>
          <w:highlight w:val="none"/>
        </w:rPr>
        <w:fldChar w:fldCharType="begin"/>
      </w:r>
      <w:r>
        <w:rPr>
          <w:rFonts w:hint="eastAsia" w:asciiTheme="minorEastAsia" w:hAnsiTheme="minorEastAsia" w:eastAsiaTheme="minorEastAsia" w:cstheme="minorEastAsia"/>
          <w:bCs/>
          <w:color w:val="auto"/>
          <w:sz w:val="24"/>
          <w:szCs w:val="24"/>
          <w:highlight w:val="none"/>
        </w:rPr>
        <w:instrText xml:space="preserve"> HYPERLINK \l _Toc12110 </w:instrText>
      </w:r>
      <w:r>
        <w:rPr>
          <w:rFonts w:hint="eastAsia" w:asciiTheme="minorEastAsia" w:hAnsiTheme="minorEastAsia" w:eastAsiaTheme="minorEastAsia" w:cstheme="minorEastAsia"/>
          <w:bCs/>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十</w:t>
      </w:r>
      <w:r>
        <w:rPr>
          <w:rFonts w:hint="eastAsia" w:asciiTheme="minorEastAsia" w:hAnsiTheme="minorEastAsia" w:eastAsiaTheme="minorEastAsia" w:cstheme="minorEastAsia"/>
          <w:color w:val="auto"/>
          <w:sz w:val="24"/>
          <w:szCs w:val="24"/>
          <w:highlight w:val="none"/>
          <w:lang w:val="en-US" w:eastAsia="zh-CN"/>
        </w:rPr>
        <w:t>四</w:t>
      </w:r>
      <w:r>
        <w:rPr>
          <w:rFonts w:hint="eastAsia" w:asciiTheme="minorEastAsia" w:hAnsiTheme="minorEastAsia" w:eastAsiaTheme="minorEastAsia" w:cstheme="minorEastAsia"/>
          <w:color w:val="auto"/>
          <w:sz w:val="24"/>
          <w:szCs w:val="24"/>
          <w:highlight w:val="none"/>
        </w:rPr>
        <w:t>、其他材料</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PAGEREF _Toc12110 \h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55</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bCs/>
          <w:color w:val="auto"/>
          <w:sz w:val="24"/>
          <w:szCs w:val="24"/>
          <w:highlight w:val="none"/>
        </w:rPr>
        <w:fldChar w:fldCharType="end"/>
      </w:r>
    </w:p>
    <w:p w14:paraId="1BF13ECF">
      <w:pPr>
        <w:keepNext w:val="0"/>
        <w:keepLines w:val="0"/>
        <w:pageBreakBefore w:val="0"/>
        <w:widowControl w:val="0"/>
        <w:tabs>
          <w:tab w:val="left" w:pos="1440"/>
        </w:tabs>
        <w:kinsoku/>
        <w:wordWrap/>
        <w:overflowPunct/>
        <w:topLinePunct w:val="0"/>
        <w:autoSpaceDE/>
        <w:autoSpaceDN/>
        <w:bidi w:val="0"/>
        <w:adjustRightInd/>
        <w:snapToGrid w:val="0"/>
        <w:spacing w:line="360" w:lineRule="auto"/>
        <w:textAlignment w:val="auto"/>
        <w:rPr>
          <w:rFonts w:hint="eastAsia" w:ascii="宋体" w:hAnsi="宋体" w:eastAsia="宋体" w:cs="宋体"/>
          <w:b/>
          <w:bCs/>
          <w:color w:val="auto"/>
          <w:sz w:val="24"/>
          <w:szCs w:val="24"/>
          <w:highlight w:val="none"/>
        </w:rPr>
        <w:sectPr>
          <w:headerReference r:id="rId3" w:type="default"/>
          <w:footerReference r:id="rId4" w:type="default"/>
          <w:footerReference r:id="rId5" w:type="even"/>
          <w:pgSz w:w="11906" w:h="16838"/>
          <w:pgMar w:top="1440" w:right="737" w:bottom="1440" w:left="1077" w:header="851" w:footer="992" w:gutter="0"/>
          <w:pgNumType w:start="0"/>
          <w:cols w:space="720" w:num="1"/>
          <w:titlePg/>
          <w:docGrid w:type="lines" w:linePitch="312" w:charSpace="0"/>
        </w:sectPr>
      </w:pPr>
      <w:r>
        <w:rPr>
          <w:rFonts w:hint="eastAsia" w:ascii="宋体" w:hAnsi="宋体" w:eastAsia="宋体" w:cs="宋体"/>
          <w:bCs/>
          <w:color w:val="auto"/>
          <w:szCs w:val="24"/>
          <w:highlight w:val="none"/>
        </w:rPr>
        <w:fldChar w:fldCharType="end"/>
      </w:r>
    </w:p>
    <w:bookmarkEnd w:id="2"/>
    <w:p w14:paraId="5FC0217B">
      <w:pPr>
        <w:pStyle w:val="14"/>
        <w:spacing w:line="360" w:lineRule="auto"/>
        <w:rPr>
          <w:rFonts w:hint="eastAsia" w:ascii="宋体" w:hAnsi="宋体" w:eastAsia="宋体" w:cs="宋体"/>
          <w:color w:val="auto"/>
          <w:highlight w:val="none"/>
        </w:rPr>
      </w:pPr>
      <w:bookmarkStart w:id="8" w:name="_Toc5364"/>
      <w:bookmarkStart w:id="9" w:name="_Toc38368118"/>
      <w:bookmarkStart w:id="10" w:name="_Toc54615237"/>
      <w:bookmarkStart w:id="11" w:name="_Toc35266018"/>
      <w:r>
        <w:rPr>
          <w:rFonts w:hint="eastAsia" w:ascii="宋体" w:hAnsi="宋体" w:eastAsia="宋体" w:cs="宋体"/>
          <w:color w:val="auto"/>
          <w:highlight w:val="none"/>
        </w:rPr>
        <w:t>第一章  投标邀请</w:t>
      </w:r>
      <w:bookmarkEnd w:id="8"/>
      <w:bookmarkEnd w:id="9"/>
      <w:bookmarkEnd w:id="10"/>
      <w:bookmarkEnd w:id="11"/>
      <w:bookmarkStart w:id="12" w:name="_Toc120614211"/>
    </w:p>
    <w:p w14:paraId="080A6632">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2025-2027年度南丰镇镇级河道及镇区相关河道保洁</w:t>
      </w:r>
      <w:r>
        <w:rPr>
          <w:rFonts w:hint="eastAsia" w:ascii="宋体" w:hAnsi="宋体" w:eastAsia="宋体" w:cs="宋体"/>
          <w:color w:val="auto"/>
          <w:sz w:val="24"/>
          <w:szCs w:val="24"/>
          <w:highlight w:val="none"/>
        </w:rPr>
        <w:t>招标项目的潜在投标人应在</w:t>
      </w:r>
      <w:r>
        <w:rPr>
          <w:rFonts w:hint="eastAsia" w:ascii="宋体" w:hAnsi="宋体" w:eastAsia="宋体" w:cs="宋体"/>
          <w:color w:val="auto"/>
          <w:sz w:val="24"/>
          <w:szCs w:val="24"/>
          <w:highlight w:val="none"/>
          <w:lang w:eastAsia="zh-CN"/>
        </w:rPr>
        <w:t>“苏采云政府采购一体化平台”中参与项目并下载获取电子招标文件</w:t>
      </w:r>
      <w:r>
        <w:rPr>
          <w:rFonts w:hint="eastAsia" w:ascii="宋体" w:hAnsi="宋体" w:eastAsia="宋体" w:cs="宋体"/>
          <w:color w:val="auto"/>
          <w:sz w:val="24"/>
          <w:szCs w:val="24"/>
          <w:highlight w:val="none"/>
        </w:rPr>
        <w:t>，并于</w:t>
      </w:r>
      <w:bookmarkStart w:id="13" w:name="EBee70630b2b034e3b96b8b75da3c10212"/>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ascii="宋体" w:hAnsi="宋体" w:cs="宋体"/>
          <w:color w:val="auto"/>
          <w:sz w:val="24"/>
          <w:szCs w:val="24"/>
          <w:highlight w:val="none"/>
          <w:lang w:val="en-US" w:eastAsia="zh-CN"/>
        </w:rPr>
        <w:t>01</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07</w:t>
      </w:r>
      <w:r>
        <w:rPr>
          <w:rFonts w:hint="eastAsia" w:ascii="宋体" w:hAnsi="宋体" w:eastAsia="宋体" w:cs="宋体"/>
          <w:color w:val="auto"/>
          <w:sz w:val="24"/>
          <w:szCs w:val="24"/>
          <w:highlight w:val="none"/>
          <w:lang w:val="en-US" w:eastAsia="zh-CN"/>
        </w:rPr>
        <w:t>日</w:t>
      </w:r>
      <w:bookmarkEnd w:id="13"/>
      <w:r>
        <w:rPr>
          <w:rFonts w:hint="eastAsia" w:ascii="宋体" w:hAnsi="宋体" w:eastAsia="宋体" w:cs="宋体"/>
          <w:color w:val="auto"/>
          <w:sz w:val="24"/>
          <w:szCs w:val="24"/>
          <w:highlight w:val="none"/>
          <w:lang w:val="en-US" w:eastAsia="zh-CN"/>
        </w:rPr>
        <w:t xml:space="preserve">13:30 </w:t>
      </w:r>
      <w:r>
        <w:rPr>
          <w:rFonts w:hint="eastAsia" w:ascii="宋体" w:hAnsi="宋体" w:eastAsia="宋体" w:cs="宋体"/>
          <w:color w:val="auto"/>
          <w:sz w:val="24"/>
          <w:szCs w:val="24"/>
          <w:highlight w:val="none"/>
        </w:rPr>
        <w:t>（北京时间）前</w:t>
      </w:r>
      <w:r>
        <w:rPr>
          <w:rFonts w:hint="eastAsia" w:ascii="宋体" w:hAnsi="宋体" w:eastAsia="宋体" w:cs="宋体"/>
          <w:color w:val="auto"/>
          <w:sz w:val="24"/>
          <w:szCs w:val="24"/>
          <w:highlight w:val="none"/>
          <w:lang w:val="en-US" w:eastAsia="zh-CN"/>
        </w:rPr>
        <w:t>上传电子</w:t>
      </w:r>
      <w:r>
        <w:rPr>
          <w:rFonts w:hint="eastAsia" w:ascii="宋体" w:hAnsi="宋体" w:eastAsia="宋体" w:cs="宋体"/>
          <w:color w:val="auto"/>
          <w:sz w:val="24"/>
          <w:szCs w:val="24"/>
          <w:highlight w:val="none"/>
        </w:rPr>
        <w:t>投标文件。</w:t>
      </w:r>
    </w:p>
    <w:p w14:paraId="3F233261">
      <w:pPr>
        <w:pStyle w:val="20"/>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Style w:val="17"/>
          <w:rFonts w:hint="eastAsia" w:ascii="宋体" w:hAnsi="宋体" w:eastAsia="宋体" w:cs="宋体"/>
          <w:color w:val="auto"/>
          <w:szCs w:val="24"/>
          <w:highlight w:val="none"/>
          <w:lang w:val="en-US" w:eastAsia="zh-CN"/>
        </w:rPr>
      </w:pPr>
      <w:r>
        <w:rPr>
          <w:rStyle w:val="17"/>
          <w:rFonts w:hint="eastAsia" w:ascii="宋体" w:hAnsi="宋体" w:eastAsia="宋体" w:cs="宋体"/>
          <w:color w:val="auto"/>
          <w:szCs w:val="24"/>
          <w:highlight w:val="none"/>
          <w:lang w:val="en-US" w:eastAsia="zh-CN"/>
        </w:rPr>
        <w:t>一、项目基本情况</w:t>
      </w:r>
    </w:p>
    <w:p w14:paraId="098EB1D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kern w:val="0"/>
          <w:sz w:val="24"/>
          <w:szCs w:val="24"/>
          <w:highlight w:val="none"/>
          <w:lang w:eastAsia="zh-CN"/>
        </w:rPr>
      </w:pPr>
      <w:r>
        <w:rPr>
          <w:rFonts w:hint="eastAsia" w:ascii="宋体" w:hAnsi="宋体" w:eastAsia="宋体" w:cs="宋体"/>
          <w:color w:val="auto"/>
          <w:spacing w:val="8"/>
          <w:kern w:val="0"/>
          <w:sz w:val="24"/>
          <w:szCs w:val="24"/>
          <w:highlight w:val="none"/>
        </w:rPr>
        <w:t>项目编号：JSZC-320582-JHYZ-G2024-0031</w:t>
      </w:r>
      <w:r>
        <w:rPr>
          <w:rFonts w:hint="eastAsia" w:ascii="宋体" w:hAnsi="宋体" w:eastAsia="宋体" w:cs="宋体"/>
          <w:color w:val="auto"/>
          <w:spacing w:val="8"/>
          <w:kern w:val="0"/>
          <w:sz w:val="24"/>
          <w:szCs w:val="24"/>
          <w:highlight w:val="none"/>
          <w:lang w:val="en-US" w:eastAsia="zh-CN"/>
        </w:rPr>
        <w:t xml:space="preserve">  </w:t>
      </w:r>
    </w:p>
    <w:p w14:paraId="48FCCC4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kern w:val="0"/>
          <w:sz w:val="24"/>
          <w:szCs w:val="24"/>
          <w:highlight w:val="none"/>
          <w:lang w:eastAsia="zh-CN"/>
        </w:rPr>
      </w:pPr>
      <w:r>
        <w:rPr>
          <w:rFonts w:hint="eastAsia" w:ascii="宋体" w:hAnsi="宋体" w:eastAsia="宋体" w:cs="宋体"/>
          <w:color w:val="auto"/>
          <w:spacing w:val="8"/>
          <w:kern w:val="0"/>
          <w:sz w:val="24"/>
          <w:szCs w:val="24"/>
          <w:highlight w:val="none"/>
        </w:rPr>
        <w:t>项目名称：</w:t>
      </w:r>
      <w:r>
        <w:rPr>
          <w:rFonts w:hint="eastAsia" w:ascii="宋体" w:hAnsi="宋体" w:eastAsia="宋体" w:cs="宋体"/>
          <w:color w:val="auto"/>
          <w:spacing w:val="8"/>
          <w:kern w:val="0"/>
          <w:sz w:val="24"/>
          <w:szCs w:val="24"/>
          <w:highlight w:val="none"/>
          <w:lang w:eastAsia="zh-CN"/>
        </w:rPr>
        <w:t>2025-2027年度南丰镇镇级河道及镇区相关河道保洁</w:t>
      </w:r>
    </w:p>
    <w:p w14:paraId="49AF23A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预算金额：</w:t>
      </w:r>
      <w:bookmarkStart w:id="14" w:name="EB1a0e1eba70434d918dcf5b8e03079bcd"/>
      <w:r>
        <w:rPr>
          <w:rFonts w:hint="eastAsia" w:ascii="宋体" w:hAnsi="宋体" w:cs="宋体"/>
          <w:color w:val="auto"/>
          <w:spacing w:val="8"/>
          <w:kern w:val="0"/>
          <w:sz w:val="24"/>
          <w:szCs w:val="24"/>
          <w:highlight w:val="none"/>
          <w:lang w:val="en-US" w:eastAsia="zh-CN"/>
        </w:rPr>
        <w:t>1330000</w:t>
      </w:r>
      <w:r>
        <w:rPr>
          <w:rFonts w:hint="eastAsia" w:ascii="宋体" w:hAnsi="宋体" w:eastAsia="宋体" w:cs="宋体"/>
          <w:color w:val="auto"/>
          <w:spacing w:val="8"/>
          <w:kern w:val="0"/>
          <w:sz w:val="24"/>
          <w:szCs w:val="24"/>
          <w:highlight w:val="none"/>
        </w:rPr>
        <w:t>元</w:t>
      </w:r>
      <w:bookmarkEnd w:id="14"/>
    </w:p>
    <w:p w14:paraId="54DF0A8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最高限价（如有）：</w:t>
      </w:r>
      <w:bookmarkStart w:id="15" w:name="EB974fe10e1b834f1ab596364ccab62ca9"/>
      <w:r>
        <w:rPr>
          <w:rFonts w:hint="eastAsia" w:ascii="宋体" w:hAnsi="宋体" w:cs="宋体"/>
          <w:color w:val="auto"/>
          <w:spacing w:val="8"/>
          <w:kern w:val="0"/>
          <w:sz w:val="24"/>
          <w:szCs w:val="24"/>
          <w:highlight w:val="none"/>
          <w:lang w:val="en-US" w:eastAsia="zh-CN"/>
        </w:rPr>
        <w:t>1330000</w:t>
      </w:r>
      <w:r>
        <w:rPr>
          <w:rFonts w:hint="eastAsia" w:ascii="宋体" w:hAnsi="宋体" w:eastAsia="宋体" w:cs="宋体"/>
          <w:color w:val="auto"/>
          <w:spacing w:val="8"/>
          <w:kern w:val="0"/>
          <w:sz w:val="24"/>
          <w:szCs w:val="24"/>
          <w:highlight w:val="none"/>
        </w:rPr>
        <w:t>元</w:t>
      </w:r>
      <w:bookmarkEnd w:id="15"/>
    </w:p>
    <w:p w14:paraId="70DE7D7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lang w:val="en-US" w:eastAsia="zh-CN"/>
        </w:rPr>
        <w:t>本次招标投标报价不高于最高限价为有效投标报价。超最高限价的投标报价为无效投标报价。</w:t>
      </w:r>
    </w:p>
    <w:p w14:paraId="1D3368D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采购需求：</w:t>
      </w:r>
      <w:bookmarkStart w:id="16" w:name="EB07b3bccf5c0e4a39a123ff811f911745"/>
      <w:r>
        <w:rPr>
          <w:rFonts w:hint="eastAsia" w:ascii="宋体" w:hAnsi="宋体" w:eastAsia="宋体" w:cs="宋体"/>
          <w:color w:val="auto"/>
          <w:spacing w:val="8"/>
          <w:kern w:val="0"/>
          <w:sz w:val="24"/>
          <w:szCs w:val="24"/>
          <w:highlight w:val="none"/>
        </w:rPr>
        <w:t>为进一步做好深化文明创建常态化管理，提升河道保洁水平，更好地明确责任范围，监管有力，将</w:t>
      </w:r>
      <w:r>
        <w:rPr>
          <w:rFonts w:hint="eastAsia" w:ascii="宋体" w:hAnsi="宋体" w:cs="宋体"/>
          <w:color w:val="auto"/>
          <w:spacing w:val="8"/>
          <w:kern w:val="0"/>
          <w:sz w:val="24"/>
          <w:szCs w:val="24"/>
          <w:highlight w:val="none"/>
          <w:lang w:eastAsia="zh-CN"/>
        </w:rPr>
        <w:t>对</w:t>
      </w:r>
      <w:r>
        <w:rPr>
          <w:rFonts w:hint="eastAsia" w:ascii="宋体" w:hAnsi="宋体" w:eastAsia="宋体" w:cs="宋体"/>
          <w:color w:val="auto"/>
          <w:spacing w:val="8"/>
          <w:kern w:val="0"/>
          <w:sz w:val="24"/>
          <w:szCs w:val="24"/>
          <w:highlight w:val="none"/>
        </w:rPr>
        <w:t>南丰镇镇级河道及镇区相关河道</w:t>
      </w:r>
      <w:r>
        <w:rPr>
          <w:rFonts w:hint="eastAsia" w:ascii="宋体" w:hAnsi="宋体" w:cs="宋体"/>
          <w:color w:val="auto"/>
          <w:spacing w:val="8"/>
          <w:kern w:val="0"/>
          <w:sz w:val="24"/>
          <w:szCs w:val="24"/>
          <w:highlight w:val="none"/>
          <w:lang w:eastAsia="zh-CN"/>
        </w:rPr>
        <w:t>保洁</w:t>
      </w:r>
      <w:r>
        <w:rPr>
          <w:rFonts w:hint="eastAsia" w:ascii="宋体" w:hAnsi="宋体" w:eastAsia="宋体" w:cs="宋体"/>
          <w:color w:val="auto"/>
          <w:spacing w:val="8"/>
          <w:kern w:val="0"/>
          <w:sz w:val="24"/>
          <w:szCs w:val="24"/>
          <w:highlight w:val="none"/>
        </w:rPr>
        <w:t>进行公开招标。</w:t>
      </w:r>
      <w:bookmarkEnd w:id="16"/>
    </w:p>
    <w:p w14:paraId="4CF4F42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55"/>
        <w:textAlignment w:val="auto"/>
        <w:rPr>
          <w:rFonts w:hint="eastAsia" w:ascii="宋体" w:hAnsi="宋体" w:eastAsia="宋体" w:cs="宋体"/>
          <w:color w:val="auto"/>
          <w:spacing w:val="8"/>
          <w:kern w:val="0"/>
          <w:sz w:val="24"/>
          <w:szCs w:val="24"/>
          <w:highlight w:val="none"/>
          <w:lang w:eastAsia="zh-CN"/>
        </w:rPr>
      </w:pPr>
      <w:r>
        <w:rPr>
          <w:rFonts w:hint="eastAsia" w:ascii="宋体" w:hAnsi="宋体" w:eastAsia="宋体" w:cs="宋体"/>
          <w:color w:val="auto"/>
          <w:spacing w:val="8"/>
          <w:kern w:val="0"/>
          <w:sz w:val="24"/>
          <w:szCs w:val="24"/>
          <w:highlight w:val="none"/>
        </w:rPr>
        <w:t xml:space="preserve">合同履行期限： </w:t>
      </w:r>
      <w:bookmarkStart w:id="17" w:name="EBc1f6639250fe4c2294880160fa37a7de"/>
      <w:r>
        <w:rPr>
          <w:rFonts w:hint="eastAsia" w:ascii="宋体" w:hAnsi="宋体" w:eastAsia="宋体" w:cs="宋体"/>
          <w:color w:val="auto"/>
          <w:spacing w:val="8"/>
          <w:kern w:val="0"/>
          <w:sz w:val="24"/>
          <w:szCs w:val="24"/>
          <w:highlight w:val="none"/>
        </w:rPr>
        <w:t>24个月</w:t>
      </w:r>
      <w:bookmarkEnd w:id="17"/>
      <w:r>
        <w:rPr>
          <w:rFonts w:hint="eastAsia" w:ascii="宋体" w:hAnsi="宋体" w:eastAsia="宋体" w:cs="宋体"/>
          <w:color w:val="auto"/>
          <w:spacing w:val="8"/>
          <w:kern w:val="0"/>
          <w:sz w:val="24"/>
          <w:szCs w:val="24"/>
          <w:highlight w:val="none"/>
          <w:lang w:eastAsia="zh-CN"/>
        </w:rPr>
        <w:t>。</w:t>
      </w:r>
    </w:p>
    <w:p w14:paraId="35242567">
      <w:pPr>
        <w:pStyle w:val="119"/>
        <w:keepNext w:val="0"/>
        <w:keepLines w:val="0"/>
        <w:pageBreakBefore w:val="0"/>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kern w:val="0"/>
          <w:sz w:val="24"/>
          <w:szCs w:val="22"/>
          <w:highlight w:val="none"/>
          <w:lang w:val="en-US" w:eastAsia="zh-CN" w:bidi="ar-SA"/>
        </w:rPr>
      </w:pPr>
      <w:r>
        <w:rPr>
          <w:rFonts w:hint="eastAsia" w:ascii="宋体" w:hAnsi="宋体" w:eastAsia="宋体" w:cs="宋体"/>
          <w:color w:val="auto"/>
          <w:spacing w:val="8"/>
          <w:kern w:val="0"/>
          <w:sz w:val="24"/>
          <w:szCs w:val="22"/>
          <w:highlight w:val="none"/>
          <w:lang w:val="en-US" w:eastAsia="zh-CN" w:bidi="ar-SA"/>
        </w:rPr>
        <w:t>本项目（是/否）接受联合体投标：不接受联合体。</w:t>
      </w:r>
    </w:p>
    <w:p w14:paraId="1DAA5085">
      <w:pPr>
        <w:pStyle w:val="20"/>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Style w:val="17"/>
          <w:rFonts w:hint="eastAsia" w:ascii="宋体" w:hAnsi="宋体" w:eastAsia="宋体" w:cs="宋体"/>
          <w:color w:val="auto"/>
          <w:szCs w:val="24"/>
          <w:highlight w:val="none"/>
          <w:lang w:val="en-US" w:eastAsia="zh-CN"/>
        </w:rPr>
      </w:pPr>
      <w:r>
        <w:rPr>
          <w:rStyle w:val="17"/>
          <w:rFonts w:hint="eastAsia" w:ascii="宋体" w:hAnsi="宋体" w:eastAsia="宋体" w:cs="宋体"/>
          <w:color w:val="auto"/>
          <w:szCs w:val="24"/>
          <w:highlight w:val="none"/>
          <w:lang w:val="en-US" w:eastAsia="zh-CN"/>
        </w:rPr>
        <w:t>二、申请人的资格要求：</w:t>
      </w:r>
    </w:p>
    <w:p w14:paraId="01584A81">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bookmarkStart w:id="18" w:name="EB2e222552591745cd9af6e9d18c1a40c7"/>
      <w:bookmarkEnd w:id="18"/>
      <w:r>
        <w:rPr>
          <w:rFonts w:hint="eastAsia" w:ascii="宋体" w:hAnsi="宋体" w:eastAsia="宋体" w:cs="宋体"/>
          <w:color w:val="auto"/>
          <w:szCs w:val="24"/>
          <w:highlight w:val="none"/>
        </w:rPr>
        <w:t>（一）满足《中华人民共和国政府采购法》第二十二条规定；</w:t>
      </w:r>
    </w:p>
    <w:p w14:paraId="5384DEB7">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F3F83CB">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2.财务状况报告（成立不满一年不需提供）</w:t>
      </w:r>
    </w:p>
    <w:p w14:paraId="74371476">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3.依法缴纳税收和社会保障资金的相关材料</w:t>
      </w:r>
    </w:p>
    <w:p w14:paraId="0D20341B">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4.具备履行合同所必需的设备和专业技术能力的书面声明</w:t>
      </w:r>
    </w:p>
    <w:p w14:paraId="2FA6BCA2">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5.参加政府采购活动前3年内在经营活动中没有重大违法记录的书面声明</w:t>
      </w:r>
    </w:p>
    <w:p w14:paraId="27D861CE">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6.授权委托书</w:t>
      </w:r>
    </w:p>
    <w:p w14:paraId="7F4B2788">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7.资格证明文件的书面承诺</w:t>
      </w:r>
    </w:p>
    <w:p w14:paraId="6A7DD350">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（二）落实政府采购政策需满足的资格要求：</w:t>
      </w:r>
    </w:p>
    <w:p w14:paraId="557E511B">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1.</w:t>
      </w:r>
      <w:r>
        <w:rPr>
          <w:rFonts w:hint="eastAsia" w:ascii="宋体" w:hAnsi="宋体" w:eastAsia="宋体" w:cs="宋体"/>
          <w:color w:val="auto"/>
          <w:szCs w:val="24"/>
          <w:highlight w:val="none"/>
        </w:rPr>
        <w:t>本项目专门面向中小企业采购</w:t>
      </w:r>
    </w:p>
    <w:p w14:paraId="75718225">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注：</w:t>
      </w:r>
      <w:r>
        <w:rPr>
          <w:rFonts w:hint="eastAsia" w:ascii="宋体" w:hAnsi="宋体" w:cs="宋体"/>
          <w:color w:val="auto"/>
          <w:szCs w:val="24"/>
          <w:highlight w:val="none"/>
          <w:lang w:val="en-US" w:eastAsia="zh-CN"/>
        </w:rPr>
        <w:t>1</w:t>
      </w:r>
      <w:r>
        <w:rPr>
          <w:rFonts w:hint="eastAsia" w:ascii="宋体" w:hAnsi="宋体" w:eastAsia="宋体" w:cs="宋体"/>
          <w:color w:val="auto"/>
          <w:szCs w:val="24"/>
          <w:highlight w:val="none"/>
        </w:rPr>
        <w:t>根据《关于促进残疾人就业政府采购政策的通知》（财库〔2017〕141号）的通知规定，在政府采购活动中，残疾人福利性单位视同小型、微型企业。</w:t>
      </w:r>
    </w:p>
    <w:p w14:paraId="208C4784">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2根据《关于政府采购支持监狱企业发展有关问题的通知》（财库〔2014〕68号）的通知规定，在政府采购活动中，监狱企业视同小型、微型企业。</w:t>
      </w:r>
    </w:p>
    <w:p w14:paraId="686F132E">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（三）本项目的特定资格要求： </w:t>
      </w:r>
    </w:p>
    <w:p w14:paraId="13E71FA3">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1.</w:t>
      </w:r>
      <w:r>
        <w:rPr>
          <w:rFonts w:hint="eastAsia" w:ascii="宋体" w:hAnsi="宋体" w:eastAsia="宋体" w:cs="宋体"/>
          <w:color w:val="auto"/>
          <w:szCs w:val="24"/>
          <w:highlight w:val="none"/>
        </w:rPr>
        <w:t>未被“信用中国”网站（www.creditchina.gov.cn）列入失信被执行人、重大税收违法案件当事人名单、政府采购严重失信行为记录名单。</w:t>
      </w:r>
    </w:p>
    <w:p w14:paraId="0B78F2C7">
      <w:pPr>
        <w:pStyle w:val="20"/>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Style w:val="17"/>
          <w:rFonts w:hint="eastAsia" w:ascii="宋体" w:hAnsi="宋体" w:eastAsia="宋体" w:cs="宋体"/>
          <w:color w:val="auto"/>
          <w:szCs w:val="24"/>
          <w:highlight w:val="none"/>
          <w:lang w:val="en-US" w:eastAsia="zh-CN"/>
        </w:rPr>
      </w:pPr>
      <w:r>
        <w:rPr>
          <w:rStyle w:val="17"/>
          <w:rFonts w:hint="eastAsia" w:ascii="宋体" w:hAnsi="宋体" w:eastAsia="宋体" w:cs="宋体"/>
          <w:color w:val="auto"/>
          <w:szCs w:val="24"/>
          <w:highlight w:val="none"/>
          <w:lang w:val="en-US" w:eastAsia="zh-CN"/>
        </w:rPr>
        <w:t>三、获取招标文件</w:t>
      </w:r>
    </w:p>
    <w:p w14:paraId="631B7AB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时间：</w:t>
      </w:r>
      <w:r>
        <w:rPr>
          <w:rFonts w:hint="eastAsia" w:ascii="宋体" w:hAnsi="宋体" w:eastAsia="宋体" w:cs="宋体"/>
          <w:color w:val="auto"/>
          <w:sz w:val="24"/>
          <w:szCs w:val="24"/>
          <w:highlight w:val="none"/>
          <w:lang w:val="en-US" w:eastAsia="zh-CN"/>
        </w:rPr>
        <w:t>2024年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lang w:bidi="ar"/>
        </w:rPr>
        <w:t>至</w:t>
      </w:r>
      <w:r>
        <w:rPr>
          <w:rFonts w:hint="eastAsia" w:ascii="宋体" w:hAnsi="宋体" w:eastAsia="宋体" w:cs="宋体"/>
          <w:color w:val="auto"/>
          <w:sz w:val="24"/>
          <w:szCs w:val="24"/>
          <w:highlight w:val="none"/>
          <w:lang w:val="en-US" w:eastAsia="zh-CN"/>
        </w:rPr>
        <w:t>2024年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lang w:bidi="ar"/>
        </w:rPr>
        <w:t>，每天上午00:00-12:00，下午12:00-23:59（北京时间，法定节假日除外）。</w:t>
      </w:r>
    </w:p>
    <w:p w14:paraId="39B57223">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地点：苏采云政府采购一体化平台（网址http://jszfcg.jsczt.cn/） </w:t>
      </w:r>
    </w:p>
    <w:p w14:paraId="4B0072BF">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方式：苏采云政府采购一体化平台（网址http://jszfcg.jsczt.cn/） </w:t>
      </w:r>
    </w:p>
    <w:p w14:paraId="316C0CE5">
      <w:pPr>
        <w:pStyle w:val="13"/>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售价：0.00元 </w:t>
      </w:r>
    </w:p>
    <w:p w14:paraId="2F37B6BC">
      <w:pPr>
        <w:pStyle w:val="20"/>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Style w:val="17"/>
          <w:rFonts w:hint="eastAsia" w:ascii="宋体" w:hAnsi="宋体" w:eastAsia="宋体" w:cs="宋体"/>
          <w:color w:val="auto"/>
          <w:szCs w:val="24"/>
          <w:highlight w:val="none"/>
          <w:lang w:val="en-US" w:eastAsia="zh-CN"/>
        </w:rPr>
      </w:pPr>
      <w:r>
        <w:rPr>
          <w:rStyle w:val="17"/>
          <w:rFonts w:hint="eastAsia" w:ascii="宋体" w:hAnsi="宋体" w:eastAsia="宋体" w:cs="宋体"/>
          <w:color w:val="auto"/>
          <w:szCs w:val="24"/>
          <w:highlight w:val="none"/>
          <w:lang w:val="en-US" w:eastAsia="zh-CN"/>
        </w:rPr>
        <w:t>四、提交投标文件截止时间、开标时间和地点</w:t>
      </w:r>
    </w:p>
    <w:p w14:paraId="2588E4C8">
      <w:pPr>
        <w:pStyle w:val="20"/>
        <w:keepNext w:val="0"/>
        <w:keepLines w:val="0"/>
        <w:pageBreakBefore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color w:val="auto"/>
          <w:spacing w:val="8"/>
          <w:kern w:val="0"/>
          <w:sz w:val="24"/>
          <w:szCs w:val="22"/>
          <w:highlight w:val="none"/>
          <w:lang w:val="en-US" w:eastAsia="zh-CN" w:bidi="ar-SA"/>
        </w:rPr>
      </w:pP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w:t>
      </w:r>
      <w:r>
        <w:rPr>
          <w:rFonts w:hint="eastAsia" w:cs="宋体"/>
          <w:color w:val="auto"/>
          <w:sz w:val="24"/>
          <w:szCs w:val="24"/>
          <w:highlight w:val="none"/>
          <w:lang w:val="en-US" w:eastAsia="zh-CN"/>
        </w:rPr>
        <w:t>01</w:t>
      </w:r>
      <w:r>
        <w:rPr>
          <w:rFonts w:hint="eastAsia" w:ascii="宋体" w:hAnsi="宋体" w:eastAsia="宋体" w:cs="宋体"/>
          <w:color w:val="auto"/>
          <w:sz w:val="24"/>
          <w:szCs w:val="24"/>
          <w:highlight w:val="none"/>
          <w:lang w:val="en-US" w:eastAsia="zh-CN"/>
        </w:rPr>
        <w:t>月</w:t>
      </w:r>
      <w:r>
        <w:rPr>
          <w:rFonts w:hint="eastAsia" w:cs="宋体"/>
          <w:color w:val="auto"/>
          <w:sz w:val="24"/>
          <w:szCs w:val="24"/>
          <w:highlight w:val="none"/>
          <w:lang w:val="en-US" w:eastAsia="zh-CN"/>
        </w:rPr>
        <w:t>07</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pacing w:val="8"/>
          <w:kern w:val="0"/>
          <w:sz w:val="24"/>
          <w:highlight w:val="none"/>
          <w:lang w:val="en-US" w:eastAsia="zh-CN"/>
        </w:rPr>
        <w:t>13</w:t>
      </w:r>
      <w:r>
        <w:rPr>
          <w:rFonts w:hint="eastAsia" w:ascii="宋体" w:hAnsi="宋体" w:eastAsia="宋体" w:cs="宋体"/>
          <w:color w:val="auto"/>
          <w:spacing w:val="8"/>
          <w:kern w:val="0"/>
          <w:sz w:val="24"/>
          <w:highlight w:val="none"/>
        </w:rPr>
        <w:t>:30（北京时间）</w:t>
      </w:r>
    </w:p>
    <w:p w14:paraId="6B5F66E7">
      <w:pPr>
        <w:pStyle w:val="20"/>
        <w:keepNext w:val="0"/>
        <w:keepLines w:val="0"/>
        <w:pageBreakBefore w:val="0"/>
        <w:numPr>
          <w:ilvl w:val="0"/>
          <w:numId w:val="0"/>
        </w:numPr>
        <w:kinsoku/>
        <w:wordWrap/>
        <w:overflowPunct/>
        <w:topLinePunct w:val="0"/>
        <w:autoSpaceDE/>
        <w:autoSpaceDN/>
        <w:bidi w:val="0"/>
        <w:adjustRightInd/>
        <w:snapToGrid/>
        <w:spacing w:line="360" w:lineRule="auto"/>
        <w:ind w:leftChars="0" w:firstLine="512" w:firstLineChars="200"/>
        <w:textAlignment w:val="auto"/>
        <w:rPr>
          <w:rFonts w:hint="eastAsia" w:ascii="宋体" w:hAnsi="宋体" w:eastAsia="宋体" w:cs="宋体"/>
          <w:color w:val="auto"/>
          <w:spacing w:val="8"/>
          <w:kern w:val="0"/>
          <w:sz w:val="24"/>
          <w:szCs w:val="22"/>
          <w:highlight w:val="none"/>
          <w:lang w:val="en-US" w:eastAsia="zh-CN" w:bidi="ar-SA"/>
        </w:rPr>
      </w:pPr>
      <w:r>
        <w:rPr>
          <w:rFonts w:hint="eastAsia" w:ascii="宋体" w:hAnsi="宋体" w:eastAsia="宋体" w:cs="宋体"/>
          <w:color w:val="auto"/>
          <w:spacing w:val="8"/>
          <w:kern w:val="0"/>
          <w:sz w:val="24"/>
          <w:szCs w:val="22"/>
          <w:highlight w:val="none"/>
          <w:lang w:val="en-US" w:eastAsia="zh-CN" w:bidi="ar-SA"/>
        </w:rPr>
        <w:t>地点：苏采云系统</w:t>
      </w:r>
    </w:p>
    <w:p w14:paraId="5DD17698">
      <w:pPr>
        <w:pStyle w:val="20"/>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Style w:val="17"/>
          <w:rFonts w:hint="eastAsia" w:ascii="宋体" w:hAnsi="宋体" w:eastAsia="宋体" w:cs="宋体"/>
          <w:color w:val="auto"/>
          <w:szCs w:val="24"/>
          <w:highlight w:val="none"/>
          <w:lang w:val="en-US" w:eastAsia="zh-CN"/>
        </w:rPr>
      </w:pPr>
      <w:r>
        <w:rPr>
          <w:rStyle w:val="17"/>
          <w:rFonts w:hint="eastAsia" w:ascii="宋体" w:hAnsi="宋体" w:eastAsia="宋体" w:cs="宋体"/>
          <w:color w:val="auto"/>
          <w:szCs w:val="24"/>
          <w:highlight w:val="none"/>
          <w:lang w:val="en-US" w:eastAsia="zh-CN"/>
        </w:rPr>
        <w:t>五、公告期限</w:t>
      </w:r>
    </w:p>
    <w:p w14:paraId="67DBCC32">
      <w:pPr>
        <w:pStyle w:val="20"/>
        <w:keepNext w:val="0"/>
        <w:keepLines w:val="0"/>
        <w:pageBreakBefore w:val="0"/>
        <w:numPr>
          <w:ilvl w:val="0"/>
          <w:numId w:val="0"/>
        </w:numPr>
        <w:kinsoku/>
        <w:wordWrap/>
        <w:overflowPunct/>
        <w:topLinePunct w:val="0"/>
        <w:autoSpaceDE/>
        <w:autoSpaceDN/>
        <w:bidi w:val="0"/>
        <w:adjustRightInd/>
        <w:snapToGrid/>
        <w:spacing w:line="360" w:lineRule="auto"/>
        <w:ind w:leftChars="0" w:firstLine="512" w:firstLineChars="200"/>
        <w:textAlignment w:val="auto"/>
        <w:rPr>
          <w:rFonts w:hint="eastAsia" w:ascii="宋体" w:hAnsi="宋体" w:eastAsia="宋体" w:cs="宋体"/>
          <w:color w:val="auto"/>
          <w:spacing w:val="8"/>
          <w:kern w:val="0"/>
          <w:sz w:val="24"/>
          <w:szCs w:val="22"/>
          <w:highlight w:val="none"/>
          <w:lang w:val="en-US" w:eastAsia="zh-CN" w:bidi="ar-SA"/>
        </w:rPr>
      </w:pPr>
      <w:r>
        <w:rPr>
          <w:rFonts w:hint="eastAsia" w:ascii="宋体" w:hAnsi="宋体" w:eastAsia="宋体" w:cs="宋体"/>
          <w:color w:val="auto"/>
          <w:spacing w:val="8"/>
          <w:kern w:val="0"/>
          <w:sz w:val="24"/>
          <w:szCs w:val="22"/>
          <w:highlight w:val="none"/>
          <w:lang w:val="en-US" w:eastAsia="zh-CN" w:bidi="ar-SA"/>
        </w:rPr>
        <w:t>自本公告发布之日起5个工作日。</w:t>
      </w:r>
    </w:p>
    <w:p w14:paraId="416C2B2F">
      <w:pPr>
        <w:pStyle w:val="20"/>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pacing w:val="8"/>
          <w:kern w:val="0"/>
          <w:sz w:val="24"/>
          <w:szCs w:val="22"/>
          <w:highlight w:val="none"/>
          <w:lang w:val="en-US" w:eastAsia="zh-CN" w:bidi="ar-SA"/>
        </w:rPr>
      </w:pPr>
      <w:r>
        <w:rPr>
          <w:rStyle w:val="17"/>
          <w:rFonts w:hint="eastAsia" w:ascii="宋体" w:hAnsi="宋体" w:eastAsia="宋体" w:cs="宋体"/>
          <w:color w:val="auto"/>
          <w:szCs w:val="24"/>
          <w:highlight w:val="none"/>
        </w:rPr>
        <w:t>六、其他补充事宜</w:t>
      </w:r>
    </w:p>
    <w:p w14:paraId="6C613AC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4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lang w:val="en-US" w:eastAsia="zh-CN"/>
        </w:rPr>
        <w:t>1.</w:t>
      </w:r>
      <w:r>
        <w:rPr>
          <w:rFonts w:hint="eastAsia" w:ascii="宋体" w:hAnsi="宋体" w:eastAsia="宋体" w:cs="宋体"/>
          <w:color w:val="auto"/>
          <w:spacing w:val="8"/>
          <w:kern w:val="0"/>
          <w:sz w:val="24"/>
          <w:highlight w:val="none"/>
        </w:rPr>
        <w:t>CA证书办理</w:t>
      </w:r>
    </w:p>
    <w:p w14:paraId="7A46600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4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04F2821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4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lang w:val="en-US" w:eastAsia="zh-CN"/>
        </w:rPr>
        <w:t>2.</w:t>
      </w:r>
      <w:r>
        <w:rPr>
          <w:rFonts w:hint="eastAsia" w:ascii="宋体" w:hAnsi="宋体" w:eastAsia="宋体" w:cs="宋体"/>
          <w:color w:val="auto"/>
          <w:spacing w:val="8"/>
          <w:kern w:val="0"/>
          <w:sz w:val="24"/>
          <w:highlight w:val="none"/>
        </w:rPr>
        <w:t>参与采购活动</w:t>
      </w:r>
    </w:p>
    <w:p w14:paraId="489D907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4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371580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4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lang w:val="en-US" w:eastAsia="zh-CN"/>
        </w:rPr>
        <w:t>3.</w:t>
      </w:r>
      <w:r>
        <w:rPr>
          <w:rFonts w:hint="eastAsia" w:ascii="宋体" w:hAnsi="宋体" w:eastAsia="宋体" w:cs="宋体"/>
          <w:color w:val="auto"/>
          <w:spacing w:val="8"/>
          <w:kern w:val="0"/>
          <w:sz w:val="24"/>
          <w:highlight w:val="none"/>
        </w:rPr>
        <w:t>电子投标准备</w:t>
      </w:r>
    </w:p>
    <w:p w14:paraId="5C8B214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40"/>
        <w:jc w:val="left"/>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7854B0C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在系统操作过程中如有疑问，请按以下方式联系：</w:t>
      </w:r>
    </w:p>
    <w:p w14:paraId="18ECE6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注册咨询：18261002950；</w:t>
      </w:r>
    </w:p>
    <w:p w14:paraId="0CAC28E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CA技术咨询电话：400-608-6099；</w:t>
      </w:r>
    </w:p>
    <w:p w14:paraId="3A35AF5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签章使用问题：025-83633811、025-83633812、15380932027、15371015030；</w:t>
      </w:r>
    </w:p>
    <w:p w14:paraId="2F648D8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512" w:firstLineChars="200"/>
        <w:textAlignment w:val="auto"/>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系统使用指导与咨询：联系电话：18261002950、0512-69820854；QQ：3048755361、1315179389、895706745。</w:t>
      </w:r>
    </w:p>
    <w:p w14:paraId="1480C7AB">
      <w:pPr>
        <w:pStyle w:val="2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0C876458">
      <w:pPr>
        <w:pStyle w:val="2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0B8353DC">
      <w:pPr>
        <w:pStyle w:val="2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请供应商确保电脑、系统及其他设备（视频输入输出设备等）无误，且开标直至项目结束始终保持系统在线状态。</w:t>
      </w:r>
    </w:p>
    <w:p w14:paraId="48B71F74">
      <w:pPr>
        <w:pStyle w:val="2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6.招标文件澄清或者修改内容的告知方式：招标文件的实质性变动或修改将在政府采购公告媒体网通知，投标人可自行下载。</w:t>
      </w:r>
    </w:p>
    <w:p w14:paraId="3648AE7E">
      <w:pPr>
        <w:pStyle w:val="20"/>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7.本次招标不收取投标保证金。</w:t>
      </w:r>
    </w:p>
    <w:p w14:paraId="02AAD2AE">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pacing w:val="8"/>
          <w:kern w:val="0"/>
          <w:sz w:val="24"/>
          <w:szCs w:val="24"/>
          <w:highlight w:val="none"/>
        </w:rPr>
      </w:pPr>
      <w:r>
        <w:rPr>
          <w:rFonts w:hint="eastAsia" w:ascii="宋体" w:hAnsi="宋体" w:eastAsia="宋体" w:cs="宋体"/>
          <w:b/>
          <w:bCs/>
          <w:color w:val="auto"/>
          <w:spacing w:val="8"/>
          <w:kern w:val="0"/>
          <w:sz w:val="24"/>
          <w:szCs w:val="24"/>
          <w:highlight w:val="none"/>
        </w:rPr>
        <w:t>七、对本次招标提出询问，请按以下方式联系。</w:t>
      </w:r>
    </w:p>
    <w:p w14:paraId="778AB83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1.采购人信息</w:t>
      </w:r>
    </w:p>
    <w:p w14:paraId="05C6616F">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firstLine="420"/>
        <w:jc w:val="left"/>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 xml:space="preserve">名 </w:t>
      </w:r>
      <w:r>
        <w:rPr>
          <w:rFonts w:hint="eastAsia" w:ascii="宋体" w:hAnsi="宋体" w:cs="宋体"/>
          <w:color w:val="auto"/>
          <w:spacing w:val="8"/>
          <w:kern w:val="0"/>
          <w:sz w:val="24"/>
          <w:szCs w:val="24"/>
          <w:highlight w:val="none"/>
          <w:lang w:val="en-US" w:eastAsia="zh-CN"/>
        </w:rPr>
        <w:t xml:space="preserve"> </w:t>
      </w:r>
      <w:r>
        <w:rPr>
          <w:rFonts w:hint="eastAsia" w:ascii="宋体" w:hAnsi="宋体" w:eastAsia="宋体" w:cs="宋体"/>
          <w:color w:val="auto"/>
          <w:spacing w:val="8"/>
          <w:kern w:val="0"/>
          <w:sz w:val="24"/>
          <w:szCs w:val="24"/>
          <w:highlight w:val="none"/>
        </w:rPr>
        <w:t>称：</w:t>
      </w:r>
      <w:bookmarkStart w:id="19" w:name="EB5fda4c617e0049aa8b3d86608ab2a0f2"/>
      <w:r>
        <w:rPr>
          <w:rFonts w:hint="eastAsia" w:ascii="宋体" w:hAnsi="宋体" w:cs="宋体"/>
          <w:color w:val="auto"/>
          <w:spacing w:val="8"/>
          <w:kern w:val="0"/>
          <w:sz w:val="24"/>
          <w:highlight w:val="none"/>
        </w:rPr>
        <w:t>张家港市南丰镇人民政府</w:t>
      </w:r>
      <w:bookmarkEnd w:id="19"/>
    </w:p>
    <w:p w14:paraId="342967A9">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firstLine="420"/>
        <w:jc w:val="left"/>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地</w:t>
      </w:r>
      <w:r>
        <w:rPr>
          <w:rFonts w:hint="eastAsia" w:ascii="宋体" w:hAnsi="宋体" w:cs="宋体"/>
          <w:color w:val="auto"/>
          <w:spacing w:val="8"/>
          <w:kern w:val="0"/>
          <w:sz w:val="24"/>
          <w:szCs w:val="24"/>
          <w:highlight w:val="none"/>
          <w:lang w:val="en-US" w:eastAsia="zh-CN"/>
        </w:rPr>
        <w:t xml:space="preserve">  </w:t>
      </w:r>
      <w:r>
        <w:rPr>
          <w:rFonts w:hint="eastAsia" w:ascii="宋体" w:hAnsi="宋体" w:eastAsia="宋体" w:cs="宋体"/>
          <w:color w:val="auto"/>
          <w:spacing w:val="8"/>
          <w:kern w:val="0"/>
          <w:sz w:val="24"/>
          <w:szCs w:val="24"/>
          <w:highlight w:val="none"/>
        </w:rPr>
        <w:t>址：</w:t>
      </w:r>
      <w:bookmarkStart w:id="20" w:name="EB9c4a1aaeb2f740559d87fd6428ed78cc"/>
      <w:r>
        <w:rPr>
          <w:rFonts w:hint="eastAsia" w:ascii="宋体" w:hAnsi="宋体" w:cs="宋体"/>
          <w:color w:val="auto"/>
          <w:spacing w:val="8"/>
          <w:kern w:val="0"/>
          <w:sz w:val="24"/>
          <w:highlight w:val="none"/>
        </w:rPr>
        <w:t>张家港市南丰镇南丰东路002号</w:t>
      </w:r>
      <w:bookmarkEnd w:id="20"/>
    </w:p>
    <w:p w14:paraId="248BDD25">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firstLine="420"/>
        <w:jc w:val="left"/>
        <w:textAlignment w:val="auto"/>
        <w:rPr>
          <w:rFonts w:hint="eastAsia" w:ascii="宋体" w:hAnsi="宋体" w:eastAsia="宋体" w:cs="宋体"/>
          <w:color w:val="auto"/>
          <w:spacing w:val="8"/>
          <w:kern w:val="0"/>
          <w:sz w:val="24"/>
          <w:szCs w:val="24"/>
          <w:highlight w:val="none"/>
          <w:lang w:val="en-US" w:eastAsia="zh-CN"/>
        </w:rPr>
      </w:pPr>
      <w:r>
        <w:rPr>
          <w:rFonts w:hint="eastAsia" w:ascii="宋体" w:hAnsi="宋体" w:eastAsia="宋体" w:cs="宋体"/>
          <w:color w:val="auto"/>
          <w:spacing w:val="8"/>
          <w:kern w:val="0"/>
          <w:sz w:val="24"/>
          <w:szCs w:val="24"/>
          <w:highlight w:val="none"/>
        </w:rPr>
        <w:t>联系人：</w:t>
      </w:r>
      <w:r>
        <w:rPr>
          <w:rFonts w:hint="eastAsia" w:ascii="宋体" w:hAnsi="宋体" w:cs="宋体"/>
          <w:color w:val="auto"/>
          <w:spacing w:val="8"/>
          <w:kern w:val="0"/>
          <w:sz w:val="24"/>
          <w:szCs w:val="24"/>
          <w:highlight w:val="none"/>
          <w:lang w:val="en-US" w:eastAsia="zh-CN"/>
        </w:rPr>
        <w:t>王芹</w:t>
      </w:r>
    </w:p>
    <w:p w14:paraId="4585D0E9">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firstLine="420"/>
        <w:jc w:val="left"/>
        <w:textAlignment w:val="auto"/>
        <w:rPr>
          <w:rFonts w:hint="eastAsia" w:ascii="宋体" w:hAnsi="宋体" w:eastAsia="宋体" w:cs="宋体"/>
          <w:color w:val="auto"/>
          <w:spacing w:val="8"/>
          <w:kern w:val="0"/>
          <w:sz w:val="24"/>
          <w:szCs w:val="24"/>
          <w:highlight w:val="none"/>
          <w:lang w:val="en-US" w:eastAsia="zh-CN"/>
        </w:rPr>
      </w:pPr>
      <w:r>
        <w:rPr>
          <w:rFonts w:hint="eastAsia" w:ascii="宋体" w:hAnsi="宋体" w:eastAsia="宋体" w:cs="宋体"/>
          <w:color w:val="auto"/>
          <w:spacing w:val="8"/>
          <w:kern w:val="0"/>
          <w:sz w:val="24"/>
          <w:szCs w:val="24"/>
          <w:highlight w:val="none"/>
        </w:rPr>
        <w:t>联系方式：</w:t>
      </w:r>
      <w:bookmarkStart w:id="21" w:name="EB390ae4918c1e4b7a83628a7b425fb28c"/>
      <w:r>
        <w:rPr>
          <w:rFonts w:hint="eastAsia" w:ascii="宋体" w:hAnsi="宋体" w:cs="宋体"/>
          <w:color w:val="auto"/>
          <w:spacing w:val="8"/>
          <w:kern w:val="0"/>
          <w:sz w:val="24"/>
          <w:highlight w:val="none"/>
        </w:rPr>
        <w:t>0512-58620315</w:t>
      </w:r>
      <w:bookmarkEnd w:id="21"/>
    </w:p>
    <w:p w14:paraId="0EEBC6EF">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jc w:val="left"/>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2.采购代理机构信息</w:t>
      </w:r>
    </w:p>
    <w:p w14:paraId="3EB16B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840"/>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 xml:space="preserve">名 </w:t>
      </w:r>
      <w:r>
        <w:rPr>
          <w:rFonts w:hint="eastAsia" w:ascii="宋体" w:hAnsi="宋体" w:cs="宋体"/>
          <w:color w:val="auto"/>
          <w:spacing w:val="8"/>
          <w:kern w:val="0"/>
          <w:sz w:val="24"/>
          <w:szCs w:val="24"/>
          <w:highlight w:val="none"/>
          <w:lang w:val="en-US" w:eastAsia="zh-CN"/>
        </w:rPr>
        <w:t xml:space="preserve"> </w:t>
      </w:r>
      <w:r>
        <w:rPr>
          <w:rFonts w:hint="eastAsia" w:ascii="宋体" w:hAnsi="宋体" w:eastAsia="宋体" w:cs="宋体"/>
          <w:color w:val="auto"/>
          <w:spacing w:val="8"/>
          <w:kern w:val="0"/>
          <w:sz w:val="24"/>
          <w:szCs w:val="24"/>
          <w:highlight w:val="none"/>
        </w:rPr>
        <w:t>称：</w:t>
      </w:r>
      <w:bookmarkStart w:id="22" w:name="EB87bd51c9d802413bae3fcd0e825858ca"/>
      <w:r>
        <w:rPr>
          <w:rFonts w:hint="eastAsia" w:ascii="宋体" w:hAnsi="宋体" w:eastAsia="宋体" w:cs="宋体"/>
          <w:color w:val="auto"/>
          <w:spacing w:val="8"/>
          <w:kern w:val="0"/>
          <w:sz w:val="24"/>
          <w:szCs w:val="24"/>
          <w:highlight w:val="none"/>
        </w:rPr>
        <w:t>张家港市金浩源招投标代理有限公司</w:t>
      </w:r>
      <w:bookmarkEnd w:id="22"/>
    </w:p>
    <w:p w14:paraId="6AAC91D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840"/>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地　址：</w:t>
      </w:r>
      <w:r>
        <w:rPr>
          <w:rFonts w:hint="eastAsia" w:ascii="宋体" w:hAnsi="宋体" w:eastAsia="宋体" w:cs="宋体"/>
          <w:color w:val="auto"/>
          <w:spacing w:val="8"/>
          <w:kern w:val="0"/>
          <w:sz w:val="24"/>
          <w:highlight w:val="none"/>
        </w:rPr>
        <w:t>张家港市杨舍镇港城大道606号创投大厦2305室</w:t>
      </w:r>
    </w:p>
    <w:p w14:paraId="7C169E2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840"/>
        <w:textAlignment w:val="auto"/>
        <w:rPr>
          <w:rFonts w:hint="default" w:ascii="宋体" w:hAnsi="宋体" w:eastAsia="宋体" w:cs="宋体"/>
          <w:color w:val="auto"/>
          <w:spacing w:val="8"/>
          <w:kern w:val="0"/>
          <w:sz w:val="24"/>
          <w:szCs w:val="24"/>
          <w:highlight w:val="none"/>
          <w:lang w:val="en-US" w:eastAsia="zh-CN"/>
        </w:rPr>
      </w:pPr>
      <w:r>
        <w:rPr>
          <w:rFonts w:hint="eastAsia" w:ascii="宋体" w:hAnsi="宋体" w:eastAsia="宋体" w:cs="宋体"/>
          <w:color w:val="auto"/>
          <w:spacing w:val="8"/>
          <w:kern w:val="0"/>
          <w:sz w:val="24"/>
          <w:szCs w:val="24"/>
          <w:highlight w:val="none"/>
        </w:rPr>
        <w:t>联系方式：</w:t>
      </w:r>
      <w:bookmarkStart w:id="23" w:name="EB78fabdffbc284811a36702afe16991bc"/>
      <w:bookmarkEnd w:id="23"/>
      <w:r>
        <w:rPr>
          <w:rFonts w:hint="eastAsia" w:ascii="宋体" w:hAnsi="宋体" w:cs="宋体"/>
          <w:color w:val="auto"/>
          <w:spacing w:val="8"/>
          <w:kern w:val="0"/>
          <w:sz w:val="24"/>
          <w:szCs w:val="24"/>
          <w:highlight w:val="none"/>
          <w:lang w:val="en-US" w:eastAsia="zh-CN"/>
        </w:rPr>
        <w:t>18915713650</w:t>
      </w:r>
    </w:p>
    <w:p w14:paraId="0329865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3.项目联系方式</w:t>
      </w:r>
    </w:p>
    <w:p w14:paraId="61ECD208">
      <w:pPr>
        <w:keepNext w:val="0"/>
        <w:keepLines w:val="0"/>
        <w:pageBreakBefore w:val="0"/>
        <w:widowControl/>
        <w:shd w:val="clear" w:color="auto" w:fill="FFFFFF"/>
        <w:kinsoku/>
        <w:wordWrap/>
        <w:overflowPunct/>
        <w:topLinePunct w:val="0"/>
        <w:autoSpaceDE/>
        <w:autoSpaceDN/>
        <w:bidi w:val="0"/>
        <w:adjustRightInd/>
        <w:snapToGrid/>
        <w:spacing w:line="360" w:lineRule="auto"/>
        <w:ind w:left="840"/>
        <w:textAlignment w:val="auto"/>
        <w:rPr>
          <w:rFonts w:hint="eastAsia" w:ascii="宋体" w:hAnsi="宋体" w:eastAsia="宋体" w:cs="宋体"/>
          <w:color w:val="auto"/>
          <w:spacing w:val="8"/>
          <w:kern w:val="0"/>
          <w:sz w:val="24"/>
          <w:szCs w:val="24"/>
          <w:highlight w:val="none"/>
          <w:lang w:eastAsia="zh-CN"/>
        </w:rPr>
      </w:pPr>
      <w:r>
        <w:rPr>
          <w:rFonts w:hint="eastAsia" w:ascii="宋体" w:hAnsi="宋体" w:eastAsia="宋体" w:cs="宋体"/>
          <w:color w:val="auto"/>
          <w:spacing w:val="8"/>
          <w:kern w:val="0"/>
          <w:sz w:val="24"/>
          <w:szCs w:val="24"/>
          <w:highlight w:val="none"/>
        </w:rPr>
        <w:t>项目联系人：</w:t>
      </w:r>
      <w:r>
        <w:rPr>
          <w:rFonts w:hint="eastAsia" w:ascii="宋体" w:hAnsi="宋体" w:cs="宋体"/>
          <w:color w:val="auto"/>
          <w:spacing w:val="8"/>
          <w:kern w:val="0"/>
          <w:sz w:val="24"/>
          <w:szCs w:val="24"/>
          <w:highlight w:val="none"/>
          <w:lang w:eastAsia="zh-CN"/>
        </w:rPr>
        <w:t>周莉</w:t>
      </w:r>
    </w:p>
    <w:p w14:paraId="74602B0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840"/>
        <w:textAlignment w:val="auto"/>
        <w:rPr>
          <w:rFonts w:hint="eastAsia" w:ascii="宋体" w:hAnsi="宋体" w:eastAsia="宋体" w:cs="宋体"/>
          <w:color w:val="auto"/>
          <w:spacing w:val="8"/>
          <w:kern w:val="0"/>
          <w:sz w:val="24"/>
          <w:szCs w:val="24"/>
          <w:highlight w:val="none"/>
        </w:rPr>
      </w:pPr>
      <w:r>
        <w:rPr>
          <w:rFonts w:hint="eastAsia" w:ascii="宋体" w:hAnsi="宋体" w:eastAsia="宋体" w:cs="宋体"/>
          <w:color w:val="auto"/>
          <w:spacing w:val="8"/>
          <w:kern w:val="0"/>
          <w:sz w:val="24"/>
          <w:szCs w:val="24"/>
          <w:highlight w:val="none"/>
        </w:rPr>
        <w:t>电　话：</w:t>
      </w:r>
      <w:r>
        <w:rPr>
          <w:rFonts w:hint="eastAsia" w:ascii="宋体" w:hAnsi="宋体" w:cs="宋体"/>
          <w:color w:val="auto"/>
          <w:spacing w:val="8"/>
          <w:kern w:val="0"/>
          <w:sz w:val="24"/>
          <w:szCs w:val="24"/>
          <w:highlight w:val="none"/>
          <w:lang w:val="en-US" w:eastAsia="zh-CN"/>
        </w:rPr>
        <w:t>18915713650</w:t>
      </w:r>
    </w:p>
    <w:p w14:paraId="4946D3E8">
      <w:pPr>
        <w:widowControl/>
        <w:shd w:val="clear" w:color="auto" w:fill="FFFFFF"/>
        <w:spacing w:line="360" w:lineRule="auto"/>
        <w:ind w:firstLine="840"/>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　</w:t>
      </w:r>
    </w:p>
    <w:p w14:paraId="2EA24164">
      <w:pPr>
        <w:widowControl/>
        <w:shd w:val="clear" w:color="auto" w:fill="FFFFFF"/>
        <w:spacing w:line="360" w:lineRule="auto"/>
        <w:ind w:firstLine="840"/>
        <w:rPr>
          <w:rFonts w:hint="eastAsia" w:ascii="宋体" w:hAnsi="宋体" w:eastAsia="宋体" w:cs="宋体"/>
          <w:color w:val="auto"/>
          <w:spacing w:val="8"/>
          <w:kern w:val="0"/>
          <w:sz w:val="24"/>
          <w:highlight w:val="none"/>
        </w:rPr>
      </w:pPr>
      <w:r>
        <w:rPr>
          <w:rFonts w:hint="eastAsia" w:ascii="宋体" w:hAnsi="宋体" w:eastAsia="宋体" w:cs="宋体"/>
          <w:color w:val="auto"/>
          <w:spacing w:val="8"/>
          <w:kern w:val="0"/>
          <w:sz w:val="24"/>
          <w:highlight w:val="none"/>
        </w:rPr>
        <w:t>　</w:t>
      </w:r>
      <w:bookmarkStart w:id="24" w:name="EB4fc5f1a47f18483c98cd86dc999982b2"/>
      <w:bookmarkEnd w:id="24"/>
    </w:p>
    <w:p w14:paraId="221F0FFA">
      <w:pPr>
        <w:spacing w:line="360" w:lineRule="auto"/>
        <w:ind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p>
    <w:p w14:paraId="6191531F">
      <w:pPr>
        <w:pStyle w:val="14"/>
        <w:pageBreakBefore/>
        <w:spacing w:line="360" w:lineRule="auto"/>
        <w:rPr>
          <w:rFonts w:hint="eastAsia" w:ascii="宋体" w:hAnsi="宋体" w:eastAsia="宋体" w:cs="宋体"/>
          <w:color w:val="auto"/>
          <w:highlight w:val="none"/>
        </w:rPr>
      </w:pPr>
      <w:bookmarkStart w:id="25" w:name="_Toc54615238"/>
      <w:bookmarkStart w:id="26" w:name="_Toc38368119"/>
      <w:bookmarkStart w:id="27" w:name="_Toc35266019"/>
      <w:bookmarkStart w:id="28" w:name="_Toc2469"/>
      <w:r>
        <w:rPr>
          <w:rFonts w:hint="eastAsia" w:ascii="宋体" w:hAnsi="宋体" w:eastAsia="宋体" w:cs="宋体"/>
          <w:color w:val="auto"/>
          <w:highlight w:val="none"/>
        </w:rPr>
        <w:t xml:space="preserve">第二章  </w:t>
      </w:r>
      <w:bookmarkEnd w:id="3"/>
      <w:bookmarkEnd w:id="4"/>
      <w:bookmarkEnd w:id="5"/>
      <w:bookmarkEnd w:id="6"/>
      <w:bookmarkEnd w:id="7"/>
      <w:bookmarkEnd w:id="12"/>
      <w:bookmarkStart w:id="29" w:name="_Toc16938518"/>
      <w:bookmarkStart w:id="30" w:name="_Toc120614213"/>
      <w:bookmarkStart w:id="31" w:name="_Toc20823274"/>
      <w:bookmarkStart w:id="32" w:name="_Toc513029202"/>
      <w:r>
        <w:rPr>
          <w:rFonts w:hint="eastAsia" w:ascii="宋体" w:hAnsi="宋体" w:eastAsia="宋体" w:cs="宋体"/>
          <w:color w:val="auto"/>
          <w:highlight w:val="none"/>
        </w:rPr>
        <w:t>投标人须知</w:t>
      </w:r>
      <w:bookmarkEnd w:id="25"/>
      <w:bookmarkEnd w:id="26"/>
      <w:bookmarkEnd w:id="27"/>
      <w:bookmarkEnd w:id="28"/>
      <w:bookmarkEnd w:id="29"/>
      <w:bookmarkEnd w:id="30"/>
      <w:bookmarkEnd w:id="31"/>
      <w:bookmarkEnd w:id="32"/>
    </w:p>
    <w:p w14:paraId="59423AD7">
      <w:pPr>
        <w:pStyle w:val="5"/>
        <w:pageBreakBefore w:val="0"/>
        <w:kinsoku/>
        <w:overflowPunct/>
        <w:autoSpaceDE/>
        <w:autoSpaceDN/>
        <w:bidi w:val="0"/>
        <w:adjustRightInd/>
        <w:spacing w:before="0" w:after="0" w:line="360" w:lineRule="auto"/>
        <w:jc w:val="left"/>
        <w:textAlignment w:val="auto"/>
        <w:rPr>
          <w:rStyle w:val="33"/>
          <w:rFonts w:hint="eastAsia" w:ascii="宋体" w:hAnsi="宋体" w:eastAsia="宋体" w:cs="宋体"/>
          <w:b w:val="0"/>
          <w:bCs/>
          <w:color w:val="auto"/>
          <w:sz w:val="24"/>
          <w:szCs w:val="24"/>
          <w:highlight w:val="none"/>
        </w:rPr>
      </w:pPr>
      <w:bookmarkStart w:id="33" w:name="_Toc30488"/>
      <w:bookmarkStart w:id="34" w:name="_Toc54615239"/>
      <w:bookmarkStart w:id="35" w:name="_Toc120614214"/>
      <w:bookmarkStart w:id="36" w:name="_Toc35266020"/>
      <w:bookmarkStart w:id="37" w:name="_Toc38368120"/>
      <w:bookmarkStart w:id="38" w:name="_Toc16938519"/>
      <w:bookmarkStart w:id="39" w:name="_Toc513029203"/>
      <w:bookmarkStart w:id="40" w:name="_Toc20823275"/>
      <w:bookmarkStart w:id="41" w:name="_Toc951"/>
      <w:bookmarkStart w:id="42" w:name="_Toc513029242"/>
      <w:bookmarkStart w:id="43" w:name="_Toc479757207"/>
      <w:bookmarkStart w:id="44" w:name="_Toc16938558"/>
      <w:bookmarkStart w:id="45" w:name="_Toc20823314"/>
      <w:bookmarkStart w:id="46" w:name="_Toc120614221"/>
      <w:bookmarkStart w:id="47" w:name="_Toc54615245"/>
      <w:bookmarkStart w:id="48" w:name="_Toc35266027"/>
      <w:bookmarkStart w:id="49" w:name="_Toc38368127"/>
      <w:r>
        <w:rPr>
          <w:rStyle w:val="33"/>
          <w:rFonts w:hint="eastAsia" w:ascii="宋体" w:hAnsi="宋体" w:eastAsia="宋体" w:cs="宋体"/>
          <w:b w:val="0"/>
          <w:bCs/>
          <w:color w:val="auto"/>
          <w:sz w:val="24"/>
          <w:szCs w:val="24"/>
          <w:highlight w:val="none"/>
        </w:rPr>
        <w:t>一、总则</w:t>
      </w:r>
      <w:bookmarkEnd w:id="33"/>
      <w:bookmarkEnd w:id="34"/>
      <w:bookmarkEnd w:id="35"/>
      <w:bookmarkEnd w:id="36"/>
      <w:bookmarkEnd w:id="37"/>
      <w:bookmarkEnd w:id="38"/>
      <w:bookmarkEnd w:id="39"/>
      <w:bookmarkEnd w:id="40"/>
      <w:bookmarkEnd w:id="41"/>
    </w:p>
    <w:p w14:paraId="770B1EC4">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50" w:name="_Hlt16619475"/>
      <w:bookmarkEnd w:id="50"/>
      <w:bookmarkStart w:id="51" w:name="_Toc458694821"/>
      <w:bookmarkStart w:id="52" w:name="_Toc513029204"/>
      <w:bookmarkStart w:id="53" w:name="_Toc16938520"/>
      <w:bookmarkStart w:id="54" w:name="_Toc20823276"/>
      <w:r>
        <w:rPr>
          <w:rFonts w:hint="eastAsia" w:ascii="宋体" w:hAnsi="宋体" w:eastAsia="宋体" w:cs="宋体"/>
          <w:color w:val="auto"/>
          <w:sz w:val="24"/>
          <w:szCs w:val="24"/>
          <w:highlight w:val="none"/>
        </w:rPr>
        <w:t>1</w:t>
      </w:r>
      <w:bookmarkEnd w:id="51"/>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招标方式</w:t>
      </w:r>
      <w:bookmarkEnd w:id="52"/>
      <w:bookmarkEnd w:id="53"/>
      <w:bookmarkEnd w:id="54"/>
    </w:p>
    <w:p w14:paraId="312FE41A">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本次招标采取公开招标方式，本招标文件仅适用于招标公告中所述项目。</w:t>
      </w:r>
    </w:p>
    <w:p w14:paraId="0EFA9536">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55" w:name="_Toc16938521"/>
      <w:bookmarkStart w:id="56" w:name="_Toc513029205"/>
      <w:bookmarkStart w:id="57" w:name="_Toc20823277"/>
      <w:r>
        <w:rPr>
          <w:rFonts w:hint="eastAsia" w:ascii="宋体" w:hAnsi="宋体" w:eastAsia="宋体" w:cs="宋体"/>
          <w:color w:val="auto"/>
          <w:sz w:val="24"/>
          <w:szCs w:val="24"/>
          <w:highlight w:val="none"/>
        </w:rPr>
        <w:t>2、合格的投标人</w:t>
      </w:r>
      <w:bookmarkEnd w:id="55"/>
      <w:bookmarkEnd w:id="56"/>
      <w:bookmarkEnd w:id="57"/>
    </w:p>
    <w:p w14:paraId="0031E58D">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2.1满足招标公告中投标人的资格要求的规定。</w:t>
      </w:r>
    </w:p>
    <w:p w14:paraId="63A15C3E">
      <w:pPr>
        <w:pageBreakBefore w:val="0"/>
        <w:kinsoku/>
        <w:overflowPunct/>
        <w:autoSpaceDE/>
        <w:autoSpaceDN/>
        <w:bidi w:val="0"/>
        <w:adjustRightInd/>
        <w:spacing w:line="360" w:lineRule="auto"/>
        <w:ind w:firstLine="48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2.2 满足本文件实质性要求的规定</w:t>
      </w:r>
      <w:r>
        <w:rPr>
          <w:rFonts w:hint="eastAsia" w:ascii="宋体" w:hAnsi="宋体" w:eastAsia="宋体" w:cs="宋体"/>
          <w:b/>
          <w:color w:val="auto"/>
          <w:sz w:val="24"/>
          <w:szCs w:val="24"/>
          <w:highlight w:val="none"/>
        </w:rPr>
        <w:t>（本招标文件中斜体且有下划线部分为实质性要求）。</w:t>
      </w:r>
    </w:p>
    <w:p w14:paraId="2A1F924E">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58" w:name="_Toc513029206"/>
      <w:bookmarkStart w:id="59" w:name="_Toc16938522"/>
      <w:bookmarkStart w:id="60" w:name="_Toc20823278"/>
      <w:r>
        <w:rPr>
          <w:rFonts w:hint="eastAsia" w:ascii="宋体" w:hAnsi="宋体" w:eastAsia="宋体" w:cs="宋体"/>
          <w:color w:val="auto"/>
          <w:sz w:val="24"/>
          <w:szCs w:val="24"/>
          <w:highlight w:val="none"/>
        </w:rPr>
        <w:t>3、适用法律</w:t>
      </w:r>
      <w:bookmarkEnd w:id="58"/>
      <w:bookmarkEnd w:id="59"/>
      <w:bookmarkEnd w:id="60"/>
    </w:p>
    <w:p w14:paraId="215C83B0">
      <w:pPr>
        <w:pageBreakBefore w:val="0"/>
        <w:kinsoku/>
        <w:overflowPunct/>
        <w:autoSpaceDE/>
        <w:autoSpaceDN/>
        <w:bidi w:val="0"/>
        <w:adjustRightIn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395CE98">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61" w:name="_Toc513029207"/>
      <w:bookmarkStart w:id="62" w:name="_Toc462564067"/>
      <w:bookmarkStart w:id="63" w:name="_Toc20823279"/>
      <w:bookmarkStart w:id="64" w:name="_Toc16938523"/>
      <w:r>
        <w:rPr>
          <w:rFonts w:hint="eastAsia" w:ascii="宋体" w:hAnsi="宋体" w:eastAsia="宋体" w:cs="宋体"/>
          <w:color w:val="auto"/>
          <w:sz w:val="24"/>
          <w:szCs w:val="24"/>
          <w:highlight w:val="none"/>
        </w:rPr>
        <w:t>4、投标费用</w:t>
      </w:r>
      <w:bookmarkEnd w:id="61"/>
      <w:bookmarkEnd w:id="62"/>
      <w:bookmarkEnd w:id="63"/>
      <w:bookmarkEnd w:id="64"/>
    </w:p>
    <w:p w14:paraId="2C56ADFC">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4.1</w:t>
      </w:r>
      <w:r>
        <w:rPr>
          <w:rFonts w:hint="eastAsia" w:ascii="宋体" w:hAnsi="宋体" w:eastAsia="宋体" w:cs="宋体"/>
          <w:color w:val="auto"/>
          <w:sz w:val="24"/>
          <w:szCs w:val="24"/>
          <w:highlight w:val="none"/>
        </w:rPr>
        <w:t xml:space="preserve"> 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张家港市金浩源招投标代理有限公司</w:t>
      </w:r>
      <w:r>
        <w:rPr>
          <w:rFonts w:hint="eastAsia" w:ascii="宋体" w:hAnsi="宋体" w:eastAsia="宋体" w:cs="宋体"/>
          <w:color w:val="auto"/>
          <w:sz w:val="24"/>
          <w:szCs w:val="24"/>
          <w:highlight w:val="none"/>
        </w:rPr>
        <w:t>在任何情况下均无义务和责任承担这些费用。</w:t>
      </w:r>
    </w:p>
    <w:p w14:paraId="1D037817">
      <w:pPr>
        <w:pStyle w:val="36"/>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4.2 本次招标采购代理机构收取代理服务费。</w:t>
      </w:r>
    </w:p>
    <w:p w14:paraId="7B0B9192">
      <w:pPr>
        <w:pStyle w:val="36"/>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4.2.1 本项目采购代理服务费由中标（成交）供应商支付；</w:t>
      </w:r>
    </w:p>
    <w:p w14:paraId="4344DDFC">
      <w:pPr>
        <w:pStyle w:val="36"/>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4.2.2 代理费用收取方式：转账</w:t>
      </w:r>
    </w:p>
    <w:p w14:paraId="29CD870C">
      <w:pPr>
        <w:pStyle w:val="36"/>
        <w:pageBreakBefore w:val="0"/>
        <w:kinsoku/>
        <w:overflowPunct/>
        <w:autoSpaceDE/>
        <w:autoSpaceDN/>
        <w:bidi w:val="0"/>
        <w:adjustRightInd/>
        <w:spacing w:line="360" w:lineRule="auto"/>
        <w:ind w:firstLine="500"/>
        <w:textAlignment w:val="auto"/>
        <w:outlineLvl w:val="9"/>
        <w:rPr>
          <w:rFonts w:hint="eastAsia" w:ascii="宋体" w:hAnsi="宋体" w:eastAsia="宋体" w:cs="宋体"/>
          <w:color w:val="auto"/>
          <w:sz w:val="24"/>
          <w:szCs w:val="24"/>
          <w:highlight w:val="none"/>
        </w:rPr>
      </w:pPr>
      <w:r>
        <w:rPr>
          <w:rStyle w:val="16"/>
          <w:rFonts w:hint="eastAsia" w:ascii="宋体" w:hAnsi="宋体" w:eastAsia="宋体" w:cs="宋体"/>
          <w:b w:val="0"/>
          <w:color w:val="auto"/>
          <w:spacing w:val="7"/>
          <w:sz w:val="24"/>
          <w:szCs w:val="24"/>
          <w:highlight w:val="none"/>
        </w:rPr>
        <w:t>4.2.3 代理费用收取标准：</w:t>
      </w:r>
      <w:r>
        <w:rPr>
          <w:rStyle w:val="116"/>
          <w:rFonts w:hint="eastAsia" w:ascii="宋体" w:hAnsi="宋体" w:eastAsia="宋体" w:cs="宋体"/>
          <w:b w:val="0"/>
          <w:color w:val="auto"/>
          <w:spacing w:val="7"/>
          <w:sz w:val="24"/>
          <w:szCs w:val="24"/>
          <w:highlight w:val="none"/>
        </w:rPr>
        <w:t>由中标人按照预算金额的如下比例进行计算：即100万元内1.5%、100～500万元内1.1%、500～1000万元内0.8%、1000～5000万元内0.5%</w:t>
      </w:r>
      <w:r>
        <w:rPr>
          <w:rStyle w:val="116"/>
          <w:rFonts w:hint="eastAsia" w:ascii="宋体" w:hAnsi="宋体" w:eastAsia="宋体" w:cs="宋体"/>
          <w:b w:val="0"/>
          <w:color w:val="auto"/>
          <w:spacing w:val="7"/>
          <w:sz w:val="24"/>
          <w:szCs w:val="24"/>
          <w:highlight w:val="none"/>
          <w:lang w:eastAsia="zh-CN"/>
        </w:rPr>
        <w:t>，</w:t>
      </w:r>
      <w:r>
        <w:rPr>
          <w:rStyle w:val="116"/>
          <w:rFonts w:hint="eastAsia" w:ascii="宋体" w:hAnsi="宋体" w:eastAsia="宋体" w:cs="宋体"/>
          <w:b w:val="0"/>
          <w:color w:val="auto"/>
          <w:spacing w:val="7"/>
          <w:sz w:val="24"/>
          <w:szCs w:val="24"/>
          <w:highlight w:val="none"/>
        </w:rPr>
        <w:t>差额定率累进法计算并支付成交服务费，</w:t>
      </w:r>
      <w:r>
        <w:rPr>
          <w:rStyle w:val="116"/>
          <w:rFonts w:hint="eastAsia" w:ascii="宋体" w:hAnsi="宋体" w:eastAsia="宋体" w:cs="宋体"/>
          <w:b w:val="0"/>
          <w:color w:val="auto"/>
          <w:spacing w:val="7"/>
          <w:sz w:val="24"/>
          <w:szCs w:val="24"/>
          <w:highlight w:val="none"/>
          <w:lang w:val="en-US" w:eastAsia="zh-CN"/>
        </w:rPr>
        <w:t>即18630.00元，</w:t>
      </w:r>
      <w:r>
        <w:rPr>
          <w:rStyle w:val="116"/>
          <w:rFonts w:hint="eastAsia" w:ascii="宋体" w:hAnsi="宋体" w:eastAsia="宋体" w:cs="宋体"/>
          <w:b w:val="0"/>
          <w:color w:val="auto"/>
          <w:spacing w:val="7"/>
          <w:sz w:val="24"/>
          <w:szCs w:val="24"/>
          <w:highlight w:val="none"/>
        </w:rPr>
        <w:t>该费用由中标人在签订合同前向采购代理机构一次性付清。</w:t>
      </w:r>
    </w:p>
    <w:p w14:paraId="2E671657">
      <w:pPr>
        <w:keepNext/>
        <w:keepLines/>
        <w:pageBreakBefore w:val="0"/>
        <w:kinsoku/>
        <w:overflowPunct/>
        <w:autoSpaceDE/>
        <w:autoSpaceDN/>
        <w:bidi w:val="0"/>
        <w:adjustRightInd/>
        <w:snapToGrid w:val="0"/>
        <w:spacing w:line="360" w:lineRule="auto"/>
        <w:ind w:firstLine="480" w:firstLineChars="200"/>
        <w:textAlignment w:val="auto"/>
        <w:outlineLvl w:val="3"/>
        <w:rPr>
          <w:rFonts w:hint="eastAsia" w:ascii="宋体" w:hAnsi="宋体" w:eastAsia="宋体" w:cs="宋体"/>
          <w:color w:val="auto"/>
          <w:sz w:val="24"/>
          <w:szCs w:val="24"/>
          <w:highlight w:val="none"/>
        </w:rPr>
      </w:pPr>
      <w:bookmarkStart w:id="65" w:name="EB4bef91ec166246f78c716ddc8194a87a"/>
      <w:bookmarkEnd w:id="65"/>
      <w:r>
        <w:rPr>
          <w:rFonts w:hint="eastAsia" w:ascii="宋体" w:hAnsi="宋体" w:eastAsia="宋体" w:cs="宋体"/>
          <w:color w:val="auto"/>
          <w:sz w:val="24"/>
          <w:szCs w:val="24"/>
          <w:highlight w:val="none"/>
        </w:rPr>
        <w:t>5、招标文件的约束力</w:t>
      </w:r>
    </w:p>
    <w:p w14:paraId="0686A534">
      <w:pPr>
        <w:pageBreakBefore w:val="0"/>
        <w:kinsoku/>
        <w:overflowPunct/>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p>
    <w:p w14:paraId="33B28D4E">
      <w:pPr>
        <w:pStyle w:val="117"/>
        <w:pageBreakBefore w:val="0"/>
        <w:kinsoku/>
        <w:overflowPunct/>
        <w:autoSpaceDE/>
        <w:autoSpaceDN/>
        <w:bidi w:val="0"/>
        <w:adjustRightInd/>
        <w:spacing w:before="0" w:after="0" w:line="360" w:lineRule="auto"/>
        <w:jc w:val="left"/>
        <w:textAlignment w:val="auto"/>
        <w:rPr>
          <w:rStyle w:val="33"/>
          <w:rFonts w:hint="eastAsia" w:ascii="宋体" w:hAnsi="宋体" w:eastAsia="宋体" w:cs="宋体"/>
          <w:b w:val="0"/>
          <w:bCs w:val="0"/>
          <w:color w:val="auto"/>
          <w:sz w:val="24"/>
          <w:szCs w:val="24"/>
          <w:highlight w:val="none"/>
        </w:rPr>
      </w:pPr>
      <w:bookmarkStart w:id="66" w:name="_Toc35266021"/>
      <w:bookmarkStart w:id="67" w:name="_Toc38368121"/>
      <w:bookmarkStart w:id="68" w:name="_Toc12311"/>
      <w:bookmarkStart w:id="69" w:name="_Toc20823281"/>
      <w:bookmarkStart w:id="70" w:name="_Toc1941"/>
      <w:bookmarkStart w:id="71" w:name="_Toc54615240"/>
      <w:bookmarkStart w:id="72" w:name="_Toc16938525"/>
      <w:bookmarkStart w:id="73" w:name="_Toc120614215"/>
      <w:bookmarkStart w:id="74" w:name="_Toc513029209"/>
      <w:bookmarkStart w:id="75" w:name="_Toc2757"/>
      <w:r>
        <w:rPr>
          <w:rStyle w:val="33"/>
          <w:rFonts w:hint="eastAsia" w:ascii="宋体" w:hAnsi="宋体" w:eastAsia="宋体" w:cs="宋体"/>
          <w:b w:val="0"/>
          <w:bCs w:val="0"/>
          <w:color w:val="auto"/>
          <w:sz w:val="24"/>
          <w:szCs w:val="24"/>
          <w:highlight w:val="none"/>
        </w:rPr>
        <w:t>二、招标文件</w:t>
      </w:r>
      <w:bookmarkEnd w:id="66"/>
      <w:bookmarkEnd w:id="67"/>
      <w:bookmarkEnd w:id="68"/>
      <w:bookmarkEnd w:id="69"/>
      <w:bookmarkEnd w:id="70"/>
      <w:bookmarkEnd w:id="71"/>
      <w:bookmarkEnd w:id="72"/>
      <w:bookmarkEnd w:id="73"/>
      <w:bookmarkEnd w:id="74"/>
      <w:bookmarkEnd w:id="75"/>
    </w:p>
    <w:p w14:paraId="38619535">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76" w:name="_Toc20823282"/>
      <w:bookmarkStart w:id="77" w:name="_Toc513029210"/>
      <w:bookmarkStart w:id="78" w:name="_Toc16938526"/>
      <w:r>
        <w:rPr>
          <w:rFonts w:hint="eastAsia" w:ascii="宋体" w:hAnsi="宋体" w:eastAsia="宋体" w:cs="宋体"/>
          <w:color w:val="auto"/>
          <w:sz w:val="24"/>
          <w:szCs w:val="24"/>
          <w:highlight w:val="none"/>
        </w:rPr>
        <w:t>6、招标文件构成</w:t>
      </w:r>
      <w:bookmarkEnd w:id="76"/>
      <w:bookmarkEnd w:id="77"/>
      <w:bookmarkEnd w:id="78"/>
    </w:p>
    <w:p w14:paraId="163C88DE">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6.1</w:t>
      </w:r>
      <w:r>
        <w:rPr>
          <w:rFonts w:hint="eastAsia" w:ascii="宋体" w:hAnsi="宋体" w:eastAsia="宋体" w:cs="宋体"/>
          <w:color w:val="auto"/>
          <w:sz w:val="24"/>
          <w:szCs w:val="24"/>
          <w:highlight w:val="none"/>
        </w:rPr>
        <w:t xml:space="preserve"> 招标文件有以下部分组成：</w:t>
      </w:r>
    </w:p>
    <w:p w14:paraId="39336260">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14:paraId="7AEDDC61">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63BEE471">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（3）合同条款及格式</w:t>
      </w:r>
    </w:p>
    <w:p w14:paraId="0B3CF172">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（4）项目需求</w:t>
      </w:r>
    </w:p>
    <w:p w14:paraId="641BAE9F">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0F81EC4B">
      <w:pPr>
        <w:pageBreakBefore w:val="0"/>
        <w:kinsoku/>
        <w:overflowPunct/>
        <w:autoSpaceDE/>
        <w:autoSpaceDN/>
        <w:bidi w:val="0"/>
        <w:adjustRightInd/>
        <w:spacing w:line="360" w:lineRule="auto"/>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1B69F17F">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eastAsia="zh-CN"/>
        </w:rPr>
        <w:t>张家港市金浩源招投标代理有限公司</w:t>
      </w:r>
      <w:r>
        <w:rPr>
          <w:rFonts w:hint="eastAsia" w:ascii="宋体" w:hAnsi="宋体" w:eastAsia="宋体" w:cs="宋体"/>
          <w:color w:val="auto"/>
          <w:sz w:val="24"/>
          <w:szCs w:val="24"/>
          <w:highlight w:val="none"/>
        </w:rPr>
        <w:t>联系解决。</w:t>
      </w:r>
    </w:p>
    <w:p w14:paraId="6C6D5D3F">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743C3F2">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color w:val="auto"/>
          <w:sz w:val="24"/>
          <w:szCs w:val="24"/>
          <w:highlight w:val="none"/>
        </w:rPr>
      </w:pPr>
      <w:bookmarkStart w:id="79" w:name="_Toc20823283"/>
      <w:bookmarkStart w:id="80" w:name="_Toc16938527"/>
      <w:bookmarkStart w:id="81" w:name="_Toc513029211"/>
      <w:bookmarkStart w:id="82" w:name="_Toc462564070"/>
      <w:r>
        <w:rPr>
          <w:rFonts w:hint="eastAsia" w:ascii="宋体" w:hAnsi="宋体" w:eastAsia="宋体" w:cs="宋体"/>
          <w:color w:val="auto"/>
          <w:sz w:val="24"/>
          <w:szCs w:val="24"/>
          <w:highlight w:val="none"/>
        </w:rPr>
        <w:t>7、招标文件的</w:t>
      </w:r>
      <w:bookmarkEnd w:id="79"/>
      <w:bookmarkEnd w:id="80"/>
      <w:bookmarkEnd w:id="81"/>
      <w:bookmarkEnd w:id="82"/>
      <w:r>
        <w:rPr>
          <w:rFonts w:hint="eastAsia" w:ascii="宋体" w:hAnsi="宋体" w:eastAsia="宋体" w:cs="宋体"/>
          <w:color w:val="auto"/>
          <w:sz w:val="24"/>
          <w:szCs w:val="24"/>
          <w:highlight w:val="none"/>
        </w:rPr>
        <w:t>澄清或修改</w:t>
      </w:r>
    </w:p>
    <w:p w14:paraId="1F4F2AAA">
      <w:pPr>
        <w:keepNext/>
        <w:keepLines/>
        <w:pageBreakBefore w:val="0"/>
        <w:kinsoku/>
        <w:overflowPunct/>
        <w:autoSpaceDE/>
        <w:autoSpaceDN/>
        <w:bidi w:val="0"/>
        <w:adjustRightInd/>
        <w:spacing w:line="360" w:lineRule="auto"/>
        <w:ind w:firstLine="48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7.1在投标截止时间前</w:t>
      </w:r>
      <w:bookmarkStart w:id="83" w:name="EBeec936f32a574d52a4992a8b94773f89"/>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张家港市金浩源招投标代理有限公司</w:t>
      </w:r>
      <w:bookmarkEnd w:id="83"/>
      <w:r>
        <w:rPr>
          <w:rFonts w:hint="eastAsia" w:ascii="宋体" w:hAnsi="宋体" w:eastAsia="宋体" w:cs="宋体"/>
          <w:color w:val="auto"/>
          <w:sz w:val="24"/>
          <w:szCs w:val="24"/>
          <w:highlight w:val="none"/>
        </w:rPr>
        <w:t>可以对招标文件进行澄清或修改。</w:t>
      </w:r>
    </w:p>
    <w:p w14:paraId="668FA1C2">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bookmarkStart w:id="84" w:name="EB14f04c7329d342c2b5d53bfcbbeaa167"/>
      <w:r>
        <w:rPr>
          <w:rFonts w:hint="eastAsia" w:ascii="宋体" w:hAnsi="宋体" w:eastAsia="宋体" w:cs="宋体"/>
          <w:color w:val="auto"/>
          <w:sz w:val="24"/>
          <w:szCs w:val="24"/>
          <w:highlight w:val="none"/>
        </w:rPr>
        <w:t>张家港市金浩源招投标代理有限公司</w:t>
      </w:r>
      <w:bookmarkEnd w:id="84"/>
      <w:r>
        <w:rPr>
          <w:rFonts w:hint="eastAsia" w:ascii="宋体" w:hAnsi="宋体" w:eastAsia="宋体" w:cs="宋体"/>
          <w:color w:val="auto"/>
          <w:sz w:val="24"/>
          <w:szCs w:val="24"/>
          <w:highlight w:val="none"/>
        </w:rPr>
        <w:t>有权按照法定的要求推迟投标截止日期和开标日期。</w:t>
      </w:r>
    </w:p>
    <w:p w14:paraId="12D1B4C2">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7.3招标文件的变动或修改将在政府采购公告媒体网通知，投标人可自行下载。补充文件将作为招标文件的组成部分，并对投标人具有约束力。</w:t>
      </w:r>
    </w:p>
    <w:p w14:paraId="0151D723">
      <w:pPr>
        <w:pStyle w:val="117"/>
        <w:pageBreakBefore w:val="0"/>
        <w:kinsoku/>
        <w:overflowPunct/>
        <w:autoSpaceDE/>
        <w:autoSpaceDN/>
        <w:bidi w:val="0"/>
        <w:adjustRightInd/>
        <w:spacing w:before="0" w:after="0" w:line="360" w:lineRule="auto"/>
        <w:jc w:val="left"/>
        <w:textAlignment w:val="auto"/>
        <w:rPr>
          <w:rStyle w:val="33"/>
          <w:rFonts w:hint="eastAsia" w:ascii="宋体" w:hAnsi="宋体" w:eastAsia="宋体" w:cs="宋体"/>
          <w:b w:val="0"/>
          <w:bCs/>
          <w:color w:val="auto"/>
          <w:sz w:val="24"/>
          <w:szCs w:val="24"/>
          <w:highlight w:val="none"/>
        </w:rPr>
      </w:pPr>
      <w:bookmarkStart w:id="85" w:name="_Toc462564072"/>
      <w:bookmarkStart w:id="86" w:name="_Toc54615241"/>
      <w:bookmarkStart w:id="87" w:name="_Toc120614216"/>
      <w:bookmarkStart w:id="88" w:name="_Toc25648"/>
      <w:bookmarkStart w:id="89" w:name="_Toc20823285"/>
      <w:bookmarkStart w:id="90" w:name="_Toc17334"/>
      <w:bookmarkStart w:id="91" w:name="_Toc16938529"/>
      <w:bookmarkStart w:id="92" w:name="_Toc35266022"/>
      <w:bookmarkStart w:id="93" w:name="_Toc38368122"/>
      <w:bookmarkStart w:id="94" w:name="_Toc513029213"/>
      <w:bookmarkStart w:id="95" w:name="_Toc23739"/>
      <w:r>
        <w:rPr>
          <w:rStyle w:val="33"/>
          <w:rFonts w:hint="eastAsia" w:ascii="宋体" w:hAnsi="宋体" w:eastAsia="宋体" w:cs="宋体"/>
          <w:b w:val="0"/>
          <w:bCs/>
          <w:color w:val="auto"/>
          <w:sz w:val="24"/>
          <w:szCs w:val="24"/>
          <w:highlight w:val="none"/>
        </w:rPr>
        <w:t>三、投标文件的编制</w:t>
      </w:r>
      <w:bookmarkEnd w:id="85"/>
      <w:bookmarkEnd w:id="86"/>
      <w:bookmarkEnd w:id="87"/>
      <w:bookmarkEnd w:id="88"/>
      <w:bookmarkEnd w:id="89"/>
      <w:bookmarkEnd w:id="90"/>
      <w:bookmarkEnd w:id="91"/>
      <w:bookmarkEnd w:id="92"/>
      <w:bookmarkEnd w:id="93"/>
      <w:bookmarkEnd w:id="94"/>
      <w:bookmarkEnd w:id="95"/>
    </w:p>
    <w:p w14:paraId="3C0F215F">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
          <w:color w:val="auto"/>
          <w:sz w:val="24"/>
          <w:szCs w:val="24"/>
          <w:highlight w:val="none"/>
        </w:rPr>
      </w:pPr>
      <w:bookmarkStart w:id="96" w:name="_Toc513029214"/>
      <w:bookmarkStart w:id="97" w:name="_Toc20823286"/>
      <w:bookmarkStart w:id="98" w:name="_Toc462564073"/>
      <w:bookmarkStart w:id="99" w:name="_Toc16938530"/>
      <w:r>
        <w:rPr>
          <w:rFonts w:hint="eastAsia" w:ascii="宋体" w:hAnsi="宋体" w:eastAsia="宋体" w:cs="宋体"/>
          <w:color w:val="auto"/>
          <w:sz w:val="24"/>
          <w:szCs w:val="24"/>
          <w:highlight w:val="none"/>
        </w:rPr>
        <w:t>8、投标文件的语言及度量衡单位</w:t>
      </w:r>
      <w:bookmarkEnd w:id="96"/>
      <w:bookmarkEnd w:id="97"/>
      <w:bookmarkEnd w:id="98"/>
      <w:bookmarkEnd w:id="99"/>
    </w:p>
    <w:p w14:paraId="60E21853">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8.1</w:t>
      </w:r>
      <w:r>
        <w:rPr>
          <w:rFonts w:hint="eastAsia" w:ascii="宋体" w:hAnsi="宋体" w:eastAsia="宋体" w:cs="宋体"/>
          <w:color w:val="auto"/>
          <w:sz w:val="24"/>
          <w:szCs w:val="24"/>
          <w:highlight w:val="none"/>
        </w:rPr>
        <w:t xml:space="preserve"> 投标人提交的投标文件以及投标人与</w:t>
      </w:r>
      <w:bookmarkStart w:id="100" w:name="EB93850d2cac274df984aa2f93878c3cfe"/>
      <w:r>
        <w:rPr>
          <w:rFonts w:hint="eastAsia" w:ascii="宋体" w:hAnsi="宋体" w:eastAsia="宋体" w:cs="宋体"/>
          <w:color w:val="auto"/>
          <w:sz w:val="24"/>
          <w:szCs w:val="24"/>
          <w:highlight w:val="none"/>
        </w:rPr>
        <w:t>张家港市金浩源招投标代理有限公司</w:t>
      </w:r>
      <w:bookmarkEnd w:id="100"/>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7F7CA5F6">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8.2</w:t>
      </w:r>
      <w:r>
        <w:rPr>
          <w:rFonts w:hint="eastAsia" w:ascii="宋体" w:hAnsi="宋体" w:eastAsia="宋体" w:cs="宋体"/>
          <w:color w:val="auto"/>
          <w:sz w:val="24"/>
          <w:szCs w:val="24"/>
          <w:highlight w:val="none"/>
        </w:rPr>
        <w:t xml:space="preserve"> 除技术性能另有规定外，投标文件所使用的度量衡单位，均须采用国家法定计量单位。</w:t>
      </w:r>
    </w:p>
    <w:p w14:paraId="768E4646">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101" w:name="_Toc16938531"/>
      <w:bookmarkStart w:id="102" w:name="_Toc513029215"/>
      <w:bookmarkStart w:id="103" w:name="_Toc462564074"/>
      <w:bookmarkStart w:id="104" w:name="_Toc20823287"/>
      <w:r>
        <w:rPr>
          <w:rFonts w:hint="eastAsia" w:ascii="宋体" w:hAnsi="宋体" w:eastAsia="宋体" w:cs="宋体"/>
          <w:color w:val="auto"/>
          <w:sz w:val="24"/>
          <w:szCs w:val="24"/>
          <w:highlight w:val="none"/>
        </w:rPr>
        <w:t>9、投标文件构成</w:t>
      </w:r>
      <w:bookmarkEnd w:id="101"/>
      <w:bookmarkEnd w:id="102"/>
      <w:bookmarkEnd w:id="103"/>
      <w:bookmarkEnd w:id="104"/>
    </w:p>
    <w:p w14:paraId="0223E065">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9.1</w:t>
      </w:r>
      <w:r>
        <w:rPr>
          <w:rFonts w:hint="eastAsia" w:ascii="宋体" w:hAnsi="宋体" w:eastAsia="宋体" w:cs="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p>
    <w:p w14:paraId="4893690F">
      <w:pPr>
        <w:pageBreakBefore w:val="0"/>
        <w:kinsoku/>
        <w:overflowPunct/>
        <w:autoSpaceDE/>
        <w:autoSpaceDN/>
        <w:bidi w:val="0"/>
        <w:adjustRightInd/>
        <w:spacing w:line="360" w:lineRule="auto"/>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9.2 特别提醒：投标人必须在投标文件接收截止时间之前在系统中提交所有与开评标相关的资料。开评标现场不接收任何资料。</w:t>
      </w:r>
    </w:p>
    <w:p w14:paraId="58447E7C">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105" w:name="_Hlt26954838"/>
      <w:bookmarkEnd w:id="105"/>
      <w:bookmarkStart w:id="106" w:name="_Hlt26670360"/>
      <w:bookmarkEnd w:id="106"/>
      <w:bookmarkStart w:id="107" w:name="_Hlt26668975"/>
      <w:bookmarkEnd w:id="107"/>
      <w:bookmarkStart w:id="108" w:name="_Toc14577357"/>
      <w:bookmarkStart w:id="109" w:name="_Toc513029219"/>
      <w:bookmarkStart w:id="110" w:name="_Toc49090509"/>
      <w:bookmarkStart w:id="111" w:name="_Toc49090507"/>
      <w:bookmarkStart w:id="112" w:name="_Toc513029216"/>
      <w:bookmarkStart w:id="113" w:name="_Toc14577354"/>
      <w:r>
        <w:rPr>
          <w:rFonts w:hint="eastAsia" w:ascii="宋体" w:hAnsi="宋体" w:eastAsia="宋体" w:cs="宋体"/>
          <w:color w:val="auto"/>
          <w:sz w:val="24"/>
          <w:szCs w:val="24"/>
          <w:highlight w:val="none"/>
        </w:rPr>
        <w:t>10、投标函和开标一览表</w:t>
      </w:r>
    </w:p>
    <w:p w14:paraId="0786A513">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10.1</w:t>
      </w:r>
      <w:r>
        <w:rPr>
          <w:rFonts w:hint="eastAsia" w:ascii="宋体" w:hAnsi="宋体" w:eastAsia="宋体" w:cs="宋体"/>
          <w:color w:val="auto"/>
          <w:sz w:val="24"/>
          <w:szCs w:val="24"/>
          <w:highlight w:val="none"/>
        </w:rPr>
        <w:t xml:space="preserve"> 投标人应按照招标文件中提供的格式完整、正确填写投标函、开标一览表。</w:t>
      </w:r>
    </w:p>
    <w:p w14:paraId="1ECE9393">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10.2</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auto"/>
          <w:sz w:val="24"/>
          <w:szCs w:val="24"/>
          <w:highlight w:val="none"/>
        </w:rPr>
        <w:t>。</w:t>
      </w:r>
    </w:p>
    <w:p w14:paraId="0D3C7DD9">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11、投标人资格证明文件</w:t>
      </w:r>
      <w:bookmarkEnd w:id="108"/>
      <w:bookmarkEnd w:id="109"/>
      <w:bookmarkEnd w:id="110"/>
    </w:p>
    <w:p w14:paraId="22F8147D">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bookmarkStart w:id="114" w:name="_Hlt26668999"/>
      <w:bookmarkEnd w:id="114"/>
      <w:r>
        <w:rPr>
          <w:rFonts w:hint="eastAsia" w:ascii="宋体" w:hAnsi="宋体" w:eastAsia="宋体" w:cs="宋体"/>
          <w:color w:val="auto"/>
          <w:sz w:val="24"/>
          <w:szCs w:val="24"/>
          <w:highlight w:val="none"/>
        </w:rPr>
        <w:t>投标人应按招标文件的要求提交资格证明文件。</w:t>
      </w:r>
    </w:p>
    <w:bookmarkEnd w:id="111"/>
    <w:bookmarkEnd w:id="112"/>
    <w:bookmarkEnd w:id="113"/>
    <w:p w14:paraId="3CAA284E">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115" w:name="_Toc14577355"/>
      <w:bookmarkStart w:id="116" w:name="_Toc49090508"/>
      <w:r>
        <w:rPr>
          <w:rFonts w:hint="eastAsia" w:ascii="宋体" w:hAnsi="宋体" w:eastAsia="宋体" w:cs="宋体"/>
          <w:color w:val="auto"/>
          <w:sz w:val="24"/>
          <w:szCs w:val="24"/>
          <w:highlight w:val="none"/>
        </w:rPr>
        <w:t>12、</w:t>
      </w:r>
      <w:bookmarkEnd w:id="115"/>
      <w:bookmarkEnd w:id="116"/>
      <w:r>
        <w:rPr>
          <w:rFonts w:hint="eastAsia" w:ascii="宋体" w:hAnsi="宋体" w:eastAsia="宋体" w:cs="宋体"/>
          <w:color w:val="auto"/>
          <w:sz w:val="24"/>
          <w:szCs w:val="24"/>
          <w:highlight w:val="none"/>
        </w:rPr>
        <w:t>投标配置与分项报价表（或经费测算表）</w:t>
      </w:r>
    </w:p>
    <w:p w14:paraId="49037409">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12.1</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投标人应按照招标文件规定格式填报。每项货物和服务等只允许有一个报价 。</w:t>
      </w:r>
    </w:p>
    <w:p w14:paraId="00897EBD">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标的物</w:t>
      </w:r>
    </w:p>
    <w:p w14:paraId="5FD55C76">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12.2.1采购人需求的有关服务等。</w:t>
      </w:r>
    </w:p>
    <w:p w14:paraId="3B9D48A2">
      <w:pPr>
        <w:pStyle w:val="118"/>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1A7FF8F7">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12.3投标货币</w:t>
      </w:r>
    </w:p>
    <w:p w14:paraId="230D1027">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投标文件中的货物单价和总价无特殊规定的采用人民币报价，以元为</w:t>
      </w:r>
      <w:r>
        <w:rPr>
          <w:rFonts w:hint="eastAsia" w:ascii="宋体" w:hAnsi="宋体" w:eastAsia="宋体" w:cs="宋体"/>
          <w:bCs/>
          <w:color w:val="auto"/>
          <w:sz w:val="24"/>
          <w:szCs w:val="24"/>
          <w:highlight w:val="none"/>
        </w:rPr>
        <w:t>单位标注。招标文件中另有规定的按规定执行。</w:t>
      </w:r>
    </w:p>
    <w:p w14:paraId="7525F45C">
      <w:pPr>
        <w:pStyle w:val="44"/>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12.4 项目总价应包括但不限于人员费用（工资、福利、培训、社会保险等）、服务所用设备工具购置及维修费用、服务所用材料消耗费用、管理费用、利润、税金、政策性文件规定及合同包含的所有风险、责任等各项应有费用。</w:t>
      </w:r>
    </w:p>
    <w:p w14:paraId="38BAEC82">
      <w:pPr>
        <w:pStyle w:val="35"/>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bookmarkStart w:id="117" w:name="EB8486dd9157984dc9aa62437fb6aa6f0f"/>
      <w:bookmarkEnd w:id="117"/>
      <w:r>
        <w:rPr>
          <w:rFonts w:hint="eastAsia" w:ascii="宋体" w:hAnsi="宋体" w:eastAsia="宋体" w:cs="宋体"/>
          <w:bCs/>
          <w:color w:val="auto"/>
          <w:sz w:val="24"/>
          <w:szCs w:val="24"/>
          <w:highlight w:val="none"/>
        </w:rPr>
        <w:t>12.5 本报价必须充分考虑所有可能影响到报价的价格因素，一旦投标结束最终成交，如发生漏、缺、少项，都将被认为是中标人的报价让利行为。</w:t>
      </w:r>
      <w:bookmarkStart w:id="118" w:name="_Hlt26954731"/>
      <w:bookmarkEnd w:id="118"/>
      <w:bookmarkStart w:id="119" w:name="_Hlt26954846"/>
      <w:bookmarkEnd w:id="119"/>
      <w:bookmarkStart w:id="120" w:name="_Hlt26954848"/>
      <w:bookmarkEnd w:id="120"/>
      <w:bookmarkStart w:id="121" w:name="_Hlt26670482"/>
      <w:bookmarkEnd w:id="121"/>
      <w:bookmarkStart w:id="122" w:name="_Hlt26670486"/>
      <w:bookmarkEnd w:id="122"/>
    </w:p>
    <w:p w14:paraId="284738D0">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123" w:name="_Toc49090510"/>
      <w:bookmarkStart w:id="124" w:name="_Toc14577359"/>
      <w:r>
        <w:rPr>
          <w:rFonts w:hint="eastAsia" w:ascii="宋体" w:hAnsi="宋体" w:eastAsia="宋体" w:cs="宋体"/>
          <w:color w:val="auto"/>
          <w:sz w:val="24"/>
          <w:szCs w:val="24"/>
          <w:highlight w:val="none"/>
        </w:rPr>
        <w:t>13、技术及服务方案</w:t>
      </w:r>
    </w:p>
    <w:p w14:paraId="514EAD41">
      <w:pPr>
        <w:pStyle w:val="35"/>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13.1根据自己对需求的理解撰写需求分析和服务方案。</w:t>
      </w:r>
    </w:p>
    <w:p w14:paraId="5062B62B">
      <w:pPr>
        <w:pStyle w:val="35"/>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61964360">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14、投标人情况介绍</w:t>
      </w:r>
    </w:p>
    <w:p w14:paraId="165596C9">
      <w:pPr>
        <w:pStyle w:val="38"/>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14.1 投标人的总体情况应在电子投标文件中作出说明。</w:t>
      </w:r>
    </w:p>
    <w:bookmarkEnd w:id="123"/>
    <w:bookmarkEnd w:id="124"/>
    <w:p w14:paraId="4930C86C">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125" w:name="_Hlt26670489"/>
      <w:bookmarkEnd w:id="125"/>
      <w:bookmarkStart w:id="126" w:name="_Hlt26954850"/>
      <w:bookmarkEnd w:id="126"/>
      <w:bookmarkStart w:id="127" w:name="_Hlt26954734"/>
      <w:bookmarkEnd w:id="127"/>
      <w:bookmarkStart w:id="128" w:name="EBf6e5e332cb7245ab8f3a9801503c122b"/>
      <w:bookmarkEnd w:id="128"/>
      <w:bookmarkStart w:id="129" w:name="_Toc49090511"/>
      <w:bookmarkStart w:id="130" w:name="_Toc14577360"/>
      <w:r>
        <w:rPr>
          <w:rFonts w:hint="eastAsia" w:ascii="宋体" w:hAnsi="宋体" w:eastAsia="宋体" w:cs="宋体"/>
          <w:color w:val="auto"/>
          <w:sz w:val="24"/>
          <w:szCs w:val="24"/>
          <w:highlight w:val="none"/>
        </w:rPr>
        <w:t>15、投标保证金</w:t>
      </w:r>
    </w:p>
    <w:p w14:paraId="1A3D19EA">
      <w:pPr>
        <w:pStyle w:val="35"/>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15.1本次招标不收取投标保证金。</w:t>
      </w:r>
    </w:p>
    <w:p w14:paraId="0B44D8C9">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16、投标有效期</w:t>
      </w:r>
      <w:bookmarkEnd w:id="129"/>
      <w:bookmarkEnd w:id="130"/>
    </w:p>
    <w:p w14:paraId="0D26F2FF">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16.1</w:t>
      </w:r>
      <w:r>
        <w:rPr>
          <w:rFonts w:hint="eastAsia" w:ascii="宋体" w:hAnsi="宋体" w:eastAsia="宋体" w:cs="宋体"/>
          <w:bCs/>
          <w:color w:val="auto"/>
          <w:sz w:val="24"/>
          <w:szCs w:val="24"/>
          <w:highlight w:val="none"/>
        </w:rPr>
        <w:t xml:space="preserve"> 投标有效期为</w:t>
      </w:r>
      <w:bookmarkStart w:id="131" w:name="EB42bffacbc3774d8f9be92be41fabfc13"/>
      <w:r>
        <w:rPr>
          <w:rFonts w:hint="eastAsia" w:ascii="宋体" w:hAnsi="宋体" w:eastAsia="宋体" w:cs="宋体"/>
          <w:bCs/>
          <w:color w:val="auto"/>
          <w:sz w:val="24"/>
          <w:szCs w:val="24"/>
          <w:highlight w:val="none"/>
        </w:rPr>
        <w:t>张家港市金浩源招投标代理有限公司</w:t>
      </w:r>
      <w:bookmarkEnd w:id="131"/>
      <w:r>
        <w:rPr>
          <w:rFonts w:hint="eastAsia" w:ascii="宋体" w:hAnsi="宋体" w:eastAsia="宋体" w:cs="宋体"/>
          <w:bCs/>
          <w:color w:val="auto"/>
          <w:sz w:val="24"/>
          <w:szCs w:val="24"/>
          <w:highlight w:val="none"/>
        </w:rPr>
        <w:t>规定的开标之日后</w:t>
      </w:r>
      <w:r>
        <w:rPr>
          <w:rFonts w:hint="eastAsia" w:ascii="宋体" w:hAnsi="宋体" w:eastAsia="宋体" w:cs="宋体"/>
          <w:b/>
          <w:bCs/>
          <w:color w:val="auto"/>
          <w:sz w:val="24"/>
          <w:szCs w:val="24"/>
          <w:highlight w:val="none"/>
        </w:rPr>
        <w:t>九十（90）天</w:t>
      </w:r>
      <w:r>
        <w:rPr>
          <w:rFonts w:hint="eastAsia" w:ascii="宋体" w:hAnsi="宋体" w:eastAsia="宋体" w:cs="宋体"/>
          <w:bCs/>
          <w:color w:val="auto"/>
          <w:sz w:val="24"/>
          <w:szCs w:val="24"/>
          <w:highlight w:val="none"/>
        </w:rPr>
        <w:t>。投标有效期比规定短的将被视为非响应性投标而予以拒绝。</w:t>
      </w:r>
    </w:p>
    <w:p w14:paraId="630A788E">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16.2</w:t>
      </w:r>
      <w:r>
        <w:rPr>
          <w:rFonts w:hint="eastAsia" w:ascii="宋体" w:hAnsi="宋体" w:eastAsia="宋体" w:cs="宋体"/>
          <w:bCs/>
          <w:color w:val="auto"/>
          <w:sz w:val="24"/>
          <w:szCs w:val="24"/>
          <w:highlight w:val="none"/>
        </w:rPr>
        <w:t xml:space="preserve"> 在特殊情况下，</w:t>
      </w:r>
      <w:bookmarkStart w:id="132" w:name="EB1a73f2f6d8ff43b6a705c8d1929594b0"/>
      <w:r>
        <w:rPr>
          <w:rFonts w:hint="eastAsia" w:ascii="宋体" w:hAnsi="宋体" w:eastAsia="宋体" w:cs="宋体"/>
          <w:bCs/>
          <w:color w:val="auto"/>
          <w:sz w:val="24"/>
          <w:szCs w:val="24"/>
          <w:highlight w:val="none"/>
        </w:rPr>
        <w:t>张家港市金浩源招投标代理有限公司</w:t>
      </w:r>
      <w:bookmarkEnd w:id="132"/>
      <w:r>
        <w:rPr>
          <w:rFonts w:hint="eastAsia" w:ascii="宋体" w:hAnsi="宋体" w:eastAsia="宋体" w:cs="宋体"/>
          <w:bCs/>
          <w:color w:val="auto"/>
          <w:sz w:val="24"/>
          <w:szCs w:val="24"/>
          <w:highlight w:val="none"/>
        </w:rPr>
        <w:t>于原投标有效期满之前，可向投标人提出延长投标有效期的要求。这种要求与答复均应采用书面形式。投标人可以拒绝</w:t>
      </w:r>
      <w:bookmarkStart w:id="133" w:name="EBcd0282bdfe9441e3bba982eac64d1aaa"/>
      <w:r>
        <w:rPr>
          <w:rFonts w:hint="eastAsia" w:ascii="宋体" w:hAnsi="宋体" w:eastAsia="宋体" w:cs="宋体"/>
          <w:bCs/>
          <w:color w:val="auto"/>
          <w:sz w:val="24"/>
          <w:szCs w:val="24"/>
          <w:highlight w:val="none"/>
        </w:rPr>
        <w:t>张家港市金浩源招投标代理有限公司</w:t>
      </w:r>
      <w:bookmarkEnd w:id="133"/>
      <w:r>
        <w:rPr>
          <w:rFonts w:hint="eastAsia" w:ascii="宋体" w:hAnsi="宋体" w:eastAsia="宋体" w:cs="宋体"/>
          <w:bCs/>
          <w:color w:val="auto"/>
          <w:sz w:val="24"/>
          <w:szCs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同意延长投标有效期的投标人既不能要求也不允许修改其投标文件。</w:t>
      </w:r>
    </w:p>
    <w:p w14:paraId="53D22D69">
      <w:pPr>
        <w:pStyle w:val="39"/>
        <w:pageBreakBefore w:val="0"/>
        <w:kinsoku/>
        <w:overflowPunct/>
        <w:autoSpaceDE/>
        <w:autoSpaceDN/>
        <w:bidi w:val="0"/>
        <w:adjustRightInd/>
        <w:spacing w:line="360" w:lineRule="auto"/>
        <w:ind w:firstLine="500"/>
        <w:textAlignment w:val="auto"/>
        <w:outlineLvl w:val="3"/>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17、投标文件的签署</w:t>
      </w:r>
    </w:p>
    <w:p w14:paraId="056ED9D6">
      <w:pPr>
        <w:pStyle w:val="39"/>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17.1 本招标文件所表述（指定）的公章是指法定名称章，不包括合同专用章、业务专用章等印章。</w:t>
      </w:r>
    </w:p>
    <w:p w14:paraId="3061ED68">
      <w:pPr>
        <w:pStyle w:val="117"/>
        <w:pageBreakBefore w:val="0"/>
        <w:kinsoku/>
        <w:overflowPunct/>
        <w:autoSpaceDE/>
        <w:autoSpaceDN/>
        <w:bidi w:val="0"/>
        <w:adjustRightInd/>
        <w:spacing w:before="0" w:after="0" w:line="360" w:lineRule="auto"/>
        <w:jc w:val="left"/>
        <w:textAlignment w:val="auto"/>
        <w:rPr>
          <w:rFonts w:hint="eastAsia" w:ascii="宋体" w:hAnsi="宋体" w:eastAsia="宋体" w:cs="宋体"/>
          <w:bCs w:val="0"/>
          <w:color w:val="auto"/>
          <w:sz w:val="24"/>
          <w:szCs w:val="24"/>
          <w:highlight w:val="none"/>
        </w:rPr>
      </w:pPr>
      <w:bookmarkStart w:id="134" w:name="_Hlt26954852"/>
      <w:bookmarkEnd w:id="134"/>
      <w:bookmarkStart w:id="135" w:name="_Hlt26954739"/>
      <w:bookmarkEnd w:id="135"/>
      <w:bookmarkStart w:id="136" w:name="EBfdb2e00cf1ee477a9cdb47d13b603829"/>
      <w:bookmarkEnd w:id="136"/>
      <w:bookmarkStart w:id="137" w:name="_Toc7334"/>
      <w:bookmarkStart w:id="138" w:name="_Toc6389296"/>
      <w:bookmarkStart w:id="139" w:name="_Toc17370"/>
      <w:bookmarkStart w:id="140" w:name="_Toc54615242"/>
      <w:bookmarkStart w:id="141" w:name="_Toc38368123"/>
      <w:bookmarkStart w:id="142" w:name="_Toc6388848"/>
      <w:bookmarkStart w:id="143" w:name="_Toc8946"/>
      <w:bookmarkStart w:id="144" w:name="_Toc35266023"/>
      <w:bookmarkStart w:id="145" w:name="_Toc120614217"/>
      <w:bookmarkStart w:id="146" w:name="_Toc16938540"/>
      <w:bookmarkStart w:id="147" w:name="_Toc20823296"/>
      <w:bookmarkStart w:id="148" w:name="_Toc513029224"/>
      <w:r>
        <w:rPr>
          <w:rStyle w:val="33"/>
          <w:rFonts w:hint="eastAsia" w:ascii="宋体" w:hAnsi="宋体" w:eastAsia="宋体" w:cs="宋体"/>
          <w:b w:val="0"/>
          <w:bCs w:val="0"/>
          <w:color w:val="auto"/>
          <w:sz w:val="24"/>
          <w:szCs w:val="24"/>
          <w:highlight w:val="none"/>
        </w:rPr>
        <w:t>四、投标文件的制作、上传、递交</w:t>
      </w:r>
      <w:bookmarkEnd w:id="137"/>
      <w:bookmarkEnd w:id="138"/>
      <w:bookmarkEnd w:id="139"/>
      <w:bookmarkEnd w:id="140"/>
      <w:bookmarkEnd w:id="141"/>
      <w:bookmarkEnd w:id="142"/>
      <w:bookmarkEnd w:id="143"/>
      <w:bookmarkEnd w:id="144"/>
    </w:p>
    <w:p w14:paraId="6A402AD3">
      <w:pPr>
        <w:pStyle w:val="40"/>
        <w:pageBreakBefore w:val="0"/>
        <w:kinsoku/>
        <w:overflowPunct/>
        <w:autoSpaceDE/>
        <w:autoSpaceDN/>
        <w:bidi w:val="0"/>
        <w:adjustRightInd/>
        <w:spacing w:line="360" w:lineRule="auto"/>
        <w:ind w:firstLine="500"/>
        <w:textAlignment w:val="auto"/>
        <w:outlineLvl w:val="3"/>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18、投标文件的递交</w:t>
      </w:r>
    </w:p>
    <w:p w14:paraId="092030FF">
      <w:pPr>
        <w:pStyle w:val="40"/>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18.1 电子投标文件的递交</w:t>
      </w:r>
    </w:p>
    <w:p w14:paraId="77357EB1">
      <w:pPr>
        <w:pStyle w:val="38"/>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bookmarkStart w:id="149" w:name="EB5e78b12e89984a20ab881c475623475b"/>
      <w:bookmarkEnd w:id="149"/>
      <w:bookmarkStart w:id="150" w:name="_Toc6389298"/>
      <w:bookmarkStart w:id="151" w:name="_Toc6388850"/>
      <w:r>
        <w:rPr>
          <w:rStyle w:val="120"/>
          <w:rFonts w:hint="eastAsia" w:ascii="宋体" w:hAnsi="宋体" w:eastAsia="宋体" w:cs="宋体"/>
          <w:color w:val="auto"/>
          <w:spacing w:val="7"/>
          <w:sz w:val="24"/>
          <w:szCs w:val="24"/>
          <w:highlight w:val="none"/>
        </w:rPr>
        <w:t>投标人应当按照《苏采云系统供应商操作手册》规定，在投标截止时间前制作并上传电子投标文件。</w:t>
      </w:r>
    </w:p>
    <w:p w14:paraId="0381303F">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19、投标截止日期</w:t>
      </w:r>
      <w:bookmarkEnd w:id="150"/>
      <w:bookmarkEnd w:id="151"/>
    </w:p>
    <w:p w14:paraId="68F32EAC">
      <w:pPr>
        <w:pStyle w:val="3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bookmarkStart w:id="152" w:name="EB4c6421107b4c4e38bf2769d0237905a7"/>
      <w:bookmarkEnd w:id="152"/>
      <w:bookmarkStart w:id="153" w:name="_Toc6389299"/>
      <w:bookmarkStart w:id="154" w:name="_Toc6388851"/>
      <w:r>
        <w:rPr>
          <w:rStyle w:val="120"/>
          <w:rFonts w:hint="eastAsia" w:ascii="宋体" w:hAnsi="宋体" w:eastAsia="宋体" w:cs="宋体"/>
          <w:color w:val="auto"/>
          <w:spacing w:val="7"/>
          <w:sz w:val="24"/>
          <w:szCs w:val="24"/>
          <w:highlight w:val="none"/>
        </w:rPr>
        <w:t>19.1 投标人上传电子投标文件的时间不得迟于招标公告中规定的投标截止时间。</w:t>
      </w:r>
    </w:p>
    <w:p w14:paraId="2DA4D17C">
      <w:pPr>
        <w:pStyle w:val="3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投标人应充分考虑到网络环境、网络带宽等风险因素，如因投标人自身原因造成的电子投标文件上传不成功由投标人自行承担全部责任。</w:t>
      </w:r>
    </w:p>
    <w:p w14:paraId="52AA137A">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bookmarkEnd w:id="153"/>
      <w:bookmarkEnd w:id="154"/>
      <w:r>
        <w:rPr>
          <w:rFonts w:hint="eastAsia" w:ascii="宋体" w:hAnsi="宋体" w:eastAsia="宋体" w:cs="宋体"/>
          <w:color w:val="auto"/>
          <w:sz w:val="24"/>
          <w:szCs w:val="24"/>
          <w:highlight w:val="none"/>
        </w:rPr>
        <w:t>迟交的投标文件</w:t>
      </w:r>
    </w:p>
    <w:p w14:paraId="79379575">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w:t>
      </w:r>
      <w:bookmarkStart w:id="155" w:name="EBfffe463a2deb4e7cad93cb8e37ffda5e"/>
      <w:r>
        <w:rPr>
          <w:rFonts w:hint="eastAsia" w:ascii="宋体" w:hAnsi="宋体" w:eastAsia="宋体" w:cs="宋体"/>
          <w:color w:val="auto"/>
          <w:sz w:val="24"/>
          <w:szCs w:val="24"/>
          <w:highlight w:val="none"/>
        </w:rPr>
        <w:t>张家港市金浩源招投标代理有限公司</w:t>
      </w:r>
      <w:bookmarkEnd w:id="155"/>
      <w:r>
        <w:rPr>
          <w:rFonts w:hint="eastAsia" w:ascii="宋体" w:hAnsi="宋体" w:eastAsia="宋体" w:cs="宋体"/>
          <w:color w:val="auto"/>
          <w:sz w:val="24"/>
          <w:szCs w:val="24"/>
          <w:highlight w:val="none"/>
        </w:rPr>
        <w:t>拒绝接收在其规定的投标截止时间后递交的任何投标文件。</w:t>
      </w:r>
    </w:p>
    <w:p w14:paraId="245B8227">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156" w:name="_Toc6389300"/>
      <w:bookmarkStart w:id="157" w:name="_Toc6388852"/>
      <w:r>
        <w:rPr>
          <w:rFonts w:hint="eastAsia" w:ascii="宋体" w:hAnsi="宋体" w:eastAsia="宋体" w:cs="宋体"/>
          <w:color w:val="auto"/>
          <w:sz w:val="24"/>
          <w:szCs w:val="24"/>
          <w:highlight w:val="none"/>
        </w:rPr>
        <w:t>21、投标文件的修改和撤回</w:t>
      </w:r>
      <w:bookmarkEnd w:id="156"/>
      <w:bookmarkEnd w:id="157"/>
    </w:p>
    <w:p w14:paraId="44197AC6">
      <w:pPr>
        <w:pStyle w:val="39"/>
        <w:pageBreakBefore w:val="0"/>
        <w:kinsoku/>
        <w:overflowPunct/>
        <w:autoSpaceDE/>
        <w:autoSpaceDN/>
        <w:bidi w:val="0"/>
        <w:adjustRightInd/>
        <w:spacing w:line="360" w:lineRule="auto"/>
        <w:ind w:firstLine="508"/>
        <w:textAlignment w:val="auto"/>
        <w:rPr>
          <w:rStyle w:val="120"/>
          <w:rFonts w:hint="eastAsia" w:ascii="宋体" w:hAnsi="宋体" w:eastAsia="宋体" w:cs="宋体"/>
          <w:color w:val="auto"/>
          <w:spacing w:val="7"/>
          <w:sz w:val="24"/>
          <w:szCs w:val="24"/>
          <w:highlight w:val="none"/>
        </w:rPr>
      </w:pPr>
      <w:r>
        <w:rPr>
          <w:rStyle w:val="116"/>
          <w:rFonts w:hint="eastAsia" w:ascii="宋体" w:hAnsi="宋体" w:eastAsia="宋体" w:cs="宋体"/>
          <w:b w:val="0"/>
          <w:color w:val="auto"/>
          <w:spacing w:val="7"/>
          <w:sz w:val="24"/>
          <w:szCs w:val="24"/>
          <w:highlight w:val="none"/>
        </w:rPr>
        <w:t>21.1 投标人在递交投标文件后，可以修改或撤回其投标文件，但这种修改和撤回，必须在规定的投标截止时间前，</w:t>
      </w:r>
      <w:r>
        <w:rPr>
          <w:rStyle w:val="120"/>
          <w:rFonts w:hint="eastAsia" w:ascii="宋体" w:hAnsi="宋体" w:eastAsia="宋体" w:cs="宋体"/>
          <w:color w:val="auto"/>
          <w:spacing w:val="7"/>
          <w:sz w:val="24"/>
          <w:szCs w:val="24"/>
          <w:highlight w:val="none"/>
        </w:rPr>
        <w:t>具体操作方法见《苏采云系统供应商操作手册》。</w:t>
      </w:r>
    </w:p>
    <w:p w14:paraId="79FFC5F8">
      <w:pPr>
        <w:pStyle w:val="42"/>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21.2 投标人撤回电子投标文件，则认为其不再参与本项目投标活动。</w:t>
      </w:r>
    </w:p>
    <w:p w14:paraId="623D9347">
      <w:pPr>
        <w:pStyle w:val="42"/>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21.3 在投标截止时间之后，投标人不得对其电子投标文件作任何修改。</w:t>
      </w:r>
    </w:p>
    <w:p w14:paraId="126A0D2C">
      <w:pPr>
        <w:pStyle w:val="42"/>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21.4 在投标截止时间至招标文件中规定的投标有效期满之间的这段时间内，投标人不得撤销其投标。</w:t>
      </w:r>
    </w:p>
    <w:p w14:paraId="60D3C24B">
      <w:pPr>
        <w:pStyle w:val="42"/>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21.5 不论投标人中标与否，投标文件均不退回。</w:t>
      </w:r>
    </w:p>
    <w:bookmarkEnd w:id="145"/>
    <w:bookmarkEnd w:id="146"/>
    <w:bookmarkEnd w:id="147"/>
    <w:bookmarkEnd w:id="148"/>
    <w:p w14:paraId="2856535D">
      <w:pPr>
        <w:pStyle w:val="117"/>
        <w:pageBreakBefore w:val="0"/>
        <w:kinsoku/>
        <w:overflowPunct/>
        <w:autoSpaceDE/>
        <w:autoSpaceDN/>
        <w:bidi w:val="0"/>
        <w:adjustRightInd/>
        <w:spacing w:before="0" w:after="0" w:line="360" w:lineRule="auto"/>
        <w:jc w:val="left"/>
        <w:textAlignment w:val="auto"/>
        <w:rPr>
          <w:rFonts w:hint="eastAsia" w:ascii="宋体" w:hAnsi="宋体" w:eastAsia="宋体" w:cs="宋体"/>
          <w:color w:val="auto"/>
          <w:sz w:val="24"/>
          <w:szCs w:val="24"/>
          <w:highlight w:val="none"/>
        </w:rPr>
      </w:pPr>
      <w:bookmarkStart w:id="158" w:name="EB7c302f080cf342679641097daf23b42b"/>
      <w:bookmarkEnd w:id="158"/>
      <w:bookmarkStart w:id="159" w:name="_Toc26079"/>
      <w:bookmarkStart w:id="160" w:name="_Toc54615243"/>
      <w:bookmarkStart w:id="161" w:name="_Toc120614218"/>
      <w:bookmarkStart w:id="162" w:name="_Toc38368124"/>
      <w:bookmarkStart w:id="163" w:name="_Toc29985"/>
      <w:bookmarkStart w:id="164" w:name="_Toc20823301"/>
      <w:bookmarkStart w:id="165" w:name="_Toc513029229"/>
      <w:bookmarkStart w:id="166" w:name="_Toc16938545"/>
      <w:bookmarkStart w:id="167" w:name="_Toc35266024"/>
      <w:bookmarkStart w:id="168" w:name="_Toc14831"/>
      <w:r>
        <w:rPr>
          <w:rStyle w:val="33"/>
          <w:rFonts w:hint="eastAsia" w:ascii="宋体" w:hAnsi="宋体" w:eastAsia="宋体" w:cs="宋体"/>
          <w:b w:val="0"/>
          <w:bCs w:val="0"/>
          <w:color w:val="auto"/>
          <w:sz w:val="24"/>
          <w:szCs w:val="24"/>
          <w:highlight w:val="none"/>
        </w:rPr>
        <w:t>五、开标与评标</w:t>
      </w:r>
      <w:bookmarkEnd w:id="159"/>
      <w:bookmarkEnd w:id="160"/>
      <w:bookmarkEnd w:id="161"/>
      <w:bookmarkEnd w:id="162"/>
      <w:bookmarkEnd w:id="163"/>
      <w:bookmarkEnd w:id="164"/>
      <w:bookmarkEnd w:id="165"/>
      <w:bookmarkEnd w:id="166"/>
      <w:bookmarkEnd w:id="167"/>
      <w:bookmarkEnd w:id="168"/>
    </w:p>
    <w:p w14:paraId="1EBF06F9">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169" w:name="_Toc20823302"/>
      <w:bookmarkStart w:id="170" w:name="_Toc16938546"/>
      <w:bookmarkStart w:id="171" w:name="_Toc513029230"/>
      <w:r>
        <w:rPr>
          <w:rFonts w:hint="eastAsia" w:ascii="宋体" w:hAnsi="宋体" w:eastAsia="宋体" w:cs="宋体"/>
          <w:color w:val="auto"/>
          <w:sz w:val="24"/>
          <w:szCs w:val="24"/>
          <w:highlight w:val="none"/>
        </w:rPr>
        <w:t>22、开标</w:t>
      </w:r>
      <w:bookmarkEnd w:id="169"/>
      <w:bookmarkEnd w:id="170"/>
      <w:bookmarkEnd w:id="171"/>
    </w:p>
    <w:p w14:paraId="5A229EDA">
      <w:pPr>
        <w:pStyle w:val="41"/>
        <w:pageBreakBefore w:val="0"/>
        <w:kinsoku/>
        <w:overflowPunct/>
        <w:autoSpaceDE/>
        <w:autoSpaceDN/>
        <w:bidi w:val="0"/>
        <w:adjustRightInd/>
        <w:spacing w:line="360" w:lineRule="auto"/>
        <w:ind w:firstLine="500"/>
        <w:textAlignment w:val="auto"/>
        <w:rPr>
          <w:rFonts w:hint="eastAsia" w:ascii="宋体" w:hAnsi="宋体" w:eastAsia="宋体" w:cs="宋体"/>
          <w:color w:val="auto"/>
          <w:spacing w:val="7"/>
          <w:sz w:val="24"/>
          <w:szCs w:val="24"/>
          <w:highlight w:val="none"/>
        </w:rPr>
      </w:pPr>
      <w:r>
        <w:rPr>
          <w:rStyle w:val="116"/>
          <w:rFonts w:hint="eastAsia" w:ascii="宋体" w:hAnsi="宋体" w:eastAsia="宋体" w:cs="宋体"/>
          <w:b w:val="0"/>
          <w:color w:val="auto"/>
          <w:spacing w:val="7"/>
          <w:sz w:val="24"/>
          <w:szCs w:val="24"/>
          <w:highlight w:val="none"/>
        </w:rPr>
        <w:t>2</w:t>
      </w:r>
      <w:r>
        <w:rPr>
          <w:rStyle w:val="116"/>
          <w:rFonts w:hint="eastAsia" w:ascii="宋体" w:hAnsi="宋体" w:eastAsia="宋体" w:cs="宋体"/>
          <w:b w:val="0"/>
          <w:color w:val="auto"/>
          <w:spacing w:val="7"/>
          <w:sz w:val="24"/>
          <w:szCs w:val="24"/>
          <w:highlight w:val="none"/>
          <w:lang w:val="en-US" w:eastAsia="zh-CN"/>
        </w:rPr>
        <w:t>2</w:t>
      </w:r>
      <w:r>
        <w:rPr>
          <w:rStyle w:val="116"/>
          <w:rFonts w:hint="eastAsia" w:ascii="宋体" w:hAnsi="宋体" w:eastAsia="宋体" w:cs="宋体"/>
          <w:b w:val="0"/>
          <w:color w:val="auto"/>
          <w:spacing w:val="7"/>
          <w:sz w:val="24"/>
          <w:szCs w:val="24"/>
          <w:highlight w:val="none"/>
        </w:rPr>
        <w:t>.1</w:t>
      </w:r>
      <w:r>
        <w:rPr>
          <w:rFonts w:hint="eastAsia" w:ascii="宋体" w:hAnsi="宋体" w:eastAsia="宋体" w:cs="宋体"/>
          <w:color w:val="auto"/>
          <w:spacing w:val="7"/>
          <w:sz w:val="24"/>
          <w:szCs w:val="24"/>
          <w:highlight w:val="none"/>
        </w:rPr>
        <w:t>开标由采购代理机构在线主持，邀请投标人在线参加。投标人应当按照《苏采云系统供应商操作手册》规定，参加开标活动和在“苏采云”系统规定的时间内对投标文件进行解密。评标委员会成员不得参加开标活动。</w:t>
      </w:r>
    </w:p>
    <w:p w14:paraId="69E5C948">
      <w:pPr>
        <w:pStyle w:val="43"/>
        <w:keepNext w:val="0"/>
        <w:keepLines w:val="0"/>
        <w:pageBreakBefore w:val="0"/>
        <w:kinsoku/>
        <w:overflowPunct/>
        <w:autoSpaceDE/>
        <w:autoSpaceDN/>
        <w:bidi w:val="0"/>
        <w:adjustRightInd/>
        <w:spacing w:line="360" w:lineRule="auto"/>
        <w:ind w:firstLine="500"/>
        <w:textAlignment w:val="auto"/>
        <w:outlineLvl w:val="9"/>
        <w:rPr>
          <w:rStyle w:val="116"/>
          <w:rFonts w:hint="eastAsia" w:ascii="宋体" w:hAnsi="宋体" w:eastAsia="宋体" w:cs="宋体"/>
          <w:b w:val="0"/>
          <w:color w:val="auto"/>
          <w:spacing w:val="7"/>
          <w:sz w:val="24"/>
          <w:szCs w:val="24"/>
          <w:highlight w:val="none"/>
        </w:rPr>
      </w:pPr>
      <w:r>
        <w:rPr>
          <w:rStyle w:val="116"/>
          <w:rFonts w:hint="eastAsia" w:ascii="宋体" w:hAnsi="宋体" w:eastAsia="宋体" w:cs="宋体"/>
          <w:b w:val="0"/>
          <w:color w:val="auto"/>
          <w:spacing w:val="7"/>
          <w:sz w:val="24"/>
          <w:szCs w:val="24"/>
          <w:highlight w:val="none"/>
        </w:rPr>
        <w:t>2</w:t>
      </w:r>
      <w:r>
        <w:rPr>
          <w:rStyle w:val="116"/>
          <w:rFonts w:hint="eastAsia" w:ascii="宋体" w:hAnsi="宋体" w:eastAsia="宋体" w:cs="宋体"/>
          <w:b w:val="0"/>
          <w:color w:val="auto"/>
          <w:spacing w:val="7"/>
          <w:sz w:val="24"/>
          <w:szCs w:val="24"/>
          <w:highlight w:val="none"/>
          <w:lang w:val="en-US" w:eastAsia="zh-CN"/>
        </w:rPr>
        <w:t>2</w:t>
      </w:r>
      <w:r>
        <w:rPr>
          <w:rStyle w:val="116"/>
          <w:rFonts w:hint="eastAsia" w:ascii="宋体" w:hAnsi="宋体" w:eastAsia="宋体" w:cs="宋体"/>
          <w:b w:val="0"/>
          <w:color w:val="auto"/>
          <w:spacing w:val="7"/>
          <w:sz w:val="24"/>
          <w:szCs w:val="24"/>
          <w:highlight w:val="none"/>
        </w:rPr>
        <w:t>.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13A56534">
      <w:pPr>
        <w:pageBreakBefore w:val="0"/>
        <w:kinsoku/>
        <w:overflowPunct/>
        <w:autoSpaceDE/>
        <w:autoSpaceDN/>
        <w:bidi w:val="0"/>
        <w:adjustRightInd/>
        <w:spacing w:line="360" w:lineRule="auto"/>
        <w:ind w:firstLine="560"/>
        <w:textAlignment w:val="auto"/>
        <w:rPr>
          <w:rFonts w:hint="eastAsia" w:ascii="宋体" w:hAnsi="宋体" w:eastAsia="宋体" w:cs="宋体"/>
          <w:color w:val="auto"/>
          <w:sz w:val="24"/>
          <w:szCs w:val="24"/>
          <w:highlight w:val="none"/>
        </w:rPr>
      </w:pPr>
      <w:bookmarkStart w:id="172" w:name="_Toc513029231"/>
      <w:bookmarkStart w:id="173" w:name="_Toc16938547"/>
      <w:bookmarkStart w:id="174" w:name="_Toc20823303"/>
      <w:r>
        <w:rPr>
          <w:rFonts w:hint="eastAsia" w:ascii="宋体" w:hAnsi="宋体" w:eastAsia="宋体" w:cs="宋体"/>
          <w:color w:val="auto"/>
          <w:sz w:val="24"/>
          <w:szCs w:val="24"/>
          <w:highlight w:val="none"/>
        </w:rPr>
        <w:t>23、评标委员会</w:t>
      </w:r>
    </w:p>
    <w:p w14:paraId="561DFA0D">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开标后，</w:t>
      </w:r>
      <w:r>
        <w:rPr>
          <w:rFonts w:hint="eastAsia" w:ascii="宋体" w:hAnsi="宋体" w:eastAsia="宋体" w:cs="宋体"/>
          <w:color w:val="auto"/>
          <w:sz w:val="24"/>
          <w:szCs w:val="24"/>
          <w:highlight w:val="none"/>
          <w:lang w:eastAsia="zh-CN"/>
        </w:rPr>
        <w:t>张家港市金浩源招投标代理有限公司</w:t>
      </w:r>
      <w:r>
        <w:rPr>
          <w:rFonts w:hint="eastAsia" w:ascii="宋体" w:hAnsi="宋体" w:eastAsia="宋体" w:cs="宋体"/>
          <w:color w:val="auto"/>
          <w:sz w:val="24"/>
          <w:szCs w:val="24"/>
          <w:highlight w:val="none"/>
        </w:rPr>
        <w:t>将立即组织评标委员会（以下简称评委会）进行评标。</w:t>
      </w:r>
    </w:p>
    <w:p w14:paraId="3437C6A9">
      <w:pPr>
        <w:pageBreakBefore w:val="0"/>
        <w:kinsoku/>
        <w:overflowPunct/>
        <w:autoSpaceDE/>
        <w:autoSpaceDN/>
        <w:bidi w:val="0"/>
        <w:adjustRightInd/>
        <w:spacing w:line="360" w:lineRule="auto"/>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.2评委会由评审专家、采购人代表组成，且人员构成符合政府采购有关规定。</w:t>
      </w:r>
    </w:p>
    <w:p w14:paraId="5CE60A1B">
      <w:pPr>
        <w:pageBreakBefore w:val="0"/>
        <w:kinsoku/>
        <w:overflowPunct/>
        <w:autoSpaceDE/>
        <w:autoSpaceDN/>
        <w:bidi w:val="0"/>
        <w:adjustRightInd/>
        <w:spacing w:line="360" w:lineRule="auto"/>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23.3评委会应以科学、公正的态度参加评审工作并推荐中标候选人。评审专家和采购人代表在评审过程中不受任何干扰，独立、负责地提出评审意见，并对自己的评审意见承担责任。</w:t>
      </w:r>
    </w:p>
    <w:p w14:paraId="2D79A4E3">
      <w:pPr>
        <w:pageBreakBefore w:val="0"/>
        <w:kinsoku/>
        <w:overflowPunct/>
        <w:autoSpaceDE/>
        <w:autoSpaceDN/>
        <w:bidi w:val="0"/>
        <w:adjustRightIn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23.4评委会将对投标人的商业、技术秘密予以保密。</w:t>
      </w:r>
    </w:p>
    <w:p w14:paraId="65D856DD">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24．评标过程的保密</w:t>
      </w:r>
      <w:bookmarkEnd w:id="172"/>
      <w:bookmarkEnd w:id="173"/>
      <w:bookmarkEnd w:id="174"/>
      <w:r>
        <w:rPr>
          <w:rFonts w:hint="eastAsia" w:ascii="宋体" w:hAnsi="宋体" w:eastAsia="宋体" w:cs="宋体"/>
          <w:color w:val="auto"/>
          <w:sz w:val="24"/>
          <w:szCs w:val="24"/>
          <w:highlight w:val="none"/>
        </w:rPr>
        <w:t>与公正</w:t>
      </w:r>
    </w:p>
    <w:p w14:paraId="79FEC004">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w:t>
      </w:r>
      <w:r>
        <w:rPr>
          <w:rFonts w:hint="eastAsia" w:ascii="宋体" w:hAnsi="宋体" w:eastAsia="宋体" w:cs="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0350B8B8">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24.2在评标过程中，如果投标人试图向</w:t>
      </w:r>
      <w:bookmarkStart w:id="175" w:name="EB8495c46e8cb146ec80ae8c0f7928221c"/>
      <w:r>
        <w:rPr>
          <w:rFonts w:hint="eastAsia" w:ascii="宋体" w:hAnsi="宋体" w:eastAsia="宋体" w:cs="宋体"/>
          <w:color w:val="auto"/>
          <w:sz w:val="24"/>
          <w:szCs w:val="24"/>
          <w:highlight w:val="none"/>
        </w:rPr>
        <w:t>张家港市金浩源招投标代理有限公司</w:t>
      </w:r>
      <w:bookmarkEnd w:id="175"/>
      <w:r>
        <w:rPr>
          <w:rFonts w:hint="eastAsia" w:ascii="宋体" w:hAnsi="宋体" w:eastAsia="宋体" w:cs="宋体"/>
          <w:color w:val="auto"/>
          <w:sz w:val="24"/>
          <w:szCs w:val="24"/>
          <w:highlight w:val="none"/>
        </w:rPr>
        <w:t>和参与评标的人员施加任何影响，都将会导致其投标被拒绝。</w:t>
      </w:r>
    </w:p>
    <w:p w14:paraId="6AC68455">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176" w:name="_Toc513029232"/>
      <w:bookmarkStart w:id="177" w:name="_Toc16938548"/>
      <w:bookmarkStart w:id="178" w:name="_Toc20823304"/>
      <w:r>
        <w:rPr>
          <w:rFonts w:hint="eastAsia" w:ascii="宋体" w:hAnsi="宋体" w:eastAsia="宋体" w:cs="宋体"/>
          <w:color w:val="auto"/>
          <w:sz w:val="24"/>
          <w:szCs w:val="24"/>
          <w:highlight w:val="none"/>
        </w:rPr>
        <w:t>25．投标的澄清</w:t>
      </w:r>
      <w:bookmarkEnd w:id="176"/>
      <w:bookmarkEnd w:id="177"/>
      <w:bookmarkEnd w:id="178"/>
    </w:p>
    <w:p w14:paraId="045A648A">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25.1评标期间，为有助于对投标文件的审查、评价和比较，评委会有权要求投标人对其投标文件进行澄清，但并非对每个投标人都作澄清要求。</w:t>
      </w:r>
    </w:p>
    <w:p w14:paraId="49562648">
      <w:pPr>
        <w:pStyle w:val="42"/>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79" w:name="EB3164982f155e42e086cd4685f4d2aafa"/>
      <w:bookmarkEnd w:id="179"/>
    </w:p>
    <w:p w14:paraId="0A1B11CF">
      <w:pPr>
        <w:pStyle w:val="42"/>
        <w:pageBreakBefore w:val="0"/>
        <w:kinsoku/>
        <w:overflowPunct/>
        <w:autoSpaceDE/>
        <w:autoSpaceDN/>
        <w:bidi w:val="0"/>
        <w:adjustRightInd/>
        <w:spacing w:line="360" w:lineRule="auto"/>
        <w:ind w:firstLine="500"/>
        <w:textAlignment w:val="auto"/>
        <w:rPr>
          <w:rFonts w:hint="eastAsia" w:ascii="宋体" w:hAnsi="宋体" w:eastAsia="宋体" w:cs="宋体"/>
          <w:color w:val="auto"/>
          <w:sz w:val="24"/>
          <w:szCs w:val="24"/>
          <w:highlight w:val="none"/>
        </w:rPr>
      </w:pPr>
      <w:r>
        <w:rPr>
          <w:rStyle w:val="120"/>
          <w:rFonts w:hint="eastAsia" w:ascii="宋体" w:hAnsi="宋体" w:eastAsia="宋体" w:cs="宋体"/>
          <w:b/>
          <w:bCs/>
          <w:color w:val="auto"/>
          <w:spacing w:val="7"/>
          <w:sz w:val="24"/>
          <w:szCs w:val="24"/>
          <w:highlight w:val="none"/>
          <w:lang w:val="zh-CN"/>
        </w:rPr>
        <w:t>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20"/>
          <w:rFonts w:hint="eastAsia" w:ascii="宋体" w:hAnsi="宋体" w:eastAsia="宋体" w:cs="宋体"/>
          <w:color w:val="auto"/>
          <w:spacing w:val="7"/>
          <w:sz w:val="24"/>
          <w:szCs w:val="24"/>
          <w:highlight w:val="none"/>
          <w:lang w:val="zh-CN"/>
        </w:rPr>
        <w:t>(此处规定时间的计算以系统中的倒计时间为准。）</w:t>
      </w:r>
    </w:p>
    <w:p w14:paraId="69AF7712">
      <w:pPr>
        <w:pageBreakBefore w:val="0"/>
        <w:kinsoku/>
        <w:overflowPunct/>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25.3接到评委会澄清要求的投标人如未按规定做出澄清，其风险由投标人自行承担。</w:t>
      </w:r>
    </w:p>
    <w:p w14:paraId="2BF1F755">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b/>
          <w:bCs/>
          <w:color w:val="auto"/>
          <w:sz w:val="24"/>
          <w:szCs w:val="24"/>
          <w:highlight w:val="none"/>
        </w:rPr>
      </w:pPr>
      <w:bookmarkStart w:id="180" w:name="_Toc20823305"/>
      <w:bookmarkStart w:id="181" w:name="_Toc16938549"/>
      <w:bookmarkStart w:id="182" w:name="_Toc513029233"/>
      <w:r>
        <w:rPr>
          <w:rFonts w:hint="eastAsia" w:ascii="宋体" w:hAnsi="宋体" w:eastAsia="宋体" w:cs="宋体"/>
          <w:color w:val="auto"/>
          <w:sz w:val="24"/>
          <w:szCs w:val="24"/>
          <w:highlight w:val="none"/>
        </w:rPr>
        <w:t>26、</w:t>
      </w:r>
      <w:bookmarkEnd w:id="180"/>
      <w:bookmarkEnd w:id="181"/>
      <w:bookmarkEnd w:id="182"/>
      <w:r>
        <w:rPr>
          <w:rFonts w:hint="eastAsia" w:ascii="宋体" w:hAnsi="宋体" w:eastAsia="宋体" w:cs="宋体"/>
          <w:b/>
          <w:bCs/>
          <w:color w:val="auto"/>
          <w:sz w:val="24"/>
          <w:szCs w:val="24"/>
          <w:highlight w:val="none"/>
        </w:rPr>
        <w:t>对投标文件的初审</w:t>
      </w:r>
    </w:p>
    <w:p w14:paraId="76F1952A">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bookmarkStart w:id="183" w:name="EB8e3ec86c09a94dac9cc9034e6027ee19"/>
      <w:bookmarkEnd w:id="183"/>
      <w:bookmarkStart w:id="184" w:name="_Toc513029234"/>
      <w:bookmarkStart w:id="185" w:name="_Toc16938550"/>
      <w:bookmarkStart w:id="186" w:name="_Toc20823306"/>
      <w:bookmarkStart w:id="187" w:name="_Toc200451960"/>
      <w:r>
        <w:rPr>
          <w:rFonts w:hint="eastAsia" w:ascii="宋体" w:hAnsi="宋体" w:eastAsia="宋体" w:cs="宋体"/>
          <w:color w:val="auto"/>
          <w:sz w:val="24"/>
          <w:szCs w:val="24"/>
          <w:highlight w:val="none"/>
        </w:rPr>
        <w:t>26.1</w:t>
      </w:r>
      <w:r>
        <w:rPr>
          <w:rFonts w:hint="eastAsia" w:ascii="宋体" w:hAnsi="宋体" w:eastAsia="宋体" w:cs="宋体"/>
          <w:bCs/>
          <w:color w:val="auto"/>
          <w:sz w:val="24"/>
          <w:szCs w:val="24"/>
          <w:highlight w:val="none"/>
        </w:rPr>
        <w:t>投标文件初审分为资格审查和符合性审查。</w:t>
      </w:r>
    </w:p>
    <w:p w14:paraId="5684536B">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eastAsia="宋体" w:cs="宋体"/>
          <w:bCs/>
          <w:color w:val="auto"/>
          <w:sz w:val="24"/>
          <w:szCs w:val="24"/>
          <w:highlight w:val="none"/>
        </w:rPr>
        <w:t>资格性审查</w:t>
      </w:r>
    </w:p>
    <w:p w14:paraId="65F49FDC">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采购人或者采购代理机构依法对投标人的资格进行审查。</w:t>
      </w:r>
    </w:p>
    <w:p w14:paraId="0D211FC9">
      <w:pPr>
        <w:pageBreakBefore w:val="0"/>
        <w:kinsoku/>
        <w:overflowPunct/>
        <w:autoSpaceDE/>
        <w:autoSpaceDN/>
        <w:bidi w:val="0"/>
        <w:adjustRightInd/>
        <w:spacing w:line="360" w:lineRule="auto"/>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zh-CN"/>
        </w:rPr>
        <w:t>关于信用查询：</w:t>
      </w:r>
    </w:p>
    <w:p w14:paraId="54254416">
      <w:pPr>
        <w:pageBreakBefore w:val="0"/>
        <w:kinsoku/>
        <w:overflowPunct/>
        <w:autoSpaceDE/>
        <w:autoSpaceDN/>
        <w:bidi w:val="0"/>
        <w:adjustRightInd/>
        <w:spacing w:line="360" w:lineRule="auto"/>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1FA6AD46">
      <w:pPr>
        <w:pageBreakBefore w:val="0"/>
        <w:kinsoku/>
        <w:overflowPunct/>
        <w:autoSpaceDE/>
        <w:autoSpaceDN/>
        <w:bidi w:val="0"/>
        <w:adjustRightInd/>
        <w:spacing w:line="360" w:lineRule="auto"/>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val="zh-CN"/>
        </w:rPr>
        <w:t>查询时间：投标文件递交截止时间。</w:t>
      </w:r>
    </w:p>
    <w:p w14:paraId="4405F728">
      <w:pPr>
        <w:pageBreakBefore w:val="0"/>
        <w:kinsoku/>
        <w:overflowPunct/>
        <w:autoSpaceDE/>
        <w:autoSpaceDN/>
        <w:bidi w:val="0"/>
        <w:adjustRightInd/>
        <w:spacing w:line="360" w:lineRule="auto"/>
        <w:ind w:firstLine="505"/>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.1.1.1.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查询渠道：通过“信用中国”网站等渠道查询相关主体信用记录。</w:t>
      </w:r>
    </w:p>
    <w:p w14:paraId="3018ABED">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26.1.2</w:t>
      </w:r>
      <w:r>
        <w:rPr>
          <w:rFonts w:hint="eastAsia" w:ascii="宋体" w:hAnsi="宋体" w:eastAsia="宋体" w:cs="宋体"/>
          <w:bCs/>
          <w:color w:val="auto"/>
          <w:sz w:val="24"/>
          <w:szCs w:val="24"/>
          <w:highlight w:val="none"/>
        </w:rPr>
        <w:t>符合性审查：</w:t>
      </w:r>
    </w:p>
    <w:p w14:paraId="51038152">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依据招标文件的规定，由评委会对投标文件进行审查，以确定是否对招标文件的实质性要求作出响应。</w:t>
      </w:r>
    </w:p>
    <w:p w14:paraId="528024E1">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 在详细评标之前，评委会将首先审查每份投标文件是否实质性响应了招标文件的要求。实质性响应的投标应该是与招标文件要求的全部条款、条件和规格相符，没有重大偏离或保留的投标。</w:t>
      </w:r>
    </w:p>
    <w:p w14:paraId="3EFAD436">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auto"/>
          <w:sz w:val="24"/>
          <w:szCs w:val="24"/>
          <w:highlight w:val="none"/>
        </w:rPr>
        <w:t>评委会决定投标文件的响应性只根据投标文件本身的内容，而不寻求外部的证据。</w:t>
      </w:r>
    </w:p>
    <w:p w14:paraId="6ED34794">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26.3 </w:t>
      </w:r>
      <w:r>
        <w:rPr>
          <w:rFonts w:hint="eastAsia" w:ascii="宋体" w:hAnsi="宋体" w:eastAsia="宋体" w:cs="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12F4EA2C">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26.4 投标文件报价出现前后不一致的，按下列规定修正：</w:t>
      </w:r>
      <w:r>
        <w:rPr>
          <w:rFonts w:hint="eastAsia" w:ascii="宋体" w:hAnsi="宋体" w:eastAsia="宋体" w:cs="宋体"/>
          <w:bCs/>
          <w:color w:val="auto"/>
          <w:sz w:val="24"/>
          <w:szCs w:val="24"/>
          <w:highlight w:val="none"/>
        </w:rPr>
        <w:t xml:space="preserve"> </w:t>
      </w:r>
    </w:p>
    <w:p w14:paraId="47F297AD">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（1）投标文件中开标一览表（报价表）内容与投标文件中相应内容不一致的，以开标一览表（报价表）为准；</w:t>
      </w:r>
    </w:p>
    <w:p w14:paraId="508338F3">
      <w:pPr>
        <w:pageBreakBefore w:val="0"/>
        <w:kinsoku/>
        <w:overflowPunct/>
        <w:autoSpaceDE/>
        <w:autoSpaceDN/>
        <w:bidi w:val="0"/>
        <w:adjustRightIn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（2）大写金额和小写金额不一致的，以大写金额为准；</w:t>
      </w:r>
    </w:p>
    <w:p w14:paraId="2E1F1778">
      <w:pPr>
        <w:pageBreakBefore w:val="0"/>
        <w:kinsoku/>
        <w:overflowPunct/>
        <w:autoSpaceDE/>
        <w:autoSpaceDN/>
        <w:bidi w:val="0"/>
        <w:adjustRightIn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（3）单价金额小数点或者百分比有明显错位的，以开标一览表的总价为准，并修改单价；</w:t>
      </w:r>
    </w:p>
    <w:p w14:paraId="16310AAE">
      <w:pPr>
        <w:pageBreakBefore w:val="0"/>
        <w:kinsoku/>
        <w:overflowPunct/>
        <w:autoSpaceDE/>
        <w:autoSpaceDN/>
        <w:bidi w:val="0"/>
        <w:adjustRightIn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（4）总价金额与按单价汇总金额不一致的，以单价金额计算结果为准。</w:t>
      </w:r>
    </w:p>
    <w:p w14:paraId="23C06670">
      <w:pPr>
        <w:pageBreakBefore w:val="0"/>
        <w:kinsoku/>
        <w:overflowPunct/>
        <w:autoSpaceDE/>
        <w:autoSpaceDN/>
        <w:bidi w:val="0"/>
        <w:adjustRightInd/>
        <w:spacing w:line="360" w:lineRule="auto"/>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同时出现两种以上不一致的，按照前款规定的顺序修正。修正后的报价按照财政部87号令第五十一条第二款的规定经投标人确认后产生约束力。</w:t>
      </w:r>
    </w:p>
    <w:p w14:paraId="644214AD">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 评委会将允许修正投标文件中不构成重大偏离的、微小的、非正规的、不一致的或不规则的地方，但这些修改不能影响任何投标人相应的名次排列。</w:t>
      </w:r>
    </w:p>
    <w:p w14:paraId="379CF807">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bookmarkEnd w:id="184"/>
      <w:bookmarkEnd w:id="185"/>
      <w:bookmarkEnd w:id="186"/>
      <w:r>
        <w:rPr>
          <w:rFonts w:hint="eastAsia" w:ascii="宋体" w:hAnsi="宋体" w:eastAsia="宋体" w:cs="宋体"/>
          <w:color w:val="auto"/>
          <w:sz w:val="24"/>
          <w:szCs w:val="24"/>
          <w:highlight w:val="none"/>
        </w:rPr>
        <w:t>无效投标条款和废标条款</w:t>
      </w:r>
    </w:p>
    <w:p w14:paraId="44DE81C9">
      <w:pPr>
        <w:pStyle w:val="44"/>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bookmarkStart w:id="188" w:name="EB369a3ca3706348fd9a6451dab4968a5b"/>
      <w:bookmarkEnd w:id="188"/>
      <w:bookmarkStart w:id="189" w:name="_Toc16938551"/>
      <w:bookmarkStart w:id="190" w:name="_Toc20823307"/>
      <w:bookmarkStart w:id="191" w:name="_Toc513029235"/>
      <w:bookmarkStart w:id="192" w:name="_Toc35266025"/>
      <w:bookmarkStart w:id="193" w:name="_Toc38368125"/>
      <w:bookmarkStart w:id="194" w:name="_Toc54615244"/>
      <w:bookmarkStart w:id="195" w:name="_Toc120614219"/>
      <w:bookmarkStart w:id="196" w:name="_Toc13405"/>
      <w:bookmarkStart w:id="197" w:name="_Toc6263"/>
      <w:r>
        <w:rPr>
          <w:rStyle w:val="120"/>
          <w:rFonts w:hint="eastAsia" w:ascii="宋体" w:hAnsi="宋体" w:eastAsia="宋体" w:cs="宋体"/>
          <w:color w:val="auto"/>
          <w:spacing w:val="7"/>
          <w:sz w:val="24"/>
          <w:szCs w:val="24"/>
          <w:highlight w:val="none"/>
        </w:rPr>
        <w:t>27.1 无效投标条款</w:t>
      </w:r>
    </w:p>
    <w:p w14:paraId="60044C0B">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 投标人未按照招标文件要求上传电子投标文件的；</w:t>
      </w:r>
    </w:p>
    <w:p w14:paraId="7B8AE562">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27.1.2 投标人在规定时间内不解密投标文件或未成功解密投标文件的（因系统原因导致的除外)；</w:t>
      </w:r>
    </w:p>
    <w:p w14:paraId="7465AA4B">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27.1.3 投标文件中没有《开标一览表》或《开标一览表》未加盖投标人公章的； </w:t>
      </w:r>
    </w:p>
    <w:p w14:paraId="5C0642A4">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27.1.4 投标文件中任何有选择的报价；</w:t>
      </w:r>
    </w:p>
    <w:p w14:paraId="7940651C">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27.1.5 投标文件报价出现前后不一致的，按招标文件规定修正后投标人不确认的； </w:t>
      </w:r>
    </w:p>
    <w:p w14:paraId="2859783F">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27.1.6 不同投标人的投标文件由同一单位或者个人编制； </w:t>
      </w:r>
    </w:p>
    <w:p w14:paraId="68BB9389">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27.1.7 不同投标人委托同一单位或者个人办理投标事宜； </w:t>
      </w:r>
    </w:p>
    <w:p w14:paraId="23D47128">
      <w:pPr>
        <w:pStyle w:val="59"/>
        <w:pageBreakBefore w:val="0"/>
        <w:tabs>
          <w:tab w:val="left" w:pos="220"/>
        </w:tabs>
        <w:kinsoku/>
        <w:overflowPunct/>
        <w:autoSpaceDE/>
        <w:autoSpaceDN/>
        <w:bidi w:val="0"/>
        <w:adjustRightInd/>
        <w:spacing w:line="360" w:lineRule="auto"/>
        <w:ind w:firstLine="637"/>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27.1.8不同投标人的投标文件制作机器码一致的；</w:t>
      </w:r>
    </w:p>
    <w:p w14:paraId="5FF6CA74">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27.1.9 不同投标人的投标文件载明的项目管理成员或者联系人员为同一人；</w:t>
      </w:r>
    </w:p>
    <w:p w14:paraId="539403BE">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27.1.10 不同投标人的投标文件异常一致或者投标报价呈规律性差异；</w:t>
      </w:r>
    </w:p>
    <w:p w14:paraId="21777B52">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5165D81C">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p>
    <w:p w14:paraId="2B79E07A">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p>
    <w:p w14:paraId="0D4B95E5">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27.1.14 不同供应商的单位负责人为同一人或者存在直接控股、管理关系的； </w:t>
      </w:r>
    </w:p>
    <w:p w14:paraId="64BB8418">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27.1.15 为采购项目提供整体设计、规范编制或者项目管理、监理、检测等服务的；</w:t>
      </w:r>
    </w:p>
    <w:p w14:paraId="1184CA72">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27.1.16 资格证明文件中要求加盖公章而未加盖公章的； </w:t>
      </w:r>
    </w:p>
    <w:p w14:paraId="4D547123">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27.1.17 投标文件未按招标文件要求签署、盖章的； </w:t>
      </w:r>
    </w:p>
    <w:p w14:paraId="0ECB67D0">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27.1.18 不具备招标文件中规定的资格要求或未按招标文件规定的要求提供资格证明文件的； </w:t>
      </w:r>
    </w:p>
    <w:p w14:paraId="338764EA">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27.1.19 报价超过招标文件中规定的预算金额或者最高限价的； </w:t>
      </w:r>
    </w:p>
    <w:p w14:paraId="516B5FB6">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27.1.20 投标文件含有采购人不能接受的附加条件的； </w:t>
      </w:r>
    </w:p>
    <w:p w14:paraId="0F91EB57">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27.1.21 不响应招标文件中规定的实质性要求的（本招标文件中斜体且有下划线部分为实质性要求）； </w:t>
      </w:r>
    </w:p>
    <w:p w14:paraId="01065ACD">
      <w:pPr>
        <w:pStyle w:val="59"/>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27.1.22 法律、法规和采购文件规定的其他无效情形;  </w:t>
      </w:r>
    </w:p>
    <w:p w14:paraId="675F1E36">
      <w:pPr>
        <w:pStyle w:val="46"/>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27.2 废标条款：</w:t>
      </w:r>
    </w:p>
    <w:p w14:paraId="750BA242">
      <w:pPr>
        <w:pStyle w:val="46"/>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(1)符合专业条件的供应商或者对招标文件作实质响应的供应商不足三家的； </w:t>
      </w:r>
    </w:p>
    <w:p w14:paraId="68011ACE">
      <w:pPr>
        <w:pStyle w:val="46"/>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(2)出现影响采购公正的违法、违规行为的；</w:t>
      </w:r>
    </w:p>
    <w:p w14:paraId="56CE58B9">
      <w:pPr>
        <w:pStyle w:val="46"/>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(3)投标人的报价均超过了采购预算，采购人不能支付的；</w:t>
      </w:r>
    </w:p>
    <w:p w14:paraId="093695E4">
      <w:pPr>
        <w:pStyle w:val="46"/>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(4)因重大变故，采购任务取消的。</w:t>
      </w:r>
    </w:p>
    <w:p w14:paraId="7C68F823">
      <w:pPr>
        <w:pStyle w:val="46"/>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 xml:space="preserve"> (5)因苏采云系统系统故障原因造成开标不成功的。</w:t>
      </w:r>
    </w:p>
    <w:p w14:paraId="4A96DBB0">
      <w:pPr>
        <w:pStyle w:val="46"/>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27.3 投标截止时间结束后参加投标的供应商不足三家的处理：</w:t>
      </w:r>
    </w:p>
    <w:p w14:paraId="5E11F1EA">
      <w:pPr>
        <w:pStyle w:val="46"/>
        <w:pageBreakBefore w:val="0"/>
        <w:kinsoku/>
        <w:overflowPunct/>
        <w:autoSpaceDE/>
        <w:autoSpaceDN/>
        <w:bidi w:val="0"/>
        <w:adjustRightInd/>
        <w:spacing w:line="360" w:lineRule="auto"/>
        <w:ind w:firstLine="500"/>
        <w:textAlignment w:val="auto"/>
        <w:rPr>
          <w:rStyle w:val="120"/>
          <w:rFonts w:hint="eastAsia" w:ascii="宋体" w:hAnsi="宋体" w:eastAsia="宋体" w:cs="宋体"/>
          <w:color w:val="auto"/>
          <w:spacing w:val="7"/>
          <w:sz w:val="24"/>
          <w:szCs w:val="24"/>
          <w:highlight w:val="none"/>
        </w:rPr>
      </w:pPr>
      <w:r>
        <w:rPr>
          <w:rStyle w:val="120"/>
          <w:rFonts w:hint="eastAsia" w:ascii="宋体" w:hAnsi="宋体" w:eastAsia="宋体" w:cs="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01EF860B">
      <w:pPr>
        <w:pStyle w:val="117"/>
        <w:pageBreakBefore w:val="0"/>
        <w:kinsoku/>
        <w:overflowPunct/>
        <w:autoSpaceDE/>
        <w:autoSpaceDN/>
        <w:bidi w:val="0"/>
        <w:adjustRightInd/>
        <w:spacing w:before="0" w:after="0" w:line="360" w:lineRule="auto"/>
        <w:jc w:val="left"/>
        <w:textAlignment w:val="auto"/>
        <w:rPr>
          <w:rFonts w:hint="eastAsia" w:ascii="宋体" w:hAnsi="宋体" w:eastAsia="宋体" w:cs="宋体"/>
          <w:b w:val="0"/>
          <w:bCs w:val="0"/>
          <w:color w:val="auto"/>
          <w:sz w:val="24"/>
          <w:szCs w:val="24"/>
          <w:highlight w:val="none"/>
        </w:rPr>
      </w:pPr>
      <w:bookmarkStart w:id="198" w:name="_Toc4009"/>
      <w:r>
        <w:rPr>
          <w:rFonts w:hint="eastAsia" w:ascii="宋体" w:hAnsi="宋体" w:eastAsia="宋体" w:cs="宋体"/>
          <w:b w:val="0"/>
          <w:bCs w:val="0"/>
          <w:color w:val="auto"/>
          <w:sz w:val="24"/>
          <w:szCs w:val="24"/>
          <w:highlight w:val="none"/>
        </w:rPr>
        <w:t>六、</w:t>
      </w:r>
      <w:bookmarkEnd w:id="189"/>
      <w:bookmarkEnd w:id="190"/>
      <w:bookmarkEnd w:id="191"/>
      <w:r>
        <w:rPr>
          <w:rFonts w:hint="eastAsia" w:ascii="宋体" w:hAnsi="宋体" w:eastAsia="宋体" w:cs="宋体"/>
          <w:b w:val="0"/>
          <w:bCs w:val="0"/>
          <w:color w:val="auto"/>
          <w:sz w:val="24"/>
          <w:szCs w:val="24"/>
          <w:highlight w:val="none"/>
        </w:rPr>
        <w:t>定标</w:t>
      </w:r>
      <w:bookmarkEnd w:id="192"/>
      <w:bookmarkEnd w:id="193"/>
      <w:bookmarkEnd w:id="194"/>
      <w:bookmarkEnd w:id="195"/>
      <w:bookmarkEnd w:id="196"/>
      <w:bookmarkEnd w:id="197"/>
      <w:bookmarkEnd w:id="198"/>
    </w:p>
    <w:bookmarkEnd w:id="187"/>
    <w:p w14:paraId="1CE09FE0">
      <w:pPr>
        <w:keepNext/>
        <w:keepLines/>
        <w:pageBreakBefore w:val="0"/>
        <w:kinsoku/>
        <w:overflowPunct/>
        <w:autoSpaceDE/>
        <w:autoSpaceDN/>
        <w:bidi w:val="0"/>
        <w:adjustRightInd/>
        <w:spacing w:line="360" w:lineRule="auto"/>
        <w:ind w:firstLine="420"/>
        <w:textAlignment w:val="auto"/>
        <w:outlineLvl w:val="3"/>
        <w:rPr>
          <w:rFonts w:hint="eastAsia" w:ascii="宋体" w:hAnsi="宋体" w:eastAsia="宋体" w:cs="宋体"/>
          <w:color w:val="auto"/>
          <w:sz w:val="24"/>
          <w:szCs w:val="24"/>
          <w:highlight w:val="none"/>
        </w:rPr>
      </w:pPr>
      <w:bookmarkStart w:id="199" w:name="_Toc513029238"/>
      <w:bookmarkStart w:id="200" w:name="_Toc20823310"/>
      <w:bookmarkStart w:id="201" w:name="_Toc16938554"/>
      <w:bookmarkStart w:id="202" w:name="_Toc25514"/>
      <w:bookmarkStart w:id="203" w:name="_Toc1280"/>
      <w:r>
        <w:rPr>
          <w:rFonts w:hint="eastAsia" w:ascii="宋体" w:hAnsi="宋体" w:eastAsia="宋体" w:cs="宋体"/>
          <w:color w:val="auto"/>
          <w:sz w:val="24"/>
          <w:szCs w:val="24"/>
          <w:highlight w:val="none"/>
        </w:rPr>
        <w:t>28、</w:t>
      </w:r>
      <w:bookmarkEnd w:id="199"/>
      <w:r>
        <w:rPr>
          <w:rFonts w:hint="eastAsia" w:ascii="宋体" w:hAnsi="宋体" w:eastAsia="宋体" w:cs="宋体"/>
          <w:color w:val="auto"/>
          <w:sz w:val="24"/>
          <w:szCs w:val="24"/>
          <w:highlight w:val="none"/>
        </w:rPr>
        <w:t>确定</w:t>
      </w:r>
      <w:bookmarkEnd w:id="200"/>
      <w:bookmarkEnd w:id="201"/>
      <w:r>
        <w:rPr>
          <w:rFonts w:hint="eastAsia" w:ascii="宋体" w:hAnsi="宋体" w:eastAsia="宋体" w:cs="宋体"/>
          <w:color w:val="auto"/>
          <w:sz w:val="24"/>
          <w:szCs w:val="24"/>
          <w:highlight w:val="none"/>
        </w:rPr>
        <w:t>中标单位</w:t>
      </w:r>
    </w:p>
    <w:p w14:paraId="4203494E">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28.1评委会根据本招标文件规定评标办法与评标标准向采购人推荐出1名中标候选人。</w:t>
      </w:r>
    </w:p>
    <w:p w14:paraId="4718B2B8">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28.2 采购人应根据评委会推荐的中标候选人确定中标人。</w:t>
      </w:r>
    </w:p>
    <w:p w14:paraId="116F9620">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28.3</w:t>
      </w:r>
      <w:r>
        <w:rPr>
          <w:rFonts w:hint="eastAsia" w:ascii="宋体" w:hAnsi="宋体" w:eastAsia="宋体" w:cs="宋体"/>
          <w:color w:val="auto"/>
          <w:sz w:val="24"/>
          <w:szCs w:val="24"/>
          <w:highlight w:val="none"/>
        </w:rPr>
        <w:t>自中标人确定之日起2个工作日内，中标结果将在省级以上财政部门指定的媒体上进行公告，公告期限为1个工作日。</w:t>
      </w:r>
    </w:p>
    <w:p w14:paraId="689E58BA">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28.4若有充分证据证明，中标人出现下列情况之一的，一经查实，中标无效：</w:t>
      </w:r>
    </w:p>
    <w:p w14:paraId="7676B798">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（1）提供虚假材料谋取中标的；</w:t>
      </w:r>
    </w:p>
    <w:p w14:paraId="28217C3C">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（2）采取不正当手段诋毁、排挤其他供应商的；</w:t>
      </w:r>
    </w:p>
    <w:p w14:paraId="7F8CF822">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（3）与采购人、其他供应商或者采购代理机构恶意串通的；</w:t>
      </w:r>
    </w:p>
    <w:p w14:paraId="44D39D43">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（4）向采购人、采购代理机构行贿或者提供其他不正当利益的；</w:t>
      </w:r>
    </w:p>
    <w:p w14:paraId="00B5A42C">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（5）在招标采购过程中与采购人进行协商谈判的；</w:t>
      </w:r>
    </w:p>
    <w:p w14:paraId="2EC39EC2">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（6）向评标委员会行贿或者提供其他不正当利益。</w:t>
      </w:r>
    </w:p>
    <w:p w14:paraId="1EF7B833">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29、质疑</w:t>
      </w:r>
    </w:p>
    <w:p w14:paraId="00B0AECF">
      <w:pPr>
        <w:pageBreakBefore w:val="0"/>
        <w:kinsoku/>
        <w:overflowPunct/>
        <w:bidi w:val="0"/>
        <w:spacing w:line="360" w:lineRule="auto"/>
        <w:ind w:firstLine="480"/>
        <w:textAlignment w:val="auto"/>
        <w:rPr>
          <w:rFonts w:hint="eastAsia" w:ascii="宋体" w:hAnsi="宋体"/>
          <w:color w:val="auto"/>
          <w:sz w:val="24"/>
          <w:highlight w:val="none"/>
          <w:lang w:val="en-US" w:eastAsia="zh-CN"/>
        </w:rPr>
      </w:pPr>
      <w:r>
        <w:rPr>
          <w:rFonts w:hint="eastAsia" w:ascii="宋体" w:hAnsi="宋体" w:eastAsia="宋体" w:cs="宋体"/>
          <w:color w:val="auto"/>
          <w:sz w:val="24"/>
          <w:szCs w:val="24"/>
          <w:highlight w:val="none"/>
        </w:rPr>
        <w:t>29.1</w:t>
      </w:r>
      <w:r>
        <w:rPr>
          <w:rFonts w:hint="eastAsia" w:ascii="宋体" w:hAnsi="宋体"/>
          <w:color w:val="auto"/>
          <w:sz w:val="24"/>
          <w:highlight w:val="none"/>
          <w:lang w:val="en-US" w:eastAsia="zh-CN"/>
        </w:rPr>
        <w:t>供应商认为采购文件、采购过程和采购结果使自己的权益受到损害的，可以在知道或应知其权益受到损害之日起七个工作日内，以书面形式</w:t>
      </w:r>
      <w:r>
        <w:rPr>
          <w:rFonts w:hint="eastAsia" w:ascii="宋体" w:hAnsi="宋体" w:cs="宋体"/>
          <w:color w:val="auto"/>
          <w:kern w:val="0"/>
          <w:sz w:val="24"/>
          <w:szCs w:val="24"/>
          <w:highlight w:val="none"/>
          <w:lang w:val="en-US" w:eastAsia="zh-CN"/>
        </w:rPr>
        <w:t>向采购人、采购代理机构</w:t>
      </w:r>
      <w:r>
        <w:rPr>
          <w:rFonts w:hint="eastAsia" w:ascii="宋体" w:hAnsi="宋体"/>
          <w:color w:val="auto"/>
          <w:sz w:val="24"/>
          <w:highlight w:val="none"/>
          <w:lang w:val="en-US" w:eastAsia="zh-CN"/>
        </w:rPr>
        <w:t>提出质疑。</w:t>
      </w:r>
      <w:r>
        <w:rPr>
          <w:rFonts w:hint="eastAsia" w:ascii="宋体" w:hAnsi="宋体" w:cs="宋体"/>
          <w:color w:val="auto"/>
          <w:kern w:val="0"/>
          <w:sz w:val="24"/>
          <w:szCs w:val="24"/>
          <w:highlight w:val="none"/>
          <w:lang w:val="en-US" w:eastAsia="zh-CN"/>
        </w:rPr>
        <w:t>采购代理机构应当在收到投标人书面质疑后7个工作日内作出答复。</w:t>
      </w:r>
      <w:r>
        <w:rPr>
          <w:rFonts w:hint="eastAsia" w:ascii="宋体" w:hAnsi="宋体"/>
          <w:color w:val="auto"/>
          <w:sz w:val="24"/>
          <w:highlight w:val="none"/>
          <w:lang w:val="en-US" w:eastAsia="zh-CN"/>
        </w:rPr>
        <w:t>非书面形式、七个工作日之外提交的质疑将不予受理。</w:t>
      </w:r>
    </w:p>
    <w:p w14:paraId="16FDC5C0">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29.</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kern w:val="0"/>
          <w:sz w:val="24"/>
          <w:szCs w:val="24"/>
          <w:highlight w:val="none"/>
          <w:lang w:val="en-US" w:eastAsia="zh-CN"/>
        </w:rPr>
        <w:t>本次招标文件要求供应商在法定质疑期内一次性提出针对同一采购程序环节的质疑，否则不予受理。</w:t>
      </w:r>
    </w:p>
    <w:p w14:paraId="7B945B90">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29.3供应商提出质疑应当提交质疑函和必要的证明材料，质疑函应当包括下列内容：</w:t>
      </w:r>
    </w:p>
    <w:p w14:paraId="325F4647">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（1）供应商的姓名或者名称（以提供的营业执照副本复印件为准）、地址、邮编、联系人及联系电话；</w:t>
      </w:r>
    </w:p>
    <w:p w14:paraId="3CF37BC2">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（2）质疑项目的名称、编号；</w:t>
      </w:r>
    </w:p>
    <w:p w14:paraId="0A37E95F">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（3）具体、明确的质疑事项和与质疑事项相关的请求；</w:t>
      </w:r>
    </w:p>
    <w:p w14:paraId="3CB959A5">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（4）事实依据；</w:t>
      </w:r>
    </w:p>
    <w:p w14:paraId="16FB0863">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（5）必要的法律依据；</w:t>
      </w:r>
    </w:p>
    <w:p w14:paraId="7B126F63">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（6）提出质疑的日期。</w:t>
      </w:r>
    </w:p>
    <w:p w14:paraId="27ACDC94">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p>
    <w:p w14:paraId="3B38A235">
      <w:pPr>
        <w:keepNext w:val="0"/>
        <w:keepLines w:val="0"/>
        <w:pageBreakBefore w:val="0"/>
        <w:widowControl w:val="0"/>
        <w:kinsoku/>
        <w:wordWrap w:val="0"/>
        <w:overflowPunct/>
        <w:topLinePunct/>
        <w:autoSpaceDE/>
        <w:autoSpaceDN/>
        <w:bidi w:val="0"/>
        <w:adjustRightInd/>
        <w:snapToGrid/>
        <w:spacing w:line="360" w:lineRule="auto"/>
        <w:ind w:firstLine="482"/>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供应商提交的质疑函必须按照《政府采购供应商质疑函范本》要求的格式和内容进行填写，质疑函范本下载网址详见链接：https://czju.suzhou.gov.cn/zfcg/html/content/20180305093615738.shtml。</w:t>
      </w:r>
    </w:p>
    <w:p w14:paraId="0B061E7B">
      <w:pPr>
        <w:pageBreakBefore w:val="0"/>
        <w:kinsoku/>
        <w:overflowPunct/>
        <w:autoSpaceDE/>
        <w:autoSpaceDN/>
        <w:bidi w:val="0"/>
        <w:adjustRightInd/>
        <w:spacing w:line="360" w:lineRule="auto"/>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p>
    <w:p w14:paraId="5D053990">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29.5接收质疑函的方式：书面形式（当场送达或邮寄方式），具体联系方式祥见招标公告</w:t>
      </w:r>
      <w:r>
        <w:rPr>
          <w:rFonts w:hint="eastAsia" w:ascii="宋体" w:hAnsi="宋体" w:eastAsia="宋体" w:cs="宋体"/>
          <w:color w:val="auto"/>
          <w:sz w:val="24"/>
          <w:szCs w:val="24"/>
          <w:highlight w:val="none"/>
        </w:rPr>
        <w:t>。</w:t>
      </w:r>
    </w:p>
    <w:p w14:paraId="65F2F788">
      <w:pPr>
        <w:pStyle w:val="21"/>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以下情形的质疑不予受理</w:t>
      </w:r>
    </w:p>
    <w:p w14:paraId="47047670">
      <w:pPr>
        <w:pStyle w:val="21"/>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内容不符合《政府采购质疑和投诉办法》第十二条规定的质疑。</w:t>
      </w:r>
    </w:p>
    <w:p w14:paraId="36EAE4E1">
      <w:pPr>
        <w:pStyle w:val="21"/>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超出政府采购法定期限的质疑。</w:t>
      </w:r>
    </w:p>
    <w:p w14:paraId="62340466">
      <w:pPr>
        <w:pStyle w:val="21"/>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以传真、电子邮件等方式递交的非原件形式的质疑。</w:t>
      </w:r>
    </w:p>
    <w:p w14:paraId="52E62EFF">
      <w:pPr>
        <w:pStyle w:val="21"/>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 未参加投标活动的供应商或在投标活动中自身权益未受到损害的供应商所提出的质疑。</w:t>
      </w:r>
    </w:p>
    <w:p w14:paraId="74E0F68C">
      <w:pPr>
        <w:pStyle w:val="21"/>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.5供应商组成联合体参加投标，联合体中任何一方或多方未按要求签字、盖章、加盖公章的质疑。</w:t>
      </w:r>
    </w:p>
    <w:p w14:paraId="1D3ED97C">
      <w:pPr>
        <w:pStyle w:val="21"/>
        <w:pageBreakBefore w:val="0"/>
        <w:kinsoku/>
        <w:overflowPunct/>
        <w:autoSpaceDE/>
        <w:autoSpaceDN/>
        <w:bidi w:val="0"/>
        <w:adjustRightIn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36D8F756">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30、中标通知书</w:t>
      </w:r>
    </w:p>
    <w:p w14:paraId="1A925689">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30.l在中标结果确定后2个工作日内，</w:t>
      </w:r>
      <w:bookmarkStart w:id="204" w:name="EB04864b601f4543e5995458ada06a41df"/>
      <w:r>
        <w:rPr>
          <w:rFonts w:hint="eastAsia" w:ascii="宋体" w:hAnsi="宋体" w:eastAsia="宋体" w:cs="宋体"/>
          <w:color w:val="auto"/>
          <w:sz w:val="24"/>
          <w:szCs w:val="24"/>
          <w:highlight w:val="none"/>
        </w:rPr>
        <w:t>张家港市金浩源招投标代理有限公司</w:t>
      </w:r>
      <w:bookmarkEnd w:id="204"/>
      <w:r>
        <w:rPr>
          <w:rFonts w:hint="eastAsia" w:ascii="宋体" w:hAnsi="宋体" w:eastAsia="宋体" w:cs="宋体"/>
          <w:color w:val="auto"/>
          <w:sz w:val="24"/>
          <w:szCs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auto"/>
          <w:sz w:val="24"/>
          <w:szCs w:val="24"/>
          <w:highlight w:val="none"/>
          <w:lang w:eastAsia="zh-CN"/>
        </w:rPr>
        <w:t>。</w:t>
      </w:r>
    </w:p>
    <w:p w14:paraId="157613F3">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 中标通知书将是合同的一个组成部分。对采购人和中标供应商均具有法律效力。中标通知书发出后，采购人改变中标结果的，或者中标供应商放弃中标项目的，应当依法承担法律责任。</w:t>
      </w:r>
    </w:p>
    <w:p w14:paraId="103525D9">
      <w:pPr>
        <w:pStyle w:val="117"/>
        <w:pageBreakBefore w:val="0"/>
        <w:kinsoku/>
        <w:overflowPunct/>
        <w:autoSpaceDE/>
        <w:autoSpaceDN/>
        <w:bidi w:val="0"/>
        <w:adjustRightInd/>
        <w:spacing w:before="0" w:after="0" w:line="360" w:lineRule="auto"/>
        <w:jc w:val="left"/>
        <w:textAlignment w:val="auto"/>
        <w:rPr>
          <w:rFonts w:hint="eastAsia" w:ascii="宋体" w:hAnsi="宋体" w:eastAsia="宋体" w:cs="宋体"/>
          <w:b w:val="0"/>
          <w:bCs w:val="0"/>
          <w:color w:val="auto"/>
          <w:sz w:val="24"/>
          <w:szCs w:val="24"/>
          <w:highlight w:val="none"/>
        </w:rPr>
      </w:pPr>
      <w:bookmarkStart w:id="205" w:name="_Toc30639"/>
      <w:r>
        <w:rPr>
          <w:rFonts w:hint="eastAsia" w:ascii="宋体" w:hAnsi="宋体" w:eastAsia="宋体" w:cs="宋体"/>
          <w:b w:val="0"/>
          <w:bCs w:val="0"/>
          <w:color w:val="auto"/>
          <w:sz w:val="24"/>
          <w:szCs w:val="24"/>
          <w:highlight w:val="none"/>
        </w:rPr>
        <w:t>七、授予合同</w:t>
      </w:r>
      <w:bookmarkEnd w:id="202"/>
      <w:bookmarkEnd w:id="203"/>
      <w:bookmarkEnd w:id="205"/>
    </w:p>
    <w:p w14:paraId="1B89A409">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 签订合同</w:t>
      </w:r>
    </w:p>
    <w:p w14:paraId="3DB3949F">
      <w:pPr>
        <w:pageBreakBefore w:val="0"/>
        <w:kinsoku/>
        <w:overflowPunct/>
        <w:autoSpaceDE/>
        <w:autoSpaceDN/>
        <w:bidi w:val="0"/>
        <w:adjustRightInd/>
        <w:spacing w:line="360" w:lineRule="auto"/>
        <w:ind w:firstLine="48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31.l</w:t>
      </w:r>
      <w:r>
        <w:rPr>
          <w:rFonts w:hint="eastAsia" w:ascii="宋体" w:hAnsi="宋体" w:eastAsia="宋体" w:cs="宋体"/>
          <w:b/>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55FF2992">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31.2 招标文件、中标人的投标文件及招标过程中有关澄清、承诺文件均应作为合同附件。</w:t>
      </w:r>
    </w:p>
    <w:p w14:paraId="1BE3ED7B">
      <w:pPr>
        <w:pageBreakBefore w:val="0"/>
        <w:kinsoku/>
        <w:overflowPunct/>
        <w:autoSpaceDE/>
        <w:autoSpaceDN/>
        <w:bidi w:val="0"/>
        <w:adjustRightIn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31.3 签订合同后，中标人不得将货物及其他相关服务进行转包和分包</w:t>
      </w:r>
      <w:r>
        <w:rPr>
          <w:rFonts w:hint="eastAsia" w:ascii="宋体" w:hAnsi="宋体" w:eastAsia="宋体" w:cs="宋体"/>
          <w:color w:val="auto"/>
          <w:sz w:val="24"/>
          <w:szCs w:val="24"/>
          <w:highlight w:val="none"/>
        </w:rPr>
        <w:t>。</w:t>
      </w:r>
    </w:p>
    <w:p w14:paraId="02C5A00C">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32、履约保证金</w:t>
      </w:r>
    </w:p>
    <w:p w14:paraId="4D4B1212">
      <w:pPr>
        <w:pStyle w:val="83"/>
        <w:pageBreakBefore w:val="0"/>
        <w:kinsoku/>
        <w:overflowPunct/>
        <w:autoSpaceDE/>
        <w:autoSpaceDN/>
        <w:bidi w:val="0"/>
        <w:adjustRightInd/>
        <w:spacing w:line="360" w:lineRule="auto"/>
        <w:ind w:firstLine="500"/>
        <w:textAlignment w:val="auto"/>
        <w:rPr>
          <w:rFonts w:hint="eastAsia" w:ascii="宋体" w:hAnsi="宋体" w:eastAsia="宋体" w:cs="宋体"/>
          <w:color w:val="auto"/>
          <w:sz w:val="24"/>
          <w:szCs w:val="24"/>
          <w:highlight w:val="none"/>
        </w:rPr>
      </w:pPr>
      <w:r>
        <w:rPr>
          <w:rStyle w:val="120"/>
          <w:rFonts w:hint="eastAsia" w:ascii="宋体" w:hAnsi="宋体" w:eastAsia="宋体" w:cs="宋体"/>
          <w:color w:val="auto"/>
          <w:spacing w:val="7"/>
          <w:sz w:val="24"/>
          <w:szCs w:val="24"/>
          <w:highlight w:val="none"/>
        </w:rPr>
        <w:t>32.1 合同签订前，中标人向采购单位交付的履约保证金为合同总价款</w:t>
      </w:r>
      <w:r>
        <w:rPr>
          <w:rStyle w:val="120"/>
          <w:rFonts w:hint="eastAsia" w:ascii="宋体" w:hAnsi="宋体" w:eastAsia="宋体" w:cs="宋体"/>
          <w:color w:val="auto"/>
          <w:spacing w:val="7"/>
          <w:sz w:val="24"/>
          <w:szCs w:val="24"/>
          <w:highlight w:val="none"/>
          <w:lang w:val="en-US" w:eastAsia="zh-CN"/>
        </w:rPr>
        <w:t>2</w:t>
      </w:r>
      <w:r>
        <w:rPr>
          <w:rStyle w:val="120"/>
          <w:rFonts w:hint="eastAsia" w:ascii="宋体" w:hAnsi="宋体" w:eastAsia="宋体" w:cs="宋体"/>
          <w:color w:val="auto"/>
          <w:spacing w:val="7"/>
          <w:sz w:val="24"/>
          <w:szCs w:val="24"/>
          <w:highlight w:val="none"/>
        </w:rPr>
        <w:t>%。</w:t>
      </w:r>
      <w:bookmarkStart w:id="206" w:name="EB8c6891da72364e93a7598f4884fbe954"/>
      <w:bookmarkEnd w:id="206"/>
    </w:p>
    <w:p w14:paraId="1A257878">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32.2 履约保证金必须是人民币。</w:t>
      </w:r>
      <w:r>
        <w:rPr>
          <w:rFonts w:hint="eastAsia" w:ascii="宋体" w:hAnsi="宋体" w:eastAsia="宋体" w:cs="宋体"/>
          <w:color w:val="auto"/>
          <w:sz w:val="24"/>
          <w:szCs w:val="24"/>
          <w:highlight w:val="none"/>
        </w:rPr>
        <w:t>履约保证金应当以支票、汇票、本票或者金融机构、担保机构出具的保函等非现金形式提交。</w:t>
      </w:r>
    </w:p>
    <w:p w14:paraId="412F9F3B">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33、货物和服务的追加、减少和添购。</w:t>
      </w:r>
    </w:p>
    <w:p w14:paraId="014C9B51">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7F2E14B0">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33.2采购结束后，采购人若由于各种客观原因，必须对采购项目所牵涉的货物和服务进行适当的减少时，在双方协商一致的前提下，可以按照招标采购时的价格水平做相应的调减，并据此签订补充合同。</w:t>
      </w:r>
    </w:p>
    <w:p w14:paraId="29B192D6">
      <w:pPr>
        <w:keepNext/>
        <w:keepLines/>
        <w:pageBreakBefore w:val="0"/>
        <w:kinsoku/>
        <w:overflowPunct/>
        <w:autoSpaceDE/>
        <w:autoSpaceDN/>
        <w:bidi w:val="0"/>
        <w:adjustRightInd/>
        <w:spacing w:line="360" w:lineRule="auto"/>
        <w:ind w:firstLine="560"/>
        <w:textAlignment w:val="auto"/>
        <w:outlineLvl w:val="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34、监督和公证</w:t>
      </w:r>
    </w:p>
    <w:p w14:paraId="5E4E1E66">
      <w:pPr>
        <w:pageBreakBefore w:val="0"/>
        <w:kinsoku/>
        <w:overflowPunct/>
        <w:autoSpaceDE/>
        <w:autoSpaceDN/>
        <w:bidi w:val="0"/>
        <w:adjustRightIn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34.1政府有关监督部门将对投标全过程进行监督。</w:t>
      </w:r>
      <w:bookmarkStart w:id="207" w:name="EB0f9f45dd5e234a13a81c333deb906690"/>
    </w:p>
    <w:bookmarkEnd w:id="207"/>
    <w:p w14:paraId="7C451389">
      <w:pPr>
        <w:pStyle w:val="14"/>
        <w:pageBreakBefore/>
        <w:spacing w:line="360" w:lineRule="auto"/>
        <w:rPr>
          <w:rFonts w:hint="eastAsia" w:ascii="宋体" w:hAnsi="宋体" w:eastAsia="宋体" w:cs="宋体"/>
          <w:color w:val="auto"/>
          <w:highlight w:val="none"/>
        </w:rPr>
      </w:pPr>
      <w:bookmarkStart w:id="208" w:name="_Toc28207"/>
      <w:r>
        <w:rPr>
          <w:rFonts w:hint="eastAsia" w:ascii="宋体" w:hAnsi="宋体" w:eastAsia="宋体" w:cs="宋体"/>
          <w:color w:val="auto"/>
          <w:highlight w:val="none"/>
        </w:rPr>
        <w:t>第三章 合同条款及</w:t>
      </w:r>
      <w:bookmarkEnd w:id="42"/>
      <w:bookmarkEnd w:id="43"/>
      <w:bookmarkEnd w:id="44"/>
      <w:bookmarkEnd w:id="45"/>
      <w:bookmarkEnd w:id="46"/>
      <w:r>
        <w:rPr>
          <w:rFonts w:hint="eastAsia" w:ascii="宋体" w:hAnsi="宋体" w:eastAsia="宋体" w:cs="宋体"/>
          <w:color w:val="auto"/>
          <w:highlight w:val="none"/>
        </w:rPr>
        <w:t>格式</w:t>
      </w:r>
      <w:bookmarkEnd w:id="47"/>
      <w:bookmarkEnd w:id="48"/>
      <w:bookmarkEnd w:id="49"/>
      <w:bookmarkEnd w:id="208"/>
    </w:p>
    <w:p w14:paraId="57AEDB1C">
      <w:pPr>
        <w:rPr>
          <w:rFonts w:hint="eastAsia" w:ascii="宋体" w:hAnsi="宋体" w:eastAsia="宋体" w:cs="宋体"/>
          <w:color w:val="auto"/>
          <w:highlight w:val="none"/>
        </w:rPr>
      </w:pPr>
      <w:bookmarkStart w:id="209" w:name="EB445c3bd035294764b52dfc379b7b9568"/>
    </w:p>
    <w:p w14:paraId="77243CA7">
      <w:pPr>
        <w:pStyle w:val="28"/>
        <w:spacing w:after="200"/>
        <w:ind w:firstLine="480"/>
        <w:rPr>
          <w:rStyle w:val="16"/>
          <w:rFonts w:hint="eastAsia" w:ascii="宋体" w:hAnsi="宋体" w:eastAsia="宋体" w:cs="宋体"/>
          <w:bCs/>
          <w:color w:val="auto"/>
          <w:sz w:val="24"/>
          <w:highlight w:val="none"/>
        </w:rPr>
      </w:pPr>
      <w:r>
        <w:rPr>
          <w:rStyle w:val="16"/>
          <w:rFonts w:hint="eastAsia" w:ascii="宋体" w:hAnsi="宋体" w:eastAsia="宋体" w:cs="宋体"/>
          <w:bCs/>
          <w:color w:val="auto"/>
          <w:sz w:val="24"/>
          <w:highlight w:val="none"/>
        </w:rPr>
        <w:t>以下为中标(成交)后签定本项目合同的通用条款，中标(成交)供应商不得提出实质性的修改。</w:t>
      </w:r>
    </w:p>
    <w:p w14:paraId="7EAD172C">
      <w:pPr>
        <w:pStyle w:val="28"/>
        <w:spacing w:after="200"/>
        <w:ind w:firstLine="643"/>
        <w:jc w:val="center"/>
        <w:rPr>
          <w:rStyle w:val="16"/>
          <w:rFonts w:hint="eastAsia" w:ascii="宋体" w:hAnsi="宋体" w:eastAsia="宋体" w:cs="宋体"/>
          <w:b/>
          <w:bCs/>
          <w:color w:val="auto"/>
          <w:sz w:val="32"/>
          <w:szCs w:val="32"/>
          <w:highlight w:val="none"/>
        </w:rPr>
      </w:pPr>
      <w:r>
        <w:rPr>
          <w:rStyle w:val="16"/>
          <w:rFonts w:hint="eastAsia" w:ascii="宋体" w:hAnsi="宋体" w:eastAsia="宋体" w:cs="宋体"/>
          <w:b/>
          <w:bCs/>
          <w:color w:val="auto"/>
          <w:sz w:val="32"/>
          <w:szCs w:val="32"/>
          <w:highlight w:val="none"/>
        </w:rPr>
        <w:t>张家港市政府采购合同</w:t>
      </w:r>
    </w:p>
    <w:p w14:paraId="50F22CCE">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项目名称：</w:t>
      </w:r>
      <w:bookmarkStart w:id="210" w:name="biaoduanname_1"/>
      <w:r>
        <w:rPr>
          <w:rStyle w:val="16"/>
          <w:rFonts w:hint="eastAsia" w:ascii="宋体" w:hAnsi="宋体" w:eastAsia="宋体" w:cs="宋体"/>
          <w:color w:val="auto"/>
          <w:sz w:val="24"/>
          <w:szCs w:val="24"/>
          <w:highlight w:val="none"/>
        </w:rPr>
        <w:t xml:space="preserve">             </w:t>
      </w:r>
      <w:bookmarkEnd w:id="210"/>
      <w:r>
        <w:rPr>
          <w:rStyle w:val="16"/>
          <w:rFonts w:hint="eastAsia" w:ascii="宋体" w:hAnsi="宋体" w:eastAsia="宋体" w:cs="宋体"/>
          <w:color w:val="auto"/>
          <w:sz w:val="24"/>
          <w:szCs w:val="24"/>
          <w:highlight w:val="none"/>
        </w:rPr>
        <w:t xml:space="preserve">               项目编号：</w:t>
      </w:r>
      <w:bookmarkStart w:id="211" w:name="projectno"/>
      <w:r>
        <w:rPr>
          <w:rStyle w:val="16"/>
          <w:rFonts w:hint="eastAsia" w:ascii="宋体" w:hAnsi="宋体" w:eastAsia="宋体" w:cs="宋体"/>
          <w:color w:val="auto"/>
          <w:sz w:val="24"/>
          <w:szCs w:val="24"/>
          <w:highlight w:val="none"/>
        </w:rPr>
        <w:t xml:space="preserve">           </w:t>
      </w:r>
      <w:bookmarkEnd w:id="211"/>
    </w:p>
    <w:p w14:paraId="1C33E754">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甲方：（买方）</w:t>
      </w:r>
      <w:r>
        <w:rPr>
          <w:rStyle w:val="16"/>
          <w:rFonts w:hint="eastAsia" w:ascii="宋体" w:hAnsi="宋体" w:eastAsia="宋体" w:cs="宋体"/>
          <w:color w:val="auto"/>
          <w:sz w:val="24"/>
          <w:szCs w:val="24"/>
          <w:highlight w:val="none"/>
          <w:u w:val="single"/>
        </w:rPr>
        <w:t xml:space="preserve"> </w:t>
      </w:r>
      <w:bookmarkStart w:id="212" w:name="jianshedanwei_1"/>
      <w:r>
        <w:rPr>
          <w:rStyle w:val="16"/>
          <w:rFonts w:hint="eastAsia" w:ascii="宋体" w:hAnsi="宋体" w:eastAsia="宋体" w:cs="宋体"/>
          <w:color w:val="auto"/>
          <w:sz w:val="24"/>
          <w:szCs w:val="24"/>
          <w:highlight w:val="none"/>
          <w:u w:val="single"/>
        </w:rPr>
        <w:t xml:space="preserve">        </w:t>
      </w:r>
      <w:bookmarkEnd w:id="212"/>
      <w:r>
        <w:rPr>
          <w:rStyle w:val="16"/>
          <w:rFonts w:hint="eastAsia" w:ascii="宋体" w:hAnsi="宋体" w:eastAsia="宋体" w:cs="宋体"/>
          <w:color w:val="auto"/>
          <w:sz w:val="24"/>
          <w:szCs w:val="24"/>
          <w:highlight w:val="none"/>
          <w:u w:val="single"/>
        </w:rPr>
        <w:t xml:space="preserve"> </w:t>
      </w:r>
    </w:p>
    <w:p w14:paraId="3E80B923">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乙方：（卖方）</w:t>
      </w:r>
      <w:r>
        <w:rPr>
          <w:rStyle w:val="16"/>
          <w:rFonts w:hint="eastAsia" w:ascii="宋体" w:hAnsi="宋体" w:eastAsia="宋体" w:cs="宋体"/>
          <w:color w:val="auto"/>
          <w:sz w:val="24"/>
          <w:szCs w:val="24"/>
          <w:highlight w:val="none"/>
          <w:u w:val="single"/>
        </w:rPr>
        <w:t xml:space="preserve"> </w:t>
      </w:r>
      <w:bookmarkStart w:id="213" w:name="zhongbiaodanweiname_1"/>
      <w:r>
        <w:rPr>
          <w:rStyle w:val="16"/>
          <w:rFonts w:hint="eastAsia" w:ascii="宋体" w:hAnsi="宋体" w:eastAsia="宋体" w:cs="宋体"/>
          <w:color w:val="auto"/>
          <w:sz w:val="24"/>
          <w:szCs w:val="24"/>
          <w:highlight w:val="none"/>
          <w:u w:val="single"/>
        </w:rPr>
        <w:t xml:space="preserve">          </w:t>
      </w:r>
      <w:bookmarkEnd w:id="213"/>
      <w:r>
        <w:rPr>
          <w:rStyle w:val="16"/>
          <w:rFonts w:hint="eastAsia" w:ascii="宋体" w:hAnsi="宋体" w:eastAsia="宋体" w:cs="宋体"/>
          <w:color w:val="auto"/>
          <w:sz w:val="24"/>
          <w:szCs w:val="24"/>
          <w:highlight w:val="none"/>
          <w:u w:val="single"/>
        </w:rPr>
        <w:t xml:space="preserve"> </w:t>
      </w:r>
    </w:p>
    <w:p w14:paraId="2B751E13">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color w:val="auto"/>
          <w:sz w:val="24"/>
          <w:szCs w:val="24"/>
          <w:highlight w:val="none"/>
        </w:rPr>
        <w:t>甲、乙双方根据</w:t>
      </w:r>
      <w:permStart w:id="0" w:edGrp="everyone"/>
      <w:r>
        <w:rPr>
          <w:rStyle w:val="16"/>
          <w:rFonts w:hint="eastAsia" w:ascii="宋体" w:hAnsi="宋体" w:eastAsia="宋体" w:cs="宋体"/>
          <w:color w:val="auto"/>
          <w:sz w:val="24"/>
          <w:szCs w:val="24"/>
          <w:highlight w:val="none"/>
        </w:rPr>
        <w:t>张家港市金浩源招投标代理有限公司</w:t>
      </w:r>
      <w:permEnd w:id="0"/>
      <w:r>
        <w:rPr>
          <w:rStyle w:val="16"/>
          <w:rFonts w:hint="eastAsia" w:ascii="宋体" w:hAnsi="宋体" w:eastAsia="宋体" w:cs="宋体"/>
          <w:color w:val="auto"/>
          <w:sz w:val="24"/>
          <w:szCs w:val="24"/>
          <w:highlight w:val="none"/>
          <w:u w:val="single"/>
        </w:rPr>
        <w:t xml:space="preserve"> </w:t>
      </w:r>
      <w:bookmarkStart w:id="214" w:name="biaoduanname_2"/>
      <w:r>
        <w:rPr>
          <w:rStyle w:val="16"/>
          <w:rFonts w:hint="eastAsia" w:ascii="宋体" w:hAnsi="宋体" w:eastAsia="宋体" w:cs="宋体"/>
          <w:color w:val="auto"/>
          <w:sz w:val="24"/>
          <w:szCs w:val="24"/>
          <w:highlight w:val="none"/>
          <w:u w:val="single"/>
        </w:rPr>
        <w:t xml:space="preserve">    </w:t>
      </w:r>
      <w:bookmarkEnd w:id="214"/>
      <w:r>
        <w:rPr>
          <w:rStyle w:val="16"/>
          <w:rFonts w:hint="eastAsia" w:ascii="宋体" w:hAnsi="宋体" w:eastAsia="宋体" w:cs="宋体"/>
          <w:color w:val="auto"/>
          <w:sz w:val="24"/>
          <w:szCs w:val="24"/>
          <w:highlight w:val="none"/>
          <w:u w:val="single"/>
        </w:rPr>
        <w:t xml:space="preserve"> </w:t>
      </w:r>
      <w:r>
        <w:rPr>
          <w:rStyle w:val="16"/>
          <w:rFonts w:hint="eastAsia" w:ascii="宋体" w:hAnsi="宋体" w:eastAsia="宋体" w:cs="宋体"/>
          <w:color w:val="auto"/>
          <w:sz w:val="24"/>
          <w:szCs w:val="24"/>
          <w:highlight w:val="none"/>
        </w:rPr>
        <w:t>项目公开招标的结果，签署本合同。</w:t>
      </w:r>
    </w:p>
    <w:p w14:paraId="60FD75B4">
      <w:pPr>
        <w:pStyle w:val="28"/>
        <w:keepNext w:val="0"/>
        <w:keepLines w:val="0"/>
        <w:pageBreakBefore w:val="0"/>
        <w:kinsoku/>
        <w:wordWrap/>
        <w:overflowPunct/>
        <w:topLinePunct w:val="0"/>
        <w:bidi w:val="0"/>
        <w:snapToGrid w:val="0"/>
        <w:spacing w:line="360" w:lineRule="auto"/>
        <w:ind w:firstLine="482"/>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b/>
          <w:bCs/>
          <w:color w:val="auto"/>
          <w:sz w:val="24"/>
          <w:szCs w:val="24"/>
          <w:highlight w:val="none"/>
        </w:rPr>
        <w:t>一、服务内容</w:t>
      </w:r>
    </w:p>
    <w:tbl>
      <w:tblPr>
        <w:tblStyle w:val="15"/>
        <w:tblW w:w="7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723"/>
        <w:gridCol w:w="2722"/>
        <w:gridCol w:w="2475"/>
      </w:tblGrid>
      <w:tr w14:paraId="4A52AE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521" w:hRule="atLeast"/>
          <w:jc w:val="center"/>
        </w:trPr>
        <w:tc>
          <w:tcPr>
            <w:tcW w:w="2723" w:type="dxa"/>
            <w:tcBorders>
              <w:top w:val="single" w:color="auto" w:sz="4" w:space="0"/>
              <w:left w:val="single" w:color="auto" w:sz="4" w:space="0"/>
              <w:bottom w:val="single" w:color="auto" w:sz="4" w:space="0"/>
              <w:right w:val="single" w:color="auto" w:sz="4" w:space="0"/>
            </w:tcBorders>
            <w:noWrap w:val="0"/>
            <w:vAlign w:val="center"/>
          </w:tcPr>
          <w:p w14:paraId="0B4A0EEA">
            <w:pPr>
              <w:pStyle w:val="28"/>
              <w:keepNext w:val="0"/>
              <w:keepLines w:val="0"/>
              <w:pageBreakBefore w:val="0"/>
              <w:widowControl w:val="0"/>
              <w:kinsoku/>
              <w:wordWrap/>
              <w:overflowPunct/>
              <w:topLinePunct w:val="0"/>
              <w:bidi w:val="0"/>
              <w:spacing w:line="360" w:lineRule="auto"/>
              <w:ind w:firstLine="0" w:firstLineChars="0"/>
              <w:jc w:val="center"/>
              <w:textAlignment w:val="auto"/>
              <w:rPr>
                <w:rStyle w:val="16"/>
                <w:rFonts w:hint="eastAsia" w:ascii="宋体" w:hAnsi="宋体" w:eastAsia="宋体" w:cs="宋体"/>
                <w:color w:val="auto"/>
                <w:kern w:val="2"/>
                <w:sz w:val="24"/>
                <w:szCs w:val="24"/>
                <w:highlight w:val="none"/>
              </w:rPr>
            </w:pPr>
            <w:r>
              <w:rPr>
                <w:rStyle w:val="16"/>
                <w:rFonts w:hint="eastAsia" w:ascii="宋体" w:hAnsi="宋体" w:eastAsia="宋体" w:cs="宋体"/>
                <w:color w:val="auto"/>
                <w:kern w:val="2"/>
                <w:sz w:val="24"/>
                <w:szCs w:val="24"/>
                <w:highlight w:val="none"/>
              </w:rPr>
              <w:t>项目名称</w:t>
            </w:r>
          </w:p>
        </w:tc>
        <w:tc>
          <w:tcPr>
            <w:tcW w:w="2722" w:type="dxa"/>
            <w:tcBorders>
              <w:top w:val="single" w:color="auto" w:sz="4" w:space="0"/>
              <w:left w:val="single" w:color="auto" w:sz="4" w:space="0"/>
              <w:bottom w:val="single" w:color="auto" w:sz="4" w:space="0"/>
              <w:right w:val="single" w:color="auto" w:sz="4" w:space="0"/>
            </w:tcBorders>
            <w:noWrap w:val="0"/>
            <w:vAlign w:val="center"/>
          </w:tcPr>
          <w:p w14:paraId="710E511E">
            <w:pPr>
              <w:pStyle w:val="28"/>
              <w:keepNext w:val="0"/>
              <w:keepLines w:val="0"/>
              <w:pageBreakBefore w:val="0"/>
              <w:widowControl w:val="0"/>
              <w:kinsoku/>
              <w:wordWrap/>
              <w:overflowPunct/>
              <w:topLinePunct w:val="0"/>
              <w:bidi w:val="0"/>
              <w:spacing w:line="360" w:lineRule="auto"/>
              <w:ind w:firstLine="480" w:firstLineChars="200"/>
              <w:jc w:val="center"/>
              <w:textAlignment w:val="auto"/>
              <w:rPr>
                <w:rStyle w:val="16"/>
                <w:rFonts w:hint="eastAsia" w:ascii="宋体" w:hAnsi="宋体" w:eastAsia="宋体" w:cs="宋体"/>
                <w:color w:val="auto"/>
                <w:kern w:val="2"/>
                <w:sz w:val="24"/>
                <w:szCs w:val="24"/>
                <w:highlight w:val="none"/>
              </w:rPr>
            </w:pPr>
            <w:r>
              <w:rPr>
                <w:rStyle w:val="16"/>
                <w:rFonts w:hint="eastAsia" w:ascii="宋体" w:hAnsi="宋体" w:eastAsia="宋体" w:cs="宋体"/>
                <w:color w:val="auto"/>
                <w:kern w:val="2"/>
                <w:sz w:val="24"/>
                <w:szCs w:val="24"/>
                <w:highlight w:val="none"/>
                <w:lang w:val="en-US" w:eastAsia="zh-CN" w:bidi="ar-SA"/>
              </w:rPr>
              <w:t>总价（元）</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53D8B3D6">
            <w:pPr>
              <w:pStyle w:val="28"/>
              <w:keepNext w:val="0"/>
              <w:keepLines w:val="0"/>
              <w:pageBreakBefore w:val="0"/>
              <w:widowControl w:val="0"/>
              <w:kinsoku/>
              <w:wordWrap/>
              <w:overflowPunct/>
              <w:topLinePunct w:val="0"/>
              <w:bidi w:val="0"/>
              <w:spacing w:line="360" w:lineRule="auto"/>
              <w:ind w:firstLine="480" w:firstLineChars="200"/>
              <w:jc w:val="center"/>
              <w:textAlignment w:val="auto"/>
              <w:rPr>
                <w:rStyle w:val="16"/>
                <w:rFonts w:hint="eastAsia" w:ascii="宋体" w:hAnsi="宋体" w:eastAsia="宋体" w:cs="宋体"/>
                <w:color w:val="auto"/>
                <w:kern w:val="2"/>
                <w:sz w:val="24"/>
                <w:szCs w:val="24"/>
                <w:highlight w:val="none"/>
              </w:rPr>
            </w:pPr>
            <w:r>
              <w:rPr>
                <w:rStyle w:val="16"/>
                <w:rFonts w:hint="eastAsia" w:ascii="宋体" w:hAnsi="宋体" w:eastAsia="宋体" w:cs="宋体"/>
                <w:color w:val="auto"/>
                <w:kern w:val="2"/>
                <w:sz w:val="24"/>
                <w:szCs w:val="24"/>
                <w:highlight w:val="none"/>
                <w:lang w:val="en-US" w:eastAsia="zh-CN" w:bidi="ar-SA"/>
              </w:rPr>
              <w:t>备注</w:t>
            </w:r>
          </w:p>
        </w:tc>
      </w:tr>
      <w:tr w14:paraId="67BF06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jc w:val="center"/>
        </w:trPr>
        <w:tc>
          <w:tcPr>
            <w:tcW w:w="2723" w:type="dxa"/>
            <w:tcBorders>
              <w:top w:val="single" w:color="auto" w:sz="4" w:space="0"/>
              <w:left w:val="single" w:color="auto" w:sz="4" w:space="0"/>
              <w:bottom w:val="single" w:color="auto" w:sz="4" w:space="0"/>
              <w:right w:val="single" w:color="auto" w:sz="4" w:space="0"/>
            </w:tcBorders>
            <w:noWrap w:val="0"/>
            <w:vAlign w:val="center"/>
          </w:tcPr>
          <w:p w14:paraId="653D42B9">
            <w:pPr>
              <w:pStyle w:val="28"/>
              <w:keepNext w:val="0"/>
              <w:keepLines w:val="0"/>
              <w:pageBreakBefore w:val="0"/>
              <w:widowControl w:val="0"/>
              <w:kinsoku/>
              <w:wordWrap/>
              <w:overflowPunct/>
              <w:topLinePunct w:val="0"/>
              <w:bidi w:val="0"/>
              <w:spacing w:line="360" w:lineRule="auto"/>
              <w:ind w:firstLine="0" w:firstLineChars="0"/>
              <w:jc w:val="both"/>
              <w:textAlignment w:val="auto"/>
              <w:rPr>
                <w:rStyle w:val="16"/>
                <w:rFonts w:hint="eastAsia" w:ascii="宋体" w:hAnsi="宋体" w:eastAsia="宋体" w:cs="宋体"/>
                <w:color w:val="auto"/>
                <w:kern w:val="2"/>
                <w:sz w:val="24"/>
                <w:szCs w:val="24"/>
                <w:highlight w:val="none"/>
              </w:rPr>
            </w:pPr>
            <w:r>
              <w:rPr>
                <w:rStyle w:val="16"/>
                <w:rFonts w:hint="eastAsia" w:ascii="宋体" w:hAnsi="宋体" w:eastAsia="宋体" w:cs="宋体"/>
                <w:color w:val="auto"/>
                <w:kern w:val="2"/>
                <w:sz w:val="24"/>
                <w:szCs w:val="24"/>
                <w:highlight w:val="none"/>
              </w:rPr>
              <w:t xml:space="preserve">   </w:t>
            </w:r>
            <w:bookmarkStart w:id="215" w:name="biaoduanname_3"/>
            <w:r>
              <w:rPr>
                <w:rStyle w:val="16"/>
                <w:rFonts w:hint="eastAsia" w:ascii="宋体" w:hAnsi="宋体" w:eastAsia="宋体" w:cs="宋体"/>
                <w:color w:val="auto"/>
                <w:kern w:val="2"/>
                <w:sz w:val="24"/>
                <w:szCs w:val="24"/>
                <w:highlight w:val="none"/>
              </w:rPr>
              <w:t xml:space="preserve">         </w:t>
            </w:r>
            <w:bookmarkEnd w:id="215"/>
            <w:r>
              <w:rPr>
                <w:rStyle w:val="16"/>
                <w:rFonts w:hint="eastAsia" w:ascii="宋体" w:hAnsi="宋体" w:eastAsia="宋体" w:cs="宋体"/>
                <w:color w:val="auto"/>
                <w:kern w:val="2"/>
                <w:sz w:val="24"/>
                <w:szCs w:val="24"/>
                <w:highlight w:val="none"/>
              </w:rPr>
              <w:t xml:space="preserve">   </w:t>
            </w:r>
          </w:p>
        </w:tc>
        <w:tc>
          <w:tcPr>
            <w:tcW w:w="2722" w:type="dxa"/>
            <w:tcBorders>
              <w:top w:val="single" w:color="auto" w:sz="4" w:space="0"/>
              <w:left w:val="single" w:color="auto" w:sz="4" w:space="0"/>
              <w:bottom w:val="single" w:color="auto" w:sz="4" w:space="0"/>
              <w:right w:val="single" w:color="auto" w:sz="4" w:space="0"/>
            </w:tcBorders>
            <w:noWrap w:val="0"/>
            <w:vAlign w:val="center"/>
          </w:tcPr>
          <w:p w14:paraId="08E1D549">
            <w:pPr>
              <w:pStyle w:val="28"/>
              <w:keepNext w:val="0"/>
              <w:keepLines w:val="0"/>
              <w:pageBreakBefore w:val="0"/>
              <w:widowControl w:val="0"/>
              <w:kinsoku/>
              <w:wordWrap/>
              <w:overflowPunct/>
              <w:topLinePunct w:val="0"/>
              <w:bidi w:val="0"/>
              <w:spacing w:line="360" w:lineRule="auto"/>
              <w:ind w:firstLine="0" w:firstLineChars="0"/>
              <w:jc w:val="both"/>
              <w:textAlignment w:val="auto"/>
              <w:rPr>
                <w:rStyle w:val="16"/>
                <w:rFonts w:hint="eastAsia" w:ascii="宋体" w:hAnsi="宋体" w:eastAsia="宋体" w:cs="宋体"/>
                <w:color w:val="auto"/>
                <w:kern w:val="2"/>
                <w:sz w:val="24"/>
                <w:szCs w:val="24"/>
                <w:highlight w:val="none"/>
              </w:rPr>
            </w:pPr>
            <w:r>
              <w:rPr>
                <w:rStyle w:val="16"/>
                <w:rFonts w:hint="eastAsia" w:ascii="宋体" w:hAnsi="宋体" w:eastAsia="宋体" w:cs="宋体"/>
                <w:color w:val="auto"/>
                <w:kern w:val="2"/>
                <w:sz w:val="24"/>
                <w:szCs w:val="24"/>
                <w:highlight w:val="none"/>
              </w:rPr>
              <w:t xml:space="preserve">   </w:t>
            </w:r>
            <w:bookmarkStart w:id="216" w:name="zhongbiaopricelow_1"/>
            <w:r>
              <w:rPr>
                <w:rStyle w:val="16"/>
                <w:rFonts w:hint="eastAsia" w:ascii="宋体" w:hAnsi="宋体" w:eastAsia="宋体" w:cs="宋体"/>
                <w:color w:val="auto"/>
                <w:kern w:val="2"/>
                <w:sz w:val="24"/>
                <w:szCs w:val="24"/>
                <w:highlight w:val="none"/>
              </w:rPr>
              <w:t xml:space="preserve">         </w:t>
            </w:r>
            <w:bookmarkEnd w:id="216"/>
            <w:r>
              <w:rPr>
                <w:rStyle w:val="16"/>
                <w:rFonts w:hint="eastAsia" w:ascii="宋体" w:hAnsi="宋体" w:eastAsia="宋体" w:cs="宋体"/>
                <w:color w:val="auto"/>
                <w:kern w:val="2"/>
                <w:sz w:val="24"/>
                <w:szCs w:val="24"/>
                <w:highlight w:val="none"/>
              </w:rPr>
              <w:t xml:space="preserve">    </w:t>
            </w:r>
          </w:p>
        </w:tc>
        <w:tc>
          <w:tcPr>
            <w:tcW w:w="2475" w:type="dxa"/>
            <w:tcBorders>
              <w:top w:val="single" w:color="auto" w:sz="4" w:space="0"/>
              <w:left w:val="single" w:color="auto" w:sz="4" w:space="0"/>
              <w:bottom w:val="single" w:color="auto" w:sz="4" w:space="0"/>
              <w:right w:val="single" w:color="auto" w:sz="4" w:space="0"/>
            </w:tcBorders>
            <w:noWrap w:val="0"/>
            <w:vAlign w:val="center"/>
          </w:tcPr>
          <w:p w14:paraId="1778BBDB">
            <w:pPr>
              <w:pStyle w:val="28"/>
              <w:keepNext w:val="0"/>
              <w:keepLines w:val="0"/>
              <w:pageBreakBefore w:val="0"/>
              <w:widowControl w:val="0"/>
              <w:kinsoku/>
              <w:wordWrap/>
              <w:overflowPunct/>
              <w:topLinePunct w:val="0"/>
              <w:bidi w:val="0"/>
              <w:spacing w:line="360" w:lineRule="auto"/>
              <w:ind w:firstLine="0" w:firstLineChars="0"/>
              <w:jc w:val="both"/>
              <w:textAlignment w:val="auto"/>
              <w:rPr>
                <w:rStyle w:val="16"/>
                <w:rFonts w:hint="eastAsia" w:ascii="宋体" w:hAnsi="宋体" w:eastAsia="宋体" w:cs="宋体"/>
                <w:color w:val="auto"/>
                <w:kern w:val="2"/>
                <w:sz w:val="24"/>
                <w:szCs w:val="24"/>
                <w:highlight w:val="none"/>
              </w:rPr>
            </w:pPr>
            <w:r>
              <w:rPr>
                <w:rStyle w:val="16"/>
                <w:rFonts w:hint="eastAsia" w:ascii="宋体" w:hAnsi="宋体" w:eastAsia="宋体" w:cs="宋体"/>
                <w:color w:val="auto"/>
                <w:kern w:val="2"/>
                <w:sz w:val="24"/>
                <w:szCs w:val="24"/>
                <w:highlight w:val="none"/>
              </w:rPr>
              <w:t xml:space="preserve">  </w:t>
            </w:r>
            <w:bookmarkStart w:id="217" w:name="fuwuneirong"/>
            <w:r>
              <w:rPr>
                <w:rStyle w:val="16"/>
                <w:rFonts w:hint="eastAsia" w:ascii="宋体" w:hAnsi="宋体" w:eastAsia="宋体" w:cs="宋体"/>
                <w:color w:val="auto"/>
                <w:kern w:val="2"/>
                <w:sz w:val="24"/>
                <w:szCs w:val="24"/>
                <w:highlight w:val="none"/>
              </w:rPr>
              <w:t xml:space="preserve">        </w:t>
            </w:r>
            <w:bookmarkEnd w:id="217"/>
            <w:r>
              <w:rPr>
                <w:rStyle w:val="16"/>
                <w:rFonts w:hint="eastAsia" w:ascii="宋体" w:hAnsi="宋体" w:eastAsia="宋体" w:cs="宋体"/>
                <w:color w:val="auto"/>
                <w:kern w:val="2"/>
                <w:sz w:val="24"/>
                <w:szCs w:val="24"/>
                <w:highlight w:val="none"/>
              </w:rPr>
              <w:t xml:space="preserve">   </w:t>
            </w:r>
          </w:p>
        </w:tc>
      </w:tr>
    </w:tbl>
    <w:p w14:paraId="4BA08F4F">
      <w:pPr>
        <w:pStyle w:val="28"/>
        <w:keepNext w:val="0"/>
        <w:keepLines w:val="0"/>
        <w:pageBreakBefore w:val="0"/>
        <w:kinsoku/>
        <w:wordWrap/>
        <w:overflowPunct/>
        <w:topLinePunct w:val="0"/>
        <w:bidi w:val="0"/>
        <w:adjustRightInd w:val="0"/>
        <w:snapToGrid w:val="0"/>
        <w:spacing w:line="360" w:lineRule="auto"/>
        <w:ind w:firstLine="472" w:firstLineChars="196"/>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b/>
          <w:bCs/>
          <w:color w:val="auto"/>
          <w:sz w:val="24"/>
          <w:szCs w:val="24"/>
          <w:highlight w:val="none"/>
        </w:rPr>
        <w:t>二、合同金额</w:t>
      </w:r>
    </w:p>
    <w:p w14:paraId="73D40524">
      <w:pPr>
        <w:pStyle w:val="28"/>
        <w:keepNext w:val="0"/>
        <w:keepLines w:val="0"/>
        <w:pageBreakBefore w:val="0"/>
        <w:kinsoku/>
        <w:wordWrap/>
        <w:overflowPunct/>
        <w:topLinePunct w:val="0"/>
        <w:bidi w:val="0"/>
        <w:adjustRightInd w:val="0"/>
        <w:snapToGrid w:val="0"/>
        <w:spacing w:line="360" w:lineRule="auto"/>
        <w:ind w:firstLine="480"/>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color w:val="auto"/>
          <w:sz w:val="24"/>
          <w:szCs w:val="24"/>
          <w:highlight w:val="none"/>
        </w:rPr>
        <w:t>2.1 本合同金额为（大写）：</w:t>
      </w:r>
      <w:r>
        <w:rPr>
          <w:rStyle w:val="16"/>
          <w:rFonts w:hint="eastAsia" w:ascii="宋体" w:hAnsi="宋体" w:eastAsia="宋体" w:cs="宋体"/>
          <w:color w:val="auto"/>
          <w:sz w:val="24"/>
          <w:szCs w:val="24"/>
          <w:highlight w:val="none"/>
          <w:u w:val="single"/>
        </w:rPr>
        <w:t xml:space="preserve"> </w:t>
      </w:r>
      <w:bookmarkStart w:id="218" w:name="zhongbiaopriceup"/>
      <w:r>
        <w:rPr>
          <w:rStyle w:val="16"/>
          <w:rFonts w:hint="eastAsia" w:ascii="宋体" w:hAnsi="宋体" w:eastAsia="宋体" w:cs="宋体"/>
          <w:color w:val="auto"/>
          <w:sz w:val="24"/>
          <w:szCs w:val="24"/>
          <w:highlight w:val="none"/>
          <w:u w:val="single"/>
        </w:rPr>
        <w:t xml:space="preserve">                            </w:t>
      </w:r>
      <w:bookmarkEnd w:id="218"/>
      <w:r>
        <w:rPr>
          <w:rStyle w:val="16"/>
          <w:rFonts w:hint="eastAsia" w:ascii="宋体" w:hAnsi="宋体" w:eastAsia="宋体" w:cs="宋体"/>
          <w:color w:val="auto"/>
          <w:sz w:val="24"/>
          <w:szCs w:val="24"/>
          <w:highlight w:val="none"/>
          <w:u w:val="single"/>
        </w:rPr>
        <w:t xml:space="preserve"> </w:t>
      </w:r>
      <w:r>
        <w:rPr>
          <w:rStyle w:val="16"/>
          <w:rFonts w:hint="eastAsia" w:ascii="宋体" w:hAnsi="宋体" w:eastAsia="宋体" w:cs="宋体"/>
          <w:color w:val="auto"/>
          <w:sz w:val="24"/>
          <w:szCs w:val="24"/>
          <w:highlight w:val="none"/>
        </w:rPr>
        <w:t>元（</w:t>
      </w:r>
      <w:r>
        <w:rPr>
          <w:rStyle w:val="16"/>
          <w:rFonts w:hint="eastAsia" w:ascii="宋体" w:hAnsi="宋体" w:eastAsia="宋体" w:cs="宋体"/>
          <w:color w:val="auto"/>
          <w:sz w:val="24"/>
          <w:szCs w:val="24"/>
          <w:highlight w:val="none"/>
          <w:u w:val="single"/>
        </w:rPr>
        <w:t xml:space="preserve"> </w:t>
      </w:r>
      <w:bookmarkStart w:id="219" w:name="zhongbiaopricelow_2"/>
      <w:r>
        <w:rPr>
          <w:rStyle w:val="16"/>
          <w:rFonts w:hint="eastAsia" w:ascii="宋体" w:hAnsi="宋体" w:eastAsia="宋体" w:cs="宋体"/>
          <w:color w:val="auto"/>
          <w:sz w:val="24"/>
          <w:szCs w:val="24"/>
          <w:highlight w:val="none"/>
          <w:u w:val="single"/>
        </w:rPr>
        <w:t xml:space="preserve">             </w:t>
      </w:r>
      <w:bookmarkEnd w:id="219"/>
      <w:r>
        <w:rPr>
          <w:rStyle w:val="16"/>
          <w:rFonts w:hint="eastAsia" w:ascii="宋体" w:hAnsi="宋体" w:eastAsia="宋体" w:cs="宋体"/>
          <w:color w:val="auto"/>
          <w:sz w:val="24"/>
          <w:szCs w:val="24"/>
          <w:highlight w:val="none"/>
          <w:u w:val="single"/>
        </w:rPr>
        <w:t xml:space="preserve"> </w:t>
      </w:r>
      <w:r>
        <w:rPr>
          <w:rStyle w:val="16"/>
          <w:rFonts w:hint="eastAsia" w:ascii="宋体" w:hAnsi="宋体" w:eastAsia="宋体" w:cs="宋体"/>
          <w:color w:val="auto"/>
          <w:sz w:val="24"/>
          <w:szCs w:val="24"/>
          <w:highlight w:val="none"/>
        </w:rPr>
        <w:t>元）人民币。</w:t>
      </w:r>
    </w:p>
    <w:p w14:paraId="617FC3B9">
      <w:pPr>
        <w:pStyle w:val="28"/>
        <w:keepNext w:val="0"/>
        <w:keepLines w:val="0"/>
        <w:pageBreakBefore w:val="0"/>
        <w:kinsoku/>
        <w:wordWrap/>
        <w:overflowPunct/>
        <w:topLinePunct w:val="0"/>
        <w:autoSpaceDE w:val="0"/>
        <w:autoSpaceDN w:val="0"/>
        <w:bidi w:val="0"/>
        <w:adjustRightInd w:val="0"/>
        <w:spacing w:line="360" w:lineRule="auto"/>
        <w:ind w:firstLine="480"/>
        <w:jc w:val="left"/>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7F4E59EA">
      <w:pPr>
        <w:pStyle w:val="28"/>
        <w:keepNext w:val="0"/>
        <w:keepLines w:val="0"/>
        <w:pageBreakBefore w:val="0"/>
        <w:kinsoku/>
        <w:wordWrap/>
        <w:overflowPunct/>
        <w:topLinePunct w:val="0"/>
        <w:bidi w:val="0"/>
        <w:snapToGrid w:val="0"/>
        <w:spacing w:line="360" w:lineRule="auto"/>
        <w:ind w:firstLine="482"/>
        <w:textAlignment w:val="auto"/>
        <w:rPr>
          <w:rStyle w:val="16"/>
          <w:rFonts w:hint="eastAsia" w:ascii="宋体" w:hAnsi="宋体" w:eastAsia="宋体" w:cs="宋体"/>
          <w:color w:val="auto"/>
          <w:sz w:val="24"/>
          <w:szCs w:val="24"/>
          <w:highlight w:val="none"/>
          <w:u w:val="single"/>
        </w:rPr>
      </w:pPr>
      <w:r>
        <w:rPr>
          <w:rStyle w:val="16"/>
          <w:rFonts w:hint="eastAsia" w:ascii="宋体" w:hAnsi="宋体" w:eastAsia="宋体" w:cs="宋体"/>
          <w:b/>
          <w:bCs/>
          <w:color w:val="auto"/>
          <w:sz w:val="24"/>
          <w:szCs w:val="24"/>
          <w:highlight w:val="none"/>
        </w:rPr>
        <w:t>三、履约保证金</w:t>
      </w:r>
    </w:p>
    <w:p w14:paraId="2F9C5815">
      <w:pPr>
        <w:pStyle w:val="28"/>
        <w:keepNext w:val="0"/>
        <w:keepLines w:val="0"/>
        <w:pageBreakBefore w:val="0"/>
        <w:kinsoku/>
        <w:wordWrap/>
        <w:overflowPunct/>
        <w:topLinePunct w:val="0"/>
        <w:bidi w:val="0"/>
        <w:spacing w:line="360" w:lineRule="auto"/>
        <w:ind w:firstLine="480"/>
        <w:textAlignment w:val="auto"/>
        <w:rPr>
          <w:rStyle w:val="16"/>
          <w:rFonts w:hint="eastAsia" w:ascii="宋体" w:hAnsi="宋体" w:eastAsia="宋体" w:cs="宋体"/>
          <w:strike/>
          <w:color w:val="auto"/>
          <w:sz w:val="24"/>
          <w:szCs w:val="24"/>
          <w:highlight w:val="none"/>
        </w:rPr>
      </w:pPr>
      <w:r>
        <w:rPr>
          <w:rStyle w:val="16"/>
          <w:rFonts w:hint="eastAsia" w:ascii="宋体" w:hAnsi="宋体" w:eastAsia="宋体" w:cs="宋体"/>
          <w:color w:val="auto"/>
          <w:sz w:val="24"/>
          <w:szCs w:val="24"/>
          <w:highlight w:val="none"/>
        </w:rPr>
        <w:t>3.1合同签订前，乙方向采购单位交纳人民币</w:t>
      </w:r>
      <w:r>
        <w:rPr>
          <w:rStyle w:val="16"/>
          <w:rFonts w:hint="eastAsia" w:ascii="宋体" w:hAnsi="宋体" w:eastAsia="宋体" w:cs="宋体"/>
          <w:color w:val="auto"/>
          <w:sz w:val="24"/>
          <w:szCs w:val="24"/>
          <w:highlight w:val="none"/>
          <w:u w:val="single"/>
        </w:rPr>
        <w:t xml:space="preserve"> </w:t>
      </w:r>
      <w:bookmarkStart w:id="220" w:name="lvbzj"/>
      <w:r>
        <w:rPr>
          <w:rStyle w:val="16"/>
          <w:rFonts w:hint="eastAsia" w:ascii="宋体" w:hAnsi="宋体" w:eastAsia="宋体" w:cs="宋体"/>
          <w:color w:val="auto"/>
          <w:sz w:val="24"/>
          <w:szCs w:val="24"/>
          <w:highlight w:val="none"/>
          <w:u w:val="single"/>
        </w:rPr>
        <w:t xml:space="preserve">  </w:t>
      </w:r>
      <w:bookmarkEnd w:id="220"/>
      <w:r>
        <w:rPr>
          <w:rStyle w:val="16"/>
          <w:rFonts w:hint="eastAsia" w:ascii="宋体" w:hAnsi="宋体" w:eastAsia="宋体" w:cs="宋体"/>
          <w:color w:val="auto"/>
          <w:sz w:val="24"/>
          <w:szCs w:val="24"/>
          <w:highlight w:val="none"/>
          <w:u w:val="single"/>
        </w:rPr>
        <w:t xml:space="preserve"> </w:t>
      </w:r>
      <w:r>
        <w:rPr>
          <w:rStyle w:val="16"/>
          <w:rFonts w:hint="eastAsia" w:ascii="宋体" w:hAnsi="宋体" w:eastAsia="宋体" w:cs="宋体"/>
          <w:color w:val="auto"/>
          <w:sz w:val="24"/>
          <w:szCs w:val="24"/>
          <w:highlight w:val="none"/>
        </w:rPr>
        <w:t>元作为本合同的履约保证金。</w:t>
      </w:r>
    </w:p>
    <w:p w14:paraId="14F593ED">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3.2甲方付清全部合同金额的同时返还履约保证金。逾期退还的，应当支付逾期利息，且逾期利息的利率不得低于合同订立时1年期贷款市场报价利率。</w:t>
      </w:r>
    </w:p>
    <w:p w14:paraId="034F1A43">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3.3乙方不履行与甲方订立的合同的，履约保证金不予退还。</w:t>
      </w:r>
    </w:p>
    <w:p w14:paraId="5F8318B3">
      <w:pPr>
        <w:pStyle w:val="28"/>
        <w:keepNext w:val="0"/>
        <w:keepLines w:val="0"/>
        <w:pageBreakBefore w:val="0"/>
        <w:kinsoku/>
        <w:wordWrap/>
        <w:overflowPunct/>
        <w:topLinePunct w:val="0"/>
        <w:bidi w:val="0"/>
        <w:snapToGrid w:val="0"/>
        <w:spacing w:line="360" w:lineRule="auto"/>
        <w:ind w:firstLine="472" w:firstLineChars="196"/>
        <w:textAlignment w:val="auto"/>
        <w:rPr>
          <w:rStyle w:val="16"/>
          <w:rFonts w:hint="eastAsia" w:ascii="宋体" w:hAnsi="宋体" w:eastAsia="宋体" w:cs="宋体"/>
          <w:b/>
          <w:color w:val="auto"/>
          <w:sz w:val="24"/>
          <w:szCs w:val="24"/>
          <w:highlight w:val="none"/>
        </w:rPr>
      </w:pPr>
      <w:r>
        <w:rPr>
          <w:rStyle w:val="16"/>
          <w:rFonts w:hint="eastAsia" w:ascii="宋体" w:hAnsi="宋体" w:eastAsia="宋体" w:cs="宋体"/>
          <w:b/>
          <w:color w:val="auto"/>
          <w:sz w:val="24"/>
          <w:szCs w:val="24"/>
          <w:highlight w:val="none"/>
        </w:rPr>
        <w:t>四、转包或分包</w:t>
      </w:r>
    </w:p>
    <w:p w14:paraId="14C25B64">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4.1 本合同范围的服务，应由乙方直接提供，不得转让他人提供；</w:t>
      </w:r>
    </w:p>
    <w:p w14:paraId="7FFE5694">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4.2如有转包和分包行为，甲方有权给予终止合同。</w:t>
      </w:r>
    </w:p>
    <w:p w14:paraId="20B2B496">
      <w:pPr>
        <w:pStyle w:val="28"/>
        <w:keepNext w:val="0"/>
        <w:keepLines w:val="0"/>
        <w:pageBreakBefore w:val="0"/>
        <w:kinsoku/>
        <w:wordWrap/>
        <w:overflowPunct/>
        <w:topLinePunct w:val="0"/>
        <w:bidi w:val="0"/>
        <w:snapToGrid w:val="0"/>
        <w:spacing w:line="360" w:lineRule="auto"/>
        <w:ind w:firstLine="472" w:firstLineChars="196"/>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b/>
          <w:bCs/>
          <w:color w:val="auto"/>
          <w:sz w:val="24"/>
          <w:szCs w:val="24"/>
          <w:highlight w:val="none"/>
        </w:rPr>
        <w:t>五、服务期限：</w:t>
      </w:r>
    </w:p>
    <w:p w14:paraId="441ACBFA">
      <w:pPr>
        <w:pStyle w:val="28"/>
        <w:keepNext w:val="0"/>
        <w:keepLines w:val="0"/>
        <w:pageBreakBefore w:val="0"/>
        <w:kinsoku/>
        <w:wordWrap/>
        <w:overflowPunct/>
        <w:topLinePunct w:val="0"/>
        <w:bidi w:val="0"/>
        <w:snapToGrid w:val="0"/>
        <w:spacing w:line="360" w:lineRule="auto"/>
        <w:ind w:firstLine="470" w:firstLineChars="196"/>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服务期限为</w:t>
      </w:r>
      <w:r>
        <w:rPr>
          <w:rStyle w:val="16"/>
          <w:rFonts w:hint="eastAsia" w:ascii="宋体" w:hAnsi="宋体" w:eastAsia="宋体" w:cs="宋体"/>
          <w:color w:val="auto"/>
          <w:sz w:val="24"/>
          <w:szCs w:val="24"/>
          <w:highlight w:val="none"/>
          <w:u w:val="single"/>
        </w:rPr>
        <w:t xml:space="preserve"> </w:t>
      </w:r>
      <w:bookmarkStart w:id="221" w:name="fuwuqixian"/>
      <w:r>
        <w:rPr>
          <w:rStyle w:val="16"/>
          <w:rFonts w:hint="eastAsia" w:ascii="宋体" w:hAnsi="宋体" w:eastAsia="宋体" w:cs="宋体"/>
          <w:color w:val="auto"/>
          <w:sz w:val="24"/>
          <w:szCs w:val="24"/>
          <w:highlight w:val="none"/>
          <w:u w:val="single"/>
        </w:rPr>
        <w:t xml:space="preserve">  </w:t>
      </w:r>
      <w:bookmarkEnd w:id="221"/>
      <w:r>
        <w:rPr>
          <w:rStyle w:val="16"/>
          <w:rFonts w:hint="eastAsia" w:ascii="宋体" w:hAnsi="宋体" w:eastAsia="宋体" w:cs="宋体"/>
          <w:color w:val="auto"/>
          <w:sz w:val="24"/>
          <w:szCs w:val="24"/>
          <w:highlight w:val="none"/>
          <w:u w:val="single"/>
        </w:rPr>
        <w:t xml:space="preserve"> </w:t>
      </w:r>
      <w:r>
        <w:rPr>
          <w:rStyle w:val="16"/>
          <w:rFonts w:hint="eastAsia" w:ascii="宋体" w:hAnsi="宋体" w:eastAsia="宋体" w:cs="宋体"/>
          <w:color w:val="auto"/>
          <w:sz w:val="24"/>
          <w:szCs w:val="24"/>
          <w:highlight w:val="none"/>
        </w:rPr>
        <w:t>个月。自</w:t>
      </w:r>
      <w:r>
        <w:rPr>
          <w:rStyle w:val="16"/>
          <w:rFonts w:hint="eastAsia" w:ascii="宋体" w:hAnsi="宋体" w:eastAsia="宋体" w:cs="宋体"/>
          <w:color w:val="auto"/>
          <w:sz w:val="24"/>
          <w:szCs w:val="24"/>
          <w:highlight w:val="none"/>
          <w:u w:val="single"/>
        </w:rPr>
        <w:t xml:space="preserve"> </w:t>
      </w:r>
      <w:bookmarkStart w:id="222" w:name="fuwustart"/>
      <w:r>
        <w:rPr>
          <w:rStyle w:val="16"/>
          <w:rFonts w:hint="eastAsia" w:ascii="宋体" w:hAnsi="宋体" w:eastAsia="宋体" w:cs="宋体"/>
          <w:color w:val="auto"/>
          <w:sz w:val="24"/>
          <w:szCs w:val="24"/>
          <w:highlight w:val="none"/>
          <w:u w:val="single"/>
        </w:rPr>
        <w:t xml:space="preserve">  年   月   日</w:t>
      </w:r>
      <w:bookmarkEnd w:id="222"/>
      <w:r>
        <w:rPr>
          <w:rStyle w:val="16"/>
          <w:rFonts w:hint="eastAsia" w:ascii="宋体" w:hAnsi="宋体" w:eastAsia="宋体" w:cs="宋体"/>
          <w:color w:val="auto"/>
          <w:sz w:val="24"/>
          <w:szCs w:val="24"/>
          <w:highlight w:val="none"/>
          <w:u w:val="single"/>
        </w:rPr>
        <w:t xml:space="preserve"> </w:t>
      </w:r>
      <w:r>
        <w:rPr>
          <w:rStyle w:val="16"/>
          <w:rFonts w:hint="eastAsia" w:ascii="宋体" w:hAnsi="宋体" w:eastAsia="宋体" w:cs="宋体"/>
          <w:color w:val="auto"/>
          <w:sz w:val="24"/>
          <w:szCs w:val="24"/>
          <w:highlight w:val="none"/>
        </w:rPr>
        <w:t>到</w:t>
      </w:r>
      <w:r>
        <w:rPr>
          <w:rStyle w:val="16"/>
          <w:rFonts w:hint="eastAsia" w:ascii="宋体" w:hAnsi="宋体" w:eastAsia="宋体" w:cs="宋体"/>
          <w:color w:val="auto"/>
          <w:sz w:val="24"/>
          <w:szCs w:val="24"/>
          <w:highlight w:val="none"/>
          <w:u w:val="single"/>
        </w:rPr>
        <w:t xml:space="preserve"> </w:t>
      </w:r>
      <w:bookmarkStart w:id="223" w:name="fuwufinish"/>
      <w:r>
        <w:rPr>
          <w:rStyle w:val="16"/>
          <w:rFonts w:hint="eastAsia" w:ascii="宋体" w:hAnsi="宋体" w:eastAsia="宋体" w:cs="宋体"/>
          <w:color w:val="auto"/>
          <w:sz w:val="24"/>
          <w:szCs w:val="24"/>
          <w:highlight w:val="none"/>
          <w:u w:val="single"/>
        </w:rPr>
        <w:t xml:space="preserve">   年   月   日</w:t>
      </w:r>
      <w:bookmarkEnd w:id="223"/>
      <w:r>
        <w:rPr>
          <w:rStyle w:val="16"/>
          <w:rFonts w:hint="eastAsia" w:ascii="宋体" w:hAnsi="宋体" w:eastAsia="宋体" w:cs="宋体"/>
          <w:color w:val="auto"/>
          <w:sz w:val="24"/>
          <w:szCs w:val="24"/>
          <w:highlight w:val="none"/>
          <w:u w:val="single"/>
        </w:rPr>
        <w:t xml:space="preserve"> </w:t>
      </w:r>
    </w:p>
    <w:p w14:paraId="75959368">
      <w:pPr>
        <w:pStyle w:val="28"/>
        <w:keepNext w:val="0"/>
        <w:keepLines w:val="0"/>
        <w:pageBreakBefore w:val="0"/>
        <w:kinsoku/>
        <w:wordWrap/>
        <w:overflowPunct/>
        <w:topLinePunct w:val="0"/>
        <w:bidi w:val="0"/>
        <w:snapToGrid w:val="0"/>
        <w:spacing w:line="360" w:lineRule="auto"/>
        <w:ind w:firstLine="472" w:firstLineChars="196"/>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b/>
          <w:bCs/>
          <w:color w:val="auto"/>
          <w:sz w:val="24"/>
          <w:szCs w:val="24"/>
          <w:highlight w:val="none"/>
        </w:rPr>
        <w:t>六、货款支付</w:t>
      </w:r>
    </w:p>
    <w:p w14:paraId="740F82EF">
      <w:pPr>
        <w:pStyle w:val="28"/>
        <w:keepNext w:val="0"/>
        <w:keepLines w:val="0"/>
        <w:pageBreakBefore w:val="0"/>
        <w:kinsoku/>
        <w:wordWrap/>
        <w:overflowPunct/>
        <w:topLinePunct w:val="0"/>
        <w:bidi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bCs/>
          <w:color w:val="auto"/>
          <w:sz w:val="24"/>
          <w:szCs w:val="24"/>
          <w:highlight w:val="none"/>
        </w:rPr>
        <w:t xml:space="preserve">6.1 </w:t>
      </w:r>
      <w:r>
        <w:rPr>
          <w:rStyle w:val="16"/>
          <w:rFonts w:hint="eastAsia" w:ascii="宋体" w:hAnsi="宋体" w:eastAsia="宋体" w:cs="宋体"/>
          <w:color w:val="auto"/>
          <w:sz w:val="24"/>
          <w:szCs w:val="24"/>
          <w:highlight w:val="none"/>
        </w:rPr>
        <w:t>结付程序：</w:t>
      </w:r>
    </w:p>
    <w:p w14:paraId="3697ABC6">
      <w:pPr>
        <w:pStyle w:val="28"/>
        <w:keepNext w:val="0"/>
        <w:keepLines w:val="0"/>
        <w:pageBreakBefore w:val="0"/>
        <w:kinsoku/>
        <w:wordWrap/>
        <w:overflowPunct/>
        <w:topLinePunct w:val="0"/>
        <w:bidi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bCs/>
          <w:color w:val="auto"/>
          <w:sz w:val="24"/>
          <w:szCs w:val="24"/>
          <w:highlight w:val="none"/>
          <w:u w:val="single"/>
        </w:rPr>
        <w:t xml:space="preserve"> </w:t>
      </w:r>
      <w:bookmarkStart w:id="224" w:name="jiefuchengxu"/>
      <w:r>
        <w:rPr>
          <w:rStyle w:val="16"/>
          <w:rFonts w:hint="eastAsia" w:ascii="宋体" w:hAnsi="宋体" w:eastAsia="宋体" w:cs="宋体"/>
          <w:bCs/>
          <w:color w:val="auto"/>
          <w:sz w:val="24"/>
          <w:szCs w:val="24"/>
          <w:highlight w:val="none"/>
          <w:u w:val="single"/>
        </w:rPr>
        <w:t xml:space="preserve">                                                       </w:t>
      </w:r>
      <w:bookmarkEnd w:id="224"/>
      <w:r>
        <w:rPr>
          <w:rStyle w:val="16"/>
          <w:rFonts w:hint="eastAsia" w:ascii="宋体" w:hAnsi="宋体" w:eastAsia="宋体" w:cs="宋体"/>
          <w:bCs/>
          <w:color w:val="auto"/>
          <w:sz w:val="24"/>
          <w:szCs w:val="24"/>
          <w:highlight w:val="none"/>
          <w:u w:val="single"/>
        </w:rPr>
        <w:t xml:space="preserve"> </w:t>
      </w:r>
      <w:r>
        <w:rPr>
          <w:rStyle w:val="16"/>
          <w:rFonts w:hint="eastAsia" w:ascii="宋体" w:hAnsi="宋体" w:eastAsia="宋体" w:cs="宋体"/>
          <w:color w:val="auto"/>
          <w:sz w:val="24"/>
          <w:szCs w:val="24"/>
          <w:highlight w:val="none"/>
        </w:rPr>
        <w:t>。</w:t>
      </w:r>
    </w:p>
    <w:p w14:paraId="400BDE98">
      <w:pPr>
        <w:pStyle w:val="28"/>
        <w:keepNext w:val="0"/>
        <w:keepLines w:val="0"/>
        <w:pageBreakBefore w:val="0"/>
        <w:kinsoku/>
        <w:wordWrap/>
        <w:overflowPunct/>
        <w:topLinePunct w:val="0"/>
        <w:bidi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6.2结付期限：</w:t>
      </w:r>
    </w:p>
    <w:p w14:paraId="17B083E2">
      <w:pPr>
        <w:pStyle w:val="28"/>
        <w:keepNext w:val="0"/>
        <w:keepLines w:val="0"/>
        <w:pageBreakBefore w:val="0"/>
        <w:kinsoku/>
        <w:wordWrap/>
        <w:overflowPunct/>
        <w:topLinePunct w:val="0"/>
        <w:bidi w:val="0"/>
        <w:spacing w:line="360" w:lineRule="auto"/>
        <w:ind w:firstLine="480"/>
        <w:textAlignment w:val="auto"/>
        <w:rPr>
          <w:rStyle w:val="16"/>
          <w:rFonts w:hint="eastAsia" w:ascii="宋体" w:hAnsi="宋体" w:eastAsia="宋体" w:cs="宋体"/>
          <w:bCs/>
          <w:color w:val="auto"/>
          <w:sz w:val="24"/>
          <w:szCs w:val="24"/>
          <w:highlight w:val="none"/>
        </w:rPr>
      </w:pPr>
      <w:r>
        <w:rPr>
          <w:rStyle w:val="16"/>
          <w:rFonts w:hint="eastAsia" w:ascii="宋体" w:hAnsi="宋体" w:eastAsia="宋体" w:cs="宋体"/>
          <w:bCs/>
          <w:color w:val="auto"/>
          <w:sz w:val="24"/>
          <w:szCs w:val="24"/>
          <w:highlight w:val="none"/>
          <w:u w:val="single"/>
        </w:rPr>
        <w:t xml:space="preserve"> </w:t>
      </w:r>
      <w:bookmarkStart w:id="225" w:name="jiefuqixian"/>
      <w:r>
        <w:rPr>
          <w:rStyle w:val="16"/>
          <w:rFonts w:hint="eastAsia" w:ascii="宋体" w:hAnsi="宋体" w:eastAsia="宋体" w:cs="宋体"/>
          <w:bCs/>
          <w:color w:val="auto"/>
          <w:sz w:val="24"/>
          <w:szCs w:val="24"/>
          <w:highlight w:val="none"/>
          <w:u w:val="single"/>
        </w:rPr>
        <w:t xml:space="preserve">                                                       </w:t>
      </w:r>
      <w:bookmarkEnd w:id="225"/>
      <w:r>
        <w:rPr>
          <w:rStyle w:val="16"/>
          <w:rFonts w:hint="eastAsia" w:ascii="宋体" w:hAnsi="宋体" w:eastAsia="宋体" w:cs="宋体"/>
          <w:bCs/>
          <w:color w:val="auto"/>
          <w:sz w:val="24"/>
          <w:szCs w:val="24"/>
          <w:highlight w:val="none"/>
          <w:u w:val="single"/>
        </w:rPr>
        <w:t xml:space="preserve"> </w:t>
      </w:r>
      <w:r>
        <w:rPr>
          <w:rStyle w:val="16"/>
          <w:rFonts w:hint="eastAsia" w:ascii="宋体" w:hAnsi="宋体" w:eastAsia="宋体" w:cs="宋体"/>
          <w:color w:val="auto"/>
          <w:sz w:val="24"/>
          <w:szCs w:val="24"/>
          <w:highlight w:val="none"/>
        </w:rPr>
        <w:t>。</w:t>
      </w:r>
      <w:r>
        <w:rPr>
          <w:rStyle w:val="16"/>
          <w:rFonts w:hint="eastAsia" w:ascii="宋体" w:hAnsi="宋体" w:eastAsia="宋体" w:cs="宋体"/>
          <w:bCs/>
          <w:color w:val="auto"/>
          <w:sz w:val="24"/>
          <w:szCs w:val="24"/>
          <w:highlight w:val="none"/>
        </w:rPr>
        <w:t xml:space="preserve">          </w:t>
      </w:r>
    </w:p>
    <w:p w14:paraId="797302A8">
      <w:pPr>
        <w:pStyle w:val="28"/>
        <w:keepNext w:val="0"/>
        <w:keepLines w:val="0"/>
        <w:pageBreakBefore w:val="0"/>
        <w:kinsoku/>
        <w:wordWrap/>
        <w:overflowPunct/>
        <w:topLinePunct w:val="0"/>
        <w:bidi w:val="0"/>
        <w:adjustRightInd w:val="0"/>
        <w:snapToGrid w:val="0"/>
        <w:spacing w:line="360" w:lineRule="auto"/>
        <w:ind w:firstLine="470" w:firstLineChars="196"/>
        <w:textAlignment w:val="auto"/>
        <w:rPr>
          <w:rStyle w:val="16"/>
          <w:rFonts w:hint="eastAsia" w:ascii="宋体" w:hAnsi="宋体" w:eastAsia="宋体" w:cs="宋体"/>
          <w:color w:val="auto"/>
          <w:sz w:val="24"/>
          <w:szCs w:val="24"/>
          <w:highlight w:val="none"/>
          <w:u w:val="single"/>
        </w:rPr>
      </w:pPr>
      <w:r>
        <w:rPr>
          <w:rStyle w:val="16"/>
          <w:rFonts w:hint="eastAsia" w:ascii="宋体" w:hAnsi="宋体" w:eastAsia="宋体" w:cs="宋体"/>
          <w:color w:val="auto"/>
          <w:sz w:val="24"/>
          <w:szCs w:val="24"/>
          <w:highlight w:val="none"/>
        </w:rPr>
        <w:t>6.3乙方收款账户：</w:t>
      </w:r>
      <w:r>
        <w:rPr>
          <w:rStyle w:val="16"/>
          <w:rFonts w:hint="eastAsia" w:ascii="宋体" w:hAnsi="宋体" w:eastAsia="宋体" w:cs="宋体"/>
          <w:color w:val="auto"/>
          <w:sz w:val="24"/>
          <w:szCs w:val="24"/>
          <w:highlight w:val="none"/>
          <w:u w:val="single"/>
        </w:rPr>
        <w:t xml:space="preserve"> </w:t>
      </w:r>
      <w:bookmarkStart w:id="226" w:name="yifangzhanghao"/>
      <w:r>
        <w:rPr>
          <w:rStyle w:val="16"/>
          <w:rFonts w:hint="eastAsia" w:ascii="宋体" w:hAnsi="宋体" w:eastAsia="宋体" w:cs="宋体"/>
          <w:color w:val="auto"/>
          <w:sz w:val="24"/>
          <w:szCs w:val="24"/>
          <w:highlight w:val="none"/>
          <w:u w:val="single"/>
        </w:rPr>
        <w:t xml:space="preserve">                                     </w:t>
      </w:r>
      <w:bookmarkEnd w:id="226"/>
      <w:r>
        <w:rPr>
          <w:rStyle w:val="16"/>
          <w:rFonts w:hint="eastAsia" w:ascii="宋体" w:hAnsi="宋体" w:eastAsia="宋体" w:cs="宋体"/>
          <w:color w:val="auto"/>
          <w:sz w:val="24"/>
          <w:szCs w:val="24"/>
          <w:highlight w:val="none"/>
          <w:u w:val="single"/>
        </w:rPr>
        <w:t xml:space="preserve"> </w:t>
      </w:r>
    </w:p>
    <w:p w14:paraId="74EB4F41">
      <w:pPr>
        <w:pStyle w:val="27"/>
        <w:keepNext w:val="0"/>
        <w:keepLines w:val="0"/>
        <w:pageBreakBefore w:val="0"/>
        <w:kinsoku/>
        <w:wordWrap/>
        <w:overflowPunct/>
        <w:topLinePunct w:val="0"/>
        <w:bidi w:val="0"/>
        <w:spacing w:line="360" w:lineRule="auto"/>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6.4甲方合同款支付方式：</w:t>
      </w:r>
      <w:r>
        <w:rPr>
          <w:rStyle w:val="16"/>
          <w:rFonts w:hint="eastAsia" w:ascii="宋体" w:hAnsi="宋体" w:eastAsia="宋体" w:cs="宋体"/>
          <w:color w:val="auto"/>
          <w:sz w:val="24"/>
          <w:szCs w:val="24"/>
          <w:highlight w:val="none"/>
          <w:u w:val="single"/>
        </w:rPr>
        <w:t xml:space="preserve"> </w:t>
      </w:r>
      <w:bookmarkStart w:id="227" w:name="hetongzhifutype"/>
      <w:r>
        <w:rPr>
          <w:rStyle w:val="16"/>
          <w:rFonts w:hint="eastAsia" w:ascii="宋体" w:hAnsi="宋体" w:eastAsia="宋体" w:cs="宋体"/>
          <w:color w:val="auto"/>
          <w:sz w:val="24"/>
          <w:szCs w:val="24"/>
          <w:highlight w:val="none"/>
          <w:u w:val="single"/>
        </w:rPr>
        <w:t xml:space="preserve">                      </w:t>
      </w:r>
      <w:bookmarkEnd w:id="227"/>
      <w:r>
        <w:rPr>
          <w:rStyle w:val="16"/>
          <w:rFonts w:hint="eastAsia" w:ascii="宋体" w:hAnsi="宋体" w:eastAsia="宋体" w:cs="宋体"/>
          <w:color w:val="auto"/>
          <w:sz w:val="24"/>
          <w:szCs w:val="24"/>
          <w:highlight w:val="none"/>
          <w:u w:val="single"/>
        </w:rPr>
        <w:t xml:space="preserve"> </w:t>
      </w:r>
      <w:r>
        <w:rPr>
          <w:rStyle w:val="16"/>
          <w:rFonts w:hint="eastAsia" w:ascii="宋体" w:hAnsi="宋体" w:eastAsia="宋体" w:cs="宋体"/>
          <w:color w:val="auto"/>
          <w:sz w:val="24"/>
          <w:szCs w:val="24"/>
          <w:highlight w:val="none"/>
        </w:rPr>
        <w:t>（若乙方为中小企业，不得强制其接受非现金支付方式）</w:t>
      </w:r>
    </w:p>
    <w:p w14:paraId="27B4DEFC">
      <w:pPr>
        <w:pStyle w:val="28"/>
        <w:keepNext w:val="0"/>
        <w:keepLines w:val="0"/>
        <w:pageBreakBefore w:val="0"/>
        <w:tabs>
          <w:tab w:val="center" w:pos="5131"/>
        </w:tabs>
        <w:kinsoku/>
        <w:wordWrap/>
        <w:overflowPunct/>
        <w:topLinePunct w:val="0"/>
        <w:bidi w:val="0"/>
        <w:spacing w:line="360" w:lineRule="auto"/>
        <w:ind w:firstLine="482"/>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b/>
          <w:bCs/>
          <w:color w:val="auto"/>
          <w:sz w:val="24"/>
          <w:szCs w:val="24"/>
          <w:highlight w:val="none"/>
        </w:rPr>
        <w:t>七、税</w:t>
      </w:r>
    </w:p>
    <w:p w14:paraId="1B1D951A">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7.1 本合同执行中相关的一切税费均由乙方负担。</w:t>
      </w:r>
    </w:p>
    <w:p w14:paraId="655604E5">
      <w:pPr>
        <w:pStyle w:val="28"/>
        <w:keepNext w:val="0"/>
        <w:keepLines w:val="0"/>
        <w:pageBreakBefore w:val="0"/>
        <w:kinsoku/>
        <w:wordWrap/>
        <w:overflowPunct/>
        <w:topLinePunct w:val="0"/>
        <w:bidi w:val="0"/>
        <w:spacing w:line="360" w:lineRule="auto"/>
        <w:ind w:firstLine="482"/>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b/>
          <w:bCs/>
          <w:color w:val="auto"/>
          <w:sz w:val="24"/>
          <w:szCs w:val="24"/>
          <w:highlight w:val="none"/>
        </w:rPr>
        <w:t>八、</w:t>
      </w:r>
      <w:r>
        <w:rPr>
          <w:rStyle w:val="16"/>
          <w:rFonts w:hint="eastAsia" w:ascii="宋体" w:hAnsi="宋体" w:eastAsia="宋体" w:cs="宋体"/>
          <w:b/>
          <w:color w:val="auto"/>
          <w:sz w:val="24"/>
          <w:szCs w:val="24"/>
          <w:highlight w:val="none"/>
        </w:rPr>
        <w:t>管理事项</w:t>
      </w:r>
    </w:p>
    <w:p w14:paraId="0152148C">
      <w:pPr>
        <w:pStyle w:val="28"/>
        <w:keepNext w:val="0"/>
        <w:keepLines w:val="0"/>
        <w:pageBreakBefore w:val="0"/>
        <w:kinsoku/>
        <w:wordWrap/>
        <w:overflowPunct/>
        <w:topLinePunct w:val="0"/>
        <w:bidi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按招标内容要求以及响应单位的承诺项目阐述。</w:t>
      </w:r>
    </w:p>
    <w:p w14:paraId="16217288">
      <w:pPr>
        <w:pStyle w:val="28"/>
        <w:keepNext w:val="0"/>
        <w:keepLines w:val="0"/>
        <w:pageBreakBefore w:val="0"/>
        <w:kinsoku/>
        <w:wordWrap/>
        <w:overflowPunct/>
        <w:topLinePunct w:val="0"/>
        <w:bidi w:val="0"/>
        <w:spacing w:line="360" w:lineRule="auto"/>
        <w:ind w:firstLine="482"/>
        <w:textAlignment w:val="auto"/>
        <w:rPr>
          <w:rStyle w:val="16"/>
          <w:rFonts w:hint="eastAsia" w:ascii="宋体" w:hAnsi="宋体" w:eastAsia="宋体" w:cs="宋体"/>
          <w:b/>
          <w:color w:val="auto"/>
          <w:sz w:val="24"/>
          <w:szCs w:val="24"/>
          <w:highlight w:val="none"/>
        </w:rPr>
      </w:pPr>
      <w:r>
        <w:rPr>
          <w:rStyle w:val="16"/>
          <w:rFonts w:hint="eastAsia" w:ascii="宋体" w:hAnsi="宋体" w:eastAsia="宋体" w:cs="宋体"/>
          <w:b/>
          <w:color w:val="auto"/>
          <w:sz w:val="24"/>
          <w:szCs w:val="24"/>
          <w:highlight w:val="none"/>
        </w:rPr>
        <w:t>九、双方权利义务</w:t>
      </w:r>
    </w:p>
    <w:p w14:paraId="4335B9AD">
      <w:pPr>
        <w:pStyle w:val="30"/>
        <w:keepNext w:val="0"/>
        <w:keepLines w:val="0"/>
        <w:pageBreakBefore w:val="0"/>
        <w:kinsoku/>
        <w:wordWrap/>
        <w:overflowPunct/>
        <w:topLinePunct w:val="0"/>
        <w:autoSpaceDE/>
        <w:autoSpaceDN/>
        <w:bidi w:val="0"/>
        <w:adjustRightInd/>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9.1根据甲方南丰镇镇级河道保洁要求及乙方投标文件中的承诺，由甲方根据考核细则对乙方提供的服务及履行本合同情况进行验收考核。</w:t>
      </w:r>
    </w:p>
    <w:p w14:paraId="52E3CADB">
      <w:pPr>
        <w:pStyle w:val="30"/>
        <w:keepNext w:val="0"/>
        <w:keepLines w:val="0"/>
        <w:pageBreakBefore w:val="0"/>
        <w:kinsoku/>
        <w:wordWrap/>
        <w:overflowPunct/>
        <w:topLinePunct w:val="0"/>
        <w:autoSpaceDE/>
        <w:autoSpaceDN/>
        <w:bidi w:val="0"/>
        <w:adjustRightInd/>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9.2乙方应按本项目管理标准、管理工程实施方案及合同的要求开展工作，由甲方组织开展定期与日常考核工作（考核办法、考核细则见附件），考核结果直接与管理经费挂钩。</w:t>
      </w:r>
    </w:p>
    <w:p w14:paraId="3625F560">
      <w:pPr>
        <w:pStyle w:val="30"/>
        <w:keepNext w:val="0"/>
        <w:keepLines w:val="0"/>
        <w:pageBreakBefore w:val="0"/>
        <w:kinsoku/>
        <w:wordWrap/>
        <w:overflowPunct/>
        <w:topLinePunct w:val="0"/>
        <w:autoSpaceDE/>
        <w:autoSpaceDN/>
        <w:bidi w:val="0"/>
        <w:adjustRightInd/>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9.3甲方有权对中标后再转包或分包的乙方终止承包合同。</w:t>
      </w:r>
    </w:p>
    <w:p w14:paraId="56D4C971">
      <w:pPr>
        <w:pStyle w:val="30"/>
        <w:keepNext w:val="0"/>
        <w:keepLines w:val="0"/>
        <w:pageBreakBefore w:val="0"/>
        <w:kinsoku/>
        <w:wordWrap/>
        <w:overflowPunct/>
        <w:topLinePunct w:val="0"/>
        <w:autoSpaceDE/>
        <w:autoSpaceDN/>
        <w:bidi w:val="0"/>
        <w:adjustRightInd/>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9.4乙方应根据镇村河道管理有关要求，积极主动保质保量地完成南丰镇镇级河道保洁工作。若接到甲方在考核中发现的问题后，应及时进行整改。如乙方不能及时进行整改的，甲方可以安排他人整改，所发生的一切费用从乙方当季管理经费中支付，连续两次不能按要求进行整改的，将终止乙方的承包资格。</w:t>
      </w:r>
    </w:p>
    <w:p w14:paraId="0E1E6451">
      <w:pPr>
        <w:pStyle w:val="30"/>
        <w:keepNext w:val="0"/>
        <w:keepLines w:val="0"/>
        <w:pageBreakBefore w:val="0"/>
        <w:kinsoku/>
        <w:wordWrap/>
        <w:overflowPunct/>
        <w:topLinePunct w:val="0"/>
        <w:autoSpaceDE/>
        <w:autoSpaceDN/>
        <w:bidi w:val="0"/>
        <w:adjustRightInd/>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9.5乙方应消除管理地内的安全隐患，避免因管理不当引起的安全事故发生，如因乙方工作失职、操作或管理不当造成人员受伤或其他财产损失的，由乙方负全部责任，甲方根据《考核办法》《考核细则》对其进行扣分。</w:t>
      </w:r>
    </w:p>
    <w:p w14:paraId="6B4B3E7C">
      <w:pPr>
        <w:pStyle w:val="30"/>
        <w:keepNext w:val="0"/>
        <w:keepLines w:val="0"/>
        <w:pageBreakBefore w:val="0"/>
        <w:kinsoku/>
        <w:wordWrap/>
        <w:overflowPunct/>
        <w:topLinePunct w:val="0"/>
        <w:autoSpaceDE/>
        <w:autoSpaceDN/>
        <w:bidi w:val="0"/>
        <w:adjustRightInd/>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9.6乙方工作人员应根据甲方要求统一着装，并作好相关劳动安全防护工作，严格遵守张家港市南丰镇人民政府各项管理规定。</w:t>
      </w:r>
    </w:p>
    <w:p w14:paraId="5513EA1C">
      <w:pPr>
        <w:pStyle w:val="30"/>
        <w:keepNext w:val="0"/>
        <w:keepLines w:val="0"/>
        <w:pageBreakBefore w:val="0"/>
        <w:kinsoku/>
        <w:wordWrap/>
        <w:overflowPunct/>
        <w:topLinePunct w:val="0"/>
        <w:autoSpaceDE/>
        <w:autoSpaceDN/>
        <w:bidi w:val="0"/>
        <w:adjustRightInd/>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9.7如遇各项重要活动、参观接待时，乙方单位负责人应及时在现场指挥，组织人员、船只到位，确保完成各项管理任务。</w:t>
      </w:r>
    </w:p>
    <w:p w14:paraId="4A0751D7">
      <w:pPr>
        <w:pStyle w:val="30"/>
        <w:keepNext w:val="0"/>
        <w:keepLines w:val="0"/>
        <w:pageBreakBefore w:val="0"/>
        <w:kinsoku/>
        <w:wordWrap/>
        <w:overflowPunct/>
        <w:topLinePunct w:val="0"/>
        <w:autoSpaceDE/>
        <w:autoSpaceDN/>
        <w:bidi w:val="0"/>
        <w:adjustRightInd/>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9.8因规划调整和上级要求，若乙方负责养护的河道长度出现变化时，以原综合平均单价和实际减少长度据实进行调整。</w:t>
      </w:r>
    </w:p>
    <w:p w14:paraId="5AC372E1">
      <w:pPr>
        <w:pStyle w:val="28"/>
        <w:keepNext w:val="0"/>
        <w:keepLines w:val="0"/>
        <w:pageBreakBefore w:val="0"/>
        <w:kinsoku/>
        <w:wordWrap/>
        <w:overflowPunct/>
        <w:topLinePunct w:val="0"/>
        <w:bidi w:val="0"/>
        <w:spacing w:line="360" w:lineRule="auto"/>
        <w:ind w:firstLine="482"/>
        <w:textAlignment w:val="auto"/>
        <w:rPr>
          <w:rStyle w:val="16"/>
          <w:rFonts w:hint="eastAsia" w:ascii="宋体" w:hAnsi="宋体" w:eastAsia="宋体" w:cs="宋体"/>
          <w:b/>
          <w:color w:val="auto"/>
          <w:sz w:val="24"/>
          <w:szCs w:val="24"/>
          <w:highlight w:val="none"/>
        </w:rPr>
      </w:pPr>
      <w:r>
        <w:rPr>
          <w:rStyle w:val="16"/>
          <w:rFonts w:hint="eastAsia" w:ascii="宋体" w:hAnsi="宋体" w:eastAsia="宋体" w:cs="宋体"/>
          <w:b/>
          <w:color w:val="auto"/>
          <w:sz w:val="24"/>
          <w:szCs w:val="24"/>
          <w:highlight w:val="none"/>
        </w:rPr>
        <w:t>十、服务质量</w:t>
      </w:r>
    </w:p>
    <w:p w14:paraId="740CE050">
      <w:pPr>
        <w:pStyle w:val="28"/>
        <w:keepNext w:val="0"/>
        <w:keepLines w:val="0"/>
        <w:pageBreakBefore w:val="0"/>
        <w:kinsoku/>
        <w:wordWrap/>
        <w:overflowPunct/>
        <w:topLinePunct w:val="0"/>
        <w:bidi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乙方提供的管理服务应达到投标文件所约定的目标。对达标的理解有异议的，由双方共同认可的第三方予以评定。</w:t>
      </w:r>
    </w:p>
    <w:p w14:paraId="00FFA55B">
      <w:pPr>
        <w:pStyle w:val="28"/>
        <w:keepNext w:val="0"/>
        <w:keepLines w:val="0"/>
        <w:pageBreakBefore w:val="0"/>
        <w:kinsoku/>
        <w:wordWrap/>
        <w:overflowPunct/>
        <w:topLinePunct w:val="0"/>
        <w:bidi w:val="0"/>
        <w:spacing w:line="360" w:lineRule="auto"/>
        <w:ind w:firstLine="482"/>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b/>
          <w:bCs/>
          <w:color w:val="auto"/>
          <w:sz w:val="24"/>
          <w:szCs w:val="24"/>
          <w:highlight w:val="none"/>
        </w:rPr>
        <w:t>十一、</w:t>
      </w:r>
      <w:r>
        <w:rPr>
          <w:rStyle w:val="16"/>
          <w:rFonts w:hint="eastAsia" w:ascii="宋体" w:hAnsi="宋体" w:eastAsia="宋体" w:cs="宋体"/>
          <w:b/>
          <w:color w:val="auto"/>
          <w:sz w:val="24"/>
          <w:szCs w:val="24"/>
          <w:highlight w:val="none"/>
        </w:rPr>
        <w:t>违约责任</w:t>
      </w:r>
    </w:p>
    <w:p w14:paraId="5F8BFFDA">
      <w:pPr>
        <w:pStyle w:val="28"/>
        <w:keepNext w:val="0"/>
        <w:keepLines w:val="0"/>
        <w:pageBreakBefore w:val="0"/>
        <w:widowControl w:val="0"/>
        <w:kinsoku/>
        <w:wordWrap/>
        <w:overflowPunct/>
        <w:topLinePunct w:val="0"/>
        <w:autoSpaceDE/>
        <w:autoSpaceDN/>
        <w:bidi w:val="0"/>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11.1甲方违反合同的约定，使乙方未完成规定管理目标，乙方有权要求甲方在一定期限内解决，逾期未解决的，乙方有权终止合同，造成乙方经济损失的，甲方给予乙方经济赔偿。</w:t>
      </w:r>
    </w:p>
    <w:p w14:paraId="415EB337">
      <w:pPr>
        <w:pStyle w:val="28"/>
        <w:keepNext w:val="0"/>
        <w:keepLines w:val="0"/>
        <w:pageBreakBefore w:val="0"/>
        <w:widowControl w:val="0"/>
        <w:kinsoku/>
        <w:wordWrap/>
        <w:overflowPunct/>
        <w:topLinePunct w:val="0"/>
        <w:autoSpaceDE/>
        <w:autoSpaceDN/>
        <w:bidi w:val="0"/>
        <w:adjustRightInd w:val="0"/>
        <w:snapToGrid/>
        <w:spacing w:line="360" w:lineRule="auto"/>
        <w:ind w:firstLine="480"/>
        <w:textAlignment w:val="auto"/>
        <w:rPr>
          <w:rStyle w:val="16"/>
          <w:rFonts w:hint="eastAsia" w:asciiTheme="minorEastAsia" w:hAnsiTheme="minorEastAsia" w:eastAsiaTheme="minorEastAsia" w:cstheme="minorEastAsia"/>
          <w:color w:val="auto"/>
          <w:sz w:val="24"/>
          <w:highlight w:val="none"/>
        </w:rPr>
      </w:pPr>
      <w:r>
        <w:rPr>
          <w:rStyle w:val="16"/>
          <w:rFonts w:hint="eastAsia" w:asciiTheme="minorEastAsia" w:hAnsiTheme="minorEastAsia" w:eastAsiaTheme="minorEastAsia" w:cstheme="minorEastAsia"/>
          <w:color w:val="auto"/>
          <w:sz w:val="24"/>
          <w:highlight w:val="none"/>
        </w:rPr>
        <w:t>11.2乙方违反本合同的约定，未能达到约定的管理目标，甲方有权要求乙方限期整改，逾期未整改的，甲方有权终止合同，造成甲方经济损失的，乙方应给予甲方赔偿。</w:t>
      </w:r>
    </w:p>
    <w:p w14:paraId="20561BB8">
      <w:pPr>
        <w:pStyle w:val="28"/>
        <w:keepNext w:val="0"/>
        <w:keepLines w:val="0"/>
        <w:pageBreakBefore w:val="0"/>
        <w:widowControl w:val="0"/>
        <w:kinsoku/>
        <w:wordWrap/>
        <w:overflowPunct/>
        <w:topLinePunct w:val="0"/>
        <w:autoSpaceDE/>
        <w:autoSpaceDN/>
        <w:bidi w:val="0"/>
        <w:snapToGrid/>
        <w:spacing w:line="360" w:lineRule="auto"/>
        <w:ind w:firstLine="480"/>
        <w:textAlignment w:val="auto"/>
        <w:rPr>
          <w:rStyle w:val="16"/>
          <w:rFonts w:hint="eastAsia" w:asciiTheme="minorEastAsia" w:hAnsiTheme="minorEastAsia" w:eastAsiaTheme="minorEastAsia" w:cstheme="minorEastAsia"/>
          <w:color w:val="auto"/>
          <w:sz w:val="24"/>
          <w:szCs w:val="24"/>
          <w:highlight w:val="none"/>
          <w:lang w:eastAsia="zh-CN"/>
        </w:rPr>
      </w:pPr>
      <w:r>
        <w:rPr>
          <w:rStyle w:val="16"/>
          <w:rFonts w:hint="eastAsia" w:asciiTheme="minorEastAsia" w:hAnsiTheme="minorEastAsia" w:eastAsiaTheme="minorEastAsia" w:cstheme="minorEastAsia"/>
          <w:color w:val="auto"/>
          <w:sz w:val="24"/>
          <w:highlight w:val="none"/>
        </w:rPr>
        <w:t>11.3本合同生效后，甲乙双方任何一方无正当理由要求终止合同的，除双方签订补充协议外，责任方须按本合同及其补充协议的有关条款之规定承担违约责任，并应向对方支付合同金额10%的违约金</w:t>
      </w:r>
      <w:r>
        <w:rPr>
          <w:rStyle w:val="16"/>
          <w:rFonts w:hint="eastAsia" w:asciiTheme="minorEastAsia" w:hAnsiTheme="minorEastAsia" w:eastAsiaTheme="minorEastAsia" w:cstheme="minorEastAsia"/>
          <w:color w:val="auto"/>
          <w:sz w:val="24"/>
          <w:highlight w:val="none"/>
          <w:lang w:eastAsia="zh-CN"/>
        </w:rPr>
        <w:t>。</w:t>
      </w:r>
    </w:p>
    <w:p w14:paraId="4B006042">
      <w:pPr>
        <w:pStyle w:val="28"/>
        <w:keepNext w:val="0"/>
        <w:keepLines w:val="0"/>
        <w:pageBreakBefore w:val="0"/>
        <w:kinsoku/>
        <w:wordWrap/>
        <w:overflowPunct/>
        <w:topLinePunct w:val="0"/>
        <w:bidi w:val="0"/>
        <w:snapToGrid w:val="0"/>
        <w:spacing w:line="360" w:lineRule="auto"/>
        <w:ind w:firstLine="472" w:firstLineChars="196"/>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b/>
          <w:bCs/>
          <w:color w:val="auto"/>
          <w:sz w:val="24"/>
          <w:szCs w:val="24"/>
          <w:highlight w:val="none"/>
        </w:rPr>
        <w:t>十二、不可抗力事件处理</w:t>
      </w:r>
    </w:p>
    <w:p w14:paraId="33E247EA">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12.1 在合同有效期内，任何一方因不可抗力事件导致不能履行合同，则合同履行期可延长，其延长期与不可抗力影响期相同。</w:t>
      </w:r>
    </w:p>
    <w:p w14:paraId="60BEB126">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12.2 不可抗力事件发生后，应立即通知对方，并寄送有关权威机构出具的证明。</w:t>
      </w:r>
    </w:p>
    <w:p w14:paraId="1656FFCF">
      <w:pPr>
        <w:pStyle w:val="28"/>
        <w:keepNext w:val="0"/>
        <w:keepLines w:val="0"/>
        <w:pageBreakBefore w:val="0"/>
        <w:kinsoku/>
        <w:wordWrap/>
        <w:overflowPunct/>
        <w:topLinePunct w:val="0"/>
        <w:bidi w:val="0"/>
        <w:snapToGrid w:val="0"/>
        <w:spacing w:line="360" w:lineRule="auto"/>
        <w:ind w:firstLine="470" w:firstLineChars="196"/>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12.3 不可抗力事件延续120天以上，双方应通过友好协商，确定是否继续履行合同。</w:t>
      </w:r>
    </w:p>
    <w:p w14:paraId="4365DE3C">
      <w:pPr>
        <w:pStyle w:val="28"/>
        <w:keepNext w:val="0"/>
        <w:keepLines w:val="0"/>
        <w:pageBreakBefore w:val="0"/>
        <w:kinsoku/>
        <w:wordWrap/>
        <w:overflowPunct/>
        <w:topLinePunct w:val="0"/>
        <w:bidi w:val="0"/>
        <w:snapToGrid w:val="0"/>
        <w:spacing w:line="360" w:lineRule="auto"/>
        <w:ind w:firstLine="472" w:firstLineChars="196"/>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b/>
          <w:bCs/>
          <w:color w:val="auto"/>
          <w:sz w:val="24"/>
          <w:szCs w:val="24"/>
          <w:highlight w:val="none"/>
        </w:rPr>
        <w:t>十三、诉讼</w:t>
      </w:r>
    </w:p>
    <w:p w14:paraId="356024B2">
      <w:pPr>
        <w:pStyle w:val="28"/>
        <w:keepNext w:val="0"/>
        <w:keepLines w:val="0"/>
        <w:pageBreakBefore w:val="0"/>
        <w:kinsoku/>
        <w:wordWrap/>
        <w:overflowPunct/>
        <w:topLinePunct w:val="0"/>
        <w:bidi w:val="0"/>
        <w:snapToGrid w:val="0"/>
        <w:spacing w:line="360" w:lineRule="auto"/>
        <w:ind w:firstLine="48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13.1 双方在执行合同中所发生的一切争议，应通过协商解决。如协商不成，可向合同签订地法院起诉，合同签订地在此约定为张家港市。</w:t>
      </w:r>
    </w:p>
    <w:p w14:paraId="170567F3">
      <w:pPr>
        <w:pStyle w:val="28"/>
        <w:keepNext w:val="0"/>
        <w:keepLines w:val="0"/>
        <w:pageBreakBefore w:val="0"/>
        <w:kinsoku/>
        <w:wordWrap/>
        <w:overflowPunct/>
        <w:topLinePunct w:val="0"/>
        <w:bidi w:val="0"/>
        <w:snapToGrid w:val="0"/>
        <w:spacing w:line="360" w:lineRule="auto"/>
        <w:ind w:firstLine="472" w:firstLineChars="196"/>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b/>
          <w:bCs/>
          <w:color w:val="auto"/>
          <w:sz w:val="24"/>
          <w:szCs w:val="24"/>
          <w:highlight w:val="none"/>
        </w:rPr>
        <w:t>十四、合同其他文件</w:t>
      </w:r>
    </w:p>
    <w:p w14:paraId="579CBDE0">
      <w:pPr>
        <w:pStyle w:val="26"/>
        <w:keepNext w:val="0"/>
        <w:keepLines w:val="0"/>
        <w:pageBreakBefore w:val="0"/>
        <w:widowControl w:val="0"/>
        <w:kinsoku/>
        <w:wordWrap/>
        <w:overflowPunct/>
        <w:topLinePunct w:val="0"/>
        <w:bidi w:val="0"/>
        <w:spacing w:line="360" w:lineRule="auto"/>
        <w:ind w:firstLine="480"/>
        <w:textAlignment w:val="auto"/>
        <w:rPr>
          <w:rStyle w:val="116"/>
          <w:rFonts w:hint="eastAsia" w:ascii="宋体" w:hAnsi="宋体" w:eastAsia="宋体" w:cs="宋体"/>
          <w:b w:val="0"/>
          <w:bCs w:val="0"/>
          <w:color w:val="auto"/>
          <w:sz w:val="24"/>
          <w:szCs w:val="24"/>
          <w:highlight w:val="none"/>
        </w:rPr>
      </w:pPr>
      <w:r>
        <w:rPr>
          <w:rStyle w:val="116"/>
          <w:rFonts w:hint="eastAsia" w:ascii="宋体" w:hAnsi="宋体" w:eastAsia="宋体" w:cs="宋体"/>
          <w:b w:val="0"/>
          <w:bCs w:val="0"/>
          <w:color w:val="auto"/>
          <w:sz w:val="24"/>
          <w:szCs w:val="24"/>
          <w:highlight w:val="none"/>
          <w:lang w:val="en-US" w:eastAsia="zh-CN"/>
        </w:rPr>
        <w:t>14.1 下列文件为本合同不可分割部份，与本合同具有同等效力。</w:t>
      </w:r>
    </w:p>
    <w:p w14:paraId="132E75CC">
      <w:pPr>
        <w:pStyle w:val="26"/>
        <w:keepNext w:val="0"/>
        <w:keepLines w:val="0"/>
        <w:pageBreakBefore w:val="0"/>
        <w:widowControl w:val="0"/>
        <w:kinsoku/>
        <w:wordWrap/>
        <w:overflowPunct/>
        <w:topLinePunct w:val="0"/>
        <w:bidi w:val="0"/>
        <w:spacing w:line="360" w:lineRule="auto"/>
        <w:ind w:firstLine="480"/>
        <w:textAlignment w:val="auto"/>
        <w:rPr>
          <w:rStyle w:val="116"/>
          <w:rFonts w:hint="eastAsia" w:ascii="宋体" w:hAnsi="宋体" w:eastAsia="宋体" w:cs="宋体"/>
          <w:b w:val="0"/>
          <w:bCs w:val="0"/>
          <w:color w:val="auto"/>
          <w:sz w:val="24"/>
          <w:szCs w:val="24"/>
          <w:highlight w:val="none"/>
        </w:rPr>
      </w:pPr>
      <w:r>
        <w:rPr>
          <w:rStyle w:val="116"/>
          <w:rFonts w:hint="eastAsia" w:ascii="宋体" w:hAnsi="宋体" w:eastAsia="宋体" w:cs="宋体"/>
          <w:b w:val="0"/>
          <w:bCs w:val="0"/>
          <w:color w:val="auto"/>
          <w:sz w:val="24"/>
          <w:szCs w:val="24"/>
          <w:highlight w:val="none"/>
          <w:lang w:val="en-US" w:eastAsia="zh-CN"/>
        </w:rPr>
        <w:t>(1)中标通知书；</w:t>
      </w:r>
    </w:p>
    <w:p w14:paraId="06E7A0AB">
      <w:pPr>
        <w:pStyle w:val="26"/>
        <w:keepNext w:val="0"/>
        <w:keepLines w:val="0"/>
        <w:pageBreakBefore w:val="0"/>
        <w:widowControl w:val="0"/>
        <w:kinsoku/>
        <w:wordWrap/>
        <w:overflowPunct/>
        <w:topLinePunct w:val="0"/>
        <w:bidi w:val="0"/>
        <w:spacing w:line="360" w:lineRule="auto"/>
        <w:ind w:firstLine="480"/>
        <w:textAlignment w:val="auto"/>
        <w:rPr>
          <w:rStyle w:val="116"/>
          <w:rFonts w:hint="eastAsia" w:ascii="宋体" w:hAnsi="宋体" w:eastAsia="宋体" w:cs="宋体"/>
          <w:b w:val="0"/>
          <w:bCs w:val="0"/>
          <w:color w:val="auto"/>
          <w:sz w:val="24"/>
          <w:szCs w:val="24"/>
          <w:highlight w:val="none"/>
        </w:rPr>
      </w:pPr>
      <w:r>
        <w:rPr>
          <w:rStyle w:val="116"/>
          <w:rFonts w:hint="eastAsia" w:ascii="宋体" w:hAnsi="宋体" w:eastAsia="宋体" w:cs="宋体"/>
          <w:b w:val="0"/>
          <w:bCs w:val="0"/>
          <w:color w:val="auto"/>
          <w:sz w:val="24"/>
          <w:szCs w:val="24"/>
          <w:highlight w:val="none"/>
          <w:lang w:val="en-US" w:eastAsia="zh-CN"/>
        </w:rPr>
        <w:t>(2)供方中标的投标书；</w:t>
      </w:r>
    </w:p>
    <w:p w14:paraId="11297955">
      <w:pPr>
        <w:pStyle w:val="26"/>
        <w:keepNext w:val="0"/>
        <w:keepLines w:val="0"/>
        <w:pageBreakBefore w:val="0"/>
        <w:widowControl w:val="0"/>
        <w:kinsoku/>
        <w:wordWrap/>
        <w:overflowPunct/>
        <w:topLinePunct w:val="0"/>
        <w:bidi w:val="0"/>
        <w:spacing w:line="360" w:lineRule="auto"/>
        <w:ind w:firstLine="480"/>
        <w:textAlignment w:val="auto"/>
        <w:rPr>
          <w:rStyle w:val="116"/>
          <w:rFonts w:hint="eastAsia" w:ascii="宋体" w:hAnsi="宋体" w:eastAsia="宋体" w:cs="宋体"/>
          <w:b w:val="0"/>
          <w:bCs w:val="0"/>
          <w:color w:val="auto"/>
          <w:sz w:val="24"/>
          <w:szCs w:val="24"/>
          <w:highlight w:val="none"/>
        </w:rPr>
      </w:pPr>
      <w:r>
        <w:rPr>
          <w:rStyle w:val="116"/>
          <w:rFonts w:hint="eastAsia" w:ascii="宋体" w:hAnsi="宋体" w:eastAsia="宋体" w:cs="宋体"/>
          <w:b w:val="0"/>
          <w:bCs w:val="0"/>
          <w:color w:val="auto"/>
          <w:sz w:val="24"/>
          <w:szCs w:val="24"/>
          <w:highlight w:val="none"/>
          <w:lang w:val="en-US" w:eastAsia="zh-CN"/>
        </w:rPr>
        <w:t>(3)招标文件；</w:t>
      </w:r>
    </w:p>
    <w:p w14:paraId="549168DD">
      <w:pPr>
        <w:pStyle w:val="26"/>
        <w:keepNext w:val="0"/>
        <w:keepLines w:val="0"/>
        <w:pageBreakBefore w:val="0"/>
        <w:widowControl w:val="0"/>
        <w:kinsoku/>
        <w:wordWrap/>
        <w:overflowPunct/>
        <w:topLinePunct w:val="0"/>
        <w:bidi w:val="0"/>
        <w:spacing w:line="360" w:lineRule="auto"/>
        <w:ind w:firstLine="480"/>
        <w:textAlignment w:val="auto"/>
        <w:rPr>
          <w:rStyle w:val="116"/>
          <w:rFonts w:hint="eastAsia" w:ascii="宋体" w:hAnsi="宋体" w:eastAsia="宋体" w:cs="宋体"/>
          <w:b w:val="0"/>
          <w:bCs w:val="0"/>
          <w:color w:val="auto"/>
          <w:sz w:val="24"/>
          <w:szCs w:val="24"/>
          <w:highlight w:val="none"/>
        </w:rPr>
      </w:pPr>
      <w:r>
        <w:rPr>
          <w:rStyle w:val="116"/>
          <w:rFonts w:hint="eastAsia" w:ascii="宋体" w:hAnsi="宋体" w:eastAsia="宋体" w:cs="宋体"/>
          <w:b w:val="0"/>
          <w:bCs w:val="0"/>
          <w:color w:val="auto"/>
          <w:sz w:val="24"/>
          <w:szCs w:val="24"/>
          <w:highlight w:val="none"/>
          <w:lang w:val="en-US" w:eastAsia="zh-CN"/>
        </w:rPr>
        <w:t>(4)供方在招投标过程中所作的其他承诺、声明、书面澄清等。</w:t>
      </w:r>
    </w:p>
    <w:p w14:paraId="68D9FD6E">
      <w:pPr>
        <w:pStyle w:val="28"/>
        <w:keepNext w:val="0"/>
        <w:keepLines w:val="0"/>
        <w:pageBreakBefore w:val="0"/>
        <w:kinsoku/>
        <w:wordWrap/>
        <w:overflowPunct/>
        <w:topLinePunct w:val="0"/>
        <w:bidi w:val="0"/>
        <w:snapToGrid w:val="0"/>
        <w:spacing w:line="360" w:lineRule="auto"/>
        <w:ind w:firstLine="470" w:firstLineChars="195"/>
        <w:textAlignment w:val="auto"/>
        <w:rPr>
          <w:rStyle w:val="16"/>
          <w:rFonts w:hint="eastAsia" w:ascii="宋体" w:hAnsi="宋体" w:eastAsia="宋体" w:cs="宋体"/>
          <w:b/>
          <w:bCs/>
          <w:color w:val="auto"/>
          <w:sz w:val="24"/>
          <w:szCs w:val="24"/>
          <w:highlight w:val="none"/>
        </w:rPr>
      </w:pPr>
      <w:r>
        <w:rPr>
          <w:rStyle w:val="16"/>
          <w:rFonts w:hint="eastAsia" w:ascii="宋体" w:hAnsi="宋体" w:eastAsia="宋体" w:cs="宋体"/>
          <w:b/>
          <w:bCs/>
          <w:color w:val="auto"/>
          <w:sz w:val="24"/>
          <w:szCs w:val="24"/>
          <w:highlight w:val="none"/>
        </w:rPr>
        <w:t>十五、合同生效及其它</w:t>
      </w:r>
    </w:p>
    <w:p w14:paraId="32309961">
      <w:pPr>
        <w:pStyle w:val="26"/>
        <w:keepNext w:val="0"/>
        <w:keepLines w:val="0"/>
        <w:pageBreakBefore w:val="0"/>
        <w:widowControl w:val="0"/>
        <w:kinsoku/>
        <w:wordWrap/>
        <w:overflowPunct/>
        <w:topLinePunct w:val="0"/>
        <w:bidi w:val="0"/>
        <w:spacing w:line="360" w:lineRule="auto"/>
        <w:ind w:firstLine="480"/>
        <w:textAlignment w:val="auto"/>
        <w:rPr>
          <w:rStyle w:val="116"/>
          <w:rFonts w:hint="eastAsia" w:ascii="宋体" w:hAnsi="宋体" w:eastAsia="宋体" w:cs="宋体"/>
          <w:b w:val="0"/>
          <w:bCs w:val="0"/>
          <w:color w:val="auto"/>
          <w:sz w:val="24"/>
          <w:szCs w:val="24"/>
          <w:highlight w:val="none"/>
        </w:rPr>
      </w:pPr>
      <w:r>
        <w:rPr>
          <w:rStyle w:val="116"/>
          <w:rFonts w:hint="eastAsia" w:ascii="宋体" w:hAnsi="宋体" w:eastAsia="宋体" w:cs="宋体"/>
          <w:b w:val="0"/>
          <w:bCs w:val="0"/>
          <w:color w:val="auto"/>
          <w:sz w:val="24"/>
          <w:szCs w:val="24"/>
          <w:highlight w:val="none"/>
          <w:lang w:val="en-US" w:eastAsia="zh-CN"/>
        </w:rPr>
        <w:t>15.1 合同经双方法定代表人（或负责人）或授权委托代表人签字并加盖单位公章后生效,生效后至张家港市政府采购管理中心备案。</w:t>
      </w:r>
    </w:p>
    <w:p w14:paraId="2BB358B5">
      <w:pPr>
        <w:pStyle w:val="26"/>
        <w:keepNext w:val="0"/>
        <w:keepLines w:val="0"/>
        <w:pageBreakBefore w:val="0"/>
        <w:widowControl w:val="0"/>
        <w:kinsoku/>
        <w:wordWrap/>
        <w:overflowPunct/>
        <w:topLinePunct w:val="0"/>
        <w:bidi w:val="0"/>
        <w:spacing w:line="360" w:lineRule="auto"/>
        <w:ind w:firstLine="480"/>
        <w:textAlignment w:val="auto"/>
        <w:rPr>
          <w:rStyle w:val="116"/>
          <w:rFonts w:hint="eastAsia" w:ascii="宋体" w:hAnsi="宋体" w:eastAsia="宋体" w:cs="宋体"/>
          <w:color w:val="auto"/>
          <w:sz w:val="24"/>
          <w:szCs w:val="24"/>
          <w:highlight w:val="none"/>
        </w:rPr>
      </w:pPr>
      <w:r>
        <w:rPr>
          <w:rStyle w:val="116"/>
          <w:rFonts w:hint="eastAsia" w:ascii="宋体" w:hAnsi="宋体" w:eastAsia="宋体" w:cs="宋体"/>
          <w:b w:val="0"/>
          <w:bCs w:val="0"/>
          <w:color w:val="auto"/>
          <w:sz w:val="24"/>
          <w:szCs w:val="24"/>
          <w:highlight w:val="none"/>
          <w:lang w:val="en-US" w:eastAsia="zh-CN"/>
        </w:rPr>
        <w:t>15.2 本合同未尽事宜，遵照《民法典》合同编经甲乙双方协商一致可签订补充协议</w:t>
      </w:r>
      <w:r>
        <w:rPr>
          <w:rStyle w:val="116"/>
          <w:rFonts w:hint="eastAsia" w:ascii="宋体" w:hAnsi="宋体" w:eastAsia="宋体" w:cs="宋体"/>
          <w:color w:val="auto"/>
          <w:sz w:val="24"/>
          <w:szCs w:val="24"/>
          <w:highlight w:val="none"/>
          <w:lang w:val="en-US" w:eastAsia="zh-CN"/>
        </w:rPr>
        <w:t xml:space="preserve">。 </w:t>
      </w:r>
    </w:p>
    <w:p w14:paraId="198B5F0A">
      <w:pPr>
        <w:pStyle w:val="28"/>
        <w:keepNext w:val="0"/>
        <w:keepLines w:val="0"/>
        <w:pageBreakBefore w:val="0"/>
        <w:kinsoku/>
        <w:wordWrap/>
        <w:overflowPunct/>
        <w:topLinePunct w:val="0"/>
        <w:bidi w:val="0"/>
        <w:adjustRightInd w:val="0"/>
        <w:snapToGrid w:val="0"/>
        <w:spacing w:line="360" w:lineRule="auto"/>
        <w:ind w:firstLine="480"/>
        <w:textAlignment w:val="auto"/>
        <w:rPr>
          <w:rStyle w:val="16"/>
          <w:rFonts w:hint="eastAsia" w:ascii="宋体" w:hAnsi="宋体" w:eastAsia="宋体" w:cs="宋体"/>
          <w:color w:val="auto"/>
          <w:sz w:val="24"/>
          <w:szCs w:val="24"/>
          <w:highlight w:val="none"/>
        </w:rPr>
      </w:pPr>
    </w:p>
    <w:p w14:paraId="747DB251">
      <w:pPr>
        <w:pStyle w:val="28"/>
        <w:keepNext w:val="0"/>
        <w:keepLines w:val="0"/>
        <w:pageBreakBefore w:val="0"/>
        <w:kinsoku/>
        <w:wordWrap/>
        <w:overflowPunct/>
        <w:topLinePunct w:val="0"/>
        <w:bidi w:val="0"/>
        <w:adjustRightInd w:val="0"/>
        <w:snapToGrid w:val="0"/>
        <w:spacing w:line="360" w:lineRule="auto"/>
        <w:ind w:firstLine="0" w:firstLineChars="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甲方：</w:t>
      </w:r>
      <w:bookmarkStart w:id="228" w:name="jianshedanwei_2"/>
      <w:r>
        <w:rPr>
          <w:rStyle w:val="16"/>
          <w:rFonts w:hint="eastAsia" w:ascii="宋体" w:hAnsi="宋体" w:eastAsia="宋体" w:cs="宋体"/>
          <w:color w:val="auto"/>
          <w:sz w:val="24"/>
          <w:szCs w:val="24"/>
          <w:highlight w:val="none"/>
        </w:rPr>
        <w:t xml:space="preserve">               </w:t>
      </w:r>
      <w:bookmarkEnd w:id="228"/>
      <w:r>
        <w:rPr>
          <w:rStyle w:val="16"/>
          <w:rFonts w:hint="eastAsia" w:ascii="宋体" w:hAnsi="宋体" w:eastAsia="宋体" w:cs="宋体"/>
          <w:color w:val="auto"/>
          <w:sz w:val="24"/>
          <w:szCs w:val="24"/>
          <w:highlight w:val="none"/>
        </w:rPr>
        <w:t xml:space="preserve">                乙方：</w:t>
      </w:r>
      <w:bookmarkStart w:id="229" w:name="zhongbiaodanweiname_2"/>
      <w:r>
        <w:rPr>
          <w:rStyle w:val="16"/>
          <w:rFonts w:hint="eastAsia" w:ascii="宋体" w:hAnsi="宋体" w:eastAsia="宋体" w:cs="宋体"/>
          <w:color w:val="auto"/>
          <w:sz w:val="24"/>
          <w:szCs w:val="24"/>
          <w:highlight w:val="none"/>
        </w:rPr>
        <w:t xml:space="preserve">           </w:t>
      </w:r>
    </w:p>
    <w:bookmarkEnd w:id="229"/>
    <w:p w14:paraId="470A706F">
      <w:pPr>
        <w:pStyle w:val="28"/>
        <w:keepNext w:val="0"/>
        <w:keepLines w:val="0"/>
        <w:pageBreakBefore w:val="0"/>
        <w:kinsoku/>
        <w:wordWrap/>
        <w:overflowPunct/>
        <w:topLinePunct w:val="0"/>
        <w:bidi w:val="0"/>
        <w:adjustRightInd w:val="0"/>
        <w:snapToGrid w:val="0"/>
        <w:spacing w:line="360" w:lineRule="auto"/>
        <w:ind w:firstLine="0" w:firstLineChars="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地址：</w:t>
      </w:r>
      <w:bookmarkStart w:id="230" w:name="jianshedanweiaddress"/>
      <w:r>
        <w:rPr>
          <w:rStyle w:val="16"/>
          <w:rFonts w:hint="eastAsia" w:ascii="宋体" w:hAnsi="宋体" w:eastAsia="宋体" w:cs="宋体"/>
          <w:color w:val="auto"/>
          <w:sz w:val="24"/>
          <w:szCs w:val="24"/>
          <w:highlight w:val="none"/>
        </w:rPr>
        <w:t xml:space="preserve">             </w:t>
      </w:r>
      <w:bookmarkEnd w:id="230"/>
      <w:r>
        <w:rPr>
          <w:rStyle w:val="16"/>
          <w:rFonts w:hint="eastAsia" w:ascii="宋体" w:hAnsi="宋体" w:eastAsia="宋体" w:cs="宋体"/>
          <w:color w:val="auto"/>
          <w:sz w:val="24"/>
          <w:szCs w:val="24"/>
          <w:highlight w:val="none"/>
        </w:rPr>
        <w:t xml:space="preserve">                  地址：</w:t>
      </w:r>
      <w:bookmarkStart w:id="231" w:name="zhongbiaodanweiaddress"/>
      <w:r>
        <w:rPr>
          <w:rStyle w:val="16"/>
          <w:rFonts w:hint="eastAsia" w:ascii="宋体" w:hAnsi="宋体" w:eastAsia="宋体" w:cs="宋体"/>
          <w:color w:val="auto"/>
          <w:sz w:val="24"/>
          <w:szCs w:val="24"/>
          <w:highlight w:val="none"/>
        </w:rPr>
        <w:t xml:space="preserve">                  </w:t>
      </w:r>
    </w:p>
    <w:bookmarkEnd w:id="231"/>
    <w:p w14:paraId="2CDB0EE8">
      <w:pPr>
        <w:pStyle w:val="28"/>
        <w:keepNext w:val="0"/>
        <w:keepLines w:val="0"/>
        <w:pageBreakBefore w:val="0"/>
        <w:kinsoku/>
        <w:wordWrap/>
        <w:overflowPunct/>
        <w:topLinePunct w:val="0"/>
        <w:bidi w:val="0"/>
        <w:adjustRightInd w:val="0"/>
        <w:snapToGrid w:val="0"/>
        <w:spacing w:line="360" w:lineRule="auto"/>
        <w:ind w:firstLine="0" w:firstLineChars="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法定代表人或授权代表：</w:t>
      </w:r>
      <w:bookmarkStart w:id="232" w:name="jianshedanweifaren"/>
      <w:r>
        <w:rPr>
          <w:rStyle w:val="16"/>
          <w:rFonts w:hint="eastAsia" w:ascii="宋体" w:hAnsi="宋体" w:eastAsia="宋体" w:cs="宋体"/>
          <w:color w:val="auto"/>
          <w:sz w:val="24"/>
          <w:szCs w:val="24"/>
          <w:highlight w:val="none"/>
        </w:rPr>
        <w:t xml:space="preserve">               </w:t>
      </w:r>
      <w:bookmarkEnd w:id="232"/>
      <w:r>
        <w:rPr>
          <w:rStyle w:val="16"/>
          <w:rFonts w:hint="eastAsia" w:ascii="宋体" w:hAnsi="宋体" w:eastAsia="宋体" w:cs="宋体"/>
          <w:color w:val="auto"/>
          <w:sz w:val="24"/>
          <w:szCs w:val="24"/>
          <w:highlight w:val="none"/>
        </w:rPr>
        <w:t>法定代表人</w:t>
      </w:r>
      <w:r>
        <w:rPr>
          <w:rStyle w:val="16"/>
          <w:rFonts w:hint="eastAsia" w:ascii="宋体" w:hAnsi="宋体" w:eastAsia="宋体" w:cs="宋体"/>
          <w:bCs/>
          <w:color w:val="auto"/>
          <w:sz w:val="24"/>
          <w:szCs w:val="24"/>
          <w:highlight w:val="none"/>
        </w:rPr>
        <w:t>（或负责人）</w:t>
      </w:r>
      <w:r>
        <w:rPr>
          <w:rStyle w:val="16"/>
          <w:rFonts w:hint="eastAsia" w:ascii="宋体" w:hAnsi="宋体" w:eastAsia="宋体" w:cs="宋体"/>
          <w:color w:val="auto"/>
          <w:sz w:val="24"/>
          <w:szCs w:val="24"/>
          <w:highlight w:val="none"/>
        </w:rPr>
        <w:t>或授权代表：</w:t>
      </w:r>
      <w:bookmarkStart w:id="233" w:name="zhongbiaodanweifaren"/>
      <w:r>
        <w:rPr>
          <w:rStyle w:val="16"/>
          <w:rFonts w:hint="eastAsia" w:ascii="宋体" w:hAnsi="宋体" w:eastAsia="宋体" w:cs="宋体"/>
          <w:color w:val="auto"/>
          <w:sz w:val="24"/>
          <w:szCs w:val="24"/>
          <w:highlight w:val="none"/>
        </w:rPr>
        <w:t xml:space="preserve">           </w:t>
      </w:r>
    </w:p>
    <w:bookmarkEnd w:id="233"/>
    <w:p w14:paraId="1E6EEC14">
      <w:pPr>
        <w:pStyle w:val="28"/>
        <w:keepNext w:val="0"/>
        <w:keepLines w:val="0"/>
        <w:pageBreakBefore w:val="0"/>
        <w:kinsoku/>
        <w:wordWrap/>
        <w:overflowPunct/>
        <w:topLinePunct w:val="0"/>
        <w:bidi w:val="0"/>
        <w:adjustRightInd w:val="0"/>
        <w:snapToGrid w:val="0"/>
        <w:spacing w:line="360" w:lineRule="auto"/>
        <w:ind w:firstLine="0" w:firstLineChars="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联系电话：</w:t>
      </w:r>
      <w:bookmarkStart w:id="234" w:name="jianshedanweifarentel"/>
      <w:r>
        <w:rPr>
          <w:rStyle w:val="16"/>
          <w:rFonts w:hint="eastAsia" w:ascii="宋体" w:hAnsi="宋体" w:eastAsia="宋体" w:cs="宋体"/>
          <w:color w:val="auto"/>
          <w:sz w:val="24"/>
          <w:szCs w:val="24"/>
          <w:highlight w:val="none"/>
        </w:rPr>
        <w:t xml:space="preserve">                </w:t>
      </w:r>
      <w:bookmarkEnd w:id="234"/>
      <w:r>
        <w:rPr>
          <w:rStyle w:val="16"/>
          <w:rFonts w:hint="eastAsia" w:ascii="宋体" w:hAnsi="宋体" w:eastAsia="宋体" w:cs="宋体"/>
          <w:color w:val="auto"/>
          <w:sz w:val="24"/>
          <w:szCs w:val="24"/>
          <w:highlight w:val="none"/>
        </w:rPr>
        <w:t xml:space="preserve">           联系电话：</w:t>
      </w:r>
      <w:bookmarkStart w:id="235" w:name="zhongbiaodanweifarentel"/>
      <w:r>
        <w:rPr>
          <w:rStyle w:val="16"/>
          <w:rFonts w:hint="eastAsia" w:ascii="宋体" w:hAnsi="宋体" w:eastAsia="宋体" w:cs="宋体"/>
          <w:color w:val="auto"/>
          <w:sz w:val="24"/>
          <w:szCs w:val="24"/>
          <w:highlight w:val="none"/>
        </w:rPr>
        <w:t xml:space="preserve">                  </w:t>
      </w:r>
      <w:bookmarkEnd w:id="235"/>
      <w:r>
        <w:rPr>
          <w:rStyle w:val="16"/>
          <w:rFonts w:hint="eastAsia" w:ascii="宋体" w:hAnsi="宋体" w:eastAsia="宋体" w:cs="宋体"/>
          <w:color w:val="auto"/>
          <w:sz w:val="24"/>
          <w:szCs w:val="24"/>
          <w:highlight w:val="none"/>
        </w:rPr>
        <w:t xml:space="preserve">  </w:t>
      </w:r>
    </w:p>
    <w:p w14:paraId="70C40BB8">
      <w:pPr>
        <w:pStyle w:val="28"/>
        <w:keepNext w:val="0"/>
        <w:keepLines w:val="0"/>
        <w:pageBreakBefore w:val="0"/>
        <w:kinsoku/>
        <w:wordWrap/>
        <w:overflowPunct/>
        <w:topLinePunct w:val="0"/>
        <w:bidi w:val="0"/>
        <w:adjustRightInd w:val="0"/>
        <w:snapToGrid w:val="0"/>
        <w:spacing w:line="360" w:lineRule="auto"/>
        <w:ind w:firstLine="0" w:firstLineChars="0"/>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签订日期：</w:t>
      </w:r>
      <w:bookmarkStart w:id="236" w:name="jiafangqiandingdate"/>
      <w:r>
        <w:rPr>
          <w:rStyle w:val="16"/>
          <w:rFonts w:hint="eastAsia" w:ascii="宋体" w:hAnsi="宋体" w:eastAsia="宋体" w:cs="宋体"/>
          <w:color w:val="auto"/>
          <w:sz w:val="24"/>
          <w:szCs w:val="24"/>
          <w:highlight w:val="none"/>
        </w:rPr>
        <w:t xml:space="preserve">      年    月  日</w:t>
      </w:r>
      <w:bookmarkEnd w:id="236"/>
      <w:r>
        <w:rPr>
          <w:rStyle w:val="16"/>
          <w:rFonts w:hint="eastAsia" w:ascii="宋体" w:hAnsi="宋体" w:eastAsia="宋体" w:cs="宋体"/>
          <w:color w:val="auto"/>
          <w:sz w:val="24"/>
          <w:szCs w:val="24"/>
          <w:highlight w:val="none"/>
        </w:rPr>
        <w:t xml:space="preserve">         签订日期： </w:t>
      </w:r>
      <w:bookmarkStart w:id="237" w:name="yifangqiandingdate"/>
      <w:r>
        <w:rPr>
          <w:rStyle w:val="16"/>
          <w:rFonts w:hint="eastAsia" w:ascii="宋体" w:hAnsi="宋体" w:eastAsia="宋体" w:cs="宋体"/>
          <w:color w:val="auto"/>
          <w:sz w:val="24"/>
          <w:szCs w:val="24"/>
          <w:highlight w:val="none"/>
        </w:rPr>
        <w:t xml:space="preserve">     年    月  日</w:t>
      </w:r>
      <w:bookmarkEnd w:id="237"/>
    </w:p>
    <w:bookmarkEnd w:id="209"/>
    <w:p w14:paraId="40EB6AAE">
      <w:pPr>
        <w:rPr>
          <w:rFonts w:hint="eastAsia" w:ascii="宋体" w:hAnsi="宋体" w:eastAsia="宋体" w:cs="宋体"/>
          <w:color w:val="auto"/>
          <w:sz w:val="20"/>
          <w:highlight w:val="none"/>
        </w:rPr>
      </w:pPr>
    </w:p>
    <w:p w14:paraId="6711D706">
      <w:pPr>
        <w:pStyle w:val="14"/>
        <w:pageBreakBefore/>
        <w:spacing w:line="360" w:lineRule="auto"/>
        <w:rPr>
          <w:rFonts w:hint="eastAsia" w:ascii="宋体" w:hAnsi="宋体" w:eastAsia="宋体" w:cs="宋体"/>
          <w:color w:val="auto"/>
          <w:highlight w:val="none"/>
        </w:rPr>
      </w:pPr>
      <w:bookmarkStart w:id="238" w:name="_Hlt16619350"/>
      <w:bookmarkStart w:id="239" w:name="_Toc54615246"/>
      <w:bookmarkStart w:id="240" w:name="_Toc38368128"/>
      <w:bookmarkStart w:id="241" w:name="_Toc20823346"/>
      <w:bookmarkStart w:id="242" w:name="_Toc16938590"/>
      <w:bookmarkStart w:id="243" w:name="_Toc120614244"/>
      <w:bookmarkStart w:id="244" w:name="_Toc35266028"/>
      <w:bookmarkStart w:id="245" w:name="_Toc106"/>
      <w:bookmarkStart w:id="246" w:name="_Toc479757211"/>
      <w:bookmarkStart w:id="247" w:name="_Toc462564139"/>
      <w:r>
        <w:rPr>
          <w:rFonts w:hint="eastAsia" w:ascii="宋体" w:hAnsi="宋体" w:eastAsia="宋体" w:cs="宋体"/>
          <w:color w:val="auto"/>
          <w:highlight w:val="none"/>
        </w:rPr>
        <w:t>第</w:t>
      </w:r>
      <w:bookmarkEnd w:id="238"/>
      <w:r>
        <w:rPr>
          <w:rFonts w:hint="eastAsia" w:ascii="宋体" w:hAnsi="宋体" w:eastAsia="宋体" w:cs="宋体"/>
          <w:color w:val="auto"/>
          <w:highlight w:val="none"/>
        </w:rPr>
        <w:t>四章 项目需求</w:t>
      </w:r>
      <w:bookmarkEnd w:id="239"/>
      <w:bookmarkEnd w:id="240"/>
      <w:bookmarkEnd w:id="241"/>
      <w:bookmarkEnd w:id="242"/>
      <w:bookmarkEnd w:id="243"/>
      <w:bookmarkEnd w:id="244"/>
      <w:bookmarkEnd w:id="245"/>
      <w:bookmarkStart w:id="248" w:name="_Toc274321794"/>
      <w:bookmarkStart w:id="249" w:name="_Toc319429198"/>
      <w:bookmarkStart w:id="250" w:name="_Toc483515625"/>
      <w:bookmarkStart w:id="251" w:name="_Toc350255489"/>
      <w:bookmarkStart w:id="252" w:name="_Toc26554093"/>
      <w:bookmarkStart w:id="253" w:name="_Toc49090575"/>
    </w:p>
    <w:bookmarkEnd w:id="248"/>
    <w:bookmarkEnd w:id="249"/>
    <w:bookmarkEnd w:id="250"/>
    <w:bookmarkEnd w:id="251"/>
    <w:p w14:paraId="1EAD6434">
      <w:pPr>
        <w:spacing w:line="360" w:lineRule="auto"/>
        <w:rPr>
          <w:rFonts w:ascii="宋体" w:hAnsi="宋体" w:cs="宋体"/>
          <w:b/>
          <w:color w:val="auto"/>
          <w:sz w:val="28"/>
          <w:szCs w:val="28"/>
          <w:highlight w:val="none"/>
        </w:rPr>
      </w:pPr>
      <w:bookmarkStart w:id="254" w:name="_Toc120614281"/>
      <w:r>
        <w:rPr>
          <w:rFonts w:hint="eastAsia" w:ascii="宋体" w:hAnsi="宋体" w:cs="宋体"/>
          <w:b/>
          <w:color w:val="auto"/>
          <w:sz w:val="28"/>
          <w:szCs w:val="28"/>
          <w:highlight w:val="none"/>
        </w:rPr>
        <w:t>一、清单</w:t>
      </w:r>
    </w:p>
    <w:p w14:paraId="1A7D9C5D">
      <w:pPr>
        <w:pStyle w:val="45"/>
        <w:spacing w:line="440" w:lineRule="exact"/>
        <w:ind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1.清单</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8"/>
        <w:gridCol w:w="2380"/>
        <w:gridCol w:w="696"/>
        <w:gridCol w:w="509"/>
        <w:gridCol w:w="509"/>
        <w:gridCol w:w="4025"/>
        <w:gridCol w:w="720"/>
        <w:gridCol w:w="615"/>
      </w:tblGrid>
      <w:tr w14:paraId="2CCA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D006906">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序号</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AE22A52">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名称</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3EA81E5">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数量</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A5081F0">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单位</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74FBBAF">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图片</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8E4149C">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所属行业</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6D6421">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标的类型</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220D55">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标的属性</w:t>
            </w:r>
          </w:p>
        </w:tc>
      </w:tr>
      <w:tr w14:paraId="1DC9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D6EE256">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1</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C82F33">
            <w:pPr>
              <w:pStyle w:val="50"/>
              <w:jc w:val="center"/>
              <w:rPr>
                <w:rStyle w:val="16"/>
                <w:rFonts w:ascii="宋体" w:hAnsi="宋体" w:eastAsia="宋体" w:cs="宋体"/>
                <w:b w:val="0"/>
                <w:color w:val="auto"/>
                <w:sz w:val="24"/>
                <w:szCs w:val="24"/>
                <w:highlight w:val="none"/>
              </w:rPr>
            </w:pPr>
            <w:r>
              <w:rPr>
                <w:rStyle w:val="16"/>
                <w:rFonts w:hint="eastAsia" w:ascii="宋体" w:hAnsi="宋体" w:eastAsia="宋体" w:cs="宋体"/>
                <w:b w:val="0"/>
                <w:color w:val="auto"/>
                <w:sz w:val="24"/>
                <w:szCs w:val="24"/>
                <w:highlight w:val="none"/>
              </w:rPr>
              <w:t>2025—2027年度南丰镇镇级河道及镇区相关河道保洁</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FFBE85">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1.00</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6D68E5">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项</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C49F49">
            <w:pPr>
              <w:pStyle w:val="50"/>
              <w:jc w:val="left"/>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无</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BADD90">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其他未列明行业（包括科学研究和技术服务业，水利、环境和公共设施管理业，居民服务、修理和其他服务业，社会工作，文化、体育和娱乐业等）</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00FD17">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主要采购标的</w:t>
            </w:r>
          </w:p>
        </w:tc>
        <w:tc>
          <w:tcPr>
            <w:tcW w:w="0" w:type="auto"/>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E8A6D9F">
            <w:pPr>
              <w:pStyle w:val="50"/>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服务类</w:t>
            </w:r>
          </w:p>
        </w:tc>
      </w:tr>
    </w:tbl>
    <w:p w14:paraId="19ADECDD">
      <w:pPr>
        <w:pStyle w:val="50"/>
        <w:jc w:val="center"/>
        <w:rPr>
          <w:rStyle w:val="16"/>
          <w:rFonts w:ascii="宋体" w:hAnsi="宋体" w:eastAsia="宋体" w:cs="宋体"/>
          <w:color w:val="auto"/>
          <w:sz w:val="24"/>
          <w:highlight w:val="none"/>
        </w:rPr>
      </w:pPr>
    </w:p>
    <w:p w14:paraId="6E63F7B2">
      <w:pPr>
        <w:pStyle w:val="51"/>
        <w:spacing w:line="440" w:lineRule="exact"/>
        <w:ind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85C51B9">
      <w:pPr>
        <w:pStyle w:val="20"/>
        <w:ind w:firstLine="0" w:firstLineChars="0"/>
        <w:rPr>
          <w:rFonts w:hint="eastAsia"/>
          <w:color w:val="auto"/>
          <w:szCs w:val="24"/>
          <w:highlight w:val="none"/>
        </w:rPr>
      </w:pPr>
      <w:bookmarkStart w:id="255" w:name="EB408f2104b2e44804a6615a1921eee37c"/>
      <w:bookmarkEnd w:id="255"/>
    </w:p>
    <w:p w14:paraId="6E31F6F7">
      <w:pPr>
        <w:snapToGrid w:val="0"/>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二、技术要求</w:t>
      </w:r>
    </w:p>
    <w:tbl>
      <w:tblPr>
        <w:tblStyle w:val="1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764"/>
        <w:gridCol w:w="8722"/>
      </w:tblGrid>
      <w:tr w14:paraId="6F96C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0AE483">
            <w:pPr>
              <w:pStyle w:val="49"/>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序号</w:t>
            </w:r>
          </w:p>
        </w:tc>
        <w:tc>
          <w:tcPr>
            <w:tcW w:w="76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EC3BE34">
            <w:pPr>
              <w:pStyle w:val="49"/>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名称</w:t>
            </w: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EEBABD">
            <w:pPr>
              <w:pStyle w:val="49"/>
              <w:jc w:val="center"/>
              <w:rPr>
                <w:rStyle w:val="16"/>
                <w:rFonts w:ascii="宋体" w:hAnsi="宋体" w:eastAsia="宋体" w:cs="宋体"/>
                <w:b w:val="0"/>
                <w:color w:val="auto"/>
                <w:sz w:val="24"/>
                <w:szCs w:val="24"/>
                <w:highlight w:val="none"/>
              </w:rPr>
            </w:pPr>
            <w:r>
              <w:rPr>
                <w:rStyle w:val="16"/>
                <w:rFonts w:ascii="宋体" w:hAnsi="宋体" w:eastAsia="宋体" w:cs="宋体"/>
                <w:b w:val="0"/>
                <w:color w:val="auto"/>
                <w:sz w:val="24"/>
                <w:szCs w:val="24"/>
                <w:highlight w:val="none"/>
              </w:rPr>
              <w:t>内容</w:t>
            </w:r>
          </w:p>
        </w:tc>
      </w:tr>
      <w:tr w14:paraId="152D2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9C13E69">
            <w:pPr>
              <w:pStyle w:val="49"/>
              <w:jc w:val="center"/>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w:t>
            </w:r>
          </w:p>
        </w:tc>
        <w:tc>
          <w:tcPr>
            <w:tcW w:w="764"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4835541">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项目概况</w:t>
            </w: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FEB658">
            <w:pPr>
              <w:pStyle w:val="49"/>
              <w:jc w:val="left"/>
              <w:rPr>
                <w:rStyle w:val="16"/>
                <w:rFonts w:ascii="宋体" w:hAnsi="宋体" w:eastAsia="宋体" w:cs="宋体"/>
                <w:b w:val="0"/>
                <w:i w:val="0"/>
                <w:color w:val="auto"/>
                <w:sz w:val="24"/>
                <w:szCs w:val="24"/>
                <w:highlight w:val="none"/>
                <w:u w:val="none"/>
              </w:rPr>
            </w:pPr>
            <w:r>
              <w:rPr>
                <w:rStyle w:val="16"/>
                <w:rFonts w:hint="eastAsia" w:ascii="宋体" w:hAnsi="宋体" w:eastAsia="宋体" w:cs="宋体"/>
                <w:b w:val="0"/>
                <w:i w:val="0"/>
                <w:color w:val="auto"/>
                <w:sz w:val="24"/>
                <w:szCs w:val="24"/>
                <w:highlight w:val="none"/>
                <w:u w:val="none"/>
              </w:rPr>
              <w:t>为进一步做好深化文明创建常态化管理，提升河道保洁水平，更好地明确责任范围，监管有力，将</w:t>
            </w:r>
            <w:r>
              <w:rPr>
                <w:rStyle w:val="16"/>
                <w:rFonts w:hint="eastAsia" w:ascii="宋体" w:hAnsi="宋体" w:eastAsia="宋体" w:cs="宋体"/>
                <w:b w:val="0"/>
                <w:i w:val="0"/>
                <w:color w:val="auto"/>
                <w:sz w:val="24"/>
                <w:szCs w:val="24"/>
                <w:highlight w:val="none"/>
                <w:u w:val="none"/>
                <w:lang w:eastAsia="zh-CN"/>
              </w:rPr>
              <w:t>对</w:t>
            </w:r>
            <w:r>
              <w:rPr>
                <w:rStyle w:val="16"/>
                <w:rFonts w:hint="eastAsia" w:ascii="宋体" w:hAnsi="宋体" w:eastAsia="宋体" w:cs="宋体"/>
                <w:b w:val="0"/>
                <w:i w:val="0"/>
                <w:color w:val="auto"/>
                <w:sz w:val="24"/>
                <w:szCs w:val="24"/>
                <w:highlight w:val="none"/>
                <w:u w:val="none"/>
              </w:rPr>
              <w:t>南丰镇镇级河道及镇区相关河道</w:t>
            </w:r>
            <w:r>
              <w:rPr>
                <w:rStyle w:val="16"/>
                <w:rFonts w:hint="eastAsia" w:ascii="宋体" w:hAnsi="宋体" w:eastAsia="宋体" w:cs="宋体"/>
                <w:b w:val="0"/>
                <w:i w:val="0"/>
                <w:color w:val="auto"/>
                <w:sz w:val="24"/>
                <w:szCs w:val="24"/>
                <w:highlight w:val="none"/>
                <w:u w:val="none"/>
                <w:lang w:eastAsia="zh-CN"/>
              </w:rPr>
              <w:t>保洁</w:t>
            </w:r>
            <w:r>
              <w:rPr>
                <w:rStyle w:val="16"/>
                <w:rFonts w:hint="eastAsia" w:ascii="宋体" w:hAnsi="宋体" w:eastAsia="宋体" w:cs="宋体"/>
                <w:b w:val="0"/>
                <w:i w:val="0"/>
                <w:color w:val="auto"/>
                <w:sz w:val="24"/>
                <w:szCs w:val="24"/>
                <w:highlight w:val="none"/>
                <w:u w:val="none"/>
              </w:rPr>
              <w:t>进行公开招标。</w:t>
            </w:r>
          </w:p>
        </w:tc>
      </w:tr>
      <w:tr w14:paraId="5E1C0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9BC4DA">
            <w:pPr>
              <w:pStyle w:val="49"/>
              <w:jc w:val="center"/>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2</w:t>
            </w:r>
          </w:p>
        </w:tc>
        <w:tc>
          <w:tcPr>
            <w:tcW w:w="764"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45F7E35">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作业服务</w:t>
            </w:r>
          </w:p>
          <w:p w14:paraId="30F1AD79">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内容及范围</w:t>
            </w: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748BA3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1、保洁区域河道内及河坡岸（含景观河）保洁（飘浮物打捞及水草清理）；</w:t>
            </w:r>
          </w:p>
          <w:p w14:paraId="395490F3">
            <w:pPr>
              <w:pStyle w:val="49"/>
              <w:jc w:val="left"/>
              <w:rPr>
                <w:rStyle w:val="16"/>
                <w:rFonts w:ascii="宋体" w:hAnsi="宋体" w:eastAsia="宋体" w:cs="宋体"/>
                <w:b w:val="0"/>
                <w:i w:val="0"/>
                <w:color w:val="auto"/>
                <w:sz w:val="24"/>
                <w:szCs w:val="24"/>
                <w:highlight w:val="none"/>
                <w:u w:val="none"/>
              </w:rPr>
            </w:pPr>
            <w:r>
              <w:rPr>
                <w:rStyle w:val="16"/>
                <w:rFonts w:hint="eastAsia" w:ascii="宋体" w:hAnsi="宋体" w:eastAsia="宋体" w:cs="宋体"/>
                <w:b w:val="0"/>
                <w:i w:val="0"/>
                <w:color w:val="auto"/>
                <w:sz w:val="24"/>
                <w:szCs w:val="24"/>
                <w:highlight w:val="none"/>
                <w:u w:val="none"/>
                <w:lang w:val="en-US" w:eastAsia="zh-CN"/>
              </w:rPr>
              <w:t>2</w:t>
            </w:r>
            <w:r>
              <w:rPr>
                <w:rStyle w:val="16"/>
                <w:rFonts w:ascii="宋体" w:hAnsi="宋体" w:eastAsia="宋体" w:cs="宋体"/>
                <w:b w:val="0"/>
                <w:i w:val="0"/>
                <w:color w:val="auto"/>
                <w:sz w:val="24"/>
                <w:szCs w:val="24"/>
                <w:highlight w:val="none"/>
                <w:u w:val="none"/>
              </w:rPr>
              <w:t>、突发性、临时性的有关河道环境卫生保洁相关工作。</w:t>
            </w:r>
          </w:p>
        </w:tc>
      </w:tr>
      <w:tr w14:paraId="0F42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C4D2930">
            <w:pPr>
              <w:pStyle w:val="49"/>
              <w:jc w:val="center"/>
              <w:rPr>
                <w:rStyle w:val="16"/>
                <w:rFonts w:ascii="宋体" w:hAnsi="宋体" w:eastAsia="宋体" w:cs="宋体"/>
                <w:b w:val="0"/>
                <w:i w:val="0"/>
                <w:color w:val="auto"/>
                <w:sz w:val="24"/>
                <w:szCs w:val="24"/>
                <w:highlight w:val="none"/>
                <w:u w:val="none"/>
              </w:rPr>
            </w:pPr>
          </w:p>
        </w:tc>
        <w:tc>
          <w:tcPr>
            <w:tcW w:w="764"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B75ADDF">
            <w:pPr>
              <w:pStyle w:val="49"/>
              <w:jc w:val="left"/>
              <w:rPr>
                <w:rStyle w:val="16"/>
                <w:rFonts w:ascii="宋体" w:hAnsi="宋体" w:eastAsia="宋体" w:cs="宋体"/>
                <w:b w:val="0"/>
                <w:i w:val="0"/>
                <w:color w:val="auto"/>
                <w:sz w:val="24"/>
                <w:szCs w:val="24"/>
                <w:highlight w:val="none"/>
                <w:u w:val="none"/>
              </w:rPr>
            </w:pP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tbl>
            <w:tblPr>
              <w:tblStyle w:val="15"/>
              <w:tblW w:w="8268"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23"/>
              <w:gridCol w:w="1545"/>
              <w:gridCol w:w="3000"/>
            </w:tblGrid>
            <w:tr w14:paraId="0B100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74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河道名称</w:t>
                  </w:r>
                </w:p>
              </w:tc>
              <w:tc>
                <w:tcPr>
                  <w:tcW w:w="15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20F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长度（千米）</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E02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79A2C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C01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南丰市河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E57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2.70 </w:t>
                  </w:r>
                </w:p>
              </w:tc>
              <w:tc>
                <w:tcPr>
                  <w:tcW w:w="3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7BF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镇北桥往市镇闸一起计入总长</w:t>
                  </w:r>
                </w:p>
              </w:tc>
            </w:tr>
            <w:tr w14:paraId="1E942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FAD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南中心河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8E9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2.60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D75F6">
                  <w:pPr>
                    <w:jc w:val="center"/>
                    <w:rPr>
                      <w:rFonts w:hint="eastAsia" w:ascii="宋体" w:hAnsi="宋体" w:eastAsia="宋体" w:cs="宋体"/>
                      <w:i w:val="0"/>
                      <w:iCs w:val="0"/>
                      <w:color w:val="auto"/>
                      <w:sz w:val="24"/>
                      <w:szCs w:val="24"/>
                      <w:highlight w:val="none"/>
                      <w:u w:val="none"/>
                    </w:rPr>
                  </w:pPr>
                </w:p>
              </w:tc>
            </w:tr>
            <w:tr w14:paraId="75FCE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223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永丰支港</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5DB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4.60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AC5D">
                  <w:pPr>
                    <w:jc w:val="center"/>
                    <w:rPr>
                      <w:rFonts w:hint="eastAsia" w:ascii="宋体" w:hAnsi="宋体" w:eastAsia="宋体" w:cs="宋体"/>
                      <w:i w:val="0"/>
                      <w:iCs w:val="0"/>
                      <w:color w:val="auto"/>
                      <w:sz w:val="24"/>
                      <w:szCs w:val="24"/>
                      <w:highlight w:val="none"/>
                      <w:u w:val="none"/>
                    </w:rPr>
                  </w:pPr>
                </w:p>
              </w:tc>
            </w:tr>
            <w:tr w14:paraId="37C22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016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北中心河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36B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2.50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A21A2">
                  <w:pPr>
                    <w:jc w:val="center"/>
                    <w:rPr>
                      <w:rFonts w:hint="eastAsia" w:ascii="宋体" w:hAnsi="宋体" w:eastAsia="宋体" w:cs="宋体"/>
                      <w:i w:val="0"/>
                      <w:iCs w:val="0"/>
                      <w:color w:val="auto"/>
                      <w:sz w:val="24"/>
                      <w:szCs w:val="24"/>
                      <w:highlight w:val="none"/>
                      <w:u w:val="none"/>
                    </w:rPr>
                  </w:pPr>
                </w:p>
              </w:tc>
            </w:tr>
            <w:tr w14:paraId="4DF3B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20E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洞子港</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6FC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1.10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D949C">
                  <w:pPr>
                    <w:jc w:val="center"/>
                    <w:rPr>
                      <w:rFonts w:hint="eastAsia" w:ascii="宋体" w:hAnsi="宋体" w:eastAsia="宋体" w:cs="宋体"/>
                      <w:i w:val="0"/>
                      <w:iCs w:val="0"/>
                      <w:color w:val="auto"/>
                      <w:sz w:val="24"/>
                      <w:szCs w:val="24"/>
                      <w:highlight w:val="none"/>
                      <w:u w:val="none"/>
                    </w:rPr>
                  </w:pPr>
                </w:p>
              </w:tc>
            </w:tr>
            <w:tr w14:paraId="2959F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69F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泗兴港</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77E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8.00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868E6">
                  <w:pPr>
                    <w:jc w:val="center"/>
                    <w:rPr>
                      <w:rFonts w:hint="eastAsia" w:ascii="宋体" w:hAnsi="宋体" w:eastAsia="宋体" w:cs="宋体"/>
                      <w:i w:val="0"/>
                      <w:iCs w:val="0"/>
                      <w:color w:val="auto"/>
                      <w:sz w:val="24"/>
                      <w:szCs w:val="24"/>
                      <w:highlight w:val="none"/>
                      <w:u w:val="none"/>
                    </w:rPr>
                  </w:pPr>
                </w:p>
              </w:tc>
            </w:tr>
            <w:tr w14:paraId="7A51B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7BC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泗兴支港</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673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2.10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FE596">
                  <w:pPr>
                    <w:jc w:val="center"/>
                    <w:rPr>
                      <w:rFonts w:hint="eastAsia" w:ascii="宋体" w:hAnsi="宋体" w:eastAsia="宋体" w:cs="宋体"/>
                      <w:i w:val="0"/>
                      <w:iCs w:val="0"/>
                      <w:color w:val="auto"/>
                      <w:sz w:val="24"/>
                      <w:szCs w:val="24"/>
                      <w:highlight w:val="none"/>
                      <w:u w:val="none"/>
                    </w:rPr>
                  </w:pPr>
                </w:p>
              </w:tc>
            </w:tr>
            <w:tr w14:paraId="46FE7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E3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永泰河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C49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3.78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9D606">
                  <w:pPr>
                    <w:jc w:val="center"/>
                    <w:rPr>
                      <w:rFonts w:hint="eastAsia" w:ascii="宋体" w:hAnsi="宋体" w:eastAsia="宋体" w:cs="宋体"/>
                      <w:i w:val="0"/>
                      <w:iCs w:val="0"/>
                      <w:color w:val="auto"/>
                      <w:sz w:val="24"/>
                      <w:szCs w:val="24"/>
                      <w:highlight w:val="none"/>
                      <w:u w:val="none"/>
                    </w:rPr>
                  </w:pPr>
                </w:p>
              </w:tc>
            </w:tr>
            <w:tr w14:paraId="080EB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48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三兴港</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DB5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2.60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9A3C6">
                  <w:pPr>
                    <w:jc w:val="center"/>
                    <w:rPr>
                      <w:rFonts w:hint="eastAsia" w:ascii="宋体" w:hAnsi="宋体" w:eastAsia="宋体" w:cs="宋体"/>
                      <w:i w:val="0"/>
                      <w:iCs w:val="0"/>
                      <w:color w:val="auto"/>
                      <w:sz w:val="24"/>
                      <w:szCs w:val="24"/>
                      <w:highlight w:val="none"/>
                      <w:u w:val="none"/>
                    </w:rPr>
                  </w:pPr>
                </w:p>
              </w:tc>
            </w:tr>
            <w:tr w14:paraId="643F9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7AE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永兴河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B40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4.00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8F354">
                  <w:pPr>
                    <w:jc w:val="center"/>
                    <w:rPr>
                      <w:rFonts w:hint="eastAsia" w:ascii="宋体" w:hAnsi="宋体" w:eastAsia="宋体" w:cs="宋体"/>
                      <w:i w:val="0"/>
                      <w:iCs w:val="0"/>
                      <w:color w:val="auto"/>
                      <w:sz w:val="24"/>
                      <w:szCs w:val="24"/>
                      <w:highlight w:val="none"/>
                      <w:u w:val="none"/>
                    </w:rPr>
                  </w:pPr>
                </w:p>
              </w:tc>
            </w:tr>
            <w:tr w14:paraId="3A2C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11A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永兴支河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2C32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1.80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B369">
                  <w:pPr>
                    <w:jc w:val="center"/>
                    <w:rPr>
                      <w:rFonts w:hint="eastAsia" w:ascii="宋体" w:hAnsi="宋体" w:eastAsia="宋体" w:cs="宋体"/>
                      <w:i w:val="0"/>
                      <w:iCs w:val="0"/>
                      <w:color w:val="auto"/>
                      <w:sz w:val="24"/>
                      <w:szCs w:val="24"/>
                      <w:highlight w:val="none"/>
                      <w:u w:val="none"/>
                    </w:rPr>
                  </w:pPr>
                </w:p>
              </w:tc>
            </w:tr>
            <w:tr w14:paraId="31F62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7C1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南庙港河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C80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3.70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56D22">
                  <w:pPr>
                    <w:jc w:val="center"/>
                    <w:rPr>
                      <w:rFonts w:hint="eastAsia" w:ascii="宋体" w:hAnsi="宋体" w:eastAsia="宋体" w:cs="宋体"/>
                      <w:i w:val="0"/>
                      <w:iCs w:val="0"/>
                      <w:color w:val="auto"/>
                      <w:sz w:val="24"/>
                      <w:szCs w:val="24"/>
                      <w:highlight w:val="none"/>
                      <w:u w:val="none"/>
                    </w:rPr>
                  </w:pPr>
                </w:p>
              </w:tc>
            </w:tr>
            <w:tr w14:paraId="69B39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B71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海丰河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7A3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4.70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ABD2D">
                  <w:pPr>
                    <w:jc w:val="center"/>
                    <w:rPr>
                      <w:rFonts w:hint="eastAsia" w:ascii="宋体" w:hAnsi="宋体" w:eastAsia="宋体" w:cs="宋体"/>
                      <w:i w:val="0"/>
                      <w:iCs w:val="0"/>
                      <w:color w:val="auto"/>
                      <w:sz w:val="24"/>
                      <w:szCs w:val="24"/>
                      <w:highlight w:val="none"/>
                      <w:u w:val="none"/>
                    </w:rPr>
                  </w:pPr>
                </w:p>
              </w:tc>
            </w:tr>
            <w:tr w14:paraId="393EE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1A3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建工大道南河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BBC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2.50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CADBF">
                  <w:pPr>
                    <w:jc w:val="center"/>
                    <w:rPr>
                      <w:rFonts w:hint="eastAsia" w:ascii="宋体" w:hAnsi="宋体" w:eastAsia="宋体" w:cs="宋体"/>
                      <w:i w:val="0"/>
                      <w:iCs w:val="0"/>
                      <w:color w:val="auto"/>
                      <w:sz w:val="24"/>
                      <w:szCs w:val="24"/>
                      <w:highlight w:val="none"/>
                      <w:u w:val="none"/>
                    </w:rPr>
                  </w:pPr>
                </w:p>
              </w:tc>
            </w:tr>
            <w:tr w14:paraId="66DF1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4DF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东滨河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A31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1.10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FBF3E">
                  <w:pPr>
                    <w:jc w:val="center"/>
                    <w:rPr>
                      <w:rFonts w:hint="eastAsia" w:ascii="宋体" w:hAnsi="宋体" w:eastAsia="宋体" w:cs="宋体"/>
                      <w:i w:val="0"/>
                      <w:iCs w:val="0"/>
                      <w:color w:val="auto"/>
                      <w:sz w:val="24"/>
                      <w:szCs w:val="24"/>
                      <w:highlight w:val="none"/>
                      <w:u w:val="none"/>
                    </w:rPr>
                  </w:pPr>
                </w:p>
              </w:tc>
            </w:tr>
            <w:tr w14:paraId="08B90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CF8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东风支港</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2C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1.10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E2099">
                  <w:pPr>
                    <w:jc w:val="center"/>
                    <w:rPr>
                      <w:rFonts w:hint="eastAsia" w:ascii="宋体" w:hAnsi="宋体" w:eastAsia="宋体" w:cs="宋体"/>
                      <w:i w:val="0"/>
                      <w:iCs w:val="0"/>
                      <w:color w:val="auto"/>
                      <w:sz w:val="24"/>
                      <w:szCs w:val="24"/>
                      <w:highlight w:val="none"/>
                      <w:u w:val="none"/>
                    </w:rPr>
                  </w:pPr>
                </w:p>
              </w:tc>
            </w:tr>
            <w:tr w14:paraId="0E031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A43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东沙支港</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7E0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0.72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1E35">
                  <w:pPr>
                    <w:jc w:val="center"/>
                    <w:rPr>
                      <w:rFonts w:hint="eastAsia" w:ascii="宋体" w:hAnsi="宋体" w:eastAsia="宋体" w:cs="宋体"/>
                      <w:i w:val="0"/>
                      <w:iCs w:val="0"/>
                      <w:color w:val="auto"/>
                      <w:sz w:val="24"/>
                      <w:szCs w:val="24"/>
                      <w:highlight w:val="none"/>
                      <w:u w:val="none"/>
                    </w:rPr>
                  </w:pPr>
                </w:p>
              </w:tc>
            </w:tr>
            <w:tr w14:paraId="2C4A0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727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东福河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61C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4.40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20878">
                  <w:pPr>
                    <w:jc w:val="center"/>
                    <w:rPr>
                      <w:rFonts w:hint="eastAsia" w:ascii="宋体" w:hAnsi="宋体" w:eastAsia="宋体" w:cs="宋体"/>
                      <w:i w:val="0"/>
                      <w:iCs w:val="0"/>
                      <w:color w:val="auto"/>
                      <w:sz w:val="24"/>
                      <w:szCs w:val="24"/>
                      <w:highlight w:val="none"/>
                      <w:u w:val="none"/>
                    </w:rPr>
                  </w:pPr>
                </w:p>
              </w:tc>
            </w:tr>
            <w:tr w14:paraId="53CBC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BB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204国道景观河（东）</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4D3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2.70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DD4FA">
                  <w:pPr>
                    <w:jc w:val="center"/>
                    <w:rPr>
                      <w:rFonts w:hint="eastAsia" w:ascii="宋体" w:hAnsi="宋体" w:eastAsia="宋体" w:cs="宋体"/>
                      <w:i w:val="0"/>
                      <w:iCs w:val="0"/>
                      <w:color w:val="auto"/>
                      <w:sz w:val="24"/>
                      <w:szCs w:val="24"/>
                      <w:highlight w:val="none"/>
                      <w:u w:val="none"/>
                    </w:rPr>
                  </w:pPr>
                </w:p>
              </w:tc>
            </w:tr>
            <w:tr w14:paraId="745C5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86E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204国道景观河（西）</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D81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3.10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354C3">
                  <w:pPr>
                    <w:jc w:val="center"/>
                    <w:rPr>
                      <w:rFonts w:hint="eastAsia" w:ascii="宋体" w:hAnsi="宋体" w:eastAsia="宋体" w:cs="宋体"/>
                      <w:i w:val="0"/>
                      <w:iCs w:val="0"/>
                      <w:color w:val="auto"/>
                      <w:sz w:val="24"/>
                      <w:szCs w:val="24"/>
                      <w:highlight w:val="none"/>
                      <w:u w:val="none"/>
                    </w:rPr>
                  </w:pPr>
                </w:p>
              </w:tc>
            </w:tr>
            <w:tr w14:paraId="03A90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431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新丰1号桥</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CFA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0.70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12379">
                  <w:pPr>
                    <w:jc w:val="center"/>
                    <w:rPr>
                      <w:rFonts w:hint="eastAsia" w:ascii="宋体" w:hAnsi="宋体" w:eastAsia="宋体" w:cs="宋体"/>
                      <w:i w:val="0"/>
                      <w:iCs w:val="0"/>
                      <w:color w:val="auto"/>
                      <w:sz w:val="24"/>
                      <w:szCs w:val="24"/>
                      <w:highlight w:val="none"/>
                      <w:u w:val="none"/>
                    </w:rPr>
                  </w:pPr>
                </w:p>
              </w:tc>
            </w:tr>
            <w:tr w14:paraId="228C9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CAA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新丰2号桥</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165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0.50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3E58">
                  <w:pPr>
                    <w:jc w:val="center"/>
                    <w:rPr>
                      <w:rFonts w:hint="eastAsia" w:ascii="宋体" w:hAnsi="宋体" w:eastAsia="宋体" w:cs="宋体"/>
                      <w:i w:val="0"/>
                      <w:iCs w:val="0"/>
                      <w:color w:val="auto"/>
                      <w:sz w:val="24"/>
                      <w:szCs w:val="24"/>
                      <w:highlight w:val="none"/>
                      <w:u w:val="none"/>
                    </w:rPr>
                  </w:pPr>
                </w:p>
              </w:tc>
            </w:tr>
            <w:tr w14:paraId="554E7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837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政府大院</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083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0.10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04489">
                  <w:pPr>
                    <w:jc w:val="center"/>
                    <w:rPr>
                      <w:rFonts w:hint="eastAsia" w:ascii="宋体" w:hAnsi="宋体" w:eastAsia="宋体" w:cs="宋体"/>
                      <w:i w:val="0"/>
                      <w:iCs w:val="0"/>
                      <w:color w:val="auto"/>
                      <w:sz w:val="24"/>
                      <w:szCs w:val="24"/>
                      <w:highlight w:val="none"/>
                      <w:u w:val="none"/>
                    </w:rPr>
                  </w:pPr>
                </w:p>
              </w:tc>
            </w:tr>
            <w:tr w14:paraId="51EB1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41C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永钢新村北门景观河</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C91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0.60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85ECA">
                  <w:pPr>
                    <w:jc w:val="center"/>
                    <w:rPr>
                      <w:rFonts w:hint="eastAsia" w:ascii="宋体" w:hAnsi="宋体" w:eastAsia="宋体" w:cs="宋体"/>
                      <w:i w:val="0"/>
                      <w:iCs w:val="0"/>
                      <w:color w:val="auto"/>
                      <w:sz w:val="24"/>
                      <w:szCs w:val="24"/>
                      <w:highlight w:val="none"/>
                      <w:u w:val="none"/>
                    </w:rPr>
                  </w:pPr>
                </w:p>
              </w:tc>
            </w:tr>
            <w:tr w14:paraId="6ABF1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312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永钢新村南河（南丰村拆迁区域）</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173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0.30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74202">
                  <w:pPr>
                    <w:jc w:val="center"/>
                    <w:rPr>
                      <w:rFonts w:hint="eastAsia" w:ascii="宋体" w:hAnsi="宋体" w:eastAsia="宋体" w:cs="宋体"/>
                      <w:i w:val="0"/>
                      <w:iCs w:val="0"/>
                      <w:color w:val="auto"/>
                      <w:sz w:val="24"/>
                      <w:szCs w:val="24"/>
                      <w:highlight w:val="none"/>
                      <w:u w:val="none"/>
                    </w:rPr>
                  </w:pPr>
                </w:p>
              </w:tc>
            </w:tr>
            <w:tr w14:paraId="436A5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787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交警中队南侧90度方向</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E17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0.50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524D7">
                  <w:pPr>
                    <w:jc w:val="center"/>
                    <w:rPr>
                      <w:rFonts w:hint="eastAsia" w:ascii="宋体" w:hAnsi="宋体" w:eastAsia="宋体" w:cs="宋体"/>
                      <w:i w:val="0"/>
                      <w:iCs w:val="0"/>
                      <w:color w:val="auto"/>
                      <w:sz w:val="24"/>
                      <w:szCs w:val="24"/>
                      <w:highlight w:val="none"/>
                      <w:u w:val="none"/>
                    </w:rPr>
                  </w:pPr>
                </w:p>
              </w:tc>
            </w:tr>
            <w:tr w14:paraId="03516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2B9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东沙区域金田公司周边河道</w:t>
                  </w:r>
                </w:p>
              </w:tc>
              <w:tc>
                <w:tcPr>
                  <w:tcW w:w="15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5E3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3.50 </w:t>
                  </w:r>
                </w:p>
              </w:tc>
              <w:tc>
                <w:tcPr>
                  <w:tcW w:w="30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CA798">
                  <w:pPr>
                    <w:jc w:val="center"/>
                    <w:rPr>
                      <w:rFonts w:hint="eastAsia" w:ascii="宋体" w:hAnsi="宋体" w:eastAsia="宋体" w:cs="宋体"/>
                      <w:i w:val="0"/>
                      <w:iCs w:val="0"/>
                      <w:color w:val="auto"/>
                      <w:sz w:val="24"/>
                      <w:szCs w:val="24"/>
                      <w:highlight w:val="none"/>
                      <w:u w:val="none"/>
                    </w:rPr>
                  </w:pPr>
                </w:p>
              </w:tc>
            </w:tr>
            <w:tr w14:paraId="06A38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367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合计</w:t>
                  </w:r>
                </w:p>
              </w:tc>
              <w:tc>
                <w:tcPr>
                  <w:tcW w:w="454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BE4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66.00千米</w:t>
                  </w:r>
                </w:p>
              </w:tc>
            </w:tr>
          </w:tbl>
          <w:p w14:paraId="70D100C4">
            <w:pPr>
              <w:pStyle w:val="49"/>
              <w:jc w:val="left"/>
              <w:rPr>
                <w:rStyle w:val="16"/>
                <w:rFonts w:ascii="宋体" w:hAnsi="宋体" w:eastAsia="宋体" w:cs="宋体"/>
                <w:b w:val="0"/>
                <w:i w:val="0"/>
                <w:color w:val="auto"/>
                <w:sz w:val="24"/>
                <w:szCs w:val="24"/>
                <w:highlight w:val="none"/>
                <w:u w:val="none"/>
              </w:rPr>
            </w:pPr>
          </w:p>
        </w:tc>
      </w:tr>
      <w:tr w14:paraId="2C02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C0BA08">
            <w:pPr>
              <w:pStyle w:val="49"/>
              <w:jc w:val="center"/>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3</w:t>
            </w:r>
          </w:p>
        </w:tc>
        <w:tc>
          <w:tcPr>
            <w:tcW w:w="764"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B5D76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人员及设施配备要求</w:t>
            </w: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161AC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（一）人员要求：以下为最低配置且未含轮休（即工作时间为365天）。</w:t>
            </w:r>
          </w:p>
          <w:p w14:paraId="59DDD2B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1、人数：</w:t>
            </w:r>
          </w:p>
          <w:p w14:paraId="418B9F5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（1）需配备项目经理1人，要求三年以上农村卫生管理实际工作经验，有良好的沟通协调能力，负责本项目内河道的日常巡查及对河道保洁人员的监督管理、调度。</w:t>
            </w:r>
          </w:p>
          <w:p w14:paraId="1B7AAEF7">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（2）需配备保洁员至少</w:t>
            </w:r>
            <w:r>
              <w:rPr>
                <w:rStyle w:val="16"/>
                <w:rFonts w:hint="eastAsia" w:ascii="宋体" w:hAnsi="宋体" w:eastAsia="宋体" w:cs="宋体"/>
                <w:b w:val="0"/>
                <w:i w:val="0"/>
                <w:color w:val="auto"/>
                <w:sz w:val="24"/>
                <w:szCs w:val="24"/>
                <w:highlight w:val="none"/>
                <w:u w:val="none"/>
                <w:lang w:val="en-US" w:eastAsia="zh-CN"/>
              </w:rPr>
              <w:t>20</w:t>
            </w:r>
            <w:r>
              <w:rPr>
                <w:rStyle w:val="16"/>
                <w:rFonts w:ascii="宋体" w:hAnsi="宋体" w:eastAsia="宋体" w:cs="宋体"/>
                <w:b w:val="0"/>
                <w:i w:val="0"/>
                <w:color w:val="auto"/>
                <w:sz w:val="24"/>
                <w:szCs w:val="24"/>
                <w:highlight w:val="none"/>
                <w:u w:val="none"/>
              </w:rPr>
              <w:t>人。</w:t>
            </w:r>
          </w:p>
          <w:p w14:paraId="06A448A6">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2、工作要求：</w:t>
            </w:r>
          </w:p>
          <w:p w14:paraId="0C767D46">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（1）管理人员（项目经理）必须专职，不得跨区域管理，具有一定管理经验，并居住在张家港。</w:t>
            </w:r>
          </w:p>
          <w:p w14:paraId="14FECB33">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2）所有保洁人员身体必须健康。应按时上、下岗，上岗期间应穿戴统一标志服装，船上工作人员上岗必须穿着救生衣，严禁酒后上岗。中标公司应为所有管理人员及保洁员办理人身意外伤害保险（保险范围须包括但不限于非工作时间以外发生的人身意外事故），单人保额需达到50万元。</w:t>
            </w:r>
          </w:p>
          <w:p w14:paraId="08B7262D">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（3）中标单位需给保洁员每人每年配备1条下水裤，镰刀、竹竿、手套、救生衣等物品。</w:t>
            </w:r>
          </w:p>
          <w:p w14:paraId="2A4EC321">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（4）人员配备明细及相应证明须由中标单位报采购单位备案。</w:t>
            </w:r>
          </w:p>
          <w:p w14:paraId="7DC34986">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（5）所有保洁人员必须保护河道及水利设施（包括各类河道公示牌、警示标志等）。</w:t>
            </w:r>
          </w:p>
        </w:tc>
      </w:tr>
      <w:tr w14:paraId="63D0C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8CBB853">
            <w:pPr>
              <w:pStyle w:val="49"/>
              <w:jc w:val="center"/>
              <w:rPr>
                <w:rStyle w:val="16"/>
                <w:rFonts w:ascii="宋体" w:hAnsi="宋体" w:eastAsia="宋体" w:cs="宋体"/>
                <w:b w:val="0"/>
                <w:i w:val="0"/>
                <w:color w:val="auto"/>
                <w:sz w:val="24"/>
                <w:szCs w:val="24"/>
                <w:highlight w:val="none"/>
                <w:u w:val="none"/>
              </w:rPr>
            </w:pPr>
          </w:p>
        </w:tc>
        <w:tc>
          <w:tcPr>
            <w:tcW w:w="764"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2CDD16">
            <w:pPr>
              <w:pStyle w:val="49"/>
              <w:jc w:val="left"/>
              <w:rPr>
                <w:rStyle w:val="16"/>
                <w:rFonts w:ascii="宋体" w:hAnsi="宋体" w:eastAsia="宋体" w:cs="宋体"/>
                <w:b w:val="0"/>
                <w:i w:val="0"/>
                <w:color w:val="auto"/>
                <w:sz w:val="24"/>
                <w:szCs w:val="24"/>
                <w:highlight w:val="none"/>
                <w:u w:val="none"/>
              </w:rPr>
            </w:pP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4C0BC13">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（二）装备配备要求：以下为最低配置。</w:t>
            </w:r>
          </w:p>
          <w:p w14:paraId="14A275E0">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1、数量：</w:t>
            </w:r>
          </w:p>
          <w:p w14:paraId="48218133">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需配备电瓶保洁车5辆，船只</w:t>
            </w:r>
            <w:r>
              <w:rPr>
                <w:rStyle w:val="16"/>
                <w:rFonts w:hint="eastAsia" w:ascii="宋体" w:hAnsi="宋体" w:eastAsia="宋体" w:cs="宋体"/>
                <w:b w:val="0"/>
                <w:i w:val="0"/>
                <w:color w:val="auto"/>
                <w:sz w:val="24"/>
                <w:szCs w:val="24"/>
                <w:highlight w:val="none"/>
                <w:u w:val="none"/>
                <w:lang w:val="en-US" w:eastAsia="zh-CN"/>
              </w:rPr>
              <w:t>3</w:t>
            </w:r>
            <w:r>
              <w:rPr>
                <w:rStyle w:val="16"/>
                <w:rFonts w:ascii="宋体" w:hAnsi="宋体" w:eastAsia="宋体" w:cs="宋体"/>
                <w:b w:val="0"/>
                <w:i w:val="0"/>
                <w:color w:val="auto"/>
                <w:sz w:val="24"/>
                <w:szCs w:val="24"/>
                <w:highlight w:val="none"/>
                <w:u w:val="none"/>
              </w:rPr>
              <w:t>只，垃圾清运车</w:t>
            </w:r>
            <w:r>
              <w:rPr>
                <w:rStyle w:val="16"/>
                <w:rFonts w:hint="eastAsia" w:ascii="宋体" w:hAnsi="宋体" w:eastAsia="宋体" w:cs="宋体"/>
                <w:b w:val="0"/>
                <w:i w:val="0"/>
                <w:color w:val="auto"/>
                <w:sz w:val="24"/>
                <w:szCs w:val="24"/>
                <w:highlight w:val="none"/>
                <w:u w:val="none"/>
                <w:lang w:val="en-US" w:eastAsia="zh-CN"/>
              </w:rPr>
              <w:t>1</w:t>
            </w:r>
            <w:r>
              <w:rPr>
                <w:rStyle w:val="16"/>
                <w:rFonts w:ascii="宋体" w:hAnsi="宋体" w:eastAsia="宋体" w:cs="宋体"/>
                <w:b w:val="0"/>
                <w:i w:val="0"/>
                <w:color w:val="auto"/>
                <w:sz w:val="24"/>
                <w:szCs w:val="24"/>
                <w:highlight w:val="none"/>
                <w:u w:val="none"/>
              </w:rPr>
              <w:t>辆。</w:t>
            </w:r>
          </w:p>
          <w:p w14:paraId="7831D6E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2、配置要求：</w:t>
            </w:r>
          </w:p>
          <w:p w14:paraId="6EE3CD3C">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（1）电瓶保洁车：符合相关法律法规规定，外观统一，车况较好。</w:t>
            </w:r>
          </w:p>
          <w:p w14:paraId="5FBB051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（2）垃圾清运车：符合相关法律法规规定，垃圾箱容量不小于1.5吨。</w:t>
            </w:r>
          </w:p>
          <w:p w14:paraId="78F9B6AF">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（3）保洁船只：符合相关法律法规规定，必须配备1只燃油动力保洁船（泗兴港河面宽需配备类似船只），</w:t>
            </w:r>
            <w:r>
              <w:rPr>
                <w:rStyle w:val="16"/>
                <w:rFonts w:hint="eastAsia" w:ascii="宋体" w:hAnsi="宋体" w:eastAsia="宋体" w:cs="宋体"/>
                <w:b w:val="0"/>
                <w:i w:val="0"/>
                <w:color w:val="auto"/>
                <w:sz w:val="24"/>
                <w:szCs w:val="24"/>
                <w:highlight w:val="none"/>
                <w:u w:val="none"/>
                <w:lang w:val="en-US" w:eastAsia="zh-CN"/>
              </w:rPr>
              <w:t>2</w:t>
            </w:r>
            <w:r>
              <w:rPr>
                <w:rStyle w:val="16"/>
                <w:rFonts w:ascii="宋体" w:hAnsi="宋体" w:eastAsia="宋体" w:cs="宋体"/>
                <w:b w:val="0"/>
                <w:i w:val="0"/>
                <w:color w:val="auto"/>
                <w:sz w:val="24"/>
                <w:szCs w:val="24"/>
                <w:highlight w:val="none"/>
                <w:u w:val="none"/>
              </w:rPr>
              <w:t>只铁皮保洁船（已按装防护拦）。</w:t>
            </w:r>
          </w:p>
          <w:p w14:paraId="7C208343">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3、其他要求：</w:t>
            </w:r>
          </w:p>
          <w:p w14:paraId="225DCBB0">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 xml:space="preserve">    在签订合同前中标单位必须自有或租赁装备配备情况中所需的数量，并提供购置发票或行驶证或产权证、租赁合同（如为租赁的）原件给采购方备案，所报的装备配备必须服务于中标区域，不得无故减少和其他项目共用，禁止跨区域作业，确保相关工作的正常开展。</w:t>
            </w:r>
          </w:p>
        </w:tc>
      </w:tr>
      <w:tr w14:paraId="6CDA0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CFC853">
            <w:pPr>
              <w:pStyle w:val="49"/>
              <w:jc w:val="center"/>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4</w:t>
            </w:r>
          </w:p>
        </w:tc>
        <w:tc>
          <w:tcPr>
            <w:tcW w:w="764"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EEAF1FF">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河道保洁作业标准及要求</w:t>
            </w: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56B64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1、水面保持清洁，无水花生、水葫芦、青萍等水生植物，无垃圾、死禽死畜等漂浮物。禁止使用各类除草剂等化学农药，后果自负。</w:t>
            </w:r>
          </w:p>
          <w:p w14:paraId="0233C5B1">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2、河道内无影响河道环境面貌的水草。</w:t>
            </w:r>
          </w:p>
          <w:p w14:paraId="3405C0EE">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3、河道内无芦苇、茭白等水生高杆植物。</w:t>
            </w:r>
          </w:p>
          <w:p w14:paraId="36D54B43">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4、河道内无地笼、网簖、围网、摇网等捕捞（养殖）设施。无新增影响引水、行洪的建筑物、障碍物，无围垦水面、填塞河道现象。</w:t>
            </w:r>
          </w:p>
          <w:p w14:paraId="0C9BF03F">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5、河坡平顺，无复垦种、取土等现象。</w:t>
            </w:r>
          </w:p>
          <w:p w14:paraId="20464EBE">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6、河坡干净整洁，无生活、生产、建筑垃圾，无影响河道面貌的杂树、杂草。</w:t>
            </w:r>
          </w:p>
          <w:p w14:paraId="53BFD99E">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7、河坡及水面无饲养家禽、家畜的窝棚、围栏。</w:t>
            </w:r>
          </w:p>
          <w:p w14:paraId="30D815B8">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8、河岸干净整洁，无生活、生产、建筑垃圾。</w:t>
            </w:r>
          </w:p>
          <w:p w14:paraId="6B9A2120">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9、河岸无柴垛草堆，无庄稼作物秸杆散放。</w:t>
            </w:r>
          </w:p>
          <w:p w14:paraId="281E2322">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10、河道管理公告牌干净、完好，无张贴告示、广告等。</w:t>
            </w:r>
          </w:p>
          <w:p w14:paraId="5363A7FF">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11、对捞出来的河道垃圾及漂浮物在二个工作日内完成清运。</w:t>
            </w:r>
          </w:p>
        </w:tc>
      </w:tr>
      <w:tr w14:paraId="50973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455B65E">
            <w:pPr>
              <w:pStyle w:val="49"/>
              <w:jc w:val="center"/>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5</w:t>
            </w:r>
          </w:p>
        </w:tc>
        <w:tc>
          <w:tcPr>
            <w:tcW w:w="764" w:type="dxa"/>
            <w:vMerge w:val="restar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2F75711">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其他要求</w:t>
            </w: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EBBC252">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1、管理单位按管理项目实施方案落实河道管理人员及相应设施，并每天实行全方位管理，人员数量严格按照要求配备齐全，做到专岗专人。</w:t>
            </w:r>
          </w:p>
          <w:p w14:paraId="2A1B039D">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2、管理单位应制订河道管理人员日常考勤考核制度，并建立相关工作台帐。</w:t>
            </w:r>
          </w:p>
          <w:p w14:paraId="663B218C">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3、中标单位应保持各岗位人员相对稳定，服务人数不得少于采购单位要求的到岗人数，报价必须满足各岗位人员职数、人员素质和条件。</w:t>
            </w:r>
          </w:p>
          <w:p w14:paraId="0C46867F">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4、中标单位所有服务人员相关证件（包括身份证复印件）需交采购单位备案。</w:t>
            </w:r>
          </w:p>
        </w:tc>
      </w:tr>
      <w:tr w14:paraId="1B9AB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7538142">
            <w:pPr>
              <w:pStyle w:val="49"/>
              <w:jc w:val="center"/>
              <w:rPr>
                <w:rStyle w:val="16"/>
                <w:rFonts w:ascii="宋体" w:hAnsi="宋体" w:eastAsia="宋体" w:cs="宋体"/>
                <w:b w:val="0"/>
                <w:i w:val="0"/>
                <w:color w:val="auto"/>
                <w:sz w:val="24"/>
                <w:szCs w:val="24"/>
                <w:highlight w:val="none"/>
                <w:u w:val="none"/>
              </w:rPr>
            </w:pPr>
          </w:p>
        </w:tc>
        <w:tc>
          <w:tcPr>
            <w:tcW w:w="764"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1A08576">
            <w:pPr>
              <w:pStyle w:val="49"/>
              <w:jc w:val="left"/>
              <w:rPr>
                <w:rStyle w:val="16"/>
                <w:rFonts w:ascii="宋体" w:hAnsi="宋体" w:eastAsia="宋体" w:cs="宋体"/>
                <w:b w:val="0"/>
                <w:i/>
                <w:color w:val="auto"/>
                <w:sz w:val="24"/>
                <w:szCs w:val="24"/>
                <w:highlight w:val="none"/>
                <w:u w:val="single"/>
              </w:rPr>
            </w:pP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A8CD71">
            <w:pPr>
              <w:pStyle w:val="49"/>
              <w:jc w:val="left"/>
              <w:rPr>
                <w:rStyle w:val="16"/>
                <w:rFonts w:ascii="宋体" w:hAnsi="宋体" w:eastAsia="宋体" w:cs="宋体"/>
                <w:b w:val="0"/>
                <w:i/>
                <w:color w:val="auto"/>
                <w:sz w:val="24"/>
                <w:szCs w:val="24"/>
                <w:highlight w:val="none"/>
                <w:u w:val="single"/>
              </w:rPr>
            </w:pPr>
            <w:r>
              <w:rPr>
                <w:rStyle w:val="16"/>
                <w:rFonts w:ascii="宋体" w:hAnsi="宋体" w:eastAsia="宋体" w:cs="宋体"/>
                <w:b w:val="0"/>
                <w:i/>
                <w:color w:val="auto"/>
                <w:sz w:val="24"/>
                <w:szCs w:val="24"/>
                <w:highlight w:val="none"/>
                <w:u w:val="single"/>
              </w:rPr>
              <w:t>5、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 。</w:t>
            </w:r>
          </w:p>
        </w:tc>
      </w:tr>
      <w:tr w14:paraId="45B6B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66F97CD">
            <w:pPr>
              <w:pStyle w:val="49"/>
              <w:jc w:val="center"/>
              <w:rPr>
                <w:rStyle w:val="16"/>
                <w:rFonts w:ascii="宋体" w:hAnsi="宋体" w:eastAsia="宋体" w:cs="宋体"/>
                <w:b w:val="0"/>
                <w:i w:val="0"/>
                <w:color w:val="auto"/>
                <w:sz w:val="24"/>
                <w:szCs w:val="24"/>
                <w:highlight w:val="none"/>
                <w:u w:val="none"/>
              </w:rPr>
            </w:pPr>
          </w:p>
        </w:tc>
        <w:tc>
          <w:tcPr>
            <w:tcW w:w="764"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150574">
            <w:pPr>
              <w:pStyle w:val="49"/>
              <w:jc w:val="left"/>
              <w:rPr>
                <w:rStyle w:val="16"/>
                <w:rFonts w:ascii="宋体" w:hAnsi="宋体" w:eastAsia="宋体" w:cs="宋体"/>
                <w:b w:val="0"/>
                <w:i w:val="0"/>
                <w:color w:val="auto"/>
                <w:sz w:val="24"/>
                <w:szCs w:val="24"/>
                <w:highlight w:val="none"/>
                <w:u w:val="none"/>
              </w:rPr>
            </w:pP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826AA29">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6、中标单位必须遵守劳动法，依法规范用工，符合规定条件的人员须签订劳动合同，参加基本社会养老保险，对所有工作人员必须办理人身意外伤害保险。（保险范围须包括但不限于非工作时间以外发生的人身意外事故），加班费用支付按政策法规规定执行，并负责办理社会保险和商业保险的理赔手续和发放保险金，并向采购单位提供相关证明材料备案。</w:t>
            </w:r>
          </w:p>
          <w:p w14:paraId="111A2A32">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7、作业服务期内，采购单位根据工作需要召开会议，中标单位的法定代表或管理人员必须准时参加。</w:t>
            </w:r>
          </w:p>
          <w:p w14:paraId="1D3B2C4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8、中标单位应加强对员工的培训、管理，以达到符合采购单位管理要求。</w:t>
            </w:r>
          </w:p>
          <w:p w14:paraId="475613AD">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9、中标单位应严格督导员工的行为规范，并要求员工严格执行采购单位相关管理规定维护采购单位整体形象。</w:t>
            </w:r>
          </w:p>
          <w:p w14:paraId="698186D3">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10、中标单位工作中应注意安全防范。发生的安全事故，由中标单位负责。</w:t>
            </w:r>
          </w:p>
          <w:p w14:paraId="17558B36">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 xml:space="preserve">11、中标单位按照采购单位的要求，及时更换不能胜任工作的工作人员；负责处理合同服务期内所有劳资纠纷和调解管理纠纷。 </w:t>
            </w:r>
          </w:p>
          <w:p w14:paraId="0D787565">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12、中标单位应建立人员职业道德规范与行为准则、人员岗位责任制度、人员聘用、培训、管理、考核与奖惩制度、技术服务规范与工作制度、服务质量管理制度等相关制度。落实文明管理、保洁服务的措施，提供文明优质的服务。因中标单位原因或工作人员工作失职或故意行为或违法犯罪行为造成张家港市南丰镇人民政府声誉影响或经济损失的，中标单位应根据公安机关的立案调查结果或法院判决，承担相应的赔偿责任；因中标单位自身原因所引发的一切纠纷，由中标单位负完全责任；工作人员在非工作时间内发生的人身意外或其他纠纷，由中标单位负责处理。如中标单位挪用工作人员工资和其他薪酬、社会保险和商业保险投保费用，除承担由此引发的一切法律责任外，采购单位有权终止服务合同。</w:t>
            </w:r>
          </w:p>
          <w:p w14:paraId="7996C90C">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13、中标单位须负责该项目作业人员的人事、劳资、保险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tc>
      </w:tr>
      <w:tr w14:paraId="3075B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23B116B">
            <w:pPr>
              <w:pStyle w:val="49"/>
              <w:jc w:val="center"/>
              <w:rPr>
                <w:rStyle w:val="16"/>
                <w:rFonts w:ascii="宋体" w:hAnsi="宋体" w:eastAsia="宋体" w:cs="宋体"/>
                <w:b w:val="0"/>
                <w:i w:val="0"/>
                <w:color w:val="auto"/>
                <w:sz w:val="24"/>
                <w:szCs w:val="24"/>
                <w:highlight w:val="none"/>
                <w:u w:val="none"/>
              </w:rPr>
            </w:pPr>
          </w:p>
        </w:tc>
        <w:tc>
          <w:tcPr>
            <w:tcW w:w="764"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2919D8">
            <w:pPr>
              <w:pStyle w:val="49"/>
              <w:jc w:val="left"/>
              <w:rPr>
                <w:rStyle w:val="16"/>
                <w:rFonts w:ascii="宋体" w:hAnsi="宋体" w:eastAsia="宋体" w:cs="宋体"/>
                <w:b w:val="0"/>
                <w:i/>
                <w:color w:val="auto"/>
                <w:sz w:val="24"/>
                <w:szCs w:val="24"/>
                <w:highlight w:val="none"/>
                <w:u w:val="single"/>
              </w:rPr>
            </w:pP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03E91D3">
            <w:pPr>
              <w:pStyle w:val="49"/>
              <w:jc w:val="left"/>
              <w:rPr>
                <w:rStyle w:val="16"/>
                <w:rFonts w:ascii="宋体" w:hAnsi="宋体" w:eastAsia="宋体" w:cs="宋体"/>
                <w:b w:val="0"/>
                <w:i/>
                <w:color w:val="auto"/>
                <w:sz w:val="24"/>
                <w:szCs w:val="24"/>
                <w:highlight w:val="none"/>
                <w:u w:val="single"/>
              </w:rPr>
            </w:pPr>
            <w:r>
              <w:rPr>
                <w:rStyle w:val="16"/>
                <w:rFonts w:ascii="宋体" w:hAnsi="宋体" w:eastAsia="宋体" w:cs="宋体"/>
                <w:b w:val="0"/>
                <w:i/>
                <w:color w:val="auto"/>
                <w:sz w:val="24"/>
                <w:szCs w:val="24"/>
                <w:highlight w:val="none"/>
                <w:u w:val="single"/>
              </w:rPr>
              <w:t>14、中标单位不得以任何借口拖欠本项目服务人员工资，工资不得拖欠2个月以上。如发现一次，扣1000元；通报后没有及时整改到位的，一次扣3000元。</w:t>
            </w:r>
          </w:p>
        </w:tc>
      </w:tr>
      <w:tr w14:paraId="789CB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F9B0660">
            <w:pPr>
              <w:pStyle w:val="49"/>
              <w:jc w:val="center"/>
              <w:rPr>
                <w:rStyle w:val="16"/>
                <w:rFonts w:ascii="宋体" w:hAnsi="宋体" w:eastAsia="宋体" w:cs="宋体"/>
                <w:b w:val="0"/>
                <w:i w:val="0"/>
                <w:color w:val="auto"/>
                <w:sz w:val="24"/>
                <w:szCs w:val="24"/>
                <w:highlight w:val="none"/>
                <w:u w:val="none"/>
              </w:rPr>
            </w:pPr>
          </w:p>
        </w:tc>
        <w:tc>
          <w:tcPr>
            <w:tcW w:w="764"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D1A2E8">
            <w:pPr>
              <w:pStyle w:val="49"/>
              <w:jc w:val="left"/>
              <w:rPr>
                <w:rStyle w:val="16"/>
                <w:rFonts w:ascii="宋体" w:hAnsi="宋体" w:eastAsia="宋体" w:cs="宋体"/>
                <w:b w:val="0"/>
                <w:i w:val="0"/>
                <w:color w:val="auto"/>
                <w:sz w:val="24"/>
                <w:szCs w:val="24"/>
                <w:highlight w:val="none"/>
                <w:u w:val="none"/>
              </w:rPr>
            </w:pP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97DCF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15、中标单位应承担服务所用设备、工具购置及维修费用、服务所用材料消耗费用、管理费用、利润、税金、政策性文件规定及合同包含的所有风险、责任等各项应有费用。</w:t>
            </w:r>
          </w:p>
          <w:p w14:paraId="4DF81F9C">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16、所有保洁产生的垃圾要求由中标单位负责清运至附近的中转站，本次招标包含迎检突击费用（临时加班加点产生的费用）。</w:t>
            </w:r>
          </w:p>
          <w:p w14:paraId="785090FC">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17、作业人员、车辆符合法律法规要求，所产生费用及事故责任均由中标单位承担；</w:t>
            </w:r>
          </w:p>
        </w:tc>
      </w:tr>
      <w:tr w14:paraId="1F96E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8F2F6E">
            <w:pPr>
              <w:pStyle w:val="49"/>
              <w:jc w:val="center"/>
              <w:rPr>
                <w:rStyle w:val="16"/>
                <w:rFonts w:ascii="宋体" w:hAnsi="宋体" w:eastAsia="宋体" w:cs="宋体"/>
                <w:b w:val="0"/>
                <w:i w:val="0"/>
                <w:color w:val="auto"/>
                <w:sz w:val="24"/>
                <w:szCs w:val="24"/>
                <w:highlight w:val="none"/>
                <w:u w:val="none"/>
              </w:rPr>
            </w:pPr>
          </w:p>
        </w:tc>
        <w:tc>
          <w:tcPr>
            <w:tcW w:w="764" w:type="dxa"/>
            <w:vMerge w:val="continue"/>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91BB76">
            <w:pPr>
              <w:pStyle w:val="49"/>
              <w:jc w:val="left"/>
              <w:rPr>
                <w:rStyle w:val="16"/>
                <w:rFonts w:ascii="宋体" w:hAnsi="宋体" w:eastAsia="宋体" w:cs="宋体"/>
                <w:b w:val="0"/>
                <w:i/>
                <w:color w:val="auto"/>
                <w:sz w:val="24"/>
                <w:szCs w:val="24"/>
                <w:highlight w:val="none"/>
                <w:u w:val="single"/>
              </w:rPr>
            </w:pP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D769964">
            <w:pPr>
              <w:pStyle w:val="49"/>
              <w:jc w:val="left"/>
              <w:rPr>
                <w:rStyle w:val="16"/>
                <w:rFonts w:ascii="宋体" w:hAnsi="宋体" w:eastAsia="宋体" w:cs="宋体"/>
                <w:b w:val="0"/>
                <w:i/>
                <w:color w:val="auto"/>
                <w:sz w:val="24"/>
                <w:szCs w:val="24"/>
                <w:highlight w:val="none"/>
                <w:u w:val="single"/>
              </w:rPr>
            </w:pPr>
            <w:r>
              <w:rPr>
                <w:rStyle w:val="16"/>
                <w:rFonts w:ascii="宋体" w:hAnsi="宋体" w:eastAsia="宋体" w:cs="宋体"/>
                <w:b w:val="0"/>
                <w:i/>
                <w:color w:val="auto"/>
                <w:sz w:val="24"/>
                <w:szCs w:val="24"/>
                <w:highlight w:val="none"/>
                <w:u w:val="single"/>
              </w:rPr>
              <w:t>18、投标单位在中标项目沿岸40分钟车程范围内已有工作场所的，请在投标文件中提供营业执照或售后服务场所的房屋产权证明、租赁协议（如为租赁）；投标单位在中标项目沿岸40分钟车程范围内未设立工作场所的，请在投标文件中提供加盖公章承诺书原件（承诺书格式见附件一），承诺中标后（15日内）在中标项目沿岸40分钟车程范围内设立工作场所，并在规定期限内主动提供自有或租赁的相关证明材料经采购单位确认后开展项目，如不满足要求，采购单位有权终止合同并要求中标单位赔偿。</w:t>
            </w:r>
          </w:p>
        </w:tc>
      </w:tr>
      <w:tr w14:paraId="14641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6"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8AD8741">
            <w:pPr>
              <w:pStyle w:val="49"/>
              <w:jc w:val="center"/>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6</w:t>
            </w:r>
          </w:p>
        </w:tc>
        <w:tc>
          <w:tcPr>
            <w:tcW w:w="764"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66B629C">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投标人须在投标文件中体现下列方案</w:t>
            </w:r>
          </w:p>
        </w:tc>
        <w:tc>
          <w:tcPr>
            <w:tcW w:w="8722" w:type="dxa"/>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693C35A">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1、服务机构设置(配置人员的力量、年龄、技能、文化程度、上岗培训情况、相关服务经验等)和运作流程方案。</w:t>
            </w:r>
          </w:p>
          <w:p w14:paraId="78B023F3">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2、河道面貌维护方案（包括水面清洁、河道管理公告牌维护、河岸护堤维护等）。</w:t>
            </w:r>
          </w:p>
          <w:p w14:paraId="60E35BAF">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3、河道巡查方案（包括巡查人员安排、问题信息反馈、涉河违章现场处置等）</w:t>
            </w:r>
          </w:p>
          <w:p w14:paraId="5FD4E97B">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4、安全管理方案（包括正常营运及维护作业时和发生事故时的安全组织和安全防护措施，以及各项紧急预案）。</w:t>
            </w:r>
          </w:p>
          <w:p w14:paraId="0B5ED19C">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5、重大活动保障方案，保障方案，方案包含但不限于人居环境检查、文明/卫生城市测评、其他大型活动、大型会议、接待等活动的《重大活动保障方案》等。</w:t>
            </w:r>
          </w:p>
          <w:p w14:paraId="21544F83">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6、服务期间与其他单位、部门的综合协调方案，方案包含但不限于沟通协调人员、对象、具体内容及相应的处理措施等。</w:t>
            </w:r>
          </w:p>
          <w:p w14:paraId="1E7162EE">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7、内部管理架构(含日常考核、激励考核机制、监督机制、自我约束机制、信息反馈及处理机制)。</w:t>
            </w:r>
          </w:p>
          <w:p w14:paraId="6CB41070">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8、进退场交接方案，方案包含但不限于交接时间、交接流程、交接内容及相应的处理措施等。</w:t>
            </w:r>
          </w:p>
          <w:p w14:paraId="464FFE09">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9、应急措施方案，方案包含但不限于突发事件和紧急事故预防与应急准备、监测与预警、应急处置与救援等。</w:t>
            </w:r>
          </w:p>
          <w:p w14:paraId="1E5C1D46">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10、垃圾清运方案，方案包含但不限于本项目服务的内容、服务响应时间及安排、服务流程、服务标准、根据项目特点采取的有效管理措施和对应的处理方案等。</w:t>
            </w:r>
          </w:p>
          <w:p w14:paraId="70732B36">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11、提供202</w:t>
            </w:r>
            <w:r>
              <w:rPr>
                <w:rStyle w:val="16"/>
                <w:rFonts w:hint="eastAsia" w:ascii="宋体" w:hAnsi="宋体" w:eastAsia="宋体" w:cs="宋体"/>
                <w:b w:val="0"/>
                <w:i w:val="0"/>
                <w:color w:val="auto"/>
                <w:sz w:val="24"/>
                <w:szCs w:val="24"/>
                <w:highlight w:val="none"/>
                <w:u w:val="none"/>
                <w:lang w:val="en-US" w:eastAsia="zh-CN"/>
              </w:rPr>
              <w:t>1</w:t>
            </w:r>
            <w:r>
              <w:rPr>
                <w:rStyle w:val="16"/>
                <w:rFonts w:ascii="宋体" w:hAnsi="宋体" w:eastAsia="宋体" w:cs="宋体"/>
                <w:b w:val="0"/>
                <w:i w:val="0"/>
                <w:color w:val="auto"/>
                <w:sz w:val="24"/>
                <w:szCs w:val="24"/>
                <w:highlight w:val="none"/>
                <w:u w:val="none"/>
              </w:rPr>
              <w:t>年以来承接过的类似项目业绩介绍。</w:t>
            </w:r>
          </w:p>
          <w:p w14:paraId="087D5F79">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12、提供202</w:t>
            </w:r>
            <w:r>
              <w:rPr>
                <w:rStyle w:val="16"/>
                <w:rFonts w:hint="eastAsia" w:ascii="宋体" w:hAnsi="宋体" w:eastAsia="宋体" w:cs="宋体"/>
                <w:b w:val="0"/>
                <w:i w:val="0"/>
                <w:color w:val="auto"/>
                <w:sz w:val="24"/>
                <w:szCs w:val="24"/>
                <w:highlight w:val="none"/>
                <w:u w:val="none"/>
                <w:lang w:val="en-US" w:eastAsia="zh-CN"/>
              </w:rPr>
              <w:t>1</w:t>
            </w:r>
            <w:r>
              <w:rPr>
                <w:rStyle w:val="16"/>
                <w:rFonts w:ascii="宋体" w:hAnsi="宋体" w:eastAsia="宋体" w:cs="宋体"/>
                <w:b w:val="0"/>
                <w:i w:val="0"/>
                <w:color w:val="auto"/>
                <w:sz w:val="24"/>
                <w:szCs w:val="24"/>
                <w:highlight w:val="none"/>
                <w:u w:val="none"/>
              </w:rPr>
              <w:t>年以来的类似项目考核或满意度调查情况评定。</w:t>
            </w:r>
          </w:p>
          <w:p w14:paraId="3B620BA6">
            <w:pPr>
              <w:pStyle w:val="49"/>
              <w:jc w:val="left"/>
              <w:rPr>
                <w:rStyle w:val="16"/>
                <w:rFonts w:ascii="宋体" w:hAnsi="宋体" w:eastAsia="宋体" w:cs="宋体"/>
                <w:b w:val="0"/>
                <w:i w:val="0"/>
                <w:color w:val="auto"/>
                <w:sz w:val="24"/>
                <w:szCs w:val="24"/>
                <w:highlight w:val="none"/>
                <w:u w:val="none"/>
              </w:rPr>
            </w:pPr>
            <w:r>
              <w:rPr>
                <w:rStyle w:val="16"/>
                <w:rFonts w:hint="eastAsia" w:ascii="宋体" w:hAnsi="宋体" w:eastAsia="宋体" w:cs="宋体"/>
                <w:b w:val="0"/>
                <w:i w:val="0"/>
                <w:color w:val="auto"/>
                <w:sz w:val="24"/>
                <w:szCs w:val="24"/>
                <w:highlight w:val="none"/>
                <w:u w:val="none"/>
                <w:lang w:val="en-US" w:eastAsia="zh-CN"/>
              </w:rPr>
              <w:t>13、提供具有有效期内的质量管理体系认证、环境管理体系认证、职业健康安全管理体系认证证书。</w:t>
            </w:r>
          </w:p>
          <w:p w14:paraId="02498ACD">
            <w:pPr>
              <w:pStyle w:val="49"/>
              <w:jc w:val="left"/>
              <w:rPr>
                <w:rStyle w:val="16"/>
                <w:rFonts w:ascii="宋体" w:hAnsi="宋体" w:eastAsia="宋体" w:cs="宋体"/>
                <w:b w:val="0"/>
                <w:i w:val="0"/>
                <w:color w:val="auto"/>
                <w:sz w:val="24"/>
                <w:szCs w:val="24"/>
                <w:highlight w:val="none"/>
                <w:u w:val="none"/>
              </w:rPr>
            </w:pPr>
            <w:r>
              <w:rPr>
                <w:rStyle w:val="16"/>
                <w:rFonts w:ascii="宋体" w:hAnsi="宋体" w:eastAsia="宋体" w:cs="宋体"/>
                <w:b w:val="0"/>
                <w:i w:val="0"/>
                <w:color w:val="auto"/>
                <w:sz w:val="24"/>
                <w:szCs w:val="24"/>
                <w:highlight w:val="none"/>
                <w:u w:val="none"/>
              </w:rPr>
              <w:t>1</w:t>
            </w:r>
            <w:r>
              <w:rPr>
                <w:rStyle w:val="16"/>
                <w:rFonts w:hint="eastAsia" w:ascii="宋体" w:hAnsi="宋体" w:eastAsia="宋体" w:cs="宋体"/>
                <w:b w:val="0"/>
                <w:i w:val="0"/>
                <w:color w:val="auto"/>
                <w:sz w:val="24"/>
                <w:szCs w:val="24"/>
                <w:highlight w:val="none"/>
                <w:u w:val="none"/>
                <w:lang w:val="en-US" w:eastAsia="zh-CN"/>
              </w:rPr>
              <w:t>4</w:t>
            </w:r>
            <w:r>
              <w:rPr>
                <w:rStyle w:val="16"/>
                <w:rFonts w:ascii="宋体" w:hAnsi="宋体" w:eastAsia="宋体" w:cs="宋体"/>
                <w:b w:val="0"/>
                <w:i w:val="0"/>
                <w:color w:val="auto"/>
                <w:sz w:val="24"/>
                <w:szCs w:val="24"/>
                <w:highlight w:val="none"/>
                <w:u w:val="none"/>
              </w:rPr>
              <w:t>、提供202</w:t>
            </w:r>
            <w:r>
              <w:rPr>
                <w:rStyle w:val="16"/>
                <w:rFonts w:hint="eastAsia" w:ascii="宋体" w:hAnsi="宋体" w:eastAsia="宋体" w:cs="宋体"/>
                <w:b w:val="0"/>
                <w:i w:val="0"/>
                <w:color w:val="auto"/>
                <w:sz w:val="24"/>
                <w:szCs w:val="24"/>
                <w:highlight w:val="none"/>
                <w:u w:val="none"/>
                <w:lang w:val="en-US" w:eastAsia="zh-CN"/>
              </w:rPr>
              <w:t>1</w:t>
            </w:r>
            <w:r>
              <w:rPr>
                <w:rStyle w:val="16"/>
                <w:rFonts w:ascii="宋体" w:hAnsi="宋体" w:eastAsia="宋体" w:cs="宋体"/>
                <w:b w:val="0"/>
                <w:i w:val="0"/>
                <w:color w:val="auto"/>
                <w:sz w:val="24"/>
                <w:szCs w:val="24"/>
                <w:highlight w:val="none"/>
                <w:u w:val="none"/>
              </w:rPr>
              <w:t>年以来获得行政部门颁发的荣誉或奖项。</w:t>
            </w:r>
          </w:p>
        </w:tc>
      </w:tr>
    </w:tbl>
    <w:p w14:paraId="5DAA146D">
      <w:pPr>
        <w:pStyle w:val="49"/>
        <w:jc w:val="center"/>
        <w:rPr>
          <w:rStyle w:val="16"/>
          <w:rFonts w:ascii="宋体" w:hAnsi="宋体" w:eastAsia="宋体" w:cs="宋体"/>
          <w:color w:val="auto"/>
          <w:sz w:val="24"/>
          <w:highlight w:val="none"/>
        </w:rPr>
      </w:pPr>
    </w:p>
    <w:p w14:paraId="1B328F0E">
      <w:pPr>
        <w:pStyle w:val="20"/>
        <w:ind w:firstLine="0" w:firstLineChars="0"/>
        <w:rPr>
          <w:rFonts w:hint="eastAsia"/>
          <w:color w:val="auto"/>
          <w:szCs w:val="24"/>
          <w:highlight w:val="none"/>
        </w:rPr>
      </w:pPr>
      <w:bookmarkStart w:id="256" w:name="EBb0ab975038a04efd86af0f0eaa5a524b"/>
      <w:bookmarkEnd w:id="256"/>
    </w:p>
    <w:p w14:paraId="5AC013A9">
      <w:pPr>
        <w:snapToGrid w:val="0"/>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 </w:t>
      </w:r>
    </w:p>
    <w:p w14:paraId="20E1B128">
      <w:pPr>
        <w:pStyle w:val="55"/>
        <w:spacing w:line="440" w:lineRule="exact"/>
        <w:ind w:firstLine="500"/>
        <w:outlineLvl w:val="9"/>
        <w:rPr>
          <w:rStyle w:val="16"/>
          <w:rFonts w:ascii="宋体" w:hAnsi="宋体" w:eastAsia="宋体" w:cs="宋体"/>
          <w:b/>
          <w:i w:val="0"/>
          <w:color w:val="auto"/>
          <w:spacing w:val="7"/>
          <w:sz w:val="24"/>
          <w:highlight w:val="none"/>
          <w:u w:val="none"/>
        </w:rPr>
      </w:pPr>
      <w:r>
        <w:rPr>
          <w:rStyle w:val="16"/>
          <w:rFonts w:ascii="宋体" w:hAnsi="宋体" w:eastAsia="宋体" w:cs="宋体"/>
          <w:b/>
          <w:i w:val="0"/>
          <w:color w:val="auto"/>
          <w:spacing w:val="7"/>
          <w:sz w:val="24"/>
          <w:highlight w:val="none"/>
          <w:u w:val="none"/>
        </w:rPr>
        <w:t>1 服务期限</w:t>
      </w:r>
    </w:p>
    <w:p w14:paraId="13EE3BCC">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1.1、服务期限</w:t>
      </w:r>
      <w:r>
        <w:rPr>
          <w:rStyle w:val="16"/>
          <w:rFonts w:hint="eastAsia" w:ascii="宋体" w:hAnsi="宋体" w:eastAsia="宋体" w:cs="宋体"/>
          <w:b w:val="0"/>
          <w:i/>
          <w:color w:val="auto"/>
          <w:spacing w:val="7"/>
          <w:sz w:val="24"/>
          <w:highlight w:val="none"/>
          <w:u w:val="single"/>
          <w:lang w:eastAsia="zh-CN"/>
        </w:rPr>
        <w:t>：</w:t>
      </w:r>
      <w:r>
        <w:rPr>
          <w:rStyle w:val="16"/>
          <w:rFonts w:hint="eastAsia" w:ascii="宋体" w:hAnsi="宋体" w:eastAsia="宋体" w:cs="宋体"/>
          <w:b w:val="0"/>
          <w:i/>
          <w:color w:val="auto"/>
          <w:spacing w:val="7"/>
          <w:sz w:val="24"/>
          <w:highlight w:val="none"/>
          <w:u w:val="single"/>
          <w:lang w:val="en-US" w:eastAsia="zh-CN"/>
        </w:rPr>
        <w:t>24</w:t>
      </w:r>
      <w:r>
        <w:rPr>
          <w:rStyle w:val="16"/>
          <w:rFonts w:ascii="宋体" w:hAnsi="宋体" w:eastAsia="宋体" w:cs="宋体"/>
          <w:b w:val="0"/>
          <w:i/>
          <w:color w:val="auto"/>
          <w:spacing w:val="7"/>
          <w:sz w:val="24"/>
          <w:highlight w:val="none"/>
          <w:u w:val="single"/>
        </w:rPr>
        <w:t>个月。</w:t>
      </w:r>
    </w:p>
    <w:p w14:paraId="62A3F020">
      <w:pPr>
        <w:pStyle w:val="55"/>
        <w:spacing w:line="440" w:lineRule="exact"/>
        <w:ind w:firstLine="500"/>
        <w:outlineLvl w:val="9"/>
        <w:rPr>
          <w:rStyle w:val="16"/>
          <w:rFonts w:ascii="宋体" w:hAnsi="宋体" w:eastAsia="宋体" w:cs="宋体"/>
          <w:b/>
          <w:i w:val="0"/>
          <w:color w:val="auto"/>
          <w:spacing w:val="7"/>
          <w:sz w:val="24"/>
          <w:highlight w:val="none"/>
          <w:u w:val="none"/>
        </w:rPr>
      </w:pPr>
      <w:r>
        <w:rPr>
          <w:rStyle w:val="16"/>
          <w:rFonts w:ascii="宋体" w:hAnsi="宋体" w:eastAsia="宋体" w:cs="宋体"/>
          <w:b/>
          <w:i w:val="0"/>
          <w:color w:val="auto"/>
          <w:spacing w:val="7"/>
          <w:sz w:val="24"/>
          <w:highlight w:val="none"/>
          <w:u w:val="none"/>
        </w:rPr>
        <w:t>2 货款支付</w:t>
      </w:r>
    </w:p>
    <w:p w14:paraId="7B1BD389">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2.1、结付程序</w:t>
      </w:r>
    </w:p>
    <w:p w14:paraId="207C92A4">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供方按本合同内容合格地履行服务义务后，凭验收报告、销售发票到采购单位办理服务款（或工程款）结算手续。</w:t>
      </w:r>
    </w:p>
    <w:p w14:paraId="4FA41B72">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2.2、结付期限</w:t>
      </w:r>
    </w:p>
    <w:p w14:paraId="3762255B">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合同签订生效后，采购人支付合同款的10%，合同款的90%按季度付款。合同基准价格按此次中标价格执行，该报价应包括承包期内保洁服务需要的人工费（包括人员工资、福利费等）、生产设备及工具费、税费及政策性文件规定和合同包含的所有风险、责任等各项应有费用。按季支付，根据甲方提供的当季考核检查结果，于次月20日前向乙方支付上季度费用(因考核检查有失分，实际支付金额与基准价格存在差异)。合同履行结束，经验收合格退回履约保证金（合同总价款2％）。</w:t>
      </w:r>
    </w:p>
    <w:p w14:paraId="71E556CD">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2.3、结付标准（详见河道保洁管理考核细则）</w:t>
      </w:r>
    </w:p>
    <w:p w14:paraId="2EF442AB">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考核采用百分制，每月对中标人的河道保洁服务质量进行检查、验收和考核，考核90分以上的不扣当月服务费，考核90 ~85分的扣除当月服务费10%，考核低于85分的扣除当月服务费30%，连续二次得分在90分以下且在二个月的期限内整改不到位的，采购单位有权利终止合同。服务费每季度支付一次。被市级以上通报的，一次扣3000元；通报后没有及时整改到位的，一次扣5000元。中标单位以任何借口拖欠本项目服务人员工资，工资不得拖欠2个月以上。如发现一次，扣1000元；通报后没有及时整改到位的，一次扣3000元。</w:t>
      </w:r>
    </w:p>
    <w:p w14:paraId="5FFD2737">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经相关部门通报后拒不改正、整改不力或者连续二次得分在90分以下且在二个月的期限内整改不到位的，以及其他发生重大违规的，南丰镇人民政府有权单方面终止合同，并索赔相关经济损失。</w:t>
      </w:r>
    </w:p>
    <w:p w14:paraId="34AACCDE">
      <w:pPr>
        <w:pStyle w:val="55"/>
        <w:spacing w:line="440" w:lineRule="exact"/>
        <w:ind w:firstLine="500"/>
        <w:outlineLvl w:val="9"/>
        <w:rPr>
          <w:rStyle w:val="16"/>
          <w:rFonts w:ascii="宋体" w:hAnsi="宋体" w:eastAsia="宋体" w:cs="宋体"/>
          <w:b/>
          <w:i w:val="0"/>
          <w:color w:val="auto"/>
          <w:spacing w:val="7"/>
          <w:sz w:val="24"/>
          <w:highlight w:val="none"/>
          <w:u w:val="none"/>
        </w:rPr>
      </w:pPr>
      <w:r>
        <w:rPr>
          <w:rStyle w:val="16"/>
          <w:rFonts w:ascii="宋体" w:hAnsi="宋体" w:eastAsia="宋体" w:cs="宋体"/>
          <w:b/>
          <w:i w:val="0"/>
          <w:color w:val="auto"/>
          <w:spacing w:val="7"/>
          <w:sz w:val="24"/>
          <w:highlight w:val="none"/>
          <w:u w:val="none"/>
        </w:rPr>
        <w:t>3 投标货币</w:t>
      </w:r>
    </w:p>
    <w:p w14:paraId="3D659DAF">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3.1、投标货币</w:t>
      </w:r>
    </w:p>
    <w:p w14:paraId="39EBF663">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人民币</w:t>
      </w:r>
    </w:p>
    <w:p w14:paraId="07542F5A">
      <w:pPr>
        <w:pStyle w:val="55"/>
        <w:spacing w:line="440" w:lineRule="exact"/>
        <w:ind w:firstLine="500"/>
        <w:outlineLvl w:val="9"/>
        <w:rPr>
          <w:rStyle w:val="16"/>
          <w:rFonts w:ascii="宋体" w:hAnsi="宋体" w:eastAsia="宋体" w:cs="宋体"/>
          <w:b/>
          <w:i w:val="0"/>
          <w:color w:val="auto"/>
          <w:spacing w:val="7"/>
          <w:sz w:val="24"/>
          <w:highlight w:val="none"/>
          <w:u w:val="none"/>
        </w:rPr>
      </w:pPr>
      <w:r>
        <w:rPr>
          <w:rStyle w:val="16"/>
          <w:rFonts w:ascii="宋体" w:hAnsi="宋体" w:eastAsia="宋体" w:cs="宋体"/>
          <w:b/>
          <w:i w:val="0"/>
          <w:color w:val="auto"/>
          <w:spacing w:val="7"/>
          <w:sz w:val="24"/>
          <w:highlight w:val="none"/>
          <w:u w:val="none"/>
        </w:rPr>
        <w:t>4 备品备件及耗材等要求</w:t>
      </w:r>
    </w:p>
    <w:p w14:paraId="03C27F52">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4.1、备品备件及耗材等要求</w:t>
      </w:r>
    </w:p>
    <w:p w14:paraId="07AC3882">
      <w:pPr>
        <w:pStyle w:val="55"/>
        <w:spacing w:line="440" w:lineRule="exact"/>
        <w:ind w:firstLine="500"/>
        <w:outlineLvl w:val="9"/>
        <w:rPr>
          <w:rStyle w:val="16"/>
          <w:rFonts w:ascii="宋体" w:hAnsi="宋体" w:eastAsia="宋体" w:cs="宋体"/>
          <w:b w:val="0"/>
          <w:i/>
          <w:color w:val="auto"/>
          <w:spacing w:val="7"/>
          <w:sz w:val="24"/>
          <w:highlight w:val="none"/>
          <w:u w:val="single"/>
        </w:rPr>
      </w:pPr>
      <w:r>
        <w:rPr>
          <w:rStyle w:val="16"/>
          <w:rFonts w:ascii="宋体" w:hAnsi="宋体" w:eastAsia="宋体" w:cs="宋体"/>
          <w:b w:val="0"/>
          <w:i/>
          <w:color w:val="auto"/>
          <w:spacing w:val="7"/>
          <w:sz w:val="24"/>
          <w:highlight w:val="none"/>
          <w:u w:val="single"/>
        </w:rPr>
        <w:t>无</w:t>
      </w:r>
    </w:p>
    <w:p w14:paraId="68609256">
      <w:pPr>
        <w:pStyle w:val="55"/>
        <w:spacing w:line="440" w:lineRule="exact"/>
        <w:ind w:firstLine="500"/>
        <w:outlineLvl w:val="9"/>
        <w:rPr>
          <w:rStyle w:val="16"/>
          <w:rFonts w:ascii="宋体" w:hAnsi="宋体" w:eastAsia="宋体" w:cs="宋体"/>
          <w:b w:val="0"/>
          <w:i/>
          <w:color w:val="auto"/>
          <w:spacing w:val="7"/>
          <w:sz w:val="24"/>
          <w:highlight w:val="none"/>
          <w:u w:val="single"/>
        </w:rPr>
      </w:pPr>
    </w:p>
    <w:p w14:paraId="410995B1">
      <w:pPr>
        <w:spacing w:line="360" w:lineRule="auto"/>
        <w:jc w:val="left"/>
        <w:rPr>
          <w:rFonts w:hint="eastAsia" w:ascii="宋体" w:hAnsi="宋体"/>
          <w:color w:val="auto"/>
          <w:sz w:val="24"/>
          <w:highlight w:val="none"/>
        </w:rPr>
      </w:pPr>
      <w:bookmarkStart w:id="257" w:name="EBeba33935409e4c76a800f8c7f49348de"/>
      <w:bookmarkEnd w:id="257"/>
    </w:p>
    <w:p w14:paraId="2ECF2FCC">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3A797DB2">
      <w:pPr>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四、其他部分 </w:t>
      </w:r>
    </w:p>
    <w:p w14:paraId="38AA4C0D">
      <w:pPr>
        <w:pStyle w:val="82"/>
        <w:spacing w:before="0" w:after="240"/>
        <w:ind w:firstLine="482"/>
        <w:rPr>
          <w:rStyle w:val="16"/>
          <w:rFonts w:ascii="Times New Roman" w:hAnsi="Times New Roman" w:eastAsia="Times New Roman" w:cs="Times New Roman"/>
          <w:color w:val="auto"/>
          <w:sz w:val="24"/>
          <w:szCs w:val="24"/>
          <w:highlight w:val="none"/>
        </w:rPr>
      </w:pPr>
      <w:r>
        <w:rPr>
          <w:rStyle w:val="16"/>
          <w:rFonts w:ascii="宋体" w:hAnsi="宋体" w:eastAsia="宋体" w:cs="宋体"/>
          <w:b/>
          <w:bCs/>
          <w:color w:val="auto"/>
          <w:highlight w:val="none"/>
        </w:rPr>
        <w:t>附件一：</w:t>
      </w:r>
    </w:p>
    <w:p w14:paraId="041E4EC0">
      <w:pPr>
        <w:pStyle w:val="82"/>
        <w:spacing w:before="240" w:after="240"/>
        <w:jc w:val="center"/>
        <w:rPr>
          <w:rStyle w:val="16"/>
          <w:rFonts w:hint="eastAsia" w:asciiTheme="minorEastAsia" w:hAnsiTheme="minorEastAsia" w:eastAsiaTheme="minorEastAsia" w:cstheme="minorEastAsia"/>
          <w:color w:val="auto"/>
          <w:sz w:val="24"/>
          <w:szCs w:val="24"/>
          <w:highlight w:val="none"/>
        </w:rPr>
      </w:pPr>
      <w:r>
        <w:rPr>
          <w:rStyle w:val="16"/>
          <w:rFonts w:hint="eastAsia" w:asciiTheme="minorEastAsia" w:hAnsiTheme="minorEastAsia" w:eastAsiaTheme="minorEastAsia" w:cstheme="minorEastAsia"/>
          <w:b/>
          <w:bCs/>
          <w:color w:val="auto"/>
          <w:highlight w:val="none"/>
        </w:rPr>
        <w:t>关于中标后设立工作场所的书面承诺</w:t>
      </w:r>
    </w:p>
    <w:p w14:paraId="7AB2ED70">
      <w:pPr>
        <w:pStyle w:val="82"/>
        <w:spacing w:before="240" w:after="240" w:line="360" w:lineRule="atLeast"/>
        <w:rPr>
          <w:rStyle w:val="16"/>
          <w:rFonts w:hint="eastAsia" w:asciiTheme="minorEastAsia" w:hAnsiTheme="minorEastAsia" w:eastAsiaTheme="minorEastAsia" w:cstheme="minorEastAsia"/>
          <w:color w:val="auto"/>
          <w:sz w:val="24"/>
          <w:szCs w:val="24"/>
          <w:highlight w:val="none"/>
        </w:rPr>
      </w:pPr>
      <w:r>
        <w:rPr>
          <w:rStyle w:val="16"/>
          <w:rFonts w:hint="eastAsia" w:asciiTheme="minorEastAsia" w:hAnsiTheme="minorEastAsia" w:eastAsiaTheme="minorEastAsia" w:cstheme="minorEastAsia"/>
          <w:color w:val="auto"/>
          <w:highlight w:val="none"/>
        </w:rPr>
        <w:t> </w:t>
      </w:r>
    </w:p>
    <w:p w14:paraId="48D48D43">
      <w:pPr>
        <w:pStyle w:val="82"/>
        <w:spacing w:before="240" w:after="240" w:line="360" w:lineRule="atLeast"/>
        <w:ind w:firstLine="480"/>
        <w:rPr>
          <w:rStyle w:val="16"/>
          <w:rFonts w:hint="eastAsia" w:asciiTheme="minorEastAsia" w:hAnsiTheme="minorEastAsia" w:eastAsiaTheme="minorEastAsia" w:cstheme="minorEastAsia"/>
          <w:color w:val="auto"/>
          <w:sz w:val="24"/>
          <w:szCs w:val="24"/>
          <w:highlight w:val="none"/>
        </w:rPr>
      </w:pPr>
      <w:r>
        <w:rPr>
          <w:rStyle w:val="16"/>
          <w:rFonts w:hint="eastAsia" w:asciiTheme="minorEastAsia" w:hAnsiTheme="minorEastAsia" w:eastAsiaTheme="minorEastAsia" w:cstheme="minorEastAsia"/>
          <w:color w:val="auto"/>
          <w:highlight w:val="none"/>
        </w:rPr>
        <w:t>我单位郑重承诺：中标后（15日内）在中标项目沿岸40分钟车程范围内设立工作场所，并在规定期限内主动提供自有或租赁的相关证明材料。</w:t>
      </w:r>
    </w:p>
    <w:p w14:paraId="1EC2C70B">
      <w:pPr>
        <w:pStyle w:val="82"/>
        <w:spacing w:before="240" w:after="240" w:line="360" w:lineRule="atLeast"/>
        <w:rPr>
          <w:rStyle w:val="16"/>
          <w:rFonts w:hint="eastAsia" w:asciiTheme="minorEastAsia" w:hAnsiTheme="minorEastAsia" w:eastAsiaTheme="minorEastAsia" w:cstheme="minorEastAsia"/>
          <w:color w:val="auto"/>
          <w:sz w:val="24"/>
          <w:szCs w:val="24"/>
          <w:highlight w:val="none"/>
        </w:rPr>
      </w:pPr>
      <w:r>
        <w:rPr>
          <w:rStyle w:val="16"/>
          <w:rFonts w:hint="eastAsia" w:asciiTheme="minorEastAsia" w:hAnsiTheme="minorEastAsia" w:eastAsiaTheme="minorEastAsia" w:cstheme="minorEastAsia"/>
          <w:b/>
          <w:bCs/>
          <w:color w:val="auto"/>
          <w:sz w:val="32"/>
          <w:szCs w:val="32"/>
          <w:highlight w:val="none"/>
        </w:rPr>
        <w:t> </w:t>
      </w:r>
    </w:p>
    <w:p w14:paraId="5DE77FF9">
      <w:pPr>
        <w:pStyle w:val="82"/>
        <w:spacing w:before="240" w:after="240" w:line="360" w:lineRule="atLeast"/>
        <w:ind w:firstLine="480"/>
        <w:jc w:val="center"/>
        <w:rPr>
          <w:rStyle w:val="16"/>
          <w:rFonts w:hint="eastAsia" w:asciiTheme="minorEastAsia" w:hAnsiTheme="minorEastAsia" w:eastAsiaTheme="minorEastAsia" w:cstheme="minorEastAsia"/>
          <w:color w:val="auto"/>
          <w:sz w:val="24"/>
          <w:szCs w:val="24"/>
          <w:highlight w:val="none"/>
        </w:rPr>
      </w:pPr>
      <w:r>
        <w:rPr>
          <w:rStyle w:val="16"/>
          <w:rFonts w:hint="eastAsia" w:asciiTheme="minorEastAsia" w:hAnsiTheme="minorEastAsia" w:eastAsiaTheme="minorEastAsia" w:cstheme="minorEastAsia"/>
          <w:color w:val="auto"/>
          <w:highlight w:val="none"/>
        </w:rPr>
        <w:t>     投标单位（加盖公章）：</w:t>
      </w:r>
    </w:p>
    <w:p w14:paraId="54C4E194">
      <w:pPr>
        <w:pStyle w:val="82"/>
        <w:spacing w:before="240" w:after="240" w:line="360" w:lineRule="atLeast"/>
        <w:ind w:firstLine="480"/>
        <w:jc w:val="center"/>
        <w:rPr>
          <w:rStyle w:val="16"/>
          <w:rFonts w:ascii="Times New Roman" w:hAnsi="Times New Roman" w:eastAsia="Times New Roman" w:cs="Times New Roman"/>
          <w:color w:val="auto"/>
          <w:sz w:val="24"/>
          <w:szCs w:val="24"/>
          <w:highlight w:val="none"/>
        </w:rPr>
      </w:pPr>
      <w:r>
        <w:rPr>
          <w:rStyle w:val="16"/>
          <w:rFonts w:ascii="Times New Roman" w:hAnsi="Times New Roman" w:eastAsia="Times New Roman" w:cs="Times New Roman"/>
          <w:color w:val="auto"/>
          <w:highlight w:val="none"/>
        </w:rPr>
        <w:t> </w:t>
      </w:r>
    </w:p>
    <w:p w14:paraId="38F7FA13">
      <w:pPr>
        <w:pStyle w:val="82"/>
        <w:spacing w:before="240" w:after="240"/>
        <w:ind w:firstLine="562"/>
        <w:rPr>
          <w:rStyle w:val="16"/>
          <w:rFonts w:ascii="Times New Roman" w:hAnsi="Times New Roman" w:eastAsia="Times New Roman" w:cs="Times New Roman"/>
          <w:color w:val="auto"/>
          <w:sz w:val="24"/>
          <w:szCs w:val="24"/>
          <w:highlight w:val="none"/>
        </w:rPr>
      </w:pPr>
      <w:r>
        <w:rPr>
          <w:rStyle w:val="16"/>
          <w:rFonts w:ascii="宋体" w:hAnsi="宋体" w:eastAsia="宋体" w:cs="宋体"/>
          <w:b/>
          <w:bCs/>
          <w:color w:val="auto"/>
          <w:sz w:val="28"/>
          <w:szCs w:val="28"/>
          <w:highlight w:val="none"/>
        </w:rPr>
        <w:t> </w:t>
      </w:r>
    </w:p>
    <w:p w14:paraId="37DC5343">
      <w:pPr>
        <w:pStyle w:val="82"/>
        <w:spacing w:before="240" w:after="240" w:line="440" w:lineRule="atLeast"/>
        <w:ind w:firstLine="482"/>
        <w:rPr>
          <w:rStyle w:val="16"/>
          <w:rFonts w:ascii="Times New Roman" w:hAnsi="Times New Roman" w:eastAsia="Times New Roman" w:cs="Times New Roman"/>
          <w:color w:val="auto"/>
          <w:sz w:val="24"/>
          <w:szCs w:val="24"/>
          <w:highlight w:val="none"/>
        </w:rPr>
      </w:pPr>
      <w:r>
        <w:rPr>
          <w:rStyle w:val="16"/>
          <w:rFonts w:ascii="宋体" w:hAnsi="宋体" w:eastAsia="宋体" w:cs="宋体"/>
          <w:b/>
          <w:bCs/>
          <w:color w:val="auto"/>
          <w:sz w:val="30"/>
          <w:szCs w:val="30"/>
          <w:highlight w:val="none"/>
        </w:rPr>
        <w:t>附件二、考核细则及办法</w:t>
      </w:r>
    </w:p>
    <w:p w14:paraId="7A4C9E41">
      <w:pPr>
        <w:pStyle w:val="82"/>
        <w:spacing w:before="240" w:after="240" w:line="440" w:lineRule="atLeast"/>
        <w:ind w:firstLine="482"/>
        <w:rPr>
          <w:rStyle w:val="16"/>
          <w:rFonts w:ascii="Times New Roman" w:hAnsi="Times New Roman" w:eastAsia="Times New Roman" w:cs="Times New Roman"/>
          <w:color w:val="auto"/>
          <w:sz w:val="24"/>
          <w:szCs w:val="24"/>
          <w:highlight w:val="none"/>
        </w:rPr>
      </w:pPr>
      <w:r>
        <w:rPr>
          <w:rStyle w:val="16"/>
          <w:rFonts w:ascii="宋体" w:hAnsi="宋体" w:eastAsia="宋体" w:cs="宋体"/>
          <w:b/>
          <w:bCs/>
          <w:color w:val="auto"/>
          <w:highlight w:val="none"/>
        </w:rPr>
        <w:t>（一）河道保洁管理考核细则</w:t>
      </w:r>
    </w:p>
    <w:tbl>
      <w:tblPr>
        <w:tblStyle w:val="15"/>
        <w:tblW w:w="10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588"/>
        <w:gridCol w:w="1590"/>
        <w:gridCol w:w="3772"/>
        <w:gridCol w:w="537"/>
        <w:gridCol w:w="547"/>
        <w:gridCol w:w="2355"/>
      </w:tblGrid>
      <w:tr w14:paraId="121A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5" w:hRule="atLeast"/>
          <w:jc w:val="center"/>
        </w:trPr>
        <w:tc>
          <w:tcPr>
            <w:tcW w:w="1588" w:type="dxa"/>
            <w:noWrap w:val="0"/>
            <w:tcMar>
              <w:top w:w="15" w:type="dxa"/>
              <w:left w:w="15" w:type="dxa"/>
              <w:bottom w:w="15" w:type="dxa"/>
              <w:right w:w="15" w:type="dxa"/>
            </w:tcMar>
            <w:vAlign w:val="center"/>
          </w:tcPr>
          <w:p w14:paraId="04CD0FF2">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项 目</w:t>
            </w:r>
          </w:p>
        </w:tc>
        <w:tc>
          <w:tcPr>
            <w:tcW w:w="1590" w:type="dxa"/>
            <w:noWrap w:val="0"/>
            <w:tcMar>
              <w:top w:w="15" w:type="dxa"/>
              <w:left w:w="15" w:type="dxa"/>
              <w:bottom w:w="15" w:type="dxa"/>
              <w:right w:w="15" w:type="dxa"/>
            </w:tcMar>
            <w:vAlign w:val="center"/>
          </w:tcPr>
          <w:p w14:paraId="0A24CF89">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考核内容</w:t>
            </w:r>
          </w:p>
        </w:tc>
        <w:tc>
          <w:tcPr>
            <w:tcW w:w="3772" w:type="dxa"/>
            <w:noWrap w:val="0"/>
            <w:tcMar>
              <w:top w:w="15" w:type="dxa"/>
              <w:left w:w="15" w:type="dxa"/>
              <w:bottom w:w="15" w:type="dxa"/>
              <w:right w:w="15" w:type="dxa"/>
            </w:tcMar>
            <w:vAlign w:val="center"/>
          </w:tcPr>
          <w:p w14:paraId="7812B0FD">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标准要求</w:t>
            </w:r>
          </w:p>
        </w:tc>
        <w:tc>
          <w:tcPr>
            <w:tcW w:w="1084" w:type="dxa"/>
            <w:gridSpan w:val="2"/>
            <w:noWrap w:val="0"/>
            <w:tcMar>
              <w:top w:w="15" w:type="dxa"/>
              <w:left w:w="15" w:type="dxa"/>
              <w:bottom w:w="15" w:type="dxa"/>
              <w:right w:w="15" w:type="dxa"/>
            </w:tcMar>
            <w:vAlign w:val="center"/>
          </w:tcPr>
          <w:p w14:paraId="02831E9D">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分 值</w:t>
            </w:r>
          </w:p>
        </w:tc>
        <w:tc>
          <w:tcPr>
            <w:tcW w:w="2355" w:type="dxa"/>
            <w:noWrap w:val="0"/>
            <w:tcMar>
              <w:top w:w="15" w:type="dxa"/>
              <w:left w:w="15" w:type="dxa"/>
              <w:bottom w:w="15" w:type="dxa"/>
              <w:right w:w="15" w:type="dxa"/>
            </w:tcMar>
            <w:vAlign w:val="center"/>
          </w:tcPr>
          <w:p w14:paraId="4C84FAE6">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扣分标准</w:t>
            </w:r>
          </w:p>
        </w:tc>
      </w:tr>
      <w:tr w14:paraId="4AD5D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jc w:val="center"/>
        </w:trPr>
        <w:tc>
          <w:tcPr>
            <w:tcW w:w="1588" w:type="dxa"/>
            <w:vMerge w:val="restart"/>
            <w:noWrap w:val="0"/>
            <w:tcMar>
              <w:top w:w="15" w:type="dxa"/>
              <w:left w:w="15" w:type="dxa"/>
              <w:bottom w:w="15" w:type="dxa"/>
              <w:right w:w="15" w:type="dxa"/>
            </w:tcMar>
            <w:vAlign w:val="center"/>
          </w:tcPr>
          <w:p w14:paraId="33522E01">
            <w:pPr>
              <w:pStyle w:val="82"/>
              <w:spacing w:before="0" w:after="24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长效管理考核</w:t>
            </w:r>
          </w:p>
          <w:p w14:paraId="7C24A2F2">
            <w:pPr>
              <w:pStyle w:val="82"/>
              <w:spacing w:before="24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（65分）</w:t>
            </w:r>
          </w:p>
        </w:tc>
        <w:tc>
          <w:tcPr>
            <w:tcW w:w="1590" w:type="dxa"/>
            <w:vMerge w:val="restart"/>
            <w:noWrap w:val="0"/>
            <w:tcMar>
              <w:top w:w="15" w:type="dxa"/>
              <w:left w:w="15" w:type="dxa"/>
              <w:bottom w:w="15" w:type="dxa"/>
              <w:right w:w="15" w:type="dxa"/>
            </w:tcMar>
            <w:vAlign w:val="center"/>
          </w:tcPr>
          <w:p w14:paraId="4ECFCBA8">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一、工作出勤</w:t>
            </w:r>
          </w:p>
        </w:tc>
        <w:tc>
          <w:tcPr>
            <w:tcW w:w="3772" w:type="dxa"/>
            <w:noWrap w:val="0"/>
            <w:tcMar>
              <w:top w:w="15" w:type="dxa"/>
              <w:left w:w="15" w:type="dxa"/>
              <w:bottom w:w="15" w:type="dxa"/>
              <w:right w:w="15" w:type="dxa"/>
            </w:tcMar>
            <w:vAlign w:val="center"/>
          </w:tcPr>
          <w:p w14:paraId="40E82F04">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镇级河道范围内保洁员在规定时间内正常开展保洁工作，定岗定位，每天工作时间不得少于6小时，做到不迟到不早退。</w:t>
            </w:r>
          </w:p>
        </w:tc>
        <w:tc>
          <w:tcPr>
            <w:tcW w:w="537" w:type="dxa"/>
            <w:vMerge w:val="restart"/>
            <w:noWrap w:val="0"/>
            <w:tcMar>
              <w:top w:w="15" w:type="dxa"/>
              <w:left w:w="15" w:type="dxa"/>
              <w:bottom w:w="15" w:type="dxa"/>
              <w:right w:w="15" w:type="dxa"/>
            </w:tcMar>
            <w:vAlign w:val="center"/>
          </w:tcPr>
          <w:p w14:paraId="59D43222">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15</w:t>
            </w:r>
          </w:p>
        </w:tc>
        <w:tc>
          <w:tcPr>
            <w:tcW w:w="547" w:type="dxa"/>
            <w:noWrap w:val="0"/>
            <w:tcMar>
              <w:top w:w="15" w:type="dxa"/>
              <w:left w:w="15" w:type="dxa"/>
              <w:bottom w:w="15" w:type="dxa"/>
              <w:right w:w="15" w:type="dxa"/>
            </w:tcMar>
            <w:vAlign w:val="center"/>
          </w:tcPr>
          <w:p w14:paraId="68BE720C">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5</w:t>
            </w:r>
          </w:p>
        </w:tc>
        <w:tc>
          <w:tcPr>
            <w:tcW w:w="2355" w:type="dxa"/>
            <w:noWrap w:val="0"/>
            <w:tcMar>
              <w:top w:w="15" w:type="dxa"/>
              <w:left w:w="15" w:type="dxa"/>
              <w:bottom w:w="15" w:type="dxa"/>
              <w:right w:w="15" w:type="dxa"/>
            </w:tcMar>
            <w:vAlign w:val="center"/>
          </w:tcPr>
          <w:p w14:paraId="723D1847">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发现一人一次不在岗扣1分</w:t>
            </w:r>
          </w:p>
        </w:tc>
      </w:tr>
      <w:tr w14:paraId="3E3E7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0" w:hRule="atLeast"/>
          <w:jc w:val="center"/>
        </w:trPr>
        <w:tc>
          <w:tcPr>
            <w:tcW w:w="1588" w:type="dxa"/>
            <w:vMerge w:val="continue"/>
            <w:noWrap w:val="0"/>
            <w:vAlign w:val="center"/>
          </w:tcPr>
          <w:p w14:paraId="713D321F">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vMerge w:val="continue"/>
            <w:noWrap w:val="0"/>
            <w:vAlign w:val="center"/>
          </w:tcPr>
          <w:p w14:paraId="76174CE1">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3772" w:type="dxa"/>
            <w:noWrap w:val="0"/>
            <w:tcMar>
              <w:top w:w="15" w:type="dxa"/>
              <w:left w:w="15" w:type="dxa"/>
              <w:bottom w:w="15" w:type="dxa"/>
              <w:right w:w="15" w:type="dxa"/>
            </w:tcMar>
            <w:vAlign w:val="center"/>
          </w:tcPr>
          <w:p w14:paraId="6D3B8703">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保洁员上岗期间统一着装。</w:t>
            </w:r>
          </w:p>
        </w:tc>
        <w:tc>
          <w:tcPr>
            <w:tcW w:w="537" w:type="dxa"/>
            <w:vMerge w:val="continue"/>
            <w:noWrap w:val="0"/>
            <w:vAlign w:val="center"/>
          </w:tcPr>
          <w:p w14:paraId="5E2CA0D9">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547" w:type="dxa"/>
            <w:noWrap w:val="0"/>
            <w:tcMar>
              <w:top w:w="15" w:type="dxa"/>
              <w:left w:w="15" w:type="dxa"/>
              <w:bottom w:w="15" w:type="dxa"/>
              <w:right w:w="15" w:type="dxa"/>
            </w:tcMar>
            <w:vAlign w:val="center"/>
          </w:tcPr>
          <w:p w14:paraId="19C11EBF">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5</w:t>
            </w:r>
          </w:p>
        </w:tc>
        <w:tc>
          <w:tcPr>
            <w:tcW w:w="2355" w:type="dxa"/>
            <w:noWrap w:val="0"/>
            <w:tcMar>
              <w:top w:w="15" w:type="dxa"/>
              <w:left w:w="15" w:type="dxa"/>
              <w:bottom w:w="15" w:type="dxa"/>
              <w:right w:w="15" w:type="dxa"/>
            </w:tcMar>
            <w:vAlign w:val="center"/>
          </w:tcPr>
          <w:p w14:paraId="735FD2F2">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发现一人一次扣1分</w:t>
            </w:r>
          </w:p>
        </w:tc>
      </w:tr>
      <w:tr w14:paraId="55869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05" w:hRule="atLeast"/>
          <w:jc w:val="center"/>
        </w:trPr>
        <w:tc>
          <w:tcPr>
            <w:tcW w:w="1588" w:type="dxa"/>
            <w:vMerge w:val="continue"/>
            <w:noWrap w:val="0"/>
            <w:vAlign w:val="center"/>
          </w:tcPr>
          <w:p w14:paraId="3E9FA341">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vMerge w:val="continue"/>
            <w:noWrap w:val="0"/>
            <w:vAlign w:val="center"/>
          </w:tcPr>
          <w:p w14:paraId="289044EA">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3772" w:type="dxa"/>
            <w:noWrap w:val="0"/>
            <w:tcMar>
              <w:top w:w="15" w:type="dxa"/>
              <w:left w:w="15" w:type="dxa"/>
              <w:bottom w:w="15" w:type="dxa"/>
              <w:right w:w="15" w:type="dxa"/>
            </w:tcMar>
            <w:vAlign w:val="center"/>
          </w:tcPr>
          <w:p w14:paraId="647F77D2">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物业公司加强人员培训教育，提高工作责任心，确保每月至少召开一次保洁员例会，并对河道整治前后的图片整理汇总，每月底报水利站备案。</w:t>
            </w:r>
          </w:p>
        </w:tc>
        <w:tc>
          <w:tcPr>
            <w:tcW w:w="537" w:type="dxa"/>
            <w:vMerge w:val="continue"/>
            <w:noWrap w:val="0"/>
            <w:vAlign w:val="center"/>
          </w:tcPr>
          <w:p w14:paraId="54232673">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547" w:type="dxa"/>
            <w:noWrap w:val="0"/>
            <w:tcMar>
              <w:top w:w="15" w:type="dxa"/>
              <w:left w:w="15" w:type="dxa"/>
              <w:bottom w:w="15" w:type="dxa"/>
              <w:right w:w="15" w:type="dxa"/>
            </w:tcMar>
            <w:vAlign w:val="center"/>
          </w:tcPr>
          <w:p w14:paraId="58883B84">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5</w:t>
            </w:r>
          </w:p>
        </w:tc>
        <w:tc>
          <w:tcPr>
            <w:tcW w:w="2355" w:type="dxa"/>
            <w:noWrap w:val="0"/>
            <w:tcMar>
              <w:top w:w="15" w:type="dxa"/>
              <w:left w:w="15" w:type="dxa"/>
              <w:bottom w:w="15" w:type="dxa"/>
              <w:right w:w="15" w:type="dxa"/>
            </w:tcMar>
            <w:vAlign w:val="center"/>
          </w:tcPr>
          <w:p w14:paraId="6619296A">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所有会议、培训教育、图片材料必须有材料支撑，少一次扣1分</w:t>
            </w:r>
          </w:p>
        </w:tc>
      </w:tr>
      <w:tr w14:paraId="0C5EF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95" w:hRule="atLeast"/>
          <w:jc w:val="center"/>
        </w:trPr>
        <w:tc>
          <w:tcPr>
            <w:tcW w:w="1588" w:type="dxa"/>
            <w:vMerge w:val="continue"/>
            <w:noWrap w:val="0"/>
            <w:vAlign w:val="center"/>
          </w:tcPr>
          <w:p w14:paraId="4860C4F6">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noWrap w:val="0"/>
            <w:tcMar>
              <w:top w:w="15" w:type="dxa"/>
              <w:left w:w="15" w:type="dxa"/>
              <w:bottom w:w="15" w:type="dxa"/>
              <w:right w:w="15" w:type="dxa"/>
            </w:tcMar>
            <w:vAlign w:val="center"/>
          </w:tcPr>
          <w:p w14:paraId="5D36BC64">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二、服从调度</w:t>
            </w:r>
          </w:p>
        </w:tc>
        <w:tc>
          <w:tcPr>
            <w:tcW w:w="3772" w:type="dxa"/>
            <w:noWrap w:val="0"/>
            <w:tcMar>
              <w:top w:w="15" w:type="dxa"/>
              <w:left w:w="15" w:type="dxa"/>
              <w:bottom w:w="15" w:type="dxa"/>
              <w:right w:w="15" w:type="dxa"/>
            </w:tcMar>
            <w:vAlign w:val="center"/>
          </w:tcPr>
          <w:p w14:paraId="34C34FEA">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日常保洁良好有序，开展集中整治时，必要时要服从水利站调度指挥。</w:t>
            </w:r>
          </w:p>
        </w:tc>
        <w:tc>
          <w:tcPr>
            <w:tcW w:w="1084" w:type="dxa"/>
            <w:gridSpan w:val="2"/>
            <w:noWrap w:val="0"/>
            <w:tcMar>
              <w:top w:w="15" w:type="dxa"/>
              <w:left w:w="15" w:type="dxa"/>
              <w:bottom w:w="15" w:type="dxa"/>
              <w:right w:w="15" w:type="dxa"/>
            </w:tcMar>
            <w:vAlign w:val="center"/>
          </w:tcPr>
          <w:p w14:paraId="7ACD1716">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5</w:t>
            </w:r>
          </w:p>
        </w:tc>
        <w:tc>
          <w:tcPr>
            <w:tcW w:w="2355" w:type="dxa"/>
            <w:noWrap w:val="0"/>
            <w:tcMar>
              <w:top w:w="15" w:type="dxa"/>
              <w:left w:w="15" w:type="dxa"/>
              <w:bottom w:w="15" w:type="dxa"/>
              <w:right w:w="15" w:type="dxa"/>
            </w:tcMar>
            <w:vAlign w:val="center"/>
          </w:tcPr>
          <w:p w14:paraId="14649B1D">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发现不服从调度一次扣1分</w:t>
            </w:r>
          </w:p>
        </w:tc>
      </w:tr>
      <w:tr w14:paraId="0CE50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60" w:hRule="atLeast"/>
          <w:jc w:val="center"/>
        </w:trPr>
        <w:tc>
          <w:tcPr>
            <w:tcW w:w="1588" w:type="dxa"/>
            <w:vMerge w:val="continue"/>
            <w:noWrap w:val="0"/>
            <w:vAlign w:val="center"/>
          </w:tcPr>
          <w:p w14:paraId="611C9268">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vMerge w:val="restart"/>
            <w:noWrap w:val="0"/>
            <w:tcMar>
              <w:top w:w="15" w:type="dxa"/>
              <w:left w:w="15" w:type="dxa"/>
              <w:bottom w:w="15" w:type="dxa"/>
              <w:right w:w="15" w:type="dxa"/>
            </w:tcMar>
            <w:vAlign w:val="center"/>
          </w:tcPr>
          <w:p w14:paraId="56C0A297">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三、河道保洁</w:t>
            </w:r>
          </w:p>
        </w:tc>
        <w:tc>
          <w:tcPr>
            <w:tcW w:w="3772" w:type="dxa"/>
            <w:noWrap w:val="0"/>
            <w:tcMar>
              <w:top w:w="15" w:type="dxa"/>
              <w:left w:w="15" w:type="dxa"/>
              <w:bottom w:w="15" w:type="dxa"/>
              <w:right w:w="15" w:type="dxa"/>
            </w:tcMar>
            <w:vAlign w:val="center"/>
          </w:tcPr>
          <w:p w14:paraId="31531D5F">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河面无垃圾等漂浮物，无大面积青衣苔、绿萍、水花生、水葫芦等有害水生植物。</w:t>
            </w:r>
          </w:p>
        </w:tc>
        <w:tc>
          <w:tcPr>
            <w:tcW w:w="537" w:type="dxa"/>
            <w:vMerge w:val="restart"/>
            <w:noWrap w:val="0"/>
            <w:tcMar>
              <w:top w:w="15" w:type="dxa"/>
              <w:left w:w="15" w:type="dxa"/>
              <w:bottom w:w="15" w:type="dxa"/>
              <w:right w:w="15" w:type="dxa"/>
            </w:tcMar>
            <w:vAlign w:val="center"/>
          </w:tcPr>
          <w:p w14:paraId="0FDFF9B7">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15</w:t>
            </w:r>
          </w:p>
        </w:tc>
        <w:tc>
          <w:tcPr>
            <w:tcW w:w="547" w:type="dxa"/>
            <w:noWrap w:val="0"/>
            <w:tcMar>
              <w:top w:w="15" w:type="dxa"/>
              <w:left w:w="15" w:type="dxa"/>
              <w:bottom w:w="15" w:type="dxa"/>
              <w:right w:w="15" w:type="dxa"/>
            </w:tcMar>
            <w:vAlign w:val="center"/>
          </w:tcPr>
          <w:p w14:paraId="59BF801C">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5</w:t>
            </w:r>
          </w:p>
        </w:tc>
        <w:tc>
          <w:tcPr>
            <w:tcW w:w="2355" w:type="dxa"/>
            <w:noWrap w:val="0"/>
            <w:tcMar>
              <w:top w:w="15" w:type="dxa"/>
              <w:left w:w="15" w:type="dxa"/>
              <w:bottom w:w="15" w:type="dxa"/>
              <w:right w:w="15" w:type="dxa"/>
            </w:tcMar>
            <w:vAlign w:val="center"/>
          </w:tcPr>
          <w:p w14:paraId="7C7F7809">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整改不及时一次扣1分</w:t>
            </w:r>
          </w:p>
        </w:tc>
      </w:tr>
      <w:tr w14:paraId="405AF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0" w:hRule="atLeast"/>
          <w:jc w:val="center"/>
        </w:trPr>
        <w:tc>
          <w:tcPr>
            <w:tcW w:w="1588" w:type="dxa"/>
            <w:vMerge w:val="continue"/>
            <w:noWrap w:val="0"/>
            <w:vAlign w:val="center"/>
          </w:tcPr>
          <w:p w14:paraId="58682720">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vMerge w:val="continue"/>
            <w:noWrap w:val="0"/>
            <w:vAlign w:val="center"/>
          </w:tcPr>
          <w:p w14:paraId="7A3DAF50">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3772" w:type="dxa"/>
            <w:noWrap w:val="0"/>
            <w:tcMar>
              <w:top w:w="15" w:type="dxa"/>
              <w:left w:w="15" w:type="dxa"/>
              <w:bottom w:w="15" w:type="dxa"/>
              <w:right w:w="15" w:type="dxa"/>
            </w:tcMar>
            <w:vAlign w:val="center"/>
          </w:tcPr>
          <w:p w14:paraId="6A17FE91">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及时清理河道内的违障鱼网和网簖，有擅自围垦水面及填堵河道等影响引水、行洪的建筑物或障碍物及时上报。</w:t>
            </w:r>
          </w:p>
        </w:tc>
        <w:tc>
          <w:tcPr>
            <w:tcW w:w="537" w:type="dxa"/>
            <w:vMerge w:val="continue"/>
            <w:noWrap w:val="0"/>
            <w:vAlign w:val="center"/>
          </w:tcPr>
          <w:p w14:paraId="55D98BF9">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547" w:type="dxa"/>
            <w:noWrap w:val="0"/>
            <w:tcMar>
              <w:top w:w="15" w:type="dxa"/>
              <w:left w:w="15" w:type="dxa"/>
              <w:bottom w:w="15" w:type="dxa"/>
              <w:right w:w="15" w:type="dxa"/>
            </w:tcMar>
            <w:vAlign w:val="center"/>
          </w:tcPr>
          <w:p w14:paraId="4C1CF1DB">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5</w:t>
            </w:r>
          </w:p>
        </w:tc>
        <w:tc>
          <w:tcPr>
            <w:tcW w:w="2355" w:type="dxa"/>
            <w:noWrap w:val="0"/>
            <w:tcMar>
              <w:top w:w="15" w:type="dxa"/>
              <w:left w:w="15" w:type="dxa"/>
              <w:bottom w:w="15" w:type="dxa"/>
              <w:right w:w="15" w:type="dxa"/>
            </w:tcMar>
            <w:vAlign w:val="center"/>
          </w:tcPr>
          <w:p w14:paraId="4F2C6AEC">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整改不及时一次扣1分</w:t>
            </w:r>
          </w:p>
        </w:tc>
      </w:tr>
      <w:tr w14:paraId="2CE3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0" w:hRule="atLeast"/>
          <w:jc w:val="center"/>
        </w:trPr>
        <w:tc>
          <w:tcPr>
            <w:tcW w:w="1588" w:type="dxa"/>
            <w:vMerge w:val="continue"/>
            <w:noWrap w:val="0"/>
            <w:vAlign w:val="center"/>
          </w:tcPr>
          <w:p w14:paraId="5E1AF116">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vMerge w:val="continue"/>
            <w:noWrap w:val="0"/>
            <w:vAlign w:val="center"/>
          </w:tcPr>
          <w:p w14:paraId="4713DE14">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3772" w:type="dxa"/>
            <w:noWrap w:val="0"/>
            <w:tcMar>
              <w:top w:w="15" w:type="dxa"/>
              <w:left w:w="15" w:type="dxa"/>
              <w:bottom w:w="15" w:type="dxa"/>
              <w:right w:w="15" w:type="dxa"/>
            </w:tcMar>
            <w:vAlign w:val="center"/>
          </w:tcPr>
          <w:p w14:paraId="6B5DA066">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河坡干净整洁、无乱倒垃圾，无取土，无乱倒废渣、农药、污水及废弃物等现象，发现及时汇报，确保打捞的垃圾二日内清运完毕。</w:t>
            </w:r>
          </w:p>
        </w:tc>
        <w:tc>
          <w:tcPr>
            <w:tcW w:w="537" w:type="dxa"/>
            <w:vMerge w:val="continue"/>
            <w:noWrap w:val="0"/>
            <w:vAlign w:val="center"/>
          </w:tcPr>
          <w:p w14:paraId="583DB164">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547" w:type="dxa"/>
            <w:noWrap w:val="0"/>
            <w:tcMar>
              <w:top w:w="15" w:type="dxa"/>
              <w:left w:w="15" w:type="dxa"/>
              <w:bottom w:w="15" w:type="dxa"/>
              <w:right w:w="15" w:type="dxa"/>
            </w:tcMar>
            <w:vAlign w:val="center"/>
          </w:tcPr>
          <w:p w14:paraId="6F515A3B">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5</w:t>
            </w:r>
          </w:p>
        </w:tc>
        <w:tc>
          <w:tcPr>
            <w:tcW w:w="2355" w:type="dxa"/>
            <w:noWrap w:val="0"/>
            <w:tcMar>
              <w:top w:w="15" w:type="dxa"/>
              <w:left w:w="15" w:type="dxa"/>
              <w:bottom w:w="15" w:type="dxa"/>
              <w:right w:w="15" w:type="dxa"/>
            </w:tcMar>
            <w:vAlign w:val="center"/>
          </w:tcPr>
          <w:p w14:paraId="589349D2">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整改不及时一次扣1分</w:t>
            </w:r>
          </w:p>
        </w:tc>
      </w:tr>
      <w:tr w14:paraId="349D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0" w:hRule="atLeast"/>
          <w:jc w:val="center"/>
        </w:trPr>
        <w:tc>
          <w:tcPr>
            <w:tcW w:w="1588" w:type="dxa"/>
            <w:vMerge w:val="continue"/>
            <w:noWrap w:val="0"/>
            <w:vAlign w:val="center"/>
          </w:tcPr>
          <w:p w14:paraId="165D3B29">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vMerge w:val="restart"/>
            <w:noWrap w:val="0"/>
            <w:tcMar>
              <w:top w:w="15" w:type="dxa"/>
              <w:left w:w="15" w:type="dxa"/>
              <w:bottom w:w="15" w:type="dxa"/>
              <w:right w:w="15" w:type="dxa"/>
            </w:tcMar>
            <w:vAlign w:val="center"/>
          </w:tcPr>
          <w:p w14:paraId="1CF60428">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四、卫生设施</w:t>
            </w:r>
          </w:p>
        </w:tc>
        <w:tc>
          <w:tcPr>
            <w:tcW w:w="3772" w:type="dxa"/>
            <w:noWrap w:val="0"/>
            <w:tcMar>
              <w:top w:w="15" w:type="dxa"/>
              <w:left w:w="15" w:type="dxa"/>
              <w:bottom w:w="15" w:type="dxa"/>
              <w:right w:w="15" w:type="dxa"/>
            </w:tcMar>
            <w:vAlign w:val="center"/>
          </w:tcPr>
          <w:p w14:paraId="3184C2CB">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对各类河道公示牌保持完好，确保无倒扶、无遮挡现象。若发现缺失、损坏立即向水利站汇报。</w:t>
            </w:r>
          </w:p>
        </w:tc>
        <w:tc>
          <w:tcPr>
            <w:tcW w:w="537" w:type="dxa"/>
            <w:vMerge w:val="restart"/>
            <w:noWrap w:val="0"/>
            <w:tcMar>
              <w:top w:w="15" w:type="dxa"/>
              <w:left w:w="15" w:type="dxa"/>
              <w:bottom w:w="15" w:type="dxa"/>
              <w:right w:w="15" w:type="dxa"/>
            </w:tcMar>
            <w:vAlign w:val="center"/>
          </w:tcPr>
          <w:p w14:paraId="68DBC4D6">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10</w:t>
            </w:r>
          </w:p>
        </w:tc>
        <w:tc>
          <w:tcPr>
            <w:tcW w:w="547" w:type="dxa"/>
            <w:noWrap w:val="0"/>
            <w:tcMar>
              <w:top w:w="15" w:type="dxa"/>
              <w:left w:w="15" w:type="dxa"/>
              <w:bottom w:w="15" w:type="dxa"/>
              <w:right w:w="15" w:type="dxa"/>
            </w:tcMar>
            <w:vAlign w:val="center"/>
          </w:tcPr>
          <w:p w14:paraId="2F489097">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5</w:t>
            </w:r>
          </w:p>
        </w:tc>
        <w:tc>
          <w:tcPr>
            <w:tcW w:w="2355" w:type="dxa"/>
            <w:noWrap w:val="0"/>
            <w:tcMar>
              <w:top w:w="15" w:type="dxa"/>
              <w:left w:w="15" w:type="dxa"/>
              <w:bottom w:w="15" w:type="dxa"/>
              <w:right w:w="15" w:type="dxa"/>
            </w:tcMar>
            <w:vAlign w:val="center"/>
          </w:tcPr>
          <w:p w14:paraId="5737BB71">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发现一处一次扣1分</w:t>
            </w:r>
          </w:p>
        </w:tc>
      </w:tr>
      <w:tr w14:paraId="7153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5" w:hRule="atLeast"/>
          <w:jc w:val="center"/>
        </w:trPr>
        <w:tc>
          <w:tcPr>
            <w:tcW w:w="1588" w:type="dxa"/>
            <w:vMerge w:val="continue"/>
            <w:noWrap w:val="0"/>
            <w:vAlign w:val="center"/>
          </w:tcPr>
          <w:p w14:paraId="65A5DD7A">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vMerge w:val="continue"/>
            <w:noWrap w:val="0"/>
            <w:vAlign w:val="center"/>
          </w:tcPr>
          <w:p w14:paraId="7D6935D5">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3772" w:type="dxa"/>
            <w:noWrap w:val="0"/>
            <w:tcMar>
              <w:top w:w="15" w:type="dxa"/>
              <w:left w:w="15" w:type="dxa"/>
              <w:bottom w:w="15" w:type="dxa"/>
              <w:right w:w="15" w:type="dxa"/>
            </w:tcMar>
            <w:vAlign w:val="center"/>
          </w:tcPr>
          <w:p w14:paraId="4D303D3F">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河道管理范围内无乱堆乱放，发现新增违建应立即向水利站汇报</w:t>
            </w:r>
          </w:p>
        </w:tc>
        <w:tc>
          <w:tcPr>
            <w:tcW w:w="537" w:type="dxa"/>
            <w:vMerge w:val="continue"/>
            <w:noWrap w:val="0"/>
            <w:vAlign w:val="center"/>
          </w:tcPr>
          <w:p w14:paraId="35C65B28">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547" w:type="dxa"/>
            <w:noWrap w:val="0"/>
            <w:tcMar>
              <w:top w:w="15" w:type="dxa"/>
              <w:left w:w="15" w:type="dxa"/>
              <w:bottom w:w="15" w:type="dxa"/>
              <w:right w:w="15" w:type="dxa"/>
            </w:tcMar>
            <w:vAlign w:val="center"/>
          </w:tcPr>
          <w:p w14:paraId="0AC6F201">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5</w:t>
            </w:r>
          </w:p>
        </w:tc>
        <w:tc>
          <w:tcPr>
            <w:tcW w:w="2355" w:type="dxa"/>
            <w:noWrap w:val="0"/>
            <w:tcMar>
              <w:top w:w="15" w:type="dxa"/>
              <w:left w:w="15" w:type="dxa"/>
              <w:bottom w:w="15" w:type="dxa"/>
              <w:right w:w="15" w:type="dxa"/>
            </w:tcMar>
            <w:vAlign w:val="center"/>
          </w:tcPr>
          <w:p w14:paraId="58543758">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发现一处一次扣1分</w:t>
            </w:r>
          </w:p>
        </w:tc>
      </w:tr>
      <w:tr w14:paraId="27C4C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56" w:hRule="atLeast"/>
          <w:jc w:val="center"/>
        </w:trPr>
        <w:tc>
          <w:tcPr>
            <w:tcW w:w="1588" w:type="dxa"/>
            <w:vMerge w:val="continue"/>
            <w:noWrap w:val="0"/>
            <w:vAlign w:val="center"/>
          </w:tcPr>
          <w:p w14:paraId="6FDAC57E">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noWrap w:val="0"/>
            <w:tcMar>
              <w:top w:w="15" w:type="dxa"/>
              <w:left w:w="15" w:type="dxa"/>
              <w:bottom w:w="15" w:type="dxa"/>
              <w:right w:w="15" w:type="dxa"/>
            </w:tcMar>
            <w:vAlign w:val="center"/>
          </w:tcPr>
          <w:p w14:paraId="05E154E5">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五、安全生产</w:t>
            </w:r>
          </w:p>
        </w:tc>
        <w:tc>
          <w:tcPr>
            <w:tcW w:w="3772" w:type="dxa"/>
            <w:noWrap w:val="0"/>
            <w:tcMar>
              <w:top w:w="15" w:type="dxa"/>
              <w:left w:w="15" w:type="dxa"/>
              <w:bottom w:w="15" w:type="dxa"/>
              <w:right w:w="15" w:type="dxa"/>
            </w:tcMar>
            <w:vAlign w:val="center"/>
          </w:tcPr>
          <w:p w14:paraId="450148E7">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物业公司严格按照中标文件制定好管理案，开展安全教育，落实好保洁员作业的劳保安全工作。</w:t>
            </w:r>
          </w:p>
        </w:tc>
        <w:tc>
          <w:tcPr>
            <w:tcW w:w="1084" w:type="dxa"/>
            <w:gridSpan w:val="2"/>
            <w:noWrap w:val="0"/>
            <w:tcMar>
              <w:top w:w="15" w:type="dxa"/>
              <w:left w:w="15" w:type="dxa"/>
              <w:bottom w:w="15" w:type="dxa"/>
              <w:right w:w="15" w:type="dxa"/>
            </w:tcMar>
            <w:vAlign w:val="center"/>
          </w:tcPr>
          <w:p w14:paraId="316AAA9B">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10</w:t>
            </w:r>
          </w:p>
        </w:tc>
        <w:tc>
          <w:tcPr>
            <w:tcW w:w="2355" w:type="dxa"/>
            <w:noWrap w:val="0"/>
            <w:tcMar>
              <w:top w:w="15" w:type="dxa"/>
              <w:left w:w="15" w:type="dxa"/>
              <w:bottom w:w="15" w:type="dxa"/>
              <w:right w:w="15" w:type="dxa"/>
            </w:tcMar>
            <w:vAlign w:val="center"/>
          </w:tcPr>
          <w:p w14:paraId="0E90E1E9">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出现情况，根据责任视情扣分。其中重大安全生产事故的单独考核扣分。</w:t>
            </w:r>
          </w:p>
        </w:tc>
      </w:tr>
      <w:tr w14:paraId="4DFD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5" w:hRule="atLeast"/>
          <w:jc w:val="center"/>
        </w:trPr>
        <w:tc>
          <w:tcPr>
            <w:tcW w:w="1588" w:type="dxa"/>
            <w:vMerge w:val="continue"/>
            <w:noWrap w:val="0"/>
            <w:vAlign w:val="center"/>
          </w:tcPr>
          <w:p w14:paraId="2B62050D">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noWrap w:val="0"/>
            <w:tcMar>
              <w:top w:w="15" w:type="dxa"/>
              <w:left w:w="15" w:type="dxa"/>
              <w:bottom w:w="15" w:type="dxa"/>
              <w:right w:w="15" w:type="dxa"/>
            </w:tcMar>
            <w:vAlign w:val="center"/>
          </w:tcPr>
          <w:p w14:paraId="70FDA5B3">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六、群众满意度</w:t>
            </w:r>
          </w:p>
        </w:tc>
        <w:tc>
          <w:tcPr>
            <w:tcW w:w="3772" w:type="dxa"/>
            <w:noWrap w:val="0"/>
            <w:tcMar>
              <w:top w:w="15" w:type="dxa"/>
              <w:left w:w="15" w:type="dxa"/>
              <w:bottom w:w="15" w:type="dxa"/>
              <w:right w:w="15" w:type="dxa"/>
            </w:tcMar>
            <w:vAlign w:val="center"/>
          </w:tcPr>
          <w:p w14:paraId="3289A028">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对群众反映的河道环境卫生存在的问题是否整改到位，评价按照好、中、差等级，群众签字确认。</w:t>
            </w:r>
          </w:p>
        </w:tc>
        <w:tc>
          <w:tcPr>
            <w:tcW w:w="1084" w:type="dxa"/>
            <w:gridSpan w:val="2"/>
            <w:noWrap w:val="0"/>
            <w:tcMar>
              <w:top w:w="15" w:type="dxa"/>
              <w:left w:w="15" w:type="dxa"/>
              <w:bottom w:w="15" w:type="dxa"/>
              <w:right w:w="15" w:type="dxa"/>
            </w:tcMar>
            <w:vAlign w:val="center"/>
          </w:tcPr>
          <w:p w14:paraId="3710C6CE">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10</w:t>
            </w:r>
          </w:p>
        </w:tc>
        <w:tc>
          <w:tcPr>
            <w:tcW w:w="2355" w:type="dxa"/>
            <w:noWrap w:val="0"/>
            <w:tcMar>
              <w:top w:w="15" w:type="dxa"/>
              <w:left w:w="15" w:type="dxa"/>
              <w:bottom w:w="15" w:type="dxa"/>
              <w:right w:w="15" w:type="dxa"/>
            </w:tcMar>
            <w:vAlign w:val="center"/>
          </w:tcPr>
          <w:p w14:paraId="6AC07FD6">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评定好10分，中6分，差不得分</w:t>
            </w:r>
          </w:p>
        </w:tc>
      </w:tr>
      <w:tr w14:paraId="5A06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20" w:hRule="atLeast"/>
          <w:jc w:val="center"/>
        </w:trPr>
        <w:tc>
          <w:tcPr>
            <w:tcW w:w="1588" w:type="dxa"/>
            <w:vMerge w:val="restart"/>
            <w:noWrap w:val="0"/>
            <w:tcMar>
              <w:top w:w="15" w:type="dxa"/>
              <w:left w:w="15" w:type="dxa"/>
              <w:bottom w:w="15" w:type="dxa"/>
              <w:right w:w="15" w:type="dxa"/>
            </w:tcMar>
            <w:vAlign w:val="center"/>
          </w:tcPr>
          <w:p w14:paraId="261BE553">
            <w:pPr>
              <w:pStyle w:val="82"/>
              <w:spacing w:before="0" w:after="24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重点内容考核</w:t>
            </w:r>
          </w:p>
          <w:p w14:paraId="26F38553">
            <w:pPr>
              <w:pStyle w:val="82"/>
              <w:spacing w:before="24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（35分）</w:t>
            </w:r>
          </w:p>
        </w:tc>
        <w:tc>
          <w:tcPr>
            <w:tcW w:w="1590" w:type="dxa"/>
            <w:noWrap w:val="0"/>
            <w:tcMar>
              <w:top w:w="15" w:type="dxa"/>
              <w:left w:w="15" w:type="dxa"/>
              <w:bottom w:w="15" w:type="dxa"/>
              <w:right w:w="15" w:type="dxa"/>
            </w:tcMar>
            <w:vAlign w:val="center"/>
          </w:tcPr>
          <w:p w14:paraId="5BEF8B0F">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七、人员、装备配备情况</w:t>
            </w:r>
          </w:p>
        </w:tc>
        <w:tc>
          <w:tcPr>
            <w:tcW w:w="3772" w:type="dxa"/>
            <w:noWrap w:val="0"/>
            <w:tcMar>
              <w:top w:w="15" w:type="dxa"/>
              <w:left w:w="15" w:type="dxa"/>
              <w:bottom w:w="15" w:type="dxa"/>
              <w:right w:w="15" w:type="dxa"/>
            </w:tcMar>
            <w:vAlign w:val="center"/>
          </w:tcPr>
          <w:p w14:paraId="2AE2C802">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按照投标文件规定配足人员设备</w:t>
            </w:r>
          </w:p>
        </w:tc>
        <w:tc>
          <w:tcPr>
            <w:tcW w:w="1084" w:type="dxa"/>
            <w:gridSpan w:val="2"/>
            <w:noWrap w:val="0"/>
            <w:tcMar>
              <w:top w:w="15" w:type="dxa"/>
              <w:left w:w="15" w:type="dxa"/>
              <w:bottom w:w="15" w:type="dxa"/>
              <w:right w:w="15" w:type="dxa"/>
            </w:tcMar>
            <w:vAlign w:val="center"/>
          </w:tcPr>
          <w:p w14:paraId="505B1DFE">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10</w:t>
            </w:r>
          </w:p>
        </w:tc>
        <w:tc>
          <w:tcPr>
            <w:tcW w:w="2355" w:type="dxa"/>
            <w:noWrap w:val="0"/>
            <w:tcMar>
              <w:top w:w="15" w:type="dxa"/>
              <w:left w:w="15" w:type="dxa"/>
              <w:bottom w:w="15" w:type="dxa"/>
              <w:right w:w="15" w:type="dxa"/>
            </w:tcMar>
            <w:vAlign w:val="center"/>
          </w:tcPr>
          <w:p w14:paraId="1BEFF15B">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按照应配备人数、设备数，同比例考核</w:t>
            </w:r>
          </w:p>
        </w:tc>
      </w:tr>
      <w:tr w14:paraId="59CD1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0" w:hRule="atLeast"/>
          <w:jc w:val="center"/>
        </w:trPr>
        <w:tc>
          <w:tcPr>
            <w:tcW w:w="1588" w:type="dxa"/>
            <w:vMerge w:val="continue"/>
            <w:noWrap w:val="0"/>
            <w:vAlign w:val="center"/>
          </w:tcPr>
          <w:p w14:paraId="31DD5844">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noWrap w:val="0"/>
            <w:tcMar>
              <w:top w:w="15" w:type="dxa"/>
              <w:left w:w="15" w:type="dxa"/>
              <w:bottom w:w="15" w:type="dxa"/>
              <w:right w:w="15" w:type="dxa"/>
            </w:tcMar>
            <w:vAlign w:val="center"/>
          </w:tcPr>
          <w:p w14:paraId="25002D91">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八、媒体曝光、上级督查、信访单</w:t>
            </w:r>
          </w:p>
        </w:tc>
        <w:tc>
          <w:tcPr>
            <w:tcW w:w="3772" w:type="dxa"/>
            <w:noWrap w:val="0"/>
            <w:tcMar>
              <w:top w:w="15" w:type="dxa"/>
              <w:left w:w="15" w:type="dxa"/>
              <w:bottom w:w="15" w:type="dxa"/>
              <w:right w:w="15" w:type="dxa"/>
            </w:tcMar>
            <w:vAlign w:val="center"/>
          </w:tcPr>
          <w:p w14:paraId="52D50393">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高标准做好河道长效保洁工作</w:t>
            </w:r>
          </w:p>
        </w:tc>
        <w:tc>
          <w:tcPr>
            <w:tcW w:w="1084" w:type="dxa"/>
            <w:gridSpan w:val="2"/>
            <w:noWrap w:val="0"/>
            <w:tcMar>
              <w:top w:w="15" w:type="dxa"/>
              <w:left w:w="15" w:type="dxa"/>
              <w:bottom w:w="15" w:type="dxa"/>
              <w:right w:w="15" w:type="dxa"/>
            </w:tcMar>
            <w:vAlign w:val="center"/>
          </w:tcPr>
          <w:p w14:paraId="4B1D81A2">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10</w:t>
            </w:r>
          </w:p>
        </w:tc>
        <w:tc>
          <w:tcPr>
            <w:tcW w:w="2355" w:type="dxa"/>
            <w:noWrap w:val="0"/>
            <w:tcMar>
              <w:top w:w="15" w:type="dxa"/>
              <w:left w:w="15" w:type="dxa"/>
              <w:bottom w:w="15" w:type="dxa"/>
              <w:right w:w="15" w:type="dxa"/>
            </w:tcMar>
            <w:vAlign w:val="center"/>
          </w:tcPr>
          <w:p w14:paraId="45C68A0A">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各类曝光、督查、信访，一处扣2分，情况严重的扣5分，以媒体照片、文件为准。</w:t>
            </w:r>
          </w:p>
        </w:tc>
      </w:tr>
      <w:tr w14:paraId="77A7E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40" w:hRule="atLeast"/>
          <w:jc w:val="center"/>
        </w:trPr>
        <w:tc>
          <w:tcPr>
            <w:tcW w:w="1588" w:type="dxa"/>
            <w:vMerge w:val="continue"/>
            <w:noWrap w:val="0"/>
            <w:vAlign w:val="center"/>
          </w:tcPr>
          <w:p w14:paraId="65F21BDF">
            <w:pPr>
              <w:pStyle w:val="82"/>
              <w:rPr>
                <w:rStyle w:val="16"/>
                <w:rFonts w:hint="eastAsia" w:asciiTheme="minorEastAsia" w:hAnsiTheme="minorEastAsia" w:eastAsiaTheme="minorEastAsia" w:cstheme="minorEastAsia"/>
                <w:b w:val="0"/>
                <w:bCs w:val="0"/>
                <w:i w:val="0"/>
                <w:iCs w:val="0"/>
                <w:smallCaps w:val="0"/>
                <w:color w:val="auto"/>
                <w:sz w:val="24"/>
                <w:szCs w:val="24"/>
                <w:highlight w:val="none"/>
              </w:rPr>
            </w:pPr>
          </w:p>
        </w:tc>
        <w:tc>
          <w:tcPr>
            <w:tcW w:w="1590" w:type="dxa"/>
            <w:noWrap w:val="0"/>
            <w:tcMar>
              <w:top w:w="15" w:type="dxa"/>
              <w:left w:w="15" w:type="dxa"/>
              <w:bottom w:w="15" w:type="dxa"/>
              <w:right w:w="15" w:type="dxa"/>
            </w:tcMar>
            <w:vAlign w:val="center"/>
          </w:tcPr>
          <w:p w14:paraId="163B5F8D">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bCs/>
                <w:i w:val="0"/>
                <w:iCs w:val="0"/>
                <w:smallCaps w:val="0"/>
                <w:color w:val="auto"/>
                <w:sz w:val="24"/>
                <w:szCs w:val="24"/>
                <w:highlight w:val="none"/>
              </w:rPr>
              <w:t>九、重要活动、接待线路保障</w:t>
            </w:r>
          </w:p>
        </w:tc>
        <w:tc>
          <w:tcPr>
            <w:tcW w:w="3772" w:type="dxa"/>
            <w:noWrap w:val="0"/>
            <w:tcMar>
              <w:top w:w="15" w:type="dxa"/>
              <w:left w:w="15" w:type="dxa"/>
              <w:bottom w:w="15" w:type="dxa"/>
              <w:right w:w="15" w:type="dxa"/>
            </w:tcMar>
            <w:vAlign w:val="center"/>
          </w:tcPr>
          <w:p w14:paraId="4979F5AD">
            <w:pPr>
              <w:pStyle w:val="82"/>
              <w:spacing w:before="0" w:after="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做好重要活动、接待以及应急工作的保障</w:t>
            </w:r>
          </w:p>
        </w:tc>
        <w:tc>
          <w:tcPr>
            <w:tcW w:w="1084" w:type="dxa"/>
            <w:gridSpan w:val="2"/>
            <w:noWrap w:val="0"/>
            <w:tcMar>
              <w:top w:w="15" w:type="dxa"/>
              <w:left w:w="15" w:type="dxa"/>
              <w:bottom w:w="15" w:type="dxa"/>
              <w:right w:w="15" w:type="dxa"/>
            </w:tcMar>
            <w:vAlign w:val="center"/>
          </w:tcPr>
          <w:p w14:paraId="04693630">
            <w:pPr>
              <w:pStyle w:val="82"/>
              <w:spacing w:before="0" w:after="0" w:line="240" w:lineRule="atLeast"/>
              <w:jc w:val="center"/>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15</w:t>
            </w:r>
          </w:p>
        </w:tc>
        <w:tc>
          <w:tcPr>
            <w:tcW w:w="2355" w:type="dxa"/>
            <w:noWrap w:val="0"/>
            <w:tcMar>
              <w:top w:w="15" w:type="dxa"/>
              <w:left w:w="15" w:type="dxa"/>
              <w:bottom w:w="15" w:type="dxa"/>
              <w:right w:w="15" w:type="dxa"/>
            </w:tcMar>
            <w:vAlign w:val="center"/>
          </w:tcPr>
          <w:p w14:paraId="24D9911F">
            <w:pPr>
              <w:pStyle w:val="82"/>
              <w:spacing w:before="0" w:after="240" w:line="240" w:lineRule="atLeast"/>
              <w:rPr>
                <w:rStyle w:val="16"/>
                <w:rFonts w:hint="eastAsia" w:asciiTheme="minorEastAsia" w:hAnsiTheme="minorEastAsia" w:eastAsiaTheme="minorEastAsia" w:cstheme="minorEastAsia"/>
                <w:b w:val="0"/>
                <w:bCs w:val="0"/>
                <w:i w:val="0"/>
                <w:iCs w:val="0"/>
                <w:smallCaps w:val="0"/>
                <w:color w:val="auto"/>
                <w:sz w:val="24"/>
                <w:szCs w:val="24"/>
                <w:highlight w:val="none"/>
              </w:rPr>
            </w:pPr>
            <w:r>
              <w:rPr>
                <w:rStyle w:val="16"/>
                <w:rFonts w:hint="eastAsia" w:asciiTheme="minorEastAsia" w:hAnsiTheme="minorEastAsia" w:eastAsiaTheme="minorEastAsia" w:cstheme="minorEastAsia"/>
                <w:b w:val="0"/>
                <w:bCs w:val="0"/>
                <w:i w:val="0"/>
                <w:iCs w:val="0"/>
                <w:smallCaps w:val="0"/>
                <w:color w:val="auto"/>
                <w:sz w:val="24"/>
                <w:szCs w:val="24"/>
                <w:highlight w:val="none"/>
              </w:rPr>
              <w:t>线路保障不到位，一处扣1分，以照片为准。应急不配合扣5分。</w:t>
            </w:r>
          </w:p>
        </w:tc>
      </w:tr>
    </w:tbl>
    <w:p w14:paraId="47ECF636">
      <w:pPr>
        <w:pStyle w:val="82"/>
        <w:keepNext w:val="0"/>
        <w:keepLines w:val="0"/>
        <w:pageBreakBefore w:val="0"/>
        <w:widowControl/>
        <w:kinsoku/>
        <w:wordWrap/>
        <w:overflowPunct/>
        <w:topLinePunct w:val="0"/>
        <w:autoSpaceDE/>
        <w:autoSpaceDN/>
        <w:bidi w:val="0"/>
        <w:adjustRightInd/>
        <w:snapToGrid/>
        <w:spacing w:line="360" w:lineRule="auto"/>
        <w:textAlignment w:val="auto"/>
        <w:rPr>
          <w:rStyle w:val="16"/>
          <w:rFonts w:ascii="宋体" w:hAnsi="宋体" w:eastAsia="宋体" w:cs="宋体"/>
          <w:color w:val="auto"/>
          <w:highlight w:val="none"/>
        </w:rPr>
      </w:pPr>
      <w:r>
        <w:rPr>
          <w:rStyle w:val="16"/>
          <w:rFonts w:ascii="宋体" w:hAnsi="宋体" w:eastAsia="宋体" w:cs="宋体"/>
          <w:color w:val="auto"/>
          <w:highlight w:val="none"/>
        </w:rPr>
        <w:t> </w:t>
      </w:r>
    </w:p>
    <w:p w14:paraId="74E49685">
      <w:pPr>
        <w:pStyle w:val="8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b/>
          <w:bCs/>
          <w:color w:val="auto"/>
          <w:highlight w:val="none"/>
        </w:rPr>
        <w:t>（二）考核内容和标准</w:t>
      </w:r>
    </w:p>
    <w:p w14:paraId="59911CB9">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color w:val="auto"/>
          <w:highlight w:val="none"/>
        </w:rPr>
        <w:t>考核采用百分制。考核内容主要包括长效管理考核、重点内容考核等内容，详见《河道保洁管理考核细则》。</w:t>
      </w:r>
    </w:p>
    <w:p w14:paraId="157DF105">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b/>
          <w:bCs/>
          <w:color w:val="auto"/>
          <w:highlight w:val="none"/>
        </w:rPr>
        <w:t>（三）考核办法</w:t>
      </w:r>
    </w:p>
    <w:p w14:paraId="177AD750">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color w:val="auto"/>
          <w:highlight w:val="none"/>
        </w:rPr>
        <w:t>由水利站与河长办成立考核组，每月组织一次检查，考核采取日常巡查、随机抽查、暗查、专项检查相结合的检查模式，对中标人的河道保洁服务质量进行检查、验收和考核。</w:t>
      </w:r>
    </w:p>
    <w:p w14:paraId="4DC2F1E0">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b/>
          <w:bCs/>
          <w:color w:val="auto"/>
          <w:highlight w:val="none"/>
        </w:rPr>
        <w:t>（四）经费拨付</w:t>
      </w:r>
    </w:p>
    <w:p w14:paraId="62E2EA6B">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color w:val="auto"/>
          <w:highlight w:val="none"/>
        </w:rPr>
        <w:t>镇级河道管理保洁经费按月度考核得分计算，按季度进行拨付，下季第一个月的20日前支付管理经费。</w:t>
      </w:r>
    </w:p>
    <w:p w14:paraId="2EF9F9FC">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b/>
          <w:bCs/>
          <w:color w:val="auto"/>
          <w:highlight w:val="none"/>
        </w:rPr>
        <w:t>（五）奖惩措施</w:t>
      </w:r>
    </w:p>
    <w:p w14:paraId="6EBADFB2">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color w:val="auto"/>
          <w:highlight w:val="none"/>
        </w:rPr>
        <w:t>考核采用百分制，每月对中标人的河道保洁服务质量进行检查、验收和考核，考核</w:t>
      </w:r>
      <w:r>
        <w:rPr>
          <w:rStyle w:val="16"/>
          <w:rFonts w:ascii="Times New Roman" w:hAnsi="Times New Roman" w:eastAsia="Times New Roman" w:cs="Times New Roman"/>
          <w:color w:val="auto"/>
          <w:highlight w:val="none"/>
        </w:rPr>
        <w:t>90</w:t>
      </w:r>
      <w:r>
        <w:rPr>
          <w:rStyle w:val="16"/>
          <w:rFonts w:ascii="宋体" w:hAnsi="宋体" w:eastAsia="宋体" w:cs="宋体"/>
          <w:color w:val="auto"/>
          <w:highlight w:val="none"/>
        </w:rPr>
        <w:t>分以上的不扣当月服务费，考核</w:t>
      </w:r>
      <w:r>
        <w:rPr>
          <w:rStyle w:val="16"/>
          <w:rFonts w:ascii="Times New Roman" w:hAnsi="Times New Roman" w:eastAsia="Times New Roman" w:cs="Times New Roman"/>
          <w:color w:val="auto"/>
          <w:highlight w:val="none"/>
        </w:rPr>
        <w:t>90 ~85</w:t>
      </w:r>
      <w:r>
        <w:rPr>
          <w:rStyle w:val="16"/>
          <w:rFonts w:ascii="宋体" w:hAnsi="宋体" w:eastAsia="宋体" w:cs="宋体"/>
          <w:color w:val="auto"/>
          <w:highlight w:val="none"/>
        </w:rPr>
        <w:t>分的扣除当月服务费</w:t>
      </w:r>
      <w:r>
        <w:rPr>
          <w:rStyle w:val="16"/>
          <w:rFonts w:ascii="Times New Roman" w:hAnsi="Times New Roman" w:eastAsia="Times New Roman" w:cs="Times New Roman"/>
          <w:color w:val="auto"/>
          <w:highlight w:val="none"/>
        </w:rPr>
        <w:t>10%</w:t>
      </w:r>
      <w:r>
        <w:rPr>
          <w:rStyle w:val="16"/>
          <w:rFonts w:ascii="宋体" w:hAnsi="宋体" w:eastAsia="宋体" w:cs="宋体"/>
          <w:color w:val="auto"/>
          <w:highlight w:val="none"/>
        </w:rPr>
        <w:t>，考核低于</w:t>
      </w:r>
      <w:r>
        <w:rPr>
          <w:rStyle w:val="16"/>
          <w:rFonts w:ascii="Times New Roman" w:hAnsi="Times New Roman" w:eastAsia="Times New Roman" w:cs="Times New Roman"/>
          <w:color w:val="auto"/>
          <w:highlight w:val="none"/>
        </w:rPr>
        <w:t>85</w:t>
      </w:r>
      <w:r>
        <w:rPr>
          <w:rStyle w:val="16"/>
          <w:rFonts w:ascii="宋体" w:hAnsi="宋体" w:eastAsia="宋体" w:cs="宋体"/>
          <w:color w:val="auto"/>
          <w:highlight w:val="none"/>
        </w:rPr>
        <w:t>分的扣除当月服务费</w:t>
      </w:r>
      <w:r>
        <w:rPr>
          <w:rStyle w:val="16"/>
          <w:rFonts w:ascii="Times New Roman" w:hAnsi="Times New Roman" w:eastAsia="Times New Roman" w:cs="Times New Roman"/>
          <w:color w:val="auto"/>
          <w:highlight w:val="none"/>
        </w:rPr>
        <w:t>30%</w:t>
      </w:r>
      <w:r>
        <w:rPr>
          <w:rStyle w:val="16"/>
          <w:rFonts w:ascii="宋体" w:hAnsi="宋体" w:eastAsia="宋体" w:cs="宋体"/>
          <w:color w:val="auto"/>
          <w:highlight w:val="none"/>
        </w:rPr>
        <w:t>，连续二次得分在</w:t>
      </w:r>
      <w:r>
        <w:rPr>
          <w:rStyle w:val="16"/>
          <w:rFonts w:ascii="Times New Roman" w:hAnsi="Times New Roman" w:eastAsia="Times New Roman" w:cs="Times New Roman"/>
          <w:color w:val="auto"/>
          <w:highlight w:val="none"/>
        </w:rPr>
        <w:t>90</w:t>
      </w:r>
      <w:r>
        <w:rPr>
          <w:rStyle w:val="16"/>
          <w:rFonts w:ascii="宋体" w:hAnsi="宋体" w:eastAsia="宋体" w:cs="宋体"/>
          <w:color w:val="auto"/>
          <w:highlight w:val="none"/>
        </w:rPr>
        <w:t>分以下且在二个月的期限内整改不到位的，采购单位有权利终止合同。服务费每季度支付一次。12个月内未按照甲方的要求进行2次修剪和整治的一次扣2000元；被市级以上通报的，一次扣</w:t>
      </w:r>
      <w:r>
        <w:rPr>
          <w:rStyle w:val="16"/>
          <w:rFonts w:ascii="Times New Roman" w:hAnsi="Times New Roman" w:eastAsia="Times New Roman" w:cs="Times New Roman"/>
          <w:color w:val="auto"/>
          <w:highlight w:val="none"/>
        </w:rPr>
        <w:t>3000</w:t>
      </w:r>
      <w:r>
        <w:rPr>
          <w:rStyle w:val="16"/>
          <w:rFonts w:ascii="宋体" w:hAnsi="宋体" w:eastAsia="宋体" w:cs="宋体"/>
          <w:color w:val="auto"/>
          <w:highlight w:val="none"/>
        </w:rPr>
        <w:t>元；通报后没有及时整改到位的，一次扣</w:t>
      </w:r>
      <w:r>
        <w:rPr>
          <w:rStyle w:val="16"/>
          <w:rFonts w:ascii="Times New Roman" w:hAnsi="Times New Roman" w:eastAsia="Times New Roman" w:cs="Times New Roman"/>
          <w:color w:val="auto"/>
          <w:highlight w:val="none"/>
        </w:rPr>
        <w:t>5000</w:t>
      </w:r>
      <w:r>
        <w:rPr>
          <w:rStyle w:val="16"/>
          <w:rFonts w:ascii="宋体" w:hAnsi="宋体" w:eastAsia="宋体" w:cs="宋体"/>
          <w:color w:val="auto"/>
          <w:highlight w:val="none"/>
        </w:rPr>
        <w:t>元。</w:t>
      </w:r>
    </w:p>
    <w:p w14:paraId="2AE80783">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b/>
          <w:bCs/>
          <w:color w:val="auto"/>
          <w:highlight w:val="none"/>
        </w:rPr>
        <w:t>（六）其它说明</w:t>
      </w:r>
    </w:p>
    <w:p w14:paraId="611F4CE6">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color w:val="auto"/>
          <w:highlight w:val="none"/>
        </w:rPr>
        <w:t>1、经相关部门通报后拒不改正、整改不力或者连续二次得分在</w:t>
      </w:r>
      <w:r>
        <w:rPr>
          <w:rStyle w:val="16"/>
          <w:rFonts w:ascii="Times New Roman" w:hAnsi="Times New Roman" w:eastAsia="Times New Roman" w:cs="Times New Roman"/>
          <w:color w:val="auto"/>
          <w:highlight w:val="none"/>
        </w:rPr>
        <w:t>90</w:t>
      </w:r>
      <w:r>
        <w:rPr>
          <w:rStyle w:val="16"/>
          <w:rFonts w:ascii="宋体" w:hAnsi="宋体" w:eastAsia="宋体" w:cs="宋体"/>
          <w:color w:val="auto"/>
          <w:highlight w:val="none"/>
        </w:rPr>
        <w:t>分以下且在二个月的期限内整改不到位的，以及其他发生重大违规的，南丰镇人民政府有权单方面终止合同，并索赔相关经济损失。</w:t>
      </w:r>
    </w:p>
    <w:p w14:paraId="46BC40C8">
      <w:pPr>
        <w:pStyle w:val="82"/>
        <w:keepNext w:val="0"/>
        <w:keepLines w:val="0"/>
        <w:pageBreakBefore w:val="0"/>
        <w:widowControl/>
        <w:kinsoku/>
        <w:wordWrap/>
        <w:overflowPunct/>
        <w:topLinePunct w:val="0"/>
        <w:autoSpaceDE/>
        <w:autoSpaceDN/>
        <w:bidi w:val="0"/>
        <w:adjustRightInd/>
        <w:snapToGrid/>
        <w:spacing w:line="360" w:lineRule="auto"/>
        <w:ind w:firstLine="480"/>
        <w:textAlignment w:val="auto"/>
        <w:rPr>
          <w:rStyle w:val="16"/>
          <w:rFonts w:ascii="Times New Roman" w:hAnsi="Times New Roman" w:eastAsia="Times New Roman" w:cs="Times New Roman"/>
          <w:color w:val="auto"/>
          <w:sz w:val="24"/>
          <w:szCs w:val="24"/>
          <w:highlight w:val="none"/>
        </w:rPr>
      </w:pPr>
      <w:r>
        <w:rPr>
          <w:rStyle w:val="16"/>
          <w:rFonts w:ascii="宋体" w:hAnsi="宋体" w:eastAsia="宋体" w:cs="宋体"/>
          <w:color w:val="auto"/>
          <w:highlight w:val="none"/>
        </w:rPr>
        <w:t>2、南丰镇人民政府河道管理职能部门保留在未通知中标人的前提下，根据河道管护要求、农村环卫一体化保洁等实际情况，修改完善管理标准、考核办法和检查考核细则的权利。</w:t>
      </w:r>
    </w:p>
    <w:p w14:paraId="68FF07D0">
      <w:pPr>
        <w:pStyle w:val="82"/>
        <w:spacing w:before="0" w:after="0"/>
        <w:jc w:val="both"/>
        <w:rPr>
          <w:rStyle w:val="16"/>
          <w:rFonts w:ascii="Calibri" w:hAnsi="Calibri" w:eastAsia="Calibri" w:cs="Calibri"/>
          <w:color w:val="auto"/>
          <w:sz w:val="21"/>
          <w:szCs w:val="21"/>
          <w:highlight w:val="none"/>
        </w:rPr>
      </w:pPr>
      <w:r>
        <w:rPr>
          <w:rStyle w:val="16"/>
          <w:rFonts w:ascii="Calibri" w:hAnsi="Calibri" w:eastAsia="Calibri" w:cs="Calibri"/>
          <w:color w:val="auto"/>
          <w:sz w:val="21"/>
          <w:szCs w:val="21"/>
          <w:highlight w:val="none"/>
        </w:rPr>
        <w:t> </w:t>
      </w:r>
    </w:p>
    <w:p w14:paraId="1238AE39">
      <w:pPr>
        <w:pStyle w:val="20"/>
        <w:ind w:firstLine="0" w:firstLineChars="0"/>
        <w:rPr>
          <w:color w:val="auto"/>
          <w:highlight w:val="none"/>
        </w:rPr>
      </w:pPr>
      <w:bookmarkStart w:id="258" w:name="EB46fc682c2c764bbdaed30f22794dcce7"/>
      <w:bookmarkEnd w:id="258"/>
    </w:p>
    <w:p w14:paraId="0A8DA65E">
      <w:pPr>
        <w:rPr>
          <w:rFonts w:hint="eastAsia"/>
          <w:color w:val="auto"/>
          <w:highlight w:val="none"/>
        </w:rPr>
      </w:pPr>
      <w:bookmarkStart w:id="259" w:name="_Toc54615247"/>
      <w:bookmarkStart w:id="260" w:name="_Toc35266029"/>
      <w:bookmarkStart w:id="261" w:name="_Toc38368129"/>
      <w:bookmarkStart w:id="262" w:name="_Toc256000010"/>
      <w:r>
        <w:rPr>
          <w:rFonts w:hint="eastAsia"/>
          <w:color w:val="auto"/>
          <w:highlight w:val="none"/>
        </w:rPr>
        <w:br w:type="page"/>
      </w:r>
    </w:p>
    <w:p w14:paraId="55D0BCFA">
      <w:pPr>
        <w:pStyle w:val="14"/>
        <w:bidi w:val="0"/>
        <w:spacing w:line="360" w:lineRule="auto"/>
        <w:rPr>
          <w:rFonts w:hint="eastAsia" w:asciiTheme="minorEastAsia" w:hAnsiTheme="minorEastAsia" w:eastAsiaTheme="minorEastAsia" w:cstheme="minorEastAsia"/>
          <w:color w:val="auto"/>
          <w:highlight w:val="none"/>
        </w:rPr>
      </w:pPr>
      <w:bookmarkStart w:id="263" w:name="_Toc9271"/>
      <w:r>
        <w:rPr>
          <w:rFonts w:hint="eastAsia" w:asciiTheme="minorEastAsia" w:hAnsiTheme="minorEastAsia" w:eastAsiaTheme="minorEastAsia" w:cstheme="minorEastAsia"/>
          <w:color w:val="auto"/>
          <w:highlight w:val="none"/>
        </w:rPr>
        <w:t>第五章 评标方法与评标标准</w:t>
      </w:r>
      <w:bookmarkEnd w:id="259"/>
      <w:bookmarkEnd w:id="260"/>
      <w:bookmarkEnd w:id="261"/>
      <w:bookmarkEnd w:id="262"/>
      <w:bookmarkEnd w:id="263"/>
    </w:p>
    <w:p w14:paraId="531AC587">
      <w:pPr>
        <w:pStyle w:val="5"/>
        <w:pageBreakBefore w:val="0"/>
        <w:kinsoku/>
        <w:wordWrap/>
        <w:overflowPunct/>
        <w:topLinePunct w:val="0"/>
        <w:autoSpaceDE/>
        <w:autoSpaceDN/>
        <w:bidi w:val="0"/>
        <w:adjustRightInd/>
        <w:snapToGrid/>
        <w:spacing w:before="0" w:after="0" w:line="360" w:lineRule="auto"/>
        <w:jc w:val="left"/>
        <w:textAlignment w:val="auto"/>
        <w:rPr>
          <w:rStyle w:val="33"/>
          <w:rFonts w:ascii="宋体" w:hAnsi="宋体"/>
          <w:b w:val="0"/>
          <w:bCs w:val="0"/>
          <w:color w:val="auto"/>
          <w:highlight w:val="none"/>
        </w:rPr>
      </w:pPr>
      <w:bookmarkStart w:id="264" w:name="_Toc38368130"/>
      <w:bookmarkStart w:id="265" w:name="_Toc13893"/>
      <w:bookmarkStart w:id="266" w:name="_Toc54615248"/>
      <w:bookmarkStart w:id="267" w:name="_Toc35266030"/>
      <w:bookmarkStart w:id="268" w:name="_Toc256000011"/>
      <w:r>
        <w:rPr>
          <w:rStyle w:val="33"/>
          <w:rFonts w:hint="eastAsia" w:ascii="宋体" w:hAnsi="宋体"/>
          <w:b w:val="0"/>
          <w:bCs w:val="0"/>
          <w:color w:val="auto"/>
          <w:highlight w:val="none"/>
        </w:rPr>
        <w:t>一、评标方法与定标原则</w:t>
      </w:r>
      <w:bookmarkEnd w:id="264"/>
      <w:bookmarkEnd w:id="265"/>
      <w:bookmarkEnd w:id="266"/>
      <w:bookmarkEnd w:id="267"/>
      <w:bookmarkEnd w:id="268"/>
    </w:p>
    <w:p w14:paraId="4CCFC8F4">
      <w:pPr>
        <w:pStyle w:val="25"/>
        <w:pageBreakBefore w:val="0"/>
        <w:kinsoku/>
        <w:wordWrap/>
        <w:overflowPunct/>
        <w:topLinePunct w:val="0"/>
        <w:autoSpaceDE/>
        <w:autoSpaceDN/>
        <w:bidi w:val="0"/>
        <w:adjustRightInd/>
        <w:snapToGrid/>
        <w:spacing w:line="360" w:lineRule="auto"/>
        <w:ind w:firstLine="500"/>
        <w:textAlignment w:val="auto"/>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E542440">
      <w:pPr>
        <w:spacing w:line="360" w:lineRule="auto"/>
        <w:ind w:firstLine="400" w:firstLineChars="200"/>
        <w:rPr>
          <w:rFonts w:hint="eastAsia" w:ascii="宋体" w:hAnsi="宋体"/>
          <w:color w:val="auto"/>
          <w:sz w:val="24"/>
          <w:highlight w:val="none"/>
        </w:rPr>
      </w:pPr>
      <w:bookmarkStart w:id="269" w:name="EB4d4ec51fae08401e9c82e93d31b337cc"/>
      <w:bookmarkEnd w:id="269"/>
      <w:bookmarkStart w:id="270" w:name="EBcd5591da61cb4e94ae541e640de7cf31"/>
      <w:bookmarkEnd w:id="270"/>
      <w:bookmarkStart w:id="271" w:name="EBd9567453f96a4fca96262d13cc886515"/>
      <w:bookmarkEnd w:id="271"/>
      <w:bookmarkStart w:id="272" w:name="EBfac14fe4f2614092ba9ee84c679fcbea"/>
      <w:bookmarkEnd w:id="272"/>
      <w:bookmarkStart w:id="273" w:name="EB708134bf3489415682e254b31317852b"/>
      <w:r>
        <w:rPr>
          <w:rFonts w:ascii="宋体" w:hAnsi="宋体"/>
          <w:color w:val="auto"/>
          <w:sz w:val="20"/>
          <w:highlight w:val="none"/>
        </w:rPr>
        <w:t xml:space="preserve"> </w:t>
      </w:r>
      <w:bookmarkEnd w:id="273"/>
    </w:p>
    <w:p w14:paraId="6FED09D3">
      <w:pPr>
        <w:pStyle w:val="5"/>
        <w:pageBreakBefore w:val="0"/>
        <w:kinsoku/>
        <w:wordWrap/>
        <w:overflowPunct/>
        <w:topLinePunct w:val="0"/>
        <w:autoSpaceDE/>
        <w:autoSpaceDN/>
        <w:bidi w:val="0"/>
        <w:adjustRightInd/>
        <w:snapToGrid/>
        <w:spacing w:before="0" w:after="0" w:line="360" w:lineRule="auto"/>
        <w:ind w:right="0"/>
        <w:jc w:val="left"/>
        <w:rPr>
          <w:rFonts w:ascii="宋体" w:hAnsi="宋体" w:eastAsia="宋体" w:cs="Arial"/>
          <w:b w:val="0"/>
          <w:snapToGrid w:val="0"/>
          <w:color w:val="auto"/>
          <w:kern w:val="0"/>
          <w:sz w:val="28"/>
          <w:szCs w:val="28"/>
          <w:highlight w:val="none"/>
        </w:rPr>
      </w:pPr>
      <w:bookmarkStart w:id="274" w:name="_Toc8429"/>
      <w:bookmarkStart w:id="275" w:name="_Toc256000012"/>
      <w:bookmarkStart w:id="276" w:name="_Toc38368131"/>
      <w:bookmarkStart w:id="277" w:name="_Toc54615249"/>
      <w:bookmarkStart w:id="278" w:name="_Toc35266031"/>
      <w:r>
        <w:rPr>
          <w:rStyle w:val="33"/>
          <w:rFonts w:hint="eastAsia" w:ascii="宋体" w:hAnsi="宋体"/>
          <w:b w:val="0"/>
          <w:bCs/>
          <w:color w:val="auto"/>
          <w:highlight w:val="none"/>
        </w:rPr>
        <w:t>二、评标标准</w:t>
      </w:r>
      <w:bookmarkEnd w:id="274"/>
      <w:bookmarkEnd w:id="275"/>
      <w:bookmarkEnd w:id="276"/>
      <w:bookmarkEnd w:id="277"/>
      <w:bookmarkEnd w:id="278"/>
    </w:p>
    <w:p w14:paraId="03BC6C79">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color w:val="auto"/>
          <w:spacing w:val="7"/>
          <w:sz w:val="24"/>
          <w:highlight w:val="none"/>
        </w:rPr>
      </w:pPr>
      <w:r>
        <w:rPr>
          <w:rStyle w:val="16"/>
          <w:rFonts w:ascii="宋体" w:hAnsi="宋体" w:eastAsia="宋体" w:cs="宋体"/>
          <w:b/>
          <w:color w:val="auto"/>
          <w:spacing w:val="7"/>
          <w:sz w:val="24"/>
          <w:highlight w:val="none"/>
        </w:rPr>
        <w:t>1 价格分 20.0 分</w:t>
      </w:r>
    </w:p>
    <w:p w14:paraId="417E06F1">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采用低价优先法计算，即满足招标文件要求且投标价格最低的投标价为评标基准价，其价格分为满分20.0分。其他投标人的价格分统一按照下列公式计算：</w:t>
      </w:r>
    </w:p>
    <w:p w14:paraId="53FA0859">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投标报价得分=（评标基准价/投标报价）* 20.0% * 100（保留二位小数）；</w:t>
      </w:r>
    </w:p>
    <w:p w14:paraId="40752331">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color w:val="auto"/>
          <w:spacing w:val="7"/>
          <w:sz w:val="24"/>
          <w:highlight w:val="none"/>
        </w:rPr>
      </w:pPr>
      <w:r>
        <w:rPr>
          <w:rStyle w:val="16"/>
          <w:rFonts w:ascii="宋体" w:hAnsi="宋体" w:eastAsia="宋体" w:cs="宋体"/>
          <w:b/>
          <w:color w:val="auto"/>
          <w:spacing w:val="7"/>
          <w:sz w:val="24"/>
          <w:highlight w:val="none"/>
        </w:rPr>
        <w:t>2 方案分 5</w:t>
      </w:r>
      <w:r>
        <w:rPr>
          <w:rStyle w:val="16"/>
          <w:rFonts w:hint="eastAsia" w:ascii="宋体" w:hAnsi="宋体" w:eastAsia="宋体" w:cs="宋体"/>
          <w:b/>
          <w:color w:val="auto"/>
          <w:spacing w:val="7"/>
          <w:sz w:val="24"/>
          <w:highlight w:val="none"/>
          <w:lang w:val="en-US" w:eastAsia="zh-CN"/>
        </w:rPr>
        <w:t>6</w:t>
      </w:r>
      <w:r>
        <w:rPr>
          <w:rStyle w:val="16"/>
          <w:rFonts w:ascii="宋体" w:hAnsi="宋体" w:eastAsia="宋体" w:cs="宋体"/>
          <w:b/>
          <w:color w:val="auto"/>
          <w:spacing w:val="7"/>
          <w:sz w:val="24"/>
          <w:highlight w:val="none"/>
        </w:rPr>
        <w:t>.0 分</w:t>
      </w:r>
    </w:p>
    <w:p w14:paraId="3B7756C4">
      <w:pPr>
        <w:pStyle w:val="83"/>
        <w:pageBreakBefore w:val="0"/>
        <w:kinsoku/>
        <w:wordWrap/>
        <w:overflowPunct/>
        <w:topLinePunct w:val="0"/>
        <w:autoSpaceDE/>
        <w:autoSpaceDN/>
        <w:bidi w:val="0"/>
        <w:adjustRightInd/>
        <w:snapToGrid/>
        <w:spacing w:line="360" w:lineRule="auto"/>
        <w:ind w:right="0" w:firstLine="500"/>
        <w:outlineLvl w:val="9"/>
        <w:rPr>
          <w:rStyle w:val="16"/>
          <w:rFonts w:hint="eastAsia"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2.1.根据投标人提供的服务机构设置和运作流程方案，方案包含但不限于配置人员的年龄、技能、文化程度、上岗培训情况、相关服务经验、运作流程等。</w:t>
      </w:r>
      <w:r>
        <w:rPr>
          <w:rStyle w:val="16"/>
          <w:rFonts w:hint="eastAsia" w:ascii="宋体" w:hAnsi="宋体" w:eastAsia="宋体" w:cs="宋体"/>
          <w:b w:val="0"/>
          <w:color w:val="auto"/>
          <w:spacing w:val="7"/>
          <w:sz w:val="24"/>
          <w:highlight w:val="none"/>
        </w:rPr>
        <w:t>方案完全包含上述内容且满足项目需求的，得6分；方案内有部分内容缺少或部分内容不满足项目需求的，得3分；方案内容简略且基本不满足项目需求的，得1分,不提供不得分。</w:t>
      </w:r>
    </w:p>
    <w:p w14:paraId="5A4A130E">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2.2.根据投标人提供的河道面貌维护方案，方案包含但不限于水面清洁、河道管理公告牌维护、河岸护堤维护等。</w:t>
      </w:r>
      <w:r>
        <w:rPr>
          <w:rStyle w:val="16"/>
          <w:rFonts w:hint="eastAsia" w:ascii="宋体" w:hAnsi="宋体" w:eastAsia="宋体" w:cs="宋体"/>
          <w:b w:val="0"/>
          <w:color w:val="auto"/>
          <w:spacing w:val="7"/>
          <w:sz w:val="24"/>
          <w:highlight w:val="none"/>
        </w:rPr>
        <w:t>方案完全包含上述内容且满足项目需求的，得6分；方案内有部分内容缺少或部分内容不满足项目需求的，得3分；方案内容简略且基本不满足项目需求的，得1分,不提供不得分。</w:t>
      </w:r>
    </w:p>
    <w:p w14:paraId="1AACA3DD">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2.3.根据投标人提供的河道巡查方案，方案包含但不限于巡查人员安排、问题信息反馈、涉河违章现场处置等。</w:t>
      </w:r>
      <w:r>
        <w:rPr>
          <w:rStyle w:val="16"/>
          <w:rFonts w:hint="eastAsia" w:ascii="宋体" w:hAnsi="宋体" w:eastAsia="宋体" w:cs="宋体"/>
          <w:b w:val="0"/>
          <w:color w:val="auto"/>
          <w:spacing w:val="7"/>
          <w:sz w:val="24"/>
          <w:highlight w:val="none"/>
        </w:rPr>
        <w:t>方案完全包含上述内容且满足项目需求的，得6分；方案内有部分内容缺少或部分内容不满足项目需求的，得3分；方案内容简略且基本不满足项目需求的，得1分,不提供不得分。</w:t>
      </w:r>
    </w:p>
    <w:p w14:paraId="379482CD">
      <w:pPr>
        <w:pStyle w:val="83"/>
        <w:pageBreakBefore w:val="0"/>
        <w:kinsoku/>
        <w:wordWrap/>
        <w:overflowPunct/>
        <w:topLinePunct w:val="0"/>
        <w:autoSpaceDE/>
        <w:autoSpaceDN/>
        <w:bidi w:val="0"/>
        <w:adjustRightInd/>
        <w:snapToGrid/>
        <w:spacing w:line="360" w:lineRule="auto"/>
        <w:ind w:right="0" w:firstLine="500"/>
        <w:outlineLvl w:val="9"/>
        <w:rPr>
          <w:rStyle w:val="16"/>
          <w:rFonts w:hint="eastAsia"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2.4.根据投标人提供的安全管理方案，方案包含但不限于正常营运及维护作业时和发生事故时的安全组织和安全防护措施，以及各项紧急预案等。</w:t>
      </w:r>
      <w:r>
        <w:rPr>
          <w:rStyle w:val="16"/>
          <w:rFonts w:hint="eastAsia" w:ascii="宋体" w:hAnsi="宋体" w:eastAsia="宋体" w:cs="宋体"/>
          <w:b w:val="0"/>
          <w:color w:val="auto"/>
          <w:spacing w:val="7"/>
          <w:sz w:val="24"/>
          <w:highlight w:val="none"/>
        </w:rPr>
        <w:t>方案完全包含上述内容且满足项目需求的，得6分；方案内有部分内容缺少或部分内容不满足项目需求的，得3分；方案内容简略且基本不满足项目需求的，得1分,不提供不得分。</w:t>
      </w:r>
    </w:p>
    <w:p w14:paraId="6A44968F">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2.5.根据投标人提供的重大活动保障方案，方案包含但不限于人居环境检查、文明/卫生城市测评及其他大型活动、大型会议、接待等活动的《重大活动保障方案》等。</w:t>
      </w:r>
      <w:r>
        <w:rPr>
          <w:rStyle w:val="16"/>
          <w:rFonts w:hint="eastAsia" w:ascii="宋体" w:hAnsi="宋体" w:eastAsia="宋体" w:cs="宋体"/>
          <w:b w:val="0"/>
          <w:color w:val="auto"/>
          <w:spacing w:val="7"/>
          <w:sz w:val="24"/>
          <w:highlight w:val="none"/>
        </w:rPr>
        <w:t>方案完全包含上述内容且满足项目需求的，得6分；方案内有部分内容缺少或部分内容不满足项目需求的，得3分；方案内容简略且基本不满足项目需求的，得1分,不提供不得分。</w:t>
      </w:r>
    </w:p>
    <w:p w14:paraId="09430693">
      <w:pPr>
        <w:pStyle w:val="83"/>
        <w:pageBreakBefore w:val="0"/>
        <w:kinsoku/>
        <w:wordWrap/>
        <w:overflowPunct/>
        <w:topLinePunct w:val="0"/>
        <w:autoSpaceDE/>
        <w:autoSpaceDN/>
        <w:bidi w:val="0"/>
        <w:adjustRightInd/>
        <w:snapToGrid/>
        <w:spacing w:line="360" w:lineRule="auto"/>
        <w:ind w:right="0" w:firstLine="500"/>
        <w:outlineLvl w:val="9"/>
        <w:rPr>
          <w:rStyle w:val="16"/>
          <w:rFonts w:hint="eastAsia"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2.6.根据投标人提供的服务期间与其他单位、部门的综合协调方案，方案包含但不限于沟通协调人员、对象、具体内容及相应的处理措施等。</w:t>
      </w:r>
      <w:r>
        <w:rPr>
          <w:rStyle w:val="16"/>
          <w:rFonts w:hint="eastAsia" w:ascii="宋体" w:hAnsi="宋体" w:eastAsia="宋体" w:cs="宋体"/>
          <w:b w:val="0"/>
          <w:color w:val="auto"/>
          <w:spacing w:val="7"/>
          <w:sz w:val="24"/>
          <w:highlight w:val="none"/>
        </w:rPr>
        <w:t>方案完全包含上述内容且满足项目需求的，得</w:t>
      </w:r>
      <w:r>
        <w:rPr>
          <w:rStyle w:val="16"/>
          <w:rFonts w:hint="eastAsia" w:ascii="宋体" w:hAnsi="宋体" w:eastAsia="宋体" w:cs="宋体"/>
          <w:b w:val="0"/>
          <w:color w:val="auto"/>
          <w:spacing w:val="7"/>
          <w:sz w:val="24"/>
          <w:highlight w:val="none"/>
          <w:lang w:val="en-US" w:eastAsia="zh-CN"/>
        </w:rPr>
        <w:t>5</w:t>
      </w:r>
      <w:r>
        <w:rPr>
          <w:rStyle w:val="16"/>
          <w:rFonts w:hint="eastAsia" w:ascii="宋体" w:hAnsi="宋体" w:eastAsia="宋体" w:cs="宋体"/>
          <w:b w:val="0"/>
          <w:color w:val="auto"/>
          <w:spacing w:val="7"/>
          <w:sz w:val="24"/>
          <w:highlight w:val="none"/>
        </w:rPr>
        <w:t>分；方案内有部分内容缺少或部分内容不满足项目需求的，得</w:t>
      </w:r>
      <w:r>
        <w:rPr>
          <w:rStyle w:val="16"/>
          <w:rFonts w:hint="eastAsia" w:ascii="宋体" w:hAnsi="宋体" w:eastAsia="宋体" w:cs="宋体"/>
          <w:b w:val="0"/>
          <w:color w:val="auto"/>
          <w:spacing w:val="7"/>
          <w:sz w:val="24"/>
          <w:highlight w:val="none"/>
          <w:lang w:val="en-US" w:eastAsia="zh-CN"/>
        </w:rPr>
        <w:t>3</w:t>
      </w:r>
      <w:r>
        <w:rPr>
          <w:rStyle w:val="16"/>
          <w:rFonts w:hint="eastAsia" w:ascii="宋体" w:hAnsi="宋体" w:eastAsia="宋体" w:cs="宋体"/>
          <w:b w:val="0"/>
          <w:color w:val="auto"/>
          <w:spacing w:val="7"/>
          <w:sz w:val="24"/>
          <w:highlight w:val="none"/>
        </w:rPr>
        <w:t>分；方案内容简略且基本不满足项目需求的，得1分,不提供不得分。</w:t>
      </w:r>
    </w:p>
    <w:p w14:paraId="3607ABB0">
      <w:pPr>
        <w:pStyle w:val="83"/>
        <w:pageBreakBefore w:val="0"/>
        <w:kinsoku/>
        <w:wordWrap/>
        <w:overflowPunct/>
        <w:topLinePunct w:val="0"/>
        <w:autoSpaceDE/>
        <w:autoSpaceDN/>
        <w:bidi w:val="0"/>
        <w:adjustRightInd/>
        <w:snapToGrid/>
        <w:spacing w:line="360" w:lineRule="auto"/>
        <w:ind w:right="0" w:firstLine="500"/>
        <w:outlineLvl w:val="9"/>
        <w:rPr>
          <w:rStyle w:val="16"/>
          <w:rFonts w:hint="eastAsia"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2.7.根据投标人提供的内部管理架构，包含但不限于日常考核、激励考核机制、监督机制、自我约束机制、信息反馈及处理机制等。</w:t>
      </w:r>
      <w:r>
        <w:rPr>
          <w:rStyle w:val="16"/>
          <w:rFonts w:hint="eastAsia" w:ascii="宋体" w:hAnsi="宋体" w:eastAsia="宋体" w:cs="宋体"/>
          <w:b w:val="0"/>
          <w:color w:val="auto"/>
          <w:spacing w:val="7"/>
          <w:sz w:val="24"/>
          <w:highlight w:val="none"/>
        </w:rPr>
        <w:t>方案完全包含上述内容且满足项目需求的，得</w:t>
      </w:r>
      <w:r>
        <w:rPr>
          <w:rStyle w:val="16"/>
          <w:rFonts w:hint="eastAsia" w:ascii="宋体" w:hAnsi="宋体" w:eastAsia="宋体" w:cs="宋体"/>
          <w:b w:val="0"/>
          <w:color w:val="auto"/>
          <w:spacing w:val="7"/>
          <w:sz w:val="24"/>
          <w:highlight w:val="none"/>
          <w:lang w:val="en-US" w:eastAsia="zh-CN"/>
        </w:rPr>
        <w:t>5</w:t>
      </w:r>
      <w:r>
        <w:rPr>
          <w:rStyle w:val="16"/>
          <w:rFonts w:hint="eastAsia" w:ascii="宋体" w:hAnsi="宋体" w:eastAsia="宋体" w:cs="宋体"/>
          <w:b w:val="0"/>
          <w:color w:val="auto"/>
          <w:spacing w:val="7"/>
          <w:sz w:val="24"/>
          <w:highlight w:val="none"/>
        </w:rPr>
        <w:t>分；方案内有部分内容缺少或部分内容不满足项目需求的，得3分；方案内容简略且基本不满足项目需求的，得1分,不提供不得分。</w:t>
      </w:r>
    </w:p>
    <w:p w14:paraId="4BA76125">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2.8.根据投标人提供的进退场交接方案，方案包含但不限于交接时间、交接流程、交接内容及相应的处理措施等。</w:t>
      </w:r>
      <w:r>
        <w:rPr>
          <w:rStyle w:val="16"/>
          <w:rFonts w:hint="eastAsia" w:ascii="宋体" w:hAnsi="宋体" w:eastAsia="宋体" w:cs="宋体"/>
          <w:b w:val="0"/>
          <w:color w:val="auto"/>
          <w:spacing w:val="7"/>
          <w:sz w:val="24"/>
          <w:highlight w:val="none"/>
        </w:rPr>
        <w:t>方案完全包含上述内容且满足项目需求的，得</w:t>
      </w:r>
      <w:r>
        <w:rPr>
          <w:rStyle w:val="16"/>
          <w:rFonts w:hint="eastAsia" w:ascii="宋体" w:hAnsi="宋体" w:eastAsia="宋体" w:cs="宋体"/>
          <w:b w:val="0"/>
          <w:color w:val="auto"/>
          <w:spacing w:val="7"/>
          <w:sz w:val="24"/>
          <w:highlight w:val="none"/>
          <w:lang w:val="en-US" w:eastAsia="zh-CN"/>
        </w:rPr>
        <w:t>4</w:t>
      </w:r>
      <w:r>
        <w:rPr>
          <w:rStyle w:val="16"/>
          <w:rFonts w:hint="eastAsia" w:ascii="宋体" w:hAnsi="宋体" w:eastAsia="宋体" w:cs="宋体"/>
          <w:b w:val="0"/>
          <w:color w:val="auto"/>
          <w:spacing w:val="7"/>
          <w:sz w:val="24"/>
          <w:highlight w:val="none"/>
        </w:rPr>
        <w:t>分；方案内有部分内容缺少或部分内容不满足项目需求的，得</w:t>
      </w:r>
      <w:r>
        <w:rPr>
          <w:rStyle w:val="16"/>
          <w:rFonts w:hint="eastAsia" w:ascii="宋体" w:hAnsi="宋体" w:eastAsia="宋体" w:cs="宋体"/>
          <w:b w:val="0"/>
          <w:color w:val="auto"/>
          <w:spacing w:val="7"/>
          <w:sz w:val="24"/>
          <w:highlight w:val="none"/>
          <w:lang w:val="en-US" w:eastAsia="zh-CN"/>
        </w:rPr>
        <w:t>2</w:t>
      </w:r>
      <w:r>
        <w:rPr>
          <w:rStyle w:val="16"/>
          <w:rFonts w:hint="eastAsia" w:ascii="宋体" w:hAnsi="宋体" w:eastAsia="宋体" w:cs="宋体"/>
          <w:b w:val="0"/>
          <w:color w:val="auto"/>
          <w:spacing w:val="7"/>
          <w:sz w:val="24"/>
          <w:highlight w:val="none"/>
        </w:rPr>
        <w:t>分；方案内容简略且基本不满足项目需求的，得1分,不提供不得分。</w:t>
      </w:r>
    </w:p>
    <w:p w14:paraId="1999B3F9">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2.9.根据投标人提供的应急措施方案，方案包含但不限于突发事件和紧急事故预防与应急准备、监测与预警、应急处置与救援等。</w:t>
      </w:r>
      <w:r>
        <w:rPr>
          <w:rStyle w:val="16"/>
          <w:rFonts w:hint="eastAsia" w:ascii="宋体" w:hAnsi="宋体" w:eastAsia="宋体" w:cs="宋体"/>
          <w:b w:val="0"/>
          <w:color w:val="auto"/>
          <w:spacing w:val="7"/>
          <w:sz w:val="24"/>
          <w:highlight w:val="none"/>
        </w:rPr>
        <w:t>方案完全包含上述内容且满足项目需求的，得6分；方案内有部分内容缺少或部分内容不满足项目需求的，得3分；方案内容简略且基本不满足项目需求的，得1分,不提供不得分</w:t>
      </w:r>
      <w:r>
        <w:rPr>
          <w:rStyle w:val="16"/>
          <w:rFonts w:ascii="宋体" w:hAnsi="宋体" w:eastAsia="宋体" w:cs="宋体"/>
          <w:b w:val="0"/>
          <w:color w:val="auto"/>
          <w:spacing w:val="7"/>
          <w:sz w:val="24"/>
          <w:highlight w:val="none"/>
        </w:rPr>
        <w:t>。</w:t>
      </w:r>
    </w:p>
    <w:p w14:paraId="1E5EC0F4">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2.10.根据投标人提供的垃圾清运方案，方案包含但不限于本项目服务的内容、服务响应时间及安排、服务流程、服务标准、根据项目特点采取的有效管理措施和对应的处理方案等。</w:t>
      </w:r>
      <w:r>
        <w:rPr>
          <w:rStyle w:val="16"/>
          <w:rFonts w:hint="eastAsia" w:ascii="宋体" w:hAnsi="宋体" w:eastAsia="宋体" w:cs="宋体"/>
          <w:b w:val="0"/>
          <w:color w:val="auto"/>
          <w:spacing w:val="7"/>
          <w:sz w:val="24"/>
          <w:highlight w:val="none"/>
        </w:rPr>
        <w:t>方案完全包含上述内容且满足项目需求的，得6分；方案内有部分内容缺少或部分内容不满足项目需求的，得3分；方案内容简略且基本不满足项目需求的，得1分,不提供不得分</w:t>
      </w:r>
      <w:r>
        <w:rPr>
          <w:rStyle w:val="16"/>
          <w:rFonts w:ascii="宋体" w:hAnsi="宋体" w:eastAsia="宋体" w:cs="宋体"/>
          <w:b w:val="0"/>
          <w:color w:val="auto"/>
          <w:spacing w:val="7"/>
          <w:sz w:val="24"/>
          <w:highlight w:val="none"/>
        </w:rPr>
        <w:t>。</w:t>
      </w:r>
    </w:p>
    <w:p w14:paraId="17D57EE9">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color w:val="auto"/>
          <w:spacing w:val="7"/>
          <w:sz w:val="24"/>
          <w:highlight w:val="none"/>
        </w:rPr>
      </w:pPr>
      <w:r>
        <w:rPr>
          <w:rStyle w:val="16"/>
          <w:rFonts w:ascii="宋体" w:hAnsi="宋体" w:eastAsia="宋体" w:cs="宋体"/>
          <w:b/>
          <w:color w:val="auto"/>
          <w:spacing w:val="7"/>
          <w:sz w:val="24"/>
          <w:highlight w:val="none"/>
        </w:rPr>
        <w:t>3 投标人履约能力分 2</w:t>
      </w:r>
      <w:r>
        <w:rPr>
          <w:rStyle w:val="16"/>
          <w:rFonts w:hint="eastAsia" w:ascii="宋体" w:hAnsi="宋体" w:eastAsia="宋体" w:cs="宋体"/>
          <w:b/>
          <w:color w:val="auto"/>
          <w:spacing w:val="7"/>
          <w:sz w:val="24"/>
          <w:highlight w:val="none"/>
          <w:lang w:val="en-US" w:eastAsia="zh-CN"/>
        </w:rPr>
        <w:t>4</w:t>
      </w:r>
      <w:r>
        <w:rPr>
          <w:rStyle w:val="16"/>
          <w:rFonts w:ascii="宋体" w:hAnsi="宋体" w:eastAsia="宋体" w:cs="宋体"/>
          <w:b/>
          <w:color w:val="auto"/>
          <w:spacing w:val="7"/>
          <w:sz w:val="24"/>
          <w:highlight w:val="none"/>
        </w:rPr>
        <w:t>.0 分</w:t>
      </w:r>
    </w:p>
    <w:p w14:paraId="5351F956">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3.1.投标人针对本项目提供自有或租赁的装备配备情况</w:t>
      </w:r>
    </w:p>
    <w:p w14:paraId="72BCB47D">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全部满足本项目要求的的，得</w:t>
      </w:r>
      <w:r>
        <w:rPr>
          <w:rStyle w:val="16"/>
          <w:rFonts w:hint="eastAsia" w:ascii="宋体" w:hAnsi="宋体" w:eastAsia="宋体" w:cs="宋体"/>
          <w:b w:val="0"/>
          <w:color w:val="auto"/>
          <w:spacing w:val="7"/>
          <w:sz w:val="24"/>
          <w:highlight w:val="none"/>
          <w:lang w:val="en-US" w:eastAsia="zh-CN"/>
        </w:rPr>
        <w:t>6</w:t>
      </w:r>
      <w:r>
        <w:rPr>
          <w:rStyle w:val="16"/>
          <w:rFonts w:ascii="宋体" w:hAnsi="宋体" w:eastAsia="宋体" w:cs="宋体"/>
          <w:b w:val="0"/>
          <w:color w:val="auto"/>
          <w:spacing w:val="7"/>
          <w:sz w:val="24"/>
          <w:highlight w:val="none"/>
        </w:rPr>
        <w:t>分；在满足本项目最低船只配备数的基础上，每多提供一只满足要求的燃油动力保洁船加1分，每多提供一只满足要求的铁皮保洁船加0.5分，最多加2分；不满足本项目装备配备要求的不得分。</w:t>
      </w:r>
      <w:r>
        <w:rPr>
          <w:rStyle w:val="16"/>
          <w:rFonts w:hint="eastAsia" w:ascii="宋体" w:hAnsi="宋体" w:eastAsia="宋体" w:cs="宋体"/>
          <w:b w:val="0"/>
          <w:color w:val="auto"/>
          <w:spacing w:val="7"/>
          <w:sz w:val="24"/>
          <w:highlight w:val="none"/>
          <w:lang w:eastAsia="zh-CN"/>
        </w:rPr>
        <w:t>本项最高</w:t>
      </w:r>
      <w:r>
        <w:rPr>
          <w:rStyle w:val="16"/>
          <w:rFonts w:hint="eastAsia" w:ascii="宋体" w:hAnsi="宋体" w:eastAsia="宋体" w:cs="宋体"/>
          <w:b w:val="0"/>
          <w:color w:val="auto"/>
          <w:spacing w:val="7"/>
          <w:sz w:val="24"/>
          <w:highlight w:val="none"/>
          <w:lang w:val="en-US" w:eastAsia="zh-CN"/>
        </w:rPr>
        <w:t>8分。</w:t>
      </w:r>
      <w:r>
        <w:rPr>
          <w:rStyle w:val="16"/>
          <w:rFonts w:ascii="宋体" w:hAnsi="宋体" w:eastAsia="宋体" w:cs="宋体"/>
          <w:b w:val="0"/>
          <w:color w:val="auto"/>
          <w:spacing w:val="7"/>
          <w:sz w:val="24"/>
          <w:highlight w:val="none"/>
        </w:rPr>
        <w:t>（请在投标文件中提供相关证明材料，如投标人自有的，请出具购置发票或行驶证或产权证；如投标人租赁的，请出具租赁合同及权属证明材料。不提供的不得分）。</w:t>
      </w:r>
    </w:p>
    <w:p w14:paraId="28118F93">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3.2.投标人202</w:t>
      </w:r>
      <w:r>
        <w:rPr>
          <w:rStyle w:val="16"/>
          <w:rFonts w:hint="eastAsia" w:ascii="宋体" w:hAnsi="宋体" w:eastAsia="宋体" w:cs="宋体"/>
          <w:b w:val="0"/>
          <w:color w:val="auto"/>
          <w:spacing w:val="7"/>
          <w:sz w:val="24"/>
          <w:highlight w:val="none"/>
          <w:lang w:val="en-US" w:eastAsia="zh-CN"/>
        </w:rPr>
        <w:t>1</w:t>
      </w:r>
      <w:r>
        <w:rPr>
          <w:rStyle w:val="16"/>
          <w:rFonts w:ascii="宋体" w:hAnsi="宋体" w:eastAsia="宋体" w:cs="宋体"/>
          <w:b w:val="0"/>
          <w:color w:val="auto"/>
          <w:spacing w:val="7"/>
          <w:sz w:val="24"/>
          <w:highlight w:val="none"/>
        </w:rPr>
        <w:t>年以来的类似业绩介绍</w:t>
      </w:r>
    </w:p>
    <w:p w14:paraId="51B23D97">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根据投标人提供的202</w:t>
      </w:r>
      <w:r>
        <w:rPr>
          <w:rStyle w:val="16"/>
          <w:rFonts w:hint="eastAsia" w:ascii="宋体" w:hAnsi="宋体" w:eastAsia="宋体" w:cs="宋体"/>
          <w:b w:val="0"/>
          <w:color w:val="auto"/>
          <w:spacing w:val="7"/>
          <w:sz w:val="24"/>
          <w:highlight w:val="none"/>
          <w:lang w:val="en-US" w:eastAsia="zh-CN"/>
        </w:rPr>
        <w:t>1</w:t>
      </w:r>
      <w:r>
        <w:rPr>
          <w:rStyle w:val="16"/>
          <w:rFonts w:ascii="宋体" w:hAnsi="宋体" w:eastAsia="宋体" w:cs="宋体"/>
          <w:b w:val="0"/>
          <w:color w:val="auto"/>
          <w:spacing w:val="7"/>
          <w:sz w:val="24"/>
          <w:highlight w:val="none"/>
        </w:rPr>
        <w:t>年以来的类似业绩有一个得</w:t>
      </w:r>
      <w:r>
        <w:rPr>
          <w:rStyle w:val="16"/>
          <w:rFonts w:hint="eastAsia" w:ascii="宋体" w:hAnsi="宋体" w:eastAsia="宋体" w:cs="宋体"/>
          <w:b w:val="0"/>
          <w:color w:val="auto"/>
          <w:spacing w:val="7"/>
          <w:sz w:val="24"/>
          <w:highlight w:val="none"/>
          <w:lang w:val="en-US" w:eastAsia="zh-CN"/>
        </w:rPr>
        <w:t>2</w:t>
      </w:r>
      <w:r>
        <w:rPr>
          <w:rStyle w:val="16"/>
          <w:rFonts w:ascii="宋体" w:hAnsi="宋体" w:eastAsia="宋体" w:cs="宋体"/>
          <w:b w:val="0"/>
          <w:color w:val="auto"/>
          <w:spacing w:val="7"/>
          <w:sz w:val="24"/>
          <w:highlight w:val="none"/>
        </w:rPr>
        <w:t>分，最高6分（请在投标文件中提供相关合同，不提供的不得分）。</w:t>
      </w:r>
    </w:p>
    <w:p w14:paraId="0DF51C08">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3.3.投标人202</w:t>
      </w:r>
      <w:r>
        <w:rPr>
          <w:rStyle w:val="16"/>
          <w:rFonts w:hint="eastAsia" w:ascii="宋体" w:hAnsi="宋体" w:eastAsia="宋体" w:cs="宋体"/>
          <w:b w:val="0"/>
          <w:color w:val="auto"/>
          <w:spacing w:val="7"/>
          <w:sz w:val="24"/>
          <w:highlight w:val="none"/>
          <w:lang w:val="en-US" w:eastAsia="zh-CN"/>
        </w:rPr>
        <w:t>1</w:t>
      </w:r>
      <w:r>
        <w:rPr>
          <w:rStyle w:val="16"/>
          <w:rFonts w:ascii="宋体" w:hAnsi="宋体" w:eastAsia="宋体" w:cs="宋体"/>
          <w:b w:val="0"/>
          <w:color w:val="auto"/>
          <w:spacing w:val="7"/>
          <w:sz w:val="24"/>
          <w:highlight w:val="none"/>
        </w:rPr>
        <w:t>年以来的类似项目考核或满意度调查情况评定</w:t>
      </w:r>
    </w:p>
    <w:p w14:paraId="233AE43C">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考核为合格及以上的或满意度评价为满意及以上的，有一份得1分，最多得</w:t>
      </w:r>
      <w:r>
        <w:rPr>
          <w:rStyle w:val="16"/>
          <w:rFonts w:hint="eastAsia" w:ascii="宋体" w:hAnsi="宋体" w:eastAsia="宋体" w:cs="宋体"/>
          <w:b w:val="0"/>
          <w:color w:val="auto"/>
          <w:spacing w:val="7"/>
          <w:sz w:val="24"/>
          <w:highlight w:val="none"/>
          <w:lang w:val="en-US" w:eastAsia="zh-CN"/>
        </w:rPr>
        <w:t>3</w:t>
      </w:r>
      <w:r>
        <w:rPr>
          <w:rStyle w:val="16"/>
          <w:rFonts w:ascii="宋体" w:hAnsi="宋体" w:eastAsia="宋体" w:cs="宋体"/>
          <w:b w:val="0"/>
          <w:color w:val="auto"/>
          <w:spacing w:val="7"/>
          <w:sz w:val="24"/>
          <w:highlight w:val="none"/>
        </w:rPr>
        <w:t>分，不提供的不得分。（请在投标文件中提供反馈表并加盖业主公章的相关证明材料，同一项目算一份，不提供不得分。）</w:t>
      </w:r>
    </w:p>
    <w:p w14:paraId="0C9A6114">
      <w:pPr>
        <w:pStyle w:val="83"/>
        <w:pageBreakBefore w:val="0"/>
        <w:kinsoku/>
        <w:wordWrap/>
        <w:overflowPunct/>
        <w:topLinePunct w:val="0"/>
        <w:autoSpaceDE/>
        <w:autoSpaceDN/>
        <w:bidi w:val="0"/>
        <w:adjustRightInd/>
        <w:snapToGrid/>
        <w:spacing w:line="360" w:lineRule="auto"/>
        <w:ind w:right="0" w:firstLine="500"/>
        <w:outlineLvl w:val="9"/>
        <w:rPr>
          <w:rStyle w:val="16"/>
          <w:rFonts w:hint="eastAsia" w:asciiTheme="minorEastAsia" w:hAnsiTheme="minorEastAsia" w:eastAsiaTheme="minorEastAsia" w:cstheme="minorEastAsia"/>
          <w:b w:val="0"/>
          <w:color w:val="auto"/>
          <w:spacing w:val="7"/>
          <w:sz w:val="24"/>
          <w:highlight w:val="none"/>
          <w:lang w:val="en-US" w:eastAsia="zh-CN"/>
        </w:rPr>
      </w:pPr>
      <w:r>
        <w:rPr>
          <w:rStyle w:val="16"/>
          <w:rFonts w:hint="eastAsia" w:asciiTheme="minorEastAsia" w:hAnsiTheme="minorEastAsia" w:eastAsiaTheme="minorEastAsia" w:cstheme="minorEastAsia"/>
          <w:b w:val="0"/>
          <w:color w:val="auto"/>
          <w:spacing w:val="7"/>
          <w:sz w:val="24"/>
          <w:highlight w:val="none"/>
          <w:lang w:val="en-US" w:eastAsia="zh-CN"/>
        </w:rPr>
        <w:t>3.4.认证证书</w:t>
      </w:r>
    </w:p>
    <w:p w14:paraId="4BDA4E65">
      <w:pPr>
        <w:pStyle w:val="83"/>
        <w:pageBreakBefore w:val="0"/>
        <w:kinsoku/>
        <w:wordWrap/>
        <w:overflowPunct/>
        <w:topLinePunct w:val="0"/>
        <w:autoSpaceDE/>
        <w:autoSpaceDN/>
        <w:bidi w:val="0"/>
        <w:adjustRightInd/>
        <w:snapToGrid/>
        <w:spacing w:line="360" w:lineRule="auto"/>
        <w:ind w:right="0" w:firstLine="500"/>
        <w:outlineLvl w:val="9"/>
        <w:rPr>
          <w:rStyle w:val="16"/>
          <w:rFonts w:hint="eastAsia" w:asciiTheme="minorEastAsia" w:hAnsiTheme="minorEastAsia" w:eastAsiaTheme="minorEastAsia" w:cstheme="minorEastAsia"/>
          <w:b w:val="0"/>
          <w:color w:val="auto"/>
          <w:spacing w:val="7"/>
          <w:sz w:val="24"/>
          <w:highlight w:val="none"/>
          <w:lang w:val="en-US" w:eastAsia="zh-CN"/>
        </w:rPr>
      </w:pPr>
      <w:r>
        <w:rPr>
          <w:rFonts w:hint="eastAsia" w:asciiTheme="minorEastAsia" w:hAnsiTheme="minorEastAsia" w:eastAsiaTheme="minorEastAsia" w:cstheme="minorEastAsia"/>
          <w:color w:val="auto"/>
          <w:kern w:val="0"/>
          <w:sz w:val="24"/>
          <w:highlight w:val="none"/>
        </w:rPr>
        <w:t>投标人具有有效期内的质量管理体系认证、环境管理体系认证、职业健康安全管理体系认证证书的，有一个得1分，最多得</w:t>
      </w:r>
      <w:r>
        <w:rPr>
          <w:rFonts w:hint="eastAsia" w:asciiTheme="minorEastAsia" w:hAnsiTheme="minorEastAsia" w:eastAsiaTheme="minorEastAsia" w:cstheme="minorEastAsia"/>
          <w:color w:val="auto"/>
          <w:kern w:val="0"/>
          <w:sz w:val="24"/>
          <w:highlight w:val="none"/>
          <w:lang w:val="en-US" w:eastAsia="zh-CN"/>
        </w:rPr>
        <w:t>3</w:t>
      </w:r>
      <w:r>
        <w:rPr>
          <w:rFonts w:hint="eastAsia" w:asciiTheme="minorEastAsia" w:hAnsiTheme="minorEastAsia" w:eastAsiaTheme="minorEastAsia" w:cstheme="minorEastAsia"/>
          <w:b w:val="0"/>
          <w:bCs w:val="0"/>
          <w:color w:val="auto"/>
          <w:kern w:val="0"/>
          <w:sz w:val="24"/>
          <w:highlight w:val="none"/>
        </w:rPr>
        <w:t>分（请在投标文件中提供相关证书复印件，不提供不得分）。</w:t>
      </w:r>
    </w:p>
    <w:p w14:paraId="13D9046C">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3.</w:t>
      </w:r>
      <w:r>
        <w:rPr>
          <w:rStyle w:val="16"/>
          <w:rFonts w:hint="eastAsia" w:ascii="宋体" w:hAnsi="宋体" w:eastAsia="宋体" w:cs="宋体"/>
          <w:b w:val="0"/>
          <w:color w:val="auto"/>
          <w:spacing w:val="7"/>
          <w:sz w:val="24"/>
          <w:highlight w:val="none"/>
          <w:lang w:val="en-US" w:eastAsia="zh-CN"/>
        </w:rPr>
        <w:t>5</w:t>
      </w:r>
      <w:r>
        <w:rPr>
          <w:rStyle w:val="16"/>
          <w:rFonts w:ascii="宋体" w:hAnsi="宋体" w:eastAsia="宋体" w:cs="宋体"/>
          <w:b w:val="0"/>
          <w:color w:val="auto"/>
          <w:spacing w:val="7"/>
          <w:sz w:val="24"/>
          <w:highlight w:val="none"/>
        </w:rPr>
        <w:t>.202</w:t>
      </w:r>
      <w:r>
        <w:rPr>
          <w:rStyle w:val="16"/>
          <w:rFonts w:hint="eastAsia" w:ascii="宋体" w:hAnsi="宋体" w:eastAsia="宋体" w:cs="宋体"/>
          <w:b w:val="0"/>
          <w:color w:val="auto"/>
          <w:spacing w:val="7"/>
          <w:sz w:val="24"/>
          <w:highlight w:val="none"/>
          <w:lang w:val="en-US" w:eastAsia="zh-CN"/>
        </w:rPr>
        <w:t>1</w:t>
      </w:r>
      <w:r>
        <w:rPr>
          <w:rStyle w:val="16"/>
          <w:rFonts w:ascii="宋体" w:hAnsi="宋体" w:eastAsia="宋体" w:cs="宋体"/>
          <w:b w:val="0"/>
          <w:color w:val="auto"/>
          <w:spacing w:val="7"/>
          <w:sz w:val="24"/>
          <w:highlight w:val="none"/>
        </w:rPr>
        <w:t>年以来投标人获得行政部门颁发的荣誉或奖项</w:t>
      </w:r>
    </w:p>
    <w:p w14:paraId="242A1326">
      <w:pPr>
        <w:pStyle w:val="83"/>
        <w:pageBreakBefore w:val="0"/>
        <w:kinsoku/>
        <w:wordWrap/>
        <w:overflowPunct/>
        <w:topLinePunct w:val="0"/>
        <w:autoSpaceDE/>
        <w:autoSpaceDN/>
        <w:bidi w:val="0"/>
        <w:adjustRightInd/>
        <w:snapToGrid/>
        <w:spacing w:line="360" w:lineRule="auto"/>
        <w:ind w:right="0" w:firstLine="500"/>
        <w:outlineLvl w:val="9"/>
        <w:rPr>
          <w:rStyle w:val="16"/>
          <w:rFonts w:ascii="宋体" w:hAnsi="宋体" w:eastAsia="宋体" w:cs="宋体"/>
          <w:b w:val="0"/>
          <w:color w:val="auto"/>
          <w:spacing w:val="7"/>
          <w:sz w:val="24"/>
          <w:highlight w:val="none"/>
        </w:rPr>
      </w:pPr>
      <w:r>
        <w:rPr>
          <w:rStyle w:val="16"/>
          <w:rFonts w:ascii="宋体" w:hAnsi="宋体" w:eastAsia="宋体" w:cs="宋体"/>
          <w:b w:val="0"/>
          <w:color w:val="auto"/>
          <w:spacing w:val="7"/>
          <w:sz w:val="24"/>
          <w:highlight w:val="none"/>
        </w:rPr>
        <w:t>有一个得</w:t>
      </w:r>
      <w:r>
        <w:rPr>
          <w:rStyle w:val="16"/>
          <w:rFonts w:hint="eastAsia" w:ascii="宋体" w:hAnsi="宋体" w:eastAsia="宋体" w:cs="宋体"/>
          <w:b w:val="0"/>
          <w:color w:val="auto"/>
          <w:spacing w:val="7"/>
          <w:sz w:val="24"/>
          <w:highlight w:val="none"/>
          <w:lang w:val="en-US" w:eastAsia="zh-CN"/>
        </w:rPr>
        <w:t>2</w:t>
      </w:r>
      <w:r>
        <w:rPr>
          <w:rStyle w:val="16"/>
          <w:rFonts w:ascii="宋体" w:hAnsi="宋体" w:eastAsia="宋体" w:cs="宋体"/>
          <w:b w:val="0"/>
          <w:color w:val="auto"/>
          <w:spacing w:val="7"/>
          <w:sz w:val="24"/>
          <w:highlight w:val="none"/>
        </w:rPr>
        <w:t>分，最多得4分（请在投标文件中提供相关荣誉或奖项，不提供的不得分）。</w:t>
      </w:r>
    </w:p>
    <w:p w14:paraId="06CDC94A">
      <w:pPr>
        <w:pageBreakBefore w:val="0"/>
        <w:kinsoku/>
        <w:wordWrap/>
        <w:overflowPunct/>
        <w:topLinePunct w:val="0"/>
        <w:autoSpaceDE/>
        <w:autoSpaceDN/>
        <w:bidi w:val="0"/>
        <w:adjustRightInd/>
        <w:snapToGrid/>
        <w:spacing w:line="360" w:lineRule="auto"/>
        <w:ind w:right="0" w:firstLine="482" w:firstLineChars="200"/>
        <w:rPr>
          <w:rFonts w:ascii="宋体" w:hAnsi="宋体"/>
          <w:b/>
          <w:color w:val="auto"/>
          <w:sz w:val="24"/>
          <w:highlight w:val="none"/>
        </w:rPr>
      </w:pPr>
      <w:bookmarkStart w:id="279" w:name="EB5eda7c9be7464788810dca94d24e634f"/>
      <w:bookmarkEnd w:id="279"/>
    </w:p>
    <w:p w14:paraId="7496B46B">
      <w:pPr>
        <w:pageBreakBefore w:val="0"/>
        <w:kinsoku/>
        <w:wordWrap/>
        <w:overflowPunct/>
        <w:topLinePunct w:val="0"/>
        <w:autoSpaceDE/>
        <w:autoSpaceDN/>
        <w:bidi w:val="0"/>
        <w:adjustRightInd/>
        <w:snapToGrid/>
        <w:spacing w:line="360" w:lineRule="auto"/>
        <w:ind w:right="0" w:firstLine="480" w:firstLineChars="200"/>
        <w:textAlignment w:val="baseline"/>
        <w:rPr>
          <w:rFonts w:hint="eastAsia" w:ascii="宋体" w:hAnsi="宋体"/>
          <w:color w:val="auto"/>
          <w:sz w:val="24"/>
          <w:highlight w:val="none"/>
        </w:rPr>
      </w:pPr>
      <w:r>
        <w:rPr>
          <w:rFonts w:hint="eastAsia" w:ascii="宋体" w:hAnsi="宋体"/>
          <w:color w:val="auto"/>
          <w:sz w:val="24"/>
          <w:highlight w:val="none"/>
        </w:rPr>
        <w:t>注:</w:t>
      </w:r>
    </w:p>
    <w:p w14:paraId="3150EED0">
      <w:pPr>
        <w:pageBreakBefore w:val="0"/>
        <w:kinsoku/>
        <w:wordWrap/>
        <w:overflowPunct/>
        <w:topLinePunct w:val="0"/>
        <w:autoSpaceDE/>
        <w:autoSpaceDN/>
        <w:bidi w:val="0"/>
        <w:adjustRightInd/>
        <w:snapToGrid/>
        <w:spacing w:line="360" w:lineRule="auto"/>
        <w:ind w:right="0" w:firstLine="480" w:firstLineChars="200"/>
        <w:textAlignment w:val="baseline"/>
        <w:rPr>
          <w:rFonts w:hint="eastAsia" w:ascii="宋体" w:hAnsi="宋体" w:eastAsia="宋体" w:cs="宋体"/>
          <w:color w:val="auto"/>
          <w:sz w:val="24"/>
          <w:szCs w:val="24"/>
          <w:highlight w:val="none"/>
        </w:rPr>
      </w:pPr>
      <w:r>
        <w:rPr>
          <w:rFonts w:hint="eastAsia" w:ascii="宋体" w:hAnsi="宋体"/>
          <w:color w:val="auto"/>
          <w:sz w:val="24"/>
          <w:highlight w:val="none"/>
        </w:rPr>
        <w:t>以上证明材料，不提供不得分。</w:t>
      </w:r>
      <w:r>
        <w:rPr>
          <w:rFonts w:ascii="宋体" w:hAnsi="宋体"/>
          <w:color w:val="auto"/>
          <w:sz w:val="20"/>
          <w:highlight w:val="none"/>
        </w:rPr>
        <w:t xml:space="preserve"> </w:t>
      </w:r>
      <w:bookmarkStart w:id="280" w:name="EBeb5e011c94484d45bc78085f792444b0"/>
      <w:r>
        <w:rPr>
          <w:rFonts w:hint="eastAsia" w:ascii="宋体" w:hAnsi="宋体" w:eastAsia="宋体" w:cs="宋体"/>
          <w:color w:val="auto"/>
          <w:sz w:val="24"/>
          <w:szCs w:val="24"/>
          <w:highlight w:val="none"/>
        </w:rPr>
        <w:t xml:space="preserve"> </w:t>
      </w:r>
      <w:bookmarkEnd w:id="280"/>
    </w:p>
    <w:p w14:paraId="1BA438D3">
      <w:pPr>
        <w:pStyle w:val="14"/>
        <w:pageBreakBefore/>
        <w:spacing w:line="360" w:lineRule="auto"/>
        <w:rPr>
          <w:rFonts w:hint="eastAsia" w:ascii="宋体" w:hAnsi="宋体" w:eastAsia="宋体" w:cs="宋体"/>
          <w:color w:val="auto"/>
          <w:highlight w:val="none"/>
        </w:rPr>
      </w:pPr>
      <w:bookmarkStart w:id="281" w:name="_Toc29421"/>
      <w:bookmarkStart w:id="282" w:name="_Toc35266032"/>
      <w:bookmarkStart w:id="283" w:name="_Toc38368132"/>
      <w:bookmarkStart w:id="284" w:name="_Toc54615250"/>
      <w:r>
        <w:rPr>
          <w:rFonts w:hint="eastAsia" w:ascii="宋体" w:hAnsi="宋体" w:eastAsia="宋体" w:cs="宋体"/>
          <w:color w:val="auto"/>
          <w:highlight w:val="none"/>
        </w:rPr>
        <w:t>第六章 投标</w:t>
      </w:r>
      <w:bookmarkEnd w:id="252"/>
      <w:bookmarkEnd w:id="253"/>
      <w:bookmarkEnd w:id="254"/>
      <w:r>
        <w:rPr>
          <w:rFonts w:hint="eastAsia" w:ascii="宋体" w:hAnsi="宋体" w:eastAsia="宋体" w:cs="宋体"/>
          <w:color w:val="auto"/>
          <w:highlight w:val="none"/>
        </w:rPr>
        <w:t>文件格式</w:t>
      </w:r>
      <w:bookmarkEnd w:id="281"/>
      <w:bookmarkEnd w:id="282"/>
      <w:bookmarkEnd w:id="283"/>
      <w:bookmarkEnd w:id="284"/>
    </w:p>
    <w:p w14:paraId="660E214D">
      <w:pPr>
        <w:snapToGrid w:val="0"/>
        <w:spacing w:line="360" w:lineRule="auto"/>
        <w:rPr>
          <w:rFonts w:hint="eastAsia" w:ascii="宋体" w:hAnsi="宋体" w:eastAsia="宋体" w:cs="宋体"/>
          <w:b/>
          <w:bCs/>
          <w:color w:val="auto"/>
          <w:sz w:val="32"/>
          <w:szCs w:val="32"/>
          <w:highlight w:val="none"/>
        </w:rPr>
      </w:pPr>
      <w:bookmarkStart w:id="285" w:name="_Toc26554094"/>
      <w:bookmarkStart w:id="286" w:name="_Hlt26955039"/>
    </w:p>
    <w:p w14:paraId="1FD9195A">
      <w:pPr>
        <w:pStyle w:val="61"/>
        <w:spacing w:after="400"/>
        <w:jc w:val="center"/>
        <w:rPr>
          <w:rStyle w:val="16"/>
          <w:rFonts w:hint="eastAsia" w:ascii="宋体" w:hAnsi="宋体" w:eastAsia="宋体" w:cs="宋体"/>
          <w:color w:val="auto"/>
          <w:sz w:val="40"/>
          <w:szCs w:val="40"/>
          <w:highlight w:val="none"/>
        </w:rPr>
      </w:pPr>
      <w:r>
        <w:rPr>
          <w:rStyle w:val="16"/>
          <w:rFonts w:hint="eastAsia" w:ascii="宋体" w:hAnsi="宋体" w:eastAsia="宋体" w:cs="宋体"/>
          <w:color w:val="auto"/>
          <w:sz w:val="40"/>
          <w:szCs w:val="40"/>
          <w:highlight w:val="none"/>
        </w:rPr>
        <w:t>投标主要文件目录</w:t>
      </w:r>
    </w:p>
    <w:p w14:paraId="24DC5546">
      <w:pPr>
        <w:pStyle w:val="61"/>
        <w:spacing w:before="240" w:after="240" w:line="200" w:lineRule="atLeast"/>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一、封面</w:t>
      </w:r>
    </w:p>
    <w:p w14:paraId="4AA352E8">
      <w:pPr>
        <w:pStyle w:val="61"/>
        <w:spacing w:before="240" w:after="240" w:line="200" w:lineRule="atLeast"/>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二、投标函格式</w:t>
      </w:r>
    </w:p>
    <w:p w14:paraId="291F787C">
      <w:pPr>
        <w:pStyle w:val="61"/>
        <w:spacing w:before="240" w:after="240" w:line="200" w:lineRule="atLeast"/>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三、开标一览表</w:t>
      </w:r>
    </w:p>
    <w:p w14:paraId="7612ACCB">
      <w:pPr>
        <w:pStyle w:val="61"/>
        <w:spacing w:before="240" w:after="240" w:line="200" w:lineRule="atLeast"/>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t>四、资格证明文件</w:t>
      </w:r>
    </w:p>
    <w:p w14:paraId="1B48D121">
      <w:pPr>
        <w:pStyle w:val="61"/>
        <w:spacing w:before="240" w:after="240" w:line="200" w:lineRule="atLeast"/>
        <w:rPr>
          <w:rStyle w:val="16"/>
          <w:rFonts w:hint="eastAsia" w:ascii="宋体" w:hAnsi="宋体" w:eastAsia="宋体" w:cs="宋体"/>
          <w:color w:val="auto"/>
          <w:highlight w:val="none"/>
          <w:lang w:eastAsia="zh-CN"/>
        </w:rPr>
      </w:pPr>
      <w:r>
        <w:rPr>
          <w:rStyle w:val="16"/>
          <w:rFonts w:hint="eastAsia" w:ascii="宋体" w:hAnsi="宋体" w:eastAsia="宋体" w:cs="宋体"/>
          <w:color w:val="auto"/>
          <w:highlight w:val="none"/>
          <w:lang w:eastAsia="zh-CN"/>
        </w:rPr>
        <w:t>五、</w:t>
      </w:r>
      <w:r>
        <w:rPr>
          <w:rStyle w:val="16"/>
          <w:rFonts w:ascii="宋体" w:hAnsi="宋体" w:eastAsia="宋体" w:cs="宋体"/>
          <w:color w:val="auto"/>
          <w:highlight w:val="none"/>
        </w:rPr>
        <w:t>经费测算明细表</w:t>
      </w:r>
    </w:p>
    <w:p w14:paraId="54228E72">
      <w:pPr>
        <w:pStyle w:val="61"/>
        <w:spacing w:before="240" w:after="240" w:line="200" w:lineRule="atLeast"/>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lang w:val="en-US" w:eastAsia="zh-CN"/>
        </w:rPr>
        <w:t>六</w:t>
      </w:r>
      <w:r>
        <w:rPr>
          <w:rStyle w:val="16"/>
          <w:rFonts w:hint="eastAsia" w:ascii="宋体" w:hAnsi="宋体" w:eastAsia="宋体" w:cs="宋体"/>
          <w:color w:val="auto"/>
          <w:highlight w:val="none"/>
        </w:rPr>
        <w:t>、第四章项目需求中实质性要求响应对照表</w:t>
      </w:r>
    </w:p>
    <w:p w14:paraId="17F203CC">
      <w:pPr>
        <w:pStyle w:val="61"/>
        <w:spacing w:before="240" w:after="240" w:line="200" w:lineRule="atLeast"/>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lang w:val="en-US" w:eastAsia="zh-CN"/>
        </w:rPr>
        <w:t>七</w:t>
      </w:r>
      <w:r>
        <w:rPr>
          <w:rStyle w:val="16"/>
          <w:rFonts w:hint="eastAsia" w:ascii="宋体" w:hAnsi="宋体" w:eastAsia="宋体" w:cs="宋体"/>
          <w:color w:val="auto"/>
          <w:highlight w:val="none"/>
        </w:rPr>
        <w:t>、服务方案</w:t>
      </w:r>
    </w:p>
    <w:p w14:paraId="6B38FDBD">
      <w:pPr>
        <w:pStyle w:val="61"/>
        <w:spacing w:before="240" w:after="240" w:line="200" w:lineRule="atLeast"/>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lang w:val="en-US" w:eastAsia="zh-CN"/>
        </w:rPr>
        <w:t>八</w:t>
      </w:r>
      <w:r>
        <w:rPr>
          <w:rStyle w:val="16"/>
          <w:rFonts w:hint="eastAsia" w:ascii="宋体" w:hAnsi="宋体" w:eastAsia="宋体" w:cs="宋体"/>
          <w:color w:val="auto"/>
          <w:highlight w:val="none"/>
        </w:rPr>
        <w:t>、投标人情况介绍</w:t>
      </w:r>
    </w:p>
    <w:p w14:paraId="550AF7E6">
      <w:pPr>
        <w:pStyle w:val="61"/>
        <w:spacing w:before="240" w:after="240" w:line="160" w:lineRule="atLeast"/>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lang w:val="en-US" w:eastAsia="zh-CN"/>
        </w:rPr>
        <w:t>九</w:t>
      </w:r>
      <w:r>
        <w:rPr>
          <w:rStyle w:val="16"/>
          <w:rFonts w:hint="eastAsia" w:ascii="宋体" w:hAnsi="宋体" w:eastAsia="宋体" w:cs="宋体"/>
          <w:color w:val="auto"/>
          <w:highlight w:val="none"/>
        </w:rPr>
        <w:t>、中小企业声明函</w:t>
      </w:r>
    </w:p>
    <w:p w14:paraId="69A7B457">
      <w:pPr>
        <w:pStyle w:val="61"/>
        <w:spacing w:before="240" w:after="240" w:line="200" w:lineRule="atLeast"/>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lang w:val="en-US" w:eastAsia="zh-CN"/>
        </w:rPr>
        <w:t>十</w:t>
      </w:r>
      <w:r>
        <w:rPr>
          <w:rStyle w:val="16"/>
          <w:rFonts w:hint="eastAsia" w:ascii="宋体" w:hAnsi="宋体" w:eastAsia="宋体" w:cs="宋体"/>
          <w:color w:val="auto"/>
          <w:highlight w:val="none"/>
        </w:rPr>
        <w:t>、残疾人福利性单位声明函</w:t>
      </w:r>
    </w:p>
    <w:p w14:paraId="4400BC19">
      <w:pPr>
        <w:pStyle w:val="61"/>
        <w:spacing w:before="240" w:after="240" w:line="200" w:lineRule="atLeast"/>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十</w:t>
      </w:r>
      <w:r>
        <w:rPr>
          <w:rStyle w:val="16"/>
          <w:rFonts w:hint="eastAsia" w:ascii="宋体" w:hAnsi="宋体" w:eastAsia="宋体" w:cs="宋体"/>
          <w:color w:val="auto"/>
          <w:highlight w:val="none"/>
          <w:lang w:eastAsia="zh-CN"/>
        </w:rPr>
        <w:t>一</w:t>
      </w:r>
      <w:r>
        <w:rPr>
          <w:rStyle w:val="16"/>
          <w:rFonts w:hint="eastAsia" w:ascii="宋体" w:hAnsi="宋体" w:eastAsia="宋体" w:cs="宋体"/>
          <w:color w:val="auto"/>
          <w:highlight w:val="none"/>
        </w:rPr>
        <w:t>、监狱企业的证明文件</w:t>
      </w:r>
    </w:p>
    <w:p w14:paraId="39BF61D5">
      <w:pPr>
        <w:pStyle w:val="61"/>
        <w:spacing w:before="240" w:after="240" w:line="200" w:lineRule="atLeast"/>
        <w:rPr>
          <w:rStyle w:val="16"/>
          <w:rFonts w:ascii="宋体" w:hAnsi="宋体" w:eastAsia="宋体" w:cs="宋体"/>
          <w:color w:val="auto"/>
          <w:sz w:val="24"/>
          <w:szCs w:val="24"/>
          <w:highlight w:val="none"/>
        </w:rPr>
      </w:pPr>
      <w:r>
        <w:rPr>
          <w:rStyle w:val="16"/>
          <w:rFonts w:ascii="宋体" w:hAnsi="宋体" w:eastAsia="宋体" w:cs="宋体"/>
          <w:color w:val="auto"/>
          <w:highlight w:val="none"/>
        </w:rPr>
        <w:t>十</w:t>
      </w:r>
      <w:r>
        <w:rPr>
          <w:rStyle w:val="16"/>
          <w:rFonts w:hint="eastAsia" w:ascii="宋体" w:hAnsi="宋体" w:eastAsia="宋体" w:cs="宋体"/>
          <w:color w:val="auto"/>
          <w:highlight w:val="none"/>
          <w:lang w:val="en-US" w:eastAsia="zh-CN"/>
        </w:rPr>
        <w:t>二</w:t>
      </w:r>
      <w:r>
        <w:rPr>
          <w:rStyle w:val="16"/>
          <w:rFonts w:ascii="宋体" w:hAnsi="宋体" w:eastAsia="宋体" w:cs="宋体"/>
          <w:color w:val="auto"/>
          <w:highlight w:val="none"/>
        </w:rPr>
        <w:t>、技术参数响应及偏离表</w:t>
      </w:r>
    </w:p>
    <w:p w14:paraId="79F142C2">
      <w:pPr>
        <w:pStyle w:val="61"/>
        <w:spacing w:before="240" w:after="240" w:line="200" w:lineRule="atLeast"/>
        <w:rPr>
          <w:rStyle w:val="16"/>
          <w:rFonts w:ascii="宋体" w:hAnsi="宋体" w:eastAsia="宋体" w:cs="宋体"/>
          <w:color w:val="auto"/>
          <w:sz w:val="24"/>
          <w:szCs w:val="24"/>
          <w:highlight w:val="none"/>
        </w:rPr>
      </w:pPr>
      <w:r>
        <w:rPr>
          <w:rStyle w:val="16"/>
          <w:rFonts w:ascii="宋体" w:hAnsi="宋体" w:eastAsia="宋体" w:cs="宋体"/>
          <w:color w:val="auto"/>
          <w:highlight w:val="none"/>
        </w:rPr>
        <w:t>十</w:t>
      </w:r>
      <w:r>
        <w:rPr>
          <w:rStyle w:val="16"/>
          <w:rFonts w:hint="eastAsia" w:ascii="宋体" w:hAnsi="宋体" w:eastAsia="宋体" w:cs="宋体"/>
          <w:color w:val="auto"/>
          <w:highlight w:val="none"/>
          <w:lang w:val="en-US" w:eastAsia="zh-CN"/>
        </w:rPr>
        <w:t>三</w:t>
      </w:r>
      <w:r>
        <w:rPr>
          <w:rStyle w:val="16"/>
          <w:rFonts w:ascii="宋体" w:hAnsi="宋体" w:eastAsia="宋体" w:cs="宋体"/>
          <w:color w:val="auto"/>
          <w:highlight w:val="none"/>
        </w:rPr>
        <w:t>、商务条款响应及偏离表</w:t>
      </w:r>
    </w:p>
    <w:p w14:paraId="10D67B64">
      <w:pPr>
        <w:pStyle w:val="61"/>
        <w:spacing w:before="240" w:after="240" w:line="200" w:lineRule="atLeast"/>
        <w:rPr>
          <w:rStyle w:val="16"/>
          <w:rFonts w:ascii="宋体" w:hAnsi="宋体" w:eastAsia="宋体" w:cs="宋体"/>
          <w:color w:val="auto"/>
          <w:sz w:val="24"/>
          <w:szCs w:val="24"/>
          <w:highlight w:val="none"/>
        </w:rPr>
      </w:pPr>
      <w:r>
        <w:rPr>
          <w:rStyle w:val="16"/>
          <w:rFonts w:ascii="宋体" w:hAnsi="宋体" w:eastAsia="宋体" w:cs="宋体"/>
          <w:color w:val="auto"/>
          <w:highlight w:val="none"/>
        </w:rPr>
        <w:t>十</w:t>
      </w:r>
      <w:r>
        <w:rPr>
          <w:rStyle w:val="16"/>
          <w:rFonts w:hint="eastAsia" w:ascii="宋体" w:hAnsi="宋体" w:eastAsia="宋体" w:cs="宋体"/>
          <w:color w:val="auto"/>
          <w:highlight w:val="none"/>
          <w:lang w:val="en-US" w:eastAsia="zh-CN"/>
        </w:rPr>
        <w:t>四</w:t>
      </w:r>
      <w:r>
        <w:rPr>
          <w:rStyle w:val="16"/>
          <w:rFonts w:ascii="宋体" w:hAnsi="宋体" w:eastAsia="宋体" w:cs="宋体"/>
          <w:color w:val="auto"/>
          <w:highlight w:val="none"/>
        </w:rPr>
        <w:t>、其他材料</w:t>
      </w:r>
    </w:p>
    <w:p w14:paraId="1E76B2D4">
      <w:pPr>
        <w:pStyle w:val="62"/>
        <w:jc w:val="left"/>
        <w:outlineLvl w:val="1"/>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br w:type="page"/>
      </w:r>
      <w:bookmarkStart w:id="287" w:name="_Toc10675"/>
      <w:r>
        <w:rPr>
          <w:rStyle w:val="16"/>
          <w:rFonts w:hint="eastAsia" w:ascii="宋体" w:hAnsi="宋体" w:eastAsia="宋体" w:cs="宋体"/>
          <w:b/>
          <w:color w:val="auto"/>
          <w:sz w:val="32"/>
          <w:highlight w:val="none"/>
        </w:rPr>
        <w:t>一、封面</w:t>
      </w:r>
      <w:bookmarkEnd w:id="287"/>
    </w:p>
    <w:p w14:paraId="259F9C53">
      <w:pPr>
        <w:pStyle w:val="63"/>
        <w:spacing w:line="440" w:lineRule="exact"/>
        <w:outlineLvl w:val="9"/>
        <w:rPr>
          <w:rStyle w:val="16"/>
          <w:rFonts w:hint="eastAsia" w:ascii="宋体" w:hAnsi="宋体" w:eastAsia="宋体" w:cs="宋体"/>
          <w:color w:val="auto"/>
          <w:spacing w:val="7"/>
          <w:highlight w:val="none"/>
        </w:rPr>
      </w:pPr>
      <w:r>
        <w:rPr>
          <w:rStyle w:val="16"/>
          <w:rFonts w:hint="eastAsia" w:ascii="宋体" w:hAnsi="宋体" w:eastAsia="宋体" w:cs="宋体"/>
          <w:color w:val="auto"/>
          <w:highlight w:val="none"/>
        </w:rPr>
        <w:t xml:space="preserve">﻿ </w:t>
      </w:r>
    </w:p>
    <w:p w14:paraId="4F30ED1F">
      <w:pPr>
        <w:pStyle w:val="63"/>
        <w:spacing w:before="540" w:after="540"/>
        <w:jc w:val="center"/>
        <w:rPr>
          <w:rStyle w:val="16"/>
          <w:rFonts w:hint="eastAsia" w:ascii="宋体" w:hAnsi="宋体" w:eastAsia="宋体" w:cs="宋体"/>
          <w:color w:val="auto"/>
          <w:sz w:val="54"/>
          <w:szCs w:val="54"/>
          <w:highlight w:val="none"/>
        </w:rPr>
      </w:pPr>
      <w:r>
        <w:rPr>
          <w:rStyle w:val="16"/>
          <w:rFonts w:hint="eastAsia" w:ascii="宋体" w:hAnsi="宋体" w:eastAsia="宋体" w:cs="宋体"/>
          <w:color w:val="auto"/>
          <w:sz w:val="54"/>
          <w:szCs w:val="54"/>
          <w:highlight w:val="none"/>
        </w:rPr>
        <w:t>投 标 文 件</w:t>
      </w:r>
    </w:p>
    <w:p w14:paraId="3E018676">
      <w:pPr>
        <w:pStyle w:val="63"/>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w:t>
      </w:r>
    </w:p>
    <w:p w14:paraId="532F4FF1">
      <w:pPr>
        <w:pStyle w:val="63"/>
        <w:spacing w:before="400" w:after="400"/>
        <w:jc w:val="center"/>
        <w:rPr>
          <w:rStyle w:val="16"/>
          <w:rFonts w:hint="eastAsia" w:ascii="宋体" w:hAnsi="宋体" w:eastAsia="宋体" w:cs="宋体"/>
          <w:color w:val="auto"/>
          <w:sz w:val="40"/>
          <w:szCs w:val="40"/>
          <w:highlight w:val="none"/>
        </w:rPr>
      </w:pPr>
      <w:r>
        <w:rPr>
          <w:rStyle w:val="16"/>
          <w:rFonts w:hint="eastAsia" w:ascii="宋体" w:hAnsi="宋体" w:eastAsia="宋体" w:cs="宋体"/>
          <w:color w:val="auto"/>
          <w:sz w:val="40"/>
          <w:szCs w:val="40"/>
          <w:highlight w:val="none"/>
        </w:rPr>
        <w:t> </w:t>
      </w:r>
    </w:p>
    <w:p w14:paraId="04DAE9DD">
      <w:pPr>
        <w:pStyle w:val="63"/>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w:t>
      </w:r>
    </w:p>
    <w:p w14:paraId="312C99AE">
      <w:pPr>
        <w:pStyle w:val="63"/>
        <w:spacing w:before="360" w:after="360"/>
        <w:jc w:val="center"/>
        <w:rPr>
          <w:rStyle w:val="16"/>
          <w:rFonts w:hint="eastAsia" w:ascii="宋体" w:hAnsi="宋体" w:eastAsia="宋体" w:cs="宋体"/>
          <w:color w:val="auto"/>
          <w:sz w:val="36"/>
          <w:szCs w:val="36"/>
          <w:highlight w:val="none"/>
        </w:rPr>
      </w:pPr>
      <w:r>
        <w:rPr>
          <w:rStyle w:val="16"/>
          <w:rFonts w:hint="eastAsia" w:ascii="宋体" w:hAnsi="宋体" w:eastAsia="宋体" w:cs="宋体"/>
          <w:color w:val="auto"/>
          <w:sz w:val="36"/>
          <w:szCs w:val="36"/>
          <w:highlight w:val="none"/>
        </w:rPr>
        <w:t>项目名称：   </w:t>
      </w:r>
    </w:p>
    <w:p w14:paraId="7723DF35">
      <w:pPr>
        <w:pStyle w:val="63"/>
        <w:spacing w:before="360" w:after="360"/>
        <w:jc w:val="center"/>
        <w:rPr>
          <w:rStyle w:val="16"/>
          <w:rFonts w:hint="eastAsia" w:ascii="宋体" w:hAnsi="宋体" w:eastAsia="宋体" w:cs="宋体"/>
          <w:color w:val="auto"/>
          <w:sz w:val="36"/>
          <w:szCs w:val="36"/>
          <w:highlight w:val="none"/>
        </w:rPr>
      </w:pPr>
      <w:r>
        <w:rPr>
          <w:rStyle w:val="16"/>
          <w:rFonts w:hint="eastAsia" w:ascii="宋体" w:hAnsi="宋体" w:eastAsia="宋体" w:cs="宋体"/>
          <w:color w:val="auto"/>
          <w:sz w:val="36"/>
          <w:szCs w:val="36"/>
          <w:highlight w:val="none"/>
        </w:rPr>
        <w:t>招标编号：   </w:t>
      </w:r>
    </w:p>
    <w:p w14:paraId="227833B5">
      <w:pPr>
        <w:pStyle w:val="63"/>
        <w:spacing w:before="360" w:after="360"/>
        <w:jc w:val="center"/>
        <w:rPr>
          <w:rStyle w:val="16"/>
          <w:rFonts w:hint="eastAsia" w:ascii="宋体" w:hAnsi="宋体" w:eastAsia="宋体" w:cs="宋体"/>
          <w:color w:val="auto"/>
          <w:sz w:val="36"/>
          <w:szCs w:val="36"/>
          <w:highlight w:val="none"/>
        </w:rPr>
      </w:pPr>
      <w:r>
        <w:rPr>
          <w:rStyle w:val="16"/>
          <w:rFonts w:hint="eastAsia" w:ascii="宋体" w:hAnsi="宋体" w:eastAsia="宋体" w:cs="宋体"/>
          <w:color w:val="auto"/>
          <w:sz w:val="36"/>
          <w:szCs w:val="36"/>
          <w:highlight w:val="none"/>
        </w:rPr>
        <w:t> </w:t>
      </w:r>
    </w:p>
    <w:p w14:paraId="4C69466D">
      <w:pPr>
        <w:pStyle w:val="63"/>
        <w:spacing w:before="360" w:after="360"/>
        <w:jc w:val="center"/>
        <w:rPr>
          <w:rStyle w:val="16"/>
          <w:rFonts w:hint="eastAsia" w:ascii="宋体" w:hAnsi="宋体" w:eastAsia="宋体" w:cs="宋体"/>
          <w:color w:val="auto"/>
          <w:sz w:val="36"/>
          <w:szCs w:val="36"/>
          <w:highlight w:val="none"/>
        </w:rPr>
      </w:pPr>
      <w:r>
        <w:rPr>
          <w:rStyle w:val="16"/>
          <w:rFonts w:hint="eastAsia" w:ascii="宋体" w:hAnsi="宋体" w:eastAsia="宋体" w:cs="宋体"/>
          <w:color w:val="auto"/>
          <w:sz w:val="36"/>
          <w:szCs w:val="36"/>
          <w:highlight w:val="none"/>
        </w:rPr>
        <w:t> </w:t>
      </w:r>
    </w:p>
    <w:p w14:paraId="55D95AC5">
      <w:pPr>
        <w:pStyle w:val="63"/>
        <w:spacing w:before="360" w:after="360"/>
        <w:jc w:val="center"/>
        <w:rPr>
          <w:rStyle w:val="16"/>
          <w:rFonts w:hint="eastAsia" w:ascii="宋体" w:hAnsi="宋体" w:eastAsia="宋体" w:cs="宋体"/>
          <w:color w:val="auto"/>
          <w:sz w:val="36"/>
          <w:szCs w:val="36"/>
          <w:highlight w:val="none"/>
        </w:rPr>
      </w:pPr>
      <w:r>
        <w:rPr>
          <w:rStyle w:val="16"/>
          <w:rFonts w:hint="eastAsia" w:ascii="宋体" w:hAnsi="宋体" w:eastAsia="宋体" w:cs="宋体"/>
          <w:color w:val="auto"/>
          <w:sz w:val="36"/>
          <w:szCs w:val="36"/>
          <w:highlight w:val="none"/>
        </w:rPr>
        <w:t>投标人名称：   </w:t>
      </w:r>
    </w:p>
    <w:p w14:paraId="02EDEE7C">
      <w:pPr>
        <w:pStyle w:val="63"/>
        <w:spacing w:before="360" w:after="360"/>
        <w:jc w:val="center"/>
        <w:rPr>
          <w:rStyle w:val="16"/>
          <w:rFonts w:hint="eastAsia" w:ascii="宋体" w:hAnsi="宋体" w:eastAsia="宋体" w:cs="宋体"/>
          <w:color w:val="auto"/>
          <w:sz w:val="36"/>
          <w:szCs w:val="36"/>
          <w:highlight w:val="none"/>
        </w:rPr>
      </w:pPr>
      <w:r>
        <w:rPr>
          <w:rStyle w:val="16"/>
          <w:rFonts w:hint="eastAsia" w:ascii="宋体" w:hAnsi="宋体" w:eastAsia="宋体" w:cs="宋体"/>
          <w:color w:val="auto"/>
          <w:sz w:val="36"/>
          <w:szCs w:val="36"/>
          <w:highlight w:val="none"/>
        </w:rPr>
        <w:t>日期：   </w:t>
      </w:r>
    </w:p>
    <w:p w14:paraId="78AE0E8E">
      <w:pPr>
        <w:pStyle w:val="63"/>
        <w:spacing w:before="360" w:after="360"/>
        <w:jc w:val="center"/>
        <w:rPr>
          <w:rStyle w:val="16"/>
          <w:rFonts w:hint="eastAsia" w:ascii="宋体" w:hAnsi="宋体" w:eastAsia="宋体" w:cs="宋体"/>
          <w:color w:val="auto"/>
          <w:sz w:val="36"/>
          <w:szCs w:val="36"/>
          <w:highlight w:val="none"/>
        </w:rPr>
      </w:pPr>
      <w:r>
        <w:rPr>
          <w:rStyle w:val="16"/>
          <w:rFonts w:hint="eastAsia" w:ascii="宋体" w:hAnsi="宋体" w:eastAsia="宋体" w:cs="宋体"/>
          <w:color w:val="auto"/>
          <w:sz w:val="36"/>
          <w:szCs w:val="36"/>
          <w:highlight w:val="none"/>
        </w:rPr>
        <w:t> </w:t>
      </w:r>
    </w:p>
    <w:p w14:paraId="0EDB13BE">
      <w:pPr>
        <w:pStyle w:val="63"/>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w:t>
      </w:r>
    </w:p>
    <w:p w14:paraId="08392B30">
      <w:pPr>
        <w:pStyle w:val="64"/>
        <w:jc w:val="left"/>
        <w:outlineLvl w:val="1"/>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br w:type="page"/>
      </w:r>
      <w:bookmarkStart w:id="288" w:name="_Toc5888"/>
      <w:r>
        <w:rPr>
          <w:rStyle w:val="16"/>
          <w:rFonts w:hint="eastAsia" w:ascii="宋体" w:hAnsi="宋体" w:eastAsia="宋体" w:cs="宋体"/>
          <w:b/>
          <w:color w:val="auto"/>
          <w:sz w:val="32"/>
          <w:highlight w:val="none"/>
        </w:rPr>
        <w:t>二、投标函格式</w:t>
      </w:r>
      <w:bookmarkEnd w:id="288"/>
    </w:p>
    <w:p w14:paraId="5CF7AAA4">
      <w:pPr>
        <w:pStyle w:val="65"/>
        <w:spacing w:line="440" w:lineRule="exact"/>
        <w:outlineLvl w:val="9"/>
        <w:rPr>
          <w:rStyle w:val="16"/>
          <w:rFonts w:hint="eastAsia" w:ascii="宋体" w:hAnsi="宋体" w:eastAsia="宋体" w:cs="宋体"/>
          <w:color w:val="auto"/>
          <w:spacing w:val="7"/>
          <w:highlight w:val="none"/>
        </w:rPr>
      </w:pPr>
      <w:r>
        <w:rPr>
          <w:rStyle w:val="16"/>
          <w:rFonts w:hint="eastAsia" w:ascii="宋体" w:hAnsi="宋体" w:eastAsia="宋体" w:cs="宋体"/>
          <w:color w:val="auto"/>
          <w:highlight w:val="none"/>
        </w:rPr>
        <w:t xml:space="preserve">﻿ </w:t>
      </w:r>
    </w:p>
    <w:p w14:paraId="069B3350">
      <w:pPr>
        <w:pStyle w:val="65"/>
        <w:spacing w:before="320" w:after="320"/>
        <w:jc w:val="center"/>
        <w:rPr>
          <w:rStyle w:val="16"/>
          <w:rFonts w:hint="eastAsia" w:ascii="宋体" w:hAnsi="宋体" w:eastAsia="宋体" w:cs="宋体"/>
          <w:b/>
          <w:bCs/>
          <w:color w:val="auto"/>
          <w:sz w:val="32"/>
          <w:szCs w:val="32"/>
          <w:highlight w:val="none"/>
        </w:rPr>
      </w:pPr>
      <w:r>
        <w:rPr>
          <w:rStyle w:val="16"/>
          <w:rFonts w:hint="eastAsia" w:ascii="宋体" w:hAnsi="宋体" w:eastAsia="宋体" w:cs="宋体"/>
          <w:b/>
          <w:bCs/>
          <w:color w:val="auto"/>
          <w:sz w:val="32"/>
          <w:szCs w:val="32"/>
          <w:highlight w:val="none"/>
        </w:rPr>
        <w:t>投标函格式</w:t>
      </w:r>
    </w:p>
    <w:p w14:paraId="64AE4DB2">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致：   ：</w:t>
      </w:r>
    </w:p>
    <w:p w14:paraId="17734ECD">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根据贵方的   号招标文件，正式授权下述签字人      (姓名和职务)代表我方   （投标人的名称），全权处理本次项目投标的有关事宜。 </w:t>
      </w:r>
    </w:p>
    <w:p w14:paraId="5147B57E">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据此函，签字人兹宣布同意如下： </w:t>
      </w:r>
    </w:p>
    <w:p w14:paraId="18587430">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1、同意向贵方提供贵方可能另外要求的与投标有关的任何证据或资料； </w:t>
      </w:r>
    </w:p>
    <w:p w14:paraId="32549E6F">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2、我们完全理解贵方不一定将合同授予最低报价的投标人； </w:t>
      </w:r>
    </w:p>
    <w:p w14:paraId="02440B89">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3、我们已详细审核全部招标文件及其有效补充文件，我们知道必须放弃提出含糊不清或误解问题的权利； </w:t>
      </w:r>
    </w:p>
    <w:p w14:paraId="38141041">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4、一旦我方中标，我们将根据招标文件的规定，严格履行合同条款的责任和义务，并保证按照合同条款提供服务； </w:t>
      </w:r>
    </w:p>
    <w:p w14:paraId="760F4DC6">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5、与本投标有关的正式通讯地址为： </w:t>
      </w:r>
    </w:p>
    <w:p w14:paraId="498BA426">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地址：    </w:t>
      </w:r>
    </w:p>
    <w:p w14:paraId="6B46EBB9">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邮编：    </w:t>
      </w:r>
    </w:p>
    <w:p w14:paraId="49BDEDEE">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电话：    </w:t>
      </w:r>
    </w:p>
    <w:p w14:paraId="1A4656DD">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传真：    </w:t>
      </w:r>
    </w:p>
    <w:p w14:paraId="2164CBE4">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投标单位代表姓名：    </w:t>
      </w:r>
    </w:p>
    <w:p w14:paraId="68C9B3E6">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投标单位名称：    </w:t>
      </w:r>
    </w:p>
    <w:p w14:paraId="505ACE6F">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公章：</w:t>
      </w:r>
    </w:p>
    <w:p w14:paraId="4C50CF6C">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日期：   </w:t>
      </w:r>
    </w:p>
    <w:p w14:paraId="2755B82A">
      <w:pPr>
        <w:pStyle w:val="65"/>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w:t>
      </w:r>
    </w:p>
    <w:p w14:paraId="67DA216C">
      <w:pPr>
        <w:pStyle w:val="66"/>
        <w:jc w:val="left"/>
        <w:outlineLvl w:val="1"/>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br w:type="page"/>
      </w:r>
      <w:bookmarkStart w:id="289" w:name="_Toc4713"/>
      <w:r>
        <w:rPr>
          <w:rStyle w:val="16"/>
          <w:rFonts w:hint="eastAsia" w:ascii="宋体" w:hAnsi="宋体" w:eastAsia="宋体" w:cs="宋体"/>
          <w:b/>
          <w:color w:val="auto"/>
          <w:sz w:val="32"/>
          <w:highlight w:val="none"/>
        </w:rPr>
        <w:t>三、开标一览表（</w:t>
      </w:r>
      <w:r>
        <w:rPr>
          <w:rStyle w:val="16"/>
          <w:rFonts w:hint="eastAsia" w:ascii="宋体" w:hAnsi="宋体" w:eastAsia="宋体" w:cs="宋体"/>
          <w:b/>
          <w:color w:val="auto"/>
          <w:sz w:val="32"/>
          <w:highlight w:val="none"/>
          <w:lang w:val="en-US" w:eastAsia="zh-CN"/>
        </w:rPr>
        <w:t>优惠率</w:t>
      </w:r>
      <w:r>
        <w:rPr>
          <w:rStyle w:val="16"/>
          <w:rFonts w:hint="eastAsia" w:ascii="宋体" w:hAnsi="宋体" w:eastAsia="宋体" w:cs="宋体"/>
          <w:b/>
          <w:color w:val="auto"/>
          <w:sz w:val="32"/>
          <w:highlight w:val="none"/>
        </w:rPr>
        <w:t>）</w:t>
      </w:r>
      <w:bookmarkEnd w:id="289"/>
    </w:p>
    <w:p w14:paraId="1E39A1BE">
      <w:pPr>
        <w:pStyle w:val="67"/>
        <w:spacing w:line="440" w:lineRule="exact"/>
        <w:outlineLvl w:val="9"/>
        <w:rPr>
          <w:rStyle w:val="16"/>
          <w:rFonts w:hint="eastAsia" w:ascii="宋体" w:hAnsi="宋体" w:eastAsia="宋体" w:cs="宋体"/>
          <w:color w:val="auto"/>
          <w:spacing w:val="7"/>
          <w:highlight w:val="none"/>
        </w:rPr>
      </w:pPr>
      <w:r>
        <w:rPr>
          <w:rStyle w:val="16"/>
          <w:rFonts w:hint="eastAsia" w:ascii="宋体" w:hAnsi="宋体" w:eastAsia="宋体" w:cs="宋体"/>
          <w:color w:val="auto"/>
          <w:highlight w:val="none"/>
        </w:rPr>
        <w:t xml:space="preserve">﻿ </w:t>
      </w:r>
    </w:p>
    <w:p w14:paraId="27A0A922">
      <w:pPr>
        <w:pStyle w:val="67"/>
        <w:spacing w:before="400" w:after="400" w:line="300" w:lineRule="auto"/>
        <w:jc w:val="center"/>
        <w:rPr>
          <w:rStyle w:val="16"/>
          <w:rFonts w:hint="eastAsia" w:ascii="宋体" w:hAnsi="宋体" w:eastAsia="宋体" w:cs="宋体"/>
          <w:b/>
          <w:bCs/>
          <w:color w:val="auto"/>
          <w:sz w:val="40"/>
          <w:szCs w:val="40"/>
          <w:highlight w:val="none"/>
        </w:rPr>
      </w:pPr>
      <w:r>
        <w:rPr>
          <w:rStyle w:val="16"/>
          <w:rFonts w:hint="eastAsia" w:ascii="宋体" w:hAnsi="宋体" w:eastAsia="宋体" w:cs="宋体"/>
          <w:b/>
          <w:bCs/>
          <w:color w:val="auto"/>
          <w:sz w:val="40"/>
          <w:szCs w:val="40"/>
          <w:highlight w:val="none"/>
        </w:rPr>
        <w:t>开标一览表</w:t>
      </w:r>
    </w:p>
    <w:p w14:paraId="286B1E23">
      <w:pPr>
        <w:pStyle w:val="67"/>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投标单位全称（加盖公章）：    </w:t>
      </w:r>
    </w:p>
    <w:p w14:paraId="3F77D428">
      <w:pPr>
        <w:pStyle w:val="67"/>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w:t>
      </w:r>
    </w:p>
    <w:tbl>
      <w:tblPr>
        <w:tblStyle w:val="15"/>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848"/>
        <w:gridCol w:w="1561"/>
        <w:gridCol w:w="2963"/>
        <w:gridCol w:w="1613"/>
      </w:tblGrid>
      <w:tr w14:paraId="7252E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2852" w:type="dxa"/>
            <w:noWrap w:val="0"/>
            <w:tcMar>
              <w:top w:w="0" w:type="dxa"/>
              <w:left w:w="0" w:type="dxa"/>
              <w:bottom w:w="0" w:type="dxa"/>
              <w:right w:w="0" w:type="dxa"/>
            </w:tcMar>
            <w:vAlign w:val="center"/>
          </w:tcPr>
          <w:p w14:paraId="4CBD8484">
            <w:pPr>
              <w:pStyle w:val="67"/>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项目名称 </w:t>
            </w:r>
          </w:p>
        </w:tc>
        <w:tc>
          <w:tcPr>
            <w:tcW w:w="1563" w:type="dxa"/>
            <w:noWrap w:val="0"/>
            <w:tcMar>
              <w:top w:w="0" w:type="dxa"/>
              <w:left w:w="0" w:type="dxa"/>
              <w:bottom w:w="0" w:type="dxa"/>
              <w:right w:w="0" w:type="dxa"/>
            </w:tcMar>
            <w:vAlign w:val="center"/>
          </w:tcPr>
          <w:p w14:paraId="6133287A">
            <w:pPr>
              <w:pStyle w:val="67"/>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服务期限 </w:t>
            </w:r>
          </w:p>
        </w:tc>
        <w:tc>
          <w:tcPr>
            <w:tcW w:w="2967" w:type="dxa"/>
            <w:noWrap w:val="0"/>
            <w:tcMar>
              <w:top w:w="0" w:type="dxa"/>
              <w:left w:w="0" w:type="dxa"/>
              <w:bottom w:w="0" w:type="dxa"/>
              <w:right w:w="0" w:type="dxa"/>
            </w:tcMar>
            <w:vAlign w:val="center"/>
          </w:tcPr>
          <w:p w14:paraId="298F8E1B">
            <w:pPr>
              <w:pStyle w:val="67"/>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总价（元） </w:t>
            </w:r>
          </w:p>
        </w:tc>
        <w:tc>
          <w:tcPr>
            <w:tcW w:w="1615" w:type="dxa"/>
            <w:noWrap w:val="0"/>
            <w:tcMar>
              <w:top w:w="0" w:type="dxa"/>
              <w:left w:w="0" w:type="dxa"/>
              <w:bottom w:w="0" w:type="dxa"/>
              <w:right w:w="0" w:type="dxa"/>
            </w:tcMar>
            <w:vAlign w:val="center"/>
          </w:tcPr>
          <w:p w14:paraId="335CF59B">
            <w:pPr>
              <w:pStyle w:val="67"/>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备注 </w:t>
            </w:r>
          </w:p>
        </w:tc>
      </w:tr>
      <w:tr w14:paraId="72F52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0" w:type="auto"/>
            <w:noWrap w:val="0"/>
            <w:tcMar>
              <w:top w:w="0" w:type="dxa"/>
              <w:left w:w="0" w:type="dxa"/>
              <w:bottom w:w="0" w:type="dxa"/>
              <w:right w:w="0" w:type="dxa"/>
            </w:tcMar>
            <w:vAlign w:val="center"/>
          </w:tcPr>
          <w:p w14:paraId="05DE05A5">
            <w:pPr>
              <w:pStyle w:val="67"/>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w:t>
            </w:r>
          </w:p>
        </w:tc>
        <w:tc>
          <w:tcPr>
            <w:tcW w:w="0" w:type="auto"/>
            <w:noWrap w:val="0"/>
            <w:tcMar>
              <w:top w:w="0" w:type="dxa"/>
              <w:left w:w="0" w:type="dxa"/>
              <w:bottom w:w="0" w:type="dxa"/>
              <w:right w:w="0" w:type="dxa"/>
            </w:tcMar>
            <w:vAlign w:val="center"/>
          </w:tcPr>
          <w:p w14:paraId="797C15A0">
            <w:pPr>
              <w:pStyle w:val="67"/>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w:t>
            </w:r>
          </w:p>
        </w:tc>
        <w:tc>
          <w:tcPr>
            <w:tcW w:w="0" w:type="auto"/>
            <w:noWrap w:val="0"/>
            <w:tcMar>
              <w:top w:w="0" w:type="dxa"/>
              <w:left w:w="0" w:type="dxa"/>
              <w:bottom w:w="0" w:type="dxa"/>
              <w:right w:w="0" w:type="dxa"/>
            </w:tcMar>
            <w:vAlign w:val="center"/>
          </w:tcPr>
          <w:p w14:paraId="3C25779D">
            <w:pPr>
              <w:pStyle w:val="67"/>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w:t>
            </w:r>
          </w:p>
        </w:tc>
        <w:tc>
          <w:tcPr>
            <w:tcW w:w="0" w:type="auto"/>
            <w:noWrap w:val="0"/>
            <w:tcMar>
              <w:top w:w="0" w:type="dxa"/>
              <w:left w:w="0" w:type="dxa"/>
              <w:bottom w:w="0" w:type="dxa"/>
              <w:right w:w="0" w:type="dxa"/>
            </w:tcMar>
            <w:vAlign w:val="center"/>
          </w:tcPr>
          <w:p w14:paraId="498EE483">
            <w:pPr>
              <w:pStyle w:val="67"/>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    </w:t>
            </w:r>
          </w:p>
        </w:tc>
      </w:tr>
      <w:tr w14:paraId="76913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0" w:type="auto"/>
            <w:noWrap w:val="0"/>
            <w:tcMar>
              <w:top w:w="0" w:type="dxa"/>
              <w:left w:w="0" w:type="dxa"/>
              <w:bottom w:w="0" w:type="dxa"/>
              <w:right w:w="0" w:type="dxa"/>
            </w:tcMar>
            <w:vAlign w:val="center"/>
          </w:tcPr>
          <w:p w14:paraId="3F81C20A">
            <w:pPr>
              <w:pStyle w:val="67"/>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投标总报价（大写） </w:t>
            </w:r>
          </w:p>
        </w:tc>
        <w:tc>
          <w:tcPr>
            <w:tcW w:w="0" w:type="auto"/>
            <w:gridSpan w:val="3"/>
            <w:noWrap w:val="0"/>
            <w:tcMar>
              <w:top w:w="0" w:type="dxa"/>
              <w:left w:w="0" w:type="dxa"/>
              <w:bottom w:w="0" w:type="dxa"/>
              <w:right w:w="0" w:type="dxa"/>
            </w:tcMar>
            <w:vAlign w:val="center"/>
          </w:tcPr>
          <w:p w14:paraId="0C803115">
            <w:pPr>
              <w:pStyle w:val="67"/>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（人民币）￥：   元</w:t>
            </w:r>
          </w:p>
        </w:tc>
      </w:tr>
    </w:tbl>
    <w:p w14:paraId="6DF3BFC9">
      <w:pPr>
        <w:pStyle w:val="67"/>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w:t>
      </w:r>
    </w:p>
    <w:p w14:paraId="3E577E61">
      <w:pPr>
        <w:pStyle w:val="68"/>
        <w:outlineLvl w:val="0"/>
        <w:rPr>
          <w:rStyle w:val="120"/>
          <w:rFonts w:hint="eastAsia" w:ascii="宋体" w:hAnsi="宋体" w:eastAsia="宋体" w:cs="宋体"/>
          <w:color w:val="auto"/>
          <w:highlight w:val="none"/>
        </w:rPr>
      </w:pPr>
      <w:bookmarkStart w:id="290" w:name="_Toc1415"/>
      <w:bookmarkStart w:id="291" w:name="_Toc26370"/>
      <w:bookmarkStart w:id="292" w:name="_Toc11698"/>
      <w:r>
        <w:rPr>
          <w:rStyle w:val="120"/>
          <w:rFonts w:hint="eastAsia" w:ascii="宋体" w:hAnsi="宋体" w:eastAsia="宋体" w:cs="宋体"/>
          <w:color w:val="auto"/>
          <w:highlight w:val="none"/>
        </w:rPr>
        <w:t>填写说明：</w:t>
      </w:r>
      <w:bookmarkEnd w:id="290"/>
      <w:bookmarkEnd w:id="291"/>
      <w:bookmarkEnd w:id="292"/>
    </w:p>
    <w:p w14:paraId="54B0016C">
      <w:pPr>
        <w:pStyle w:val="68"/>
        <w:numPr>
          <w:ilvl w:val="0"/>
          <w:numId w:val="2"/>
        </w:numPr>
        <w:outlineLvl w:val="0"/>
        <w:rPr>
          <w:rStyle w:val="120"/>
          <w:rFonts w:hint="eastAsia" w:ascii="宋体" w:hAnsi="宋体" w:eastAsia="宋体" w:cs="宋体"/>
          <w:i/>
          <w:iCs/>
          <w:color w:val="auto"/>
          <w:highlight w:val="none"/>
          <w:u w:val="single"/>
        </w:rPr>
      </w:pPr>
      <w:bookmarkStart w:id="293" w:name="_Toc22227"/>
      <w:bookmarkStart w:id="294" w:name="_Toc24830"/>
      <w:bookmarkStart w:id="295" w:name="_Toc27901"/>
      <w:r>
        <w:rPr>
          <w:rStyle w:val="120"/>
          <w:rFonts w:hint="eastAsia" w:ascii="宋体" w:hAnsi="宋体" w:eastAsia="宋体" w:cs="宋体"/>
          <w:i/>
          <w:iCs/>
          <w:color w:val="auto"/>
          <w:highlight w:val="none"/>
          <w:u w:val="single"/>
        </w:rPr>
        <w:t>开标一览表必须加盖投标人公章（复印件无效）。</w:t>
      </w:r>
      <w:bookmarkEnd w:id="293"/>
      <w:bookmarkEnd w:id="294"/>
      <w:bookmarkEnd w:id="295"/>
    </w:p>
    <w:p w14:paraId="7CCE4A36">
      <w:pPr>
        <w:pStyle w:val="68"/>
        <w:numPr>
          <w:ilvl w:val="0"/>
          <w:numId w:val="2"/>
        </w:numPr>
        <w:outlineLvl w:val="0"/>
        <w:rPr>
          <w:rStyle w:val="120"/>
          <w:rFonts w:hint="eastAsia" w:ascii="宋体" w:hAnsi="宋体" w:eastAsia="宋体" w:cs="宋体"/>
          <w:i/>
          <w:iCs/>
          <w:color w:val="auto"/>
          <w:highlight w:val="none"/>
          <w:u w:val="single"/>
        </w:rPr>
      </w:pPr>
      <w:bookmarkStart w:id="296" w:name="_Toc7463"/>
      <w:bookmarkStart w:id="297" w:name="_Toc30436"/>
      <w:bookmarkStart w:id="298" w:name="_Toc3733"/>
      <w:r>
        <w:rPr>
          <w:rStyle w:val="120"/>
          <w:rFonts w:hint="eastAsia" w:ascii="宋体" w:hAnsi="宋体" w:eastAsia="宋体" w:cs="宋体"/>
          <w:i/>
          <w:iCs/>
          <w:color w:val="auto"/>
          <w:highlight w:val="none"/>
          <w:u w:val="single"/>
        </w:rPr>
        <w:t>如有分包，投标人投任何一个包的标的，都需单独填写开标一览表。</w:t>
      </w:r>
      <w:bookmarkEnd w:id="296"/>
      <w:bookmarkEnd w:id="297"/>
      <w:bookmarkEnd w:id="298"/>
    </w:p>
    <w:p w14:paraId="6F50F89C">
      <w:pPr>
        <w:pStyle w:val="68"/>
        <w:jc w:val="left"/>
        <w:outlineLvl w:val="1"/>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br w:type="page"/>
      </w:r>
      <w:bookmarkStart w:id="299" w:name="_Toc4756"/>
      <w:r>
        <w:rPr>
          <w:rStyle w:val="16"/>
          <w:rFonts w:hint="eastAsia" w:ascii="宋体" w:hAnsi="宋体" w:eastAsia="宋体" w:cs="宋体"/>
          <w:b/>
          <w:color w:val="auto"/>
          <w:sz w:val="32"/>
          <w:highlight w:val="none"/>
        </w:rPr>
        <w:t>四、资格证明文件</w:t>
      </w:r>
      <w:bookmarkEnd w:id="299"/>
    </w:p>
    <w:p w14:paraId="6250EBFC">
      <w:pPr>
        <w:pStyle w:val="121"/>
        <w:numPr>
          <w:ilvl w:val="0"/>
          <w:numId w:val="0"/>
        </w:numPr>
        <w:spacing w:line="400" w:lineRule="exact"/>
        <w:ind w:left="105" w:firstLine="482"/>
        <w:rPr>
          <w:rFonts w:hint="eastAsia" w:ascii="宋体" w:hAnsi="宋体" w:eastAsia="宋体" w:cs="宋体"/>
          <w:b/>
          <w:bCs/>
          <w:i/>
          <w:color w:val="auto"/>
          <w:sz w:val="24"/>
          <w:szCs w:val="24"/>
          <w:highlight w:val="none"/>
          <w:u w:val="single"/>
        </w:rPr>
      </w:pPr>
      <w:r>
        <w:rPr>
          <w:rFonts w:hint="eastAsia" w:ascii="宋体" w:hAnsi="宋体" w:eastAsia="宋体" w:cs="宋体"/>
          <w:b/>
          <w:bCs/>
          <w:i/>
          <w:color w:val="auto"/>
          <w:sz w:val="24"/>
          <w:szCs w:val="24"/>
          <w:highlight w:val="none"/>
          <w:u w:val="single"/>
        </w:rPr>
        <w:t>投标人必须在投标文件提交截止时间之前递交以下资格证明文件：</w:t>
      </w:r>
    </w:p>
    <w:p w14:paraId="406DB285">
      <w:pPr>
        <w:pStyle w:val="121"/>
        <w:numPr>
          <w:ilvl w:val="0"/>
          <w:numId w:val="0"/>
        </w:numPr>
        <w:spacing w:line="440" w:lineRule="exact"/>
        <w:ind w:left="105"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0749E196">
      <w:pPr>
        <w:pStyle w:val="121"/>
        <w:numPr>
          <w:ilvl w:val="0"/>
          <w:numId w:val="0"/>
        </w:numPr>
        <w:spacing w:line="440" w:lineRule="exact"/>
        <w:ind w:left="105"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2、财务状况报告（成立不满一年不需要提供）；</w:t>
      </w:r>
    </w:p>
    <w:p w14:paraId="7BE01CA5">
      <w:pPr>
        <w:pStyle w:val="121"/>
        <w:numPr>
          <w:ilvl w:val="0"/>
          <w:numId w:val="0"/>
        </w:numPr>
        <w:spacing w:line="440" w:lineRule="exact"/>
        <w:ind w:left="105"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3、依法缴纳税收和社会保障资金的相关材料；</w:t>
      </w:r>
    </w:p>
    <w:p w14:paraId="74EE5CF1">
      <w:pPr>
        <w:pStyle w:val="121"/>
        <w:numPr>
          <w:ilvl w:val="0"/>
          <w:numId w:val="0"/>
        </w:numPr>
        <w:spacing w:line="440" w:lineRule="exact"/>
        <w:ind w:left="105"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4、具备履行合同所必需的设备和专业技术能力的书面声明（格式见后）；</w:t>
      </w:r>
    </w:p>
    <w:p w14:paraId="03F26846">
      <w:pPr>
        <w:pStyle w:val="121"/>
        <w:numPr>
          <w:ilvl w:val="0"/>
          <w:numId w:val="0"/>
        </w:numPr>
        <w:spacing w:line="440" w:lineRule="exact"/>
        <w:ind w:firstLine="60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5、参加政府采购活动前3年内在经营活动中没有重大违法记录的书面声明（格式见后）；</w:t>
      </w:r>
    </w:p>
    <w:p w14:paraId="061FCA62">
      <w:pPr>
        <w:pStyle w:val="121"/>
        <w:numPr>
          <w:ilvl w:val="0"/>
          <w:numId w:val="0"/>
        </w:numPr>
        <w:spacing w:line="440" w:lineRule="exact"/>
        <w:ind w:firstLine="60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6、提供授权委托书（格式见后）；</w:t>
      </w:r>
    </w:p>
    <w:p w14:paraId="79AE0A94">
      <w:pPr>
        <w:pStyle w:val="121"/>
        <w:numPr>
          <w:ilvl w:val="0"/>
          <w:numId w:val="0"/>
        </w:numPr>
        <w:spacing w:line="440" w:lineRule="exact"/>
        <w:ind w:left="105" w:firstLine="480"/>
        <w:rPr>
          <w:rFonts w:hint="eastAsia"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7、关于资格证明文件的书面承诺（格式见后）。</w:t>
      </w:r>
    </w:p>
    <w:p w14:paraId="197BE5FA">
      <w:pPr>
        <w:rPr>
          <w:rStyle w:val="120"/>
          <w:rFonts w:hint="eastAsia" w:ascii="宋体" w:hAnsi="宋体" w:eastAsia="宋体" w:cs="宋体"/>
          <w:b/>
          <w:bCs/>
          <w:color w:val="auto"/>
          <w:sz w:val="32"/>
          <w:szCs w:val="32"/>
          <w:highlight w:val="none"/>
        </w:rPr>
      </w:pPr>
      <w:bookmarkStart w:id="300" w:name="_Toc14114"/>
      <w:r>
        <w:rPr>
          <w:rStyle w:val="120"/>
          <w:rFonts w:hint="eastAsia" w:ascii="宋体" w:hAnsi="宋体" w:eastAsia="宋体" w:cs="宋体"/>
          <w:b/>
          <w:bCs/>
          <w:color w:val="auto"/>
          <w:sz w:val="32"/>
          <w:szCs w:val="32"/>
          <w:highlight w:val="none"/>
        </w:rPr>
        <w:br w:type="page"/>
      </w:r>
    </w:p>
    <w:p w14:paraId="363B1CB4">
      <w:pPr>
        <w:pStyle w:val="80"/>
        <w:spacing w:before="320" w:after="320"/>
        <w:jc w:val="center"/>
        <w:outlineLvl w:val="1"/>
        <w:rPr>
          <w:rStyle w:val="120"/>
          <w:rFonts w:hint="eastAsia" w:ascii="宋体" w:hAnsi="宋体" w:eastAsia="宋体" w:cs="宋体"/>
          <w:b/>
          <w:bCs/>
          <w:color w:val="auto"/>
          <w:sz w:val="32"/>
          <w:szCs w:val="32"/>
          <w:highlight w:val="none"/>
        </w:rPr>
      </w:pPr>
      <w:bookmarkStart w:id="301" w:name="_Toc15456"/>
      <w:bookmarkStart w:id="302" w:name="_Toc30385"/>
      <w:r>
        <w:rPr>
          <w:rStyle w:val="120"/>
          <w:rFonts w:hint="eastAsia" w:ascii="宋体" w:hAnsi="宋体" w:eastAsia="宋体" w:cs="宋体"/>
          <w:b/>
          <w:bCs/>
          <w:color w:val="auto"/>
          <w:sz w:val="32"/>
          <w:szCs w:val="32"/>
          <w:highlight w:val="none"/>
        </w:rPr>
        <w:t>授权委托书</w:t>
      </w:r>
      <w:bookmarkEnd w:id="300"/>
      <w:bookmarkEnd w:id="301"/>
      <w:bookmarkEnd w:id="302"/>
    </w:p>
    <w:p w14:paraId="1DCC4EC3">
      <w:pPr>
        <w:pStyle w:val="80"/>
        <w:spacing w:before="240" w:after="24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 xml:space="preserve">  </w:t>
      </w:r>
    </w:p>
    <w:p w14:paraId="28045489">
      <w:pPr>
        <w:pStyle w:val="80"/>
        <w:spacing w:before="240" w:after="240"/>
        <w:ind w:firstLine="50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本授权书声明：</w:t>
      </w:r>
      <w:r>
        <w:rPr>
          <w:rStyle w:val="120"/>
          <w:rFonts w:hint="eastAsia" w:ascii="宋体" w:hAnsi="宋体" w:eastAsia="宋体" w:cs="宋体"/>
          <w:color w:val="auto"/>
          <w:highlight w:val="none"/>
          <w:u w:val="single"/>
        </w:rPr>
        <w:t xml:space="preserve">                      </w:t>
      </w:r>
      <w:r>
        <w:rPr>
          <w:rStyle w:val="120"/>
          <w:rFonts w:hint="eastAsia" w:ascii="宋体" w:hAnsi="宋体" w:eastAsia="宋体" w:cs="宋体"/>
          <w:color w:val="auto"/>
          <w:highlight w:val="none"/>
        </w:rPr>
        <w:t>（供应商人名称）授权</w:t>
      </w:r>
      <w:bookmarkStart w:id="303" w:name="sys_STR"/>
      <w:bookmarkEnd w:id="303"/>
      <w:r>
        <w:rPr>
          <w:rStyle w:val="120"/>
          <w:rFonts w:hint="eastAsia" w:ascii="宋体" w:hAnsi="宋体" w:eastAsia="宋体" w:cs="宋体"/>
          <w:color w:val="auto"/>
          <w:highlight w:val="none"/>
          <w:u w:val="single"/>
        </w:rPr>
        <w:t xml:space="preserve">        </w:t>
      </w:r>
      <w:r>
        <w:rPr>
          <w:rStyle w:val="120"/>
          <w:rFonts w:hint="eastAsia" w:ascii="宋体" w:hAnsi="宋体" w:eastAsia="宋体" w:cs="宋体"/>
          <w:color w:val="auto"/>
          <w:highlight w:val="none"/>
        </w:rPr>
        <w:t>(被授权人的姓名)为我方就</w:t>
      </w:r>
      <w:r>
        <w:rPr>
          <w:rStyle w:val="120"/>
          <w:rFonts w:hint="eastAsia" w:ascii="宋体" w:hAnsi="宋体" w:eastAsia="宋体" w:cs="宋体"/>
          <w:color w:val="auto"/>
          <w:highlight w:val="none"/>
          <w:u w:val="single"/>
        </w:rPr>
        <w:t xml:space="preserve">                       </w:t>
      </w:r>
      <w:r>
        <w:rPr>
          <w:rStyle w:val="120"/>
          <w:rFonts w:hint="eastAsia" w:ascii="宋体" w:hAnsi="宋体" w:eastAsia="宋体" w:cs="宋体"/>
          <w:color w:val="auto"/>
          <w:highlight w:val="none"/>
          <w:lang w:eastAsia="zh-CN"/>
        </w:rPr>
        <w:t>（项目名称）</w:t>
      </w:r>
      <w:r>
        <w:rPr>
          <w:rStyle w:val="120"/>
          <w:rFonts w:hint="eastAsia" w:ascii="宋体" w:hAnsi="宋体" w:eastAsia="宋体" w:cs="宋体"/>
          <w:color w:val="auto"/>
          <w:highlight w:val="none"/>
          <w:u w:val="single"/>
          <w:lang w:val="en-US" w:eastAsia="zh-CN"/>
        </w:rPr>
        <w:t xml:space="preserve">          </w:t>
      </w:r>
      <w:r>
        <w:rPr>
          <w:rStyle w:val="120"/>
          <w:rFonts w:hint="eastAsia" w:ascii="宋体" w:hAnsi="宋体" w:eastAsia="宋体" w:cs="宋体"/>
          <w:color w:val="auto"/>
          <w:highlight w:val="none"/>
          <w:u w:val="none"/>
          <w:lang w:val="en-US" w:eastAsia="zh-CN"/>
        </w:rPr>
        <w:t>（项目编号）</w:t>
      </w:r>
      <w:r>
        <w:rPr>
          <w:rStyle w:val="120"/>
          <w:rFonts w:hint="eastAsia" w:ascii="宋体" w:hAnsi="宋体" w:eastAsia="宋体" w:cs="宋体"/>
          <w:color w:val="auto"/>
          <w:highlight w:val="none"/>
        </w:rPr>
        <w:t xml:space="preserve">采购活动的合法代理人，以本单位名义全权处理一切与该项目采购有关的事务。 </w:t>
      </w:r>
    </w:p>
    <w:p w14:paraId="27C40995">
      <w:pPr>
        <w:pStyle w:val="80"/>
        <w:spacing w:before="240" w:after="240"/>
        <w:ind w:firstLine="50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本授权书于</w:t>
      </w:r>
      <w:r>
        <w:rPr>
          <w:rStyle w:val="120"/>
          <w:rFonts w:hint="eastAsia" w:ascii="宋体" w:hAnsi="宋体" w:eastAsia="宋体" w:cs="宋体"/>
          <w:color w:val="auto"/>
          <w:highlight w:val="none"/>
          <w:u w:val="single"/>
        </w:rPr>
        <w:t xml:space="preserve">  </w:t>
      </w:r>
      <w:r>
        <w:rPr>
          <w:rStyle w:val="120"/>
          <w:rFonts w:hint="eastAsia" w:ascii="宋体" w:hAnsi="宋体" w:eastAsia="宋体" w:cs="宋体"/>
          <w:color w:val="auto"/>
          <w:highlight w:val="none"/>
          <w:u w:val="single"/>
          <w:lang w:val="en-US" w:eastAsia="zh-CN"/>
        </w:rPr>
        <w:t xml:space="preserve">  </w:t>
      </w:r>
      <w:r>
        <w:rPr>
          <w:rStyle w:val="120"/>
          <w:rFonts w:hint="eastAsia" w:ascii="宋体" w:hAnsi="宋体" w:eastAsia="宋体" w:cs="宋体"/>
          <w:color w:val="auto"/>
          <w:highlight w:val="none"/>
          <w:u w:val="single"/>
        </w:rPr>
        <w:t xml:space="preserve"> 年</w:t>
      </w:r>
      <w:r>
        <w:rPr>
          <w:rStyle w:val="120"/>
          <w:rFonts w:hint="eastAsia" w:ascii="宋体" w:hAnsi="宋体" w:eastAsia="宋体" w:cs="宋体"/>
          <w:color w:val="auto"/>
          <w:highlight w:val="none"/>
          <w:u w:val="single"/>
          <w:lang w:val="en-US" w:eastAsia="zh-CN"/>
        </w:rPr>
        <w:t xml:space="preserve">  </w:t>
      </w:r>
      <w:r>
        <w:rPr>
          <w:rStyle w:val="120"/>
          <w:rFonts w:hint="eastAsia" w:ascii="宋体" w:hAnsi="宋体" w:eastAsia="宋体" w:cs="宋体"/>
          <w:color w:val="auto"/>
          <w:highlight w:val="none"/>
          <w:u w:val="single"/>
        </w:rPr>
        <w:t xml:space="preserve">  月   日</w:t>
      </w:r>
      <w:r>
        <w:rPr>
          <w:rStyle w:val="120"/>
          <w:rFonts w:hint="eastAsia" w:ascii="宋体" w:hAnsi="宋体" w:eastAsia="宋体" w:cs="宋体"/>
          <w:color w:val="auto"/>
          <w:highlight w:val="none"/>
        </w:rPr>
        <w:t xml:space="preserve">起生效，特此声明。  </w:t>
      </w:r>
    </w:p>
    <w:p w14:paraId="6FB52420">
      <w:pPr>
        <w:pStyle w:val="80"/>
        <w:spacing w:before="240" w:after="24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 </w:t>
      </w:r>
    </w:p>
    <w:p w14:paraId="5849D1F8">
      <w:pPr>
        <w:pStyle w:val="80"/>
        <w:spacing w:before="240" w:after="240"/>
        <w:ind w:firstLine="357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被授权人身份证号码：   </w:t>
      </w:r>
    </w:p>
    <w:p w14:paraId="30766CBE">
      <w:pPr>
        <w:pStyle w:val="80"/>
        <w:spacing w:before="240" w:after="240"/>
        <w:ind w:firstLine="357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被授权人联系电话：（手机）   </w:t>
      </w:r>
    </w:p>
    <w:p w14:paraId="4130EC15">
      <w:pPr>
        <w:pStyle w:val="80"/>
        <w:spacing w:before="240" w:after="240"/>
        <w:ind w:firstLine="357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授权单位名称：   （加盖公章）</w:t>
      </w:r>
    </w:p>
    <w:p w14:paraId="5D1B7661">
      <w:pPr>
        <w:pStyle w:val="80"/>
        <w:spacing w:before="240" w:after="240"/>
        <w:ind w:firstLine="357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 xml:space="preserve">单位地址：    </w:t>
      </w:r>
    </w:p>
    <w:p w14:paraId="21941FDF">
      <w:pPr>
        <w:pStyle w:val="80"/>
        <w:spacing w:before="240" w:after="240"/>
        <w:ind w:firstLine="360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日期：   年   月   日</w:t>
      </w:r>
    </w:p>
    <w:p w14:paraId="4415EE57">
      <w:pPr>
        <w:pStyle w:val="76"/>
        <w:spacing w:before="320" w:after="320"/>
        <w:jc w:val="center"/>
        <w:outlineLvl w:val="1"/>
        <w:rPr>
          <w:rStyle w:val="120"/>
          <w:rFonts w:hint="eastAsia" w:ascii="宋体" w:hAnsi="宋体" w:eastAsia="宋体" w:cs="宋体"/>
          <w:b/>
          <w:bCs/>
          <w:color w:val="auto"/>
          <w:sz w:val="32"/>
          <w:szCs w:val="32"/>
          <w:highlight w:val="none"/>
        </w:rPr>
      </w:pPr>
      <w:r>
        <w:rPr>
          <w:rStyle w:val="16"/>
          <w:rFonts w:hint="eastAsia" w:ascii="宋体" w:hAnsi="宋体" w:eastAsia="宋体" w:cs="宋体"/>
          <w:color w:val="auto"/>
          <w:highlight w:val="none"/>
        </w:rPr>
        <w:br w:type="page"/>
      </w:r>
      <w:r>
        <w:rPr>
          <w:rStyle w:val="16"/>
          <w:rFonts w:hint="eastAsia" w:ascii="宋体" w:hAnsi="宋体" w:eastAsia="宋体" w:cs="宋体"/>
          <w:b/>
          <w:color w:val="auto"/>
          <w:sz w:val="28"/>
          <w:highlight w:val="none"/>
        </w:rPr>
        <w:t xml:space="preserve">   </w:t>
      </w:r>
      <w:bookmarkStart w:id="304" w:name="_Toc10283"/>
      <w:bookmarkStart w:id="305" w:name="_Toc27904"/>
      <w:bookmarkStart w:id="306" w:name="_Toc15040"/>
      <w:r>
        <w:rPr>
          <w:rStyle w:val="120"/>
          <w:rFonts w:hint="eastAsia" w:ascii="宋体" w:hAnsi="宋体" w:eastAsia="宋体" w:cs="宋体"/>
          <w:b/>
          <w:bCs/>
          <w:color w:val="auto"/>
          <w:sz w:val="32"/>
          <w:szCs w:val="32"/>
          <w:highlight w:val="none"/>
        </w:rPr>
        <w:t>具备履行合同所必需的设备和专业技术能力的书面声明</w:t>
      </w:r>
      <w:bookmarkEnd w:id="304"/>
      <w:bookmarkEnd w:id="305"/>
      <w:bookmarkEnd w:id="306"/>
    </w:p>
    <w:p w14:paraId="27A6C5F7">
      <w:pPr>
        <w:pStyle w:val="76"/>
        <w:spacing w:before="240" w:after="24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 </w:t>
      </w:r>
    </w:p>
    <w:p w14:paraId="0F2C0A5E">
      <w:pPr>
        <w:pStyle w:val="76"/>
        <w:spacing w:before="320" w:after="32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 xml:space="preserve">我单位郑重声明： </w:t>
      </w:r>
    </w:p>
    <w:p w14:paraId="019DABCB">
      <w:pPr>
        <w:pStyle w:val="76"/>
        <w:spacing w:before="320" w:after="32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 xml:space="preserve">我单位具备履行本项采购合同所必需的设备和专业技术能力。 </w:t>
      </w:r>
    </w:p>
    <w:p w14:paraId="1C08A114">
      <w:pPr>
        <w:pStyle w:val="76"/>
        <w:spacing w:before="360" w:after="360"/>
        <w:rPr>
          <w:rStyle w:val="120"/>
          <w:rFonts w:hint="eastAsia" w:ascii="宋体" w:hAnsi="宋体" w:eastAsia="宋体" w:cs="宋体"/>
          <w:color w:val="auto"/>
          <w:sz w:val="36"/>
          <w:szCs w:val="36"/>
          <w:highlight w:val="none"/>
        </w:rPr>
      </w:pPr>
      <w:r>
        <w:rPr>
          <w:rStyle w:val="120"/>
          <w:rFonts w:hint="eastAsia" w:ascii="宋体" w:hAnsi="宋体" w:eastAsia="宋体" w:cs="宋体"/>
          <w:color w:val="auto"/>
          <w:sz w:val="36"/>
          <w:szCs w:val="36"/>
          <w:highlight w:val="none"/>
        </w:rPr>
        <w:t> </w:t>
      </w:r>
    </w:p>
    <w:p w14:paraId="027B49B6">
      <w:pPr>
        <w:pStyle w:val="76"/>
        <w:spacing w:before="360" w:after="360"/>
        <w:jc w:val="center"/>
        <w:outlineLvl w:val="1"/>
        <w:rPr>
          <w:rStyle w:val="120"/>
          <w:rFonts w:hint="eastAsia" w:ascii="宋体" w:hAnsi="宋体" w:eastAsia="宋体" w:cs="宋体"/>
          <w:color w:val="auto"/>
          <w:sz w:val="36"/>
          <w:szCs w:val="36"/>
          <w:highlight w:val="none"/>
        </w:rPr>
      </w:pPr>
      <w:bookmarkStart w:id="307" w:name="_Toc21254"/>
      <w:bookmarkStart w:id="308" w:name="_Toc419"/>
      <w:bookmarkStart w:id="309" w:name="_Toc6990"/>
      <w:r>
        <w:rPr>
          <w:rStyle w:val="120"/>
          <w:rFonts w:hint="eastAsia" w:ascii="宋体" w:hAnsi="宋体" w:eastAsia="宋体" w:cs="宋体"/>
          <w:color w:val="auto"/>
          <w:sz w:val="36"/>
          <w:szCs w:val="36"/>
          <w:highlight w:val="none"/>
        </w:rPr>
        <w:t> </w:t>
      </w:r>
      <w:r>
        <w:rPr>
          <w:rFonts w:hint="eastAsia" w:ascii="宋体" w:hAnsi="宋体" w:eastAsia="宋体" w:cs="宋体"/>
          <w:color w:val="auto"/>
          <w:highlight w:val="none"/>
        </w:rPr>
        <w:t xml:space="preserve">    供应商名称（加盖公章）：</w:t>
      </w:r>
      <w:bookmarkEnd w:id="307"/>
      <w:bookmarkEnd w:id="308"/>
      <w:bookmarkEnd w:id="309"/>
    </w:p>
    <w:p w14:paraId="2DC7A99E">
      <w:pPr>
        <w:pStyle w:val="77"/>
        <w:rPr>
          <w:rStyle w:val="120"/>
          <w:rFonts w:hint="eastAsia" w:ascii="宋体" w:hAnsi="宋体" w:eastAsia="宋体" w:cs="宋体"/>
          <w:color w:val="auto"/>
          <w:sz w:val="36"/>
          <w:szCs w:val="36"/>
          <w:highlight w:val="none"/>
        </w:rPr>
      </w:pPr>
      <w:r>
        <w:rPr>
          <w:rStyle w:val="120"/>
          <w:rFonts w:hint="eastAsia" w:ascii="宋体" w:hAnsi="宋体" w:eastAsia="宋体" w:cs="宋体"/>
          <w:color w:val="auto"/>
          <w:sz w:val="36"/>
          <w:szCs w:val="36"/>
          <w:highlight w:val="none"/>
        </w:rPr>
        <w:t> </w:t>
      </w:r>
    </w:p>
    <w:p w14:paraId="3FBA3246">
      <w:pPr>
        <w:pStyle w:val="77"/>
        <w:rPr>
          <w:rStyle w:val="120"/>
          <w:rFonts w:hint="eastAsia" w:ascii="宋体" w:hAnsi="宋体" w:eastAsia="宋体" w:cs="宋体"/>
          <w:color w:val="auto"/>
          <w:sz w:val="36"/>
          <w:szCs w:val="36"/>
          <w:highlight w:val="none"/>
        </w:rPr>
      </w:pPr>
    </w:p>
    <w:p w14:paraId="63DC4870">
      <w:pPr>
        <w:pStyle w:val="77"/>
        <w:rPr>
          <w:rStyle w:val="120"/>
          <w:rFonts w:hint="eastAsia" w:ascii="宋体" w:hAnsi="宋体" w:eastAsia="宋体" w:cs="宋体"/>
          <w:color w:val="auto"/>
          <w:sz w:val="36"/>
          <w:szCs w:val="36"/>
          <w:highlight w:val="none"/>
        </w:rPr>
      </w:pPr>
    </w:p>
    <w:p w14:paraId="25B7F7CE">
      <w:pPr>
        <w:pStyle w:val="77"/>
        <w:rPr>
          <w:rStyle w:val="120"/>
          <w:rFonts w:hint="eastAsia" w:ascii="宋体" w:hAnsi="宋体" w:eastAsia="宋体" w:cs="宋体"/>
          <w:color w:val="auto"/>
          <w:sz w:val="36"/>
          <w:szCs w:val="36"/>
          <w:highlight w:val="none"/>
        </w:rPr>
      </w:pPr>
    </w:p>
    <w:p w14:paraId="057D3ACE">
      <w:pPr>
        <w:pStyle w:val="77"/>
        <w:rPr>
          <w:rStyle w:val="120"/>
          <w:rFonts w:hint="eastAsia" w:ascii="宋体" w:hAnsi="宋体" w:eastAsia="宋体" w:cs="宋体"/>
          <w:color w:val="auto"/>
          <w:sz w:val="36"/>
          <w:szCs w:val="36"/>
          <w:highlight w:val="none"/>
        </w:rPr>
      </w:pPr>
    </w:p>
    <w:p w14:paraId="715925CC">
      <w:pPr>
        <w:pStyle w:val="77"/>
        <w:rPr>
          <w:rStyle w:val="120"/>
          <w:rFonts w:hint="eastAsia" w:ascii="宋体" w:hAnsi="宋体" w:eastAsia="宋体" w:cs="宋体"/>
          <w:color w:val="auto"/>
          <w:sz w:val="36"/>
          <w:szCs w:val="36"/>
          <w:highlight w:val="none"/>
        </w:rPr>
      </w:pPr>
    </w:p>
    <w:p w14:paraId="0AFCDBFB">
      <w:pPr>
        <w:pStyle w:val="77"/>
        <w:rPr>
          <w:rStyle w:val="120"/>
          <w:rFonts w:hint="eastAsia" w:ascii="宋体" w:hAnsi="宋体" w:eastAsia="宋体" w:cs="宋体"/>
          <w:color w:val="auto"/>
          <w:sz w:val="36"/>
          <w:szCs w:val="36"/>
          <w:highlight w:val="none"/>
        </w:rPr>
      </w:pPr>
    </w:p>
    <w:p w14:paraId="56D51F44">
      <w:pPr>
        <w:pStyle w:val="77"/>
        <w:rPr>
          <w:rStyle w:val="120"/>
          <w:rFonts w:hint="eastAsia" w:ascii="宋体" w:hAnsi="宋体" w:eastAsia="宋体" w:cs="宋体"/>
          <w:color w:val="auto"/>
          <w:sz w:val="36"/>
          <w:szCs w:val="36"/>
          <w:highlight w:val="none"/>
        </w:rPr>
      </w:pPr>
    </w:p>
    <w:p w14:paraId="50A06B3B">
      <w:pPr>
        <w:pStyle w:val="77"/>
        <w:rPr>
          <w:rStyle w:val="120"/>
          <w:rFonts w:hint="eastAsia" w:ascii="宋体" w:hAnsi="宋体" w:eastAsia="宋体" w:cs="宋体"/>
          <w:color w:val="auto"/>
          <w:sz w:val="36"/>
          <w:szCs w:val="36"/>
          <w:highlight w:val="none"/>
        </w:rPr>
      </w:pPr>
    </w:p>
    <w:p w14:paraId="2A54C783">
      <w:pPr>
        <w:pStyle w:val="77"/>
        <w:rPr>
          <w:rStyle w:val="120"/>
          <w:rFonts w:hint="eastAsia" w:ascii="宋体" w:hAnsi="宋体" w:eastAsia="宋体" w:cs="宋体"/>
          <w:color w:val="auto"/>
          <w:sz w:val="36"/>
          <w:szCs w:val="36"/>
          <w:highlight w:val="none"/>
        </w:rPr>
      </w:pPr>
    </w:p>
    <w:p w14:paraId="58DC5C77">
      <w:pPr>
        <w:pStyle w:val="77"/>
        <w:rPr>
          <w:rStyle w:val="120"/>
          <w:rFonts w:hint="eastAsia" w:ascii="宋体" w:hAnsi="宋体" w:eastAsia="宋体" w:cs="宋体"/>
          <w:color w:val="auto"/>
          <w:sz w:val="36"/>
          <w:szCs w:val="36"/>
          <w:highlight w:val="none"/>
        </w:rPr>
      </w:pPr>
    </w:p>
    <w:p w14:paraId="480A6AB8">
      <w:pPr>
        <w:pStyle w:val="77"/>
        <w:rPr>
          <w:rStyle w:val="120"/>
          <w:rFonts w:hint="eastAsia" w:ascii="宋体" w:hAnsi="宋体" w:eastAsia="宋体" w:cs="宋体"/>
          <w:color w:val="auto"/>
          <w:sz w:val="36"/>
          <w:szCs w:val="36"/>
          <w:highlight w:val="none"/>
        </w:rPr>
      </w:pPr>
    </w:p>
    <w:p w14:paraId="0F912C0B">
      <w:pPr>
        <w:pStyle w:val="77"/>
        <w:rPr>
          <w:rStyle w:val="120"/>
          <w:rFonts w:hint="eastAsia" w:ascii="宋体" w:hAnsi="宋体" w:eastAsia="宋体" w:cs="宋体"/>
          <w:color w:val="auto"/>
          <w:sz w:val="36"/>
          <w:szCs w:val="36"/>
          <w:highlight w:val="none"/>
        </w:rPr>
      </w:pPr>
    </w:p>
    <w:p w14:paraId="4656C1D8">
      <w:pPr>
        <w:pStyle w:val="77"/>
        <w:rPr>
          <w:rStyle w:val="120"/>
          <w:rFonts w:hint="eastAsia" w:ascii="宋体" w:hAnsi="宋体" w:eastAsia="宋体" w:cs="宋体"/>
          <w:color w:val="auto"/>
          <w:sz w:val="36"/>
          <w:szCs w:val="36"/>
          <w:highlight w:val="none"/>
        </w:rPr>
      </w:pPr>
    </w:p>
    <w:p w14:paraId="7BEA8537">
      <w:pPr>
        <w:pStyle w:val="77"/>
        <w:rPr>
          <w:rStyle w:val="120"/>
          <w:rFonts w:hint="eastAsia" w:ascii="宋体" w:hAnsi="宋体" w:eastAsia="宋体" w:cs="宋体"/>
          <w:color w:val="auto"/>
          <w:sz w:val="36"/>
          <w:szCs w:val="36"/>
          <w:highlight w:val="none"/>
        </w:rPr>
      </w:pPr>
    </w:p>
    <w:p w14:paraId="7D19CBDF">
      <w:pPr>
        <w:pStyle w:val="77"/>
        <w:rPr>
          <w:rStyle w:val="120"/>
          <w:rFonts w:hint="eastAsia" w:ascii="宋体" w:hAnsi="宋体" w:eastAsia="宋体" w:cs="宋体"/>
          <w:color w:val="auto"/>
          <w:sz w:val="36"/>
          <w:szCs w:val="36"/>
          <w:highlight w:val="none"/>
        </w:rPr>
      </w:pPr>
    </w:p>
    <w:p w14:paraId="2B195872">
      <w:pPr>
        <w:pStyle w:val="77"/>
        <w:rPr>
          <w:rStyle w:val="120"/>
          <w:rFonts w:hint="eastAsia" w:ascii="宋体" w:hAnsi="宋体" w:eastAsia="宋体" w:cs="宋体"/>
          <w:color w:val="auto"/>
          <w:sz w:val="36"/>
          <w:szCs w:val="36"/>
          <w:highlight w:val="none"/>
        </w:rPr>
      </w:pPr>
    </w:p>
    <w:p w14:paraId="16E964B9">
      <w:pPr>
        <w:pStyle w:val="77"/>
        <w:rPr>
          <w:rStyle w:val="120"/>
          <w:rFonts w:hint="eastAsia" w:ascii="宋体" w:hAnsi="宋体" w:eastAsia="宋体" w:cs="宋体"/>
          <w:color w:val="auto"/>
          <w:sz w:val="36"/>
          <w:szCs w:val="36"/>
          <w:highlight w:val="none"/>
        </w:rPr>
      </w:pPr>
    </w:p>
    <w:p w14:paraId="64420C7C">
      <w:pPr>
        <w:pStyle w:val="77"/>
        <w:rPr>
          <w:rStyle w:val="120"/>
          <w:rFonts w:hint="eastAsia" w:ascii="宋体" w:hAnsi="宋体" w:eastAsia="宋体" w:cs="宋体"/>
          <w:color w:val="auto"/>
          <w:sz w:val="36"/>
          <w:szCs w:val="36"/>
          <w:highlight w:val="none"/>
        </w:rPr>
      </w:pPr>
    </w:p>
    <w:p w14:paraId="6C1158C8">
      <w:pPr>
        <w:pStyle w:val="78"/>
        <w:spacing w:line="440" w:lineRule="exact"/>
        <w:rPr>
          <w:rStyle w:val="120"/>
          <w:rFonts w:hint="eastAsia" w:ascii="宋体" w:hAnsi="宋体" w:eastAsia="宋体" w:cs="宋体"/>
          <w:color w:val="auto"/>
          <w:spacing w:val="7"/>
          <w:highlight w:val="none"/>
        </w:rPr>
      </w:pPr>
      <w:r>
        <w:rPr>
          <w:rStyle w:val="120"/>
          <w:rFonts w:hint="eastAsia" w:ascii="宋体" w:hAnsi="宋体" w:eastAsia="宋体" w:cs="宋体"/>
          <w:color w:val="auto"/>
          <w:highlight w:val="none"/>
        </w:rPr>
        <w:t xml:space="preserve">﻿ </w:t>
      </w:r>
    </w:p>
    <w:p w14:paraId="7ABF3662">
      <w:pPr>
        <w:spacing w:line="560" w:lineRule="exact"/>
        <w:ind w:firstLine="480"/>
        <w:jc w:val="center"/>
        <w:outlineLvl w:val="1"/>
        <w:rPr>
          <w:rFonts w:hint="eastAsia" w:ascii="宋体" w:hAnsi="宋体" w:eastAsia="宋体" w:cs="宋体"/>
          <w:b/>
          <w:color w:val="auto"/>
          <w:sz w:val="32"/>
          <w:szCs w:val="32"/>
          <w:highlight w:val="none"/>
        </w:rPr>
      </w:pPr>
      <w:bookmarkStart w:id="310" w:name="_Toc18420"/>
      <w:bookmarkStart w:id="311" w:name="_Toc24682"/>
      <w:bookmarkStart w:id="312" w:name="_Toc14754"/>
      <w:r>
        <w:rPr>
          <w:rFonts w:hint="eastAsia" w:ascii="宋体" w:hAnsi="宋体" w:eastAsia="宋体" w:cs="宋体"/>
          <w:b/>
          <w:color w:val="auto"/>
          <w:sz w:val="32"/>
          <w:szCs w:val="32"/>
          <w:highlight w:val="none"/>
        </w:rPr>
        <w:t>参加政府采购活动前3年内在经营活动中没有重大违法记录的书面声明</w:t>
      </w:r>
      <w:bookmarkEnd w:id="310"/>
      <w:bookmarkEnd w:id="311"/>
      <w:bookmarkEnd w:id="312"/>
    </w:p>
    <w:p w14:paraId="39D83DB2">
      <w:pPr>
        <w:spacing w:line="360" w:lineRule="auto"/>
        <w:rPr>
          <w:rFonts w:hint="eastAsia" w:ascii="宋体" w:hAnsi="宋体" w:eastAsia="宋体" w:cs="宋体"/>
          <w:color w:val="auto"/>
          <w:highlight w:val="none"/>
        </w:rPr>
      </w:pPr>
    </w:p>
    <w:p w14:paraId="4E5904D8">
      <w:pPr>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声明</w:t>
      </w:r>
    </w:p>
    <w:p w14:paraId="6D733D78">
      <w:pPr>
        <w:spacing w:line="360" w:lineRule="auto"/>
        <w:ind w:firstLine="480"/>
        <w:rPr>
          <w:rFonts w:hint="eastAsia" w:ascii="宋体" w:hAnsi="宋体" w:eastAsia="宋体" w:cs="宋体"/>
          <w:color w:val="auto"/>
          <w:sz w:val="24"/>
          <w:highlight w:val="none"/>
        </w:rPr>
      </w:pPr>
    </w:p>
    <w:p w14:paraId="194CC6B2">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67639467">
      <w:pPr>
        <w:spacing w:line="360" w:lineRule="auto"/>
        <w:ind w:firstLine="480"/>
        <w:rPr>
          <w:rFonts w:hint="eastAsia" w:ascii="宋体" w:hAnsi="宋体" w:eastAsia="宋体" w:cs="宋体"/>
          <w:color w:val="auto"/>
          <w:sz w:val="24"/>
          <w:highlight w:val="none"/>
        </w:rPr>
      </w:pPr>
    </w:p>
    <w:p w14:paraId="496F8978">
      <w:pPr>
        <w:spacing w:line="360" w:lineRule="auto"/>
        <w:ind w:firstLine="480"/>
        <w:rPr>
          <w:rFonts w:hint="eastAsia" w:ascii="宋体" w:hAnsi="宋体" w:eastAsia="宋体" w:cs="宋体"/>
          <w:color w:val="auto"/>
          <w:sz w:val="24"/>
          <w:highlight w:val="none"/>
        </w:rPr>
      </w:pPr>
    </w:p>
    <w:p w14:paraId="5B3E7E6E">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4417361">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供应商名称（加盖公章）：</w:t>
      </w:r>
    </w:p>
    <w:p w14:paraId="517E46E8">
      <w:pPr>
        <w:pStyle w:val="78"/>
        <w:spacing w:before="240" w:after="240"/>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t> </w:t>
      </w:r>
    </w:p>
    <w:p w14:paraId="05621575">
      <w:pPr>
        <w:spacing w:line="360" w:lineRule="auto"/>
        <w:ind w:firstLine="420"/>
        <w:jc w:val="center"/>
        <w:rPr>
          <w:rStyle w:val="120"/>
          <w:rFonts w:hint="eastAsia" w:ascii="宋体" w:hAnsi="宋体" w:eastAsia="宋体" w:cs="宋体"/>
          <w:color w:val="auto"/>
          <w:highlight w:val="none"/>
        </w:rPr>
      </w:pPr>
      <w:r>
        <w:rPr>
          <w:rStyle w:val="120"/>
          <w:rFonts w:hint="eastAsia" w:ascii="宋体" w:hAnsi="宋体" w:eastAsia="宋体" w:cs="宋体"/>
          <w:color w:val="auto"/>
          <w:highlight w:val="none"/>
        </w:rPr>
        <w:br w:type="page" w:clear="all"/>
      </w:r>
    </w:p>
    <w:p w14:paraId="04FAE4B3">
      <w:pPr>
        <w:spacing w:line="360" w:lineRule="auto"/>
        <w:ind w:firstLine="420"/>
        <w:jc w:val="center"/>
        <w:rPr>
          <w:rStyle w:val="120"/>
          <w:rFonts w:hint="eastAsia" w:ascii="宋体" w:hAnsi="宋体" w:eastAsia="宋体" w:cs="宋体"/>
          <w:color w:val="auto"/>
          <w:highlight w:val="none"/>
        </w:rPr>
      </w:pPr>
    </w:p>
    <w:p w14:paraId="6F8EB27D">
      <w:pPr>
        <w:spacing w:line="360" w:lineRule="auto"/>
        <w:ind w:firstLine="562"/>
        <w:jc w:val="center"/>
        <w:outlineLvl w:val="1"/>
        <w:rPr>
          <w:rFonts w:hint="eastAsia" w:ascii="宋体" w:hAnsi="宋体" w:eastAsia="宋体" w:cs="宋体"/>
          <w:b/>
          <w:color w:val="auto"/>
          <w:sz w:val="32"/>
          <w:szCs w:val="32"/>
          <w:highlight w:val="none"/>
        </w:rPr>
      </w:pPr>
      <w:r>
        <w:rPr>
          <w:rStyle w:val="120"/>
          <w:rFonts w:hint="eastAsia" w:ascii="宋体" w:hAnsi="宋体" w:eastAsia="宋体" w:cs="宋体"/>
          <w:b/>
          <w:color w:val="auto"/>
          <w:sz w:val="28"/>
          <w:highlight w:val="none"/>
        </w:rPr>
        <w:t xml:space="preserve">  </w:t>
      </w:r>
      <w:bookmarkStart w:id="313" w:name="_Toc17490"/>
      <w:bookmarkStart w:id="314" w:name="_Toc13190"/>
      <w:bookmarkStart w:id="315" w:name="_Toc3102"/>
      <w:r>
        <w:rPr>
          <w:rFonts w:hint="eastAsia" w:ascii="宋体" w:hAnsi="宋体" w:eastAsia="宋体" w:cs="宋体"/>
          <w:b/>
          <w:color w:val="auto"/>
          <w:sz w:val="32"/>
          <w:szCs w:val="32"/>
          <w:highlight w:val="none"/>
        </w:rPr>
        <w:t>关于资格证明文件的书面承诺</w:t>
      </w:r>
      <w:bookmarkEnd w:id="313"/>
      <w:bookmarkEnd w:id="314"/>
      <w:bookmarkEnd w:id="315"/>
    </w:p>
    <w:p w14:paraId="6F0D57FE">
      <w:pPr>
        <w:spacing w:line="360" w:lineRule="auto"/>
        <w:ind w:firstLine="643"/>
        <w:jc w:val="center"/>
        <w:rPr>
          <w:rFonts w:hint="eastAsia" w:ascii="宋体" w:hAnsi="宋体" w:eastAsia="宋体" w:cs="宋体"/>
          <w:b/>
          <w:color w:val="auto"/>
          <w:sz w:val="32"/>
          <w:szCs w:val="32"/>
          <w:highlight w:val="none"/>
        </w:rPr>
      </w:pPr>
    </w:p>
    <w:p w14:paraId="2AA9491C">
      <w:pPr>
        <w:pStyle w:val="122"/>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6B884573">
      <w:pPr>
        <w:spacing w:line="360" w:lineRule="auto"/>
        <w:ind w:firstLine="480"/>
        <w:rPr>
          <w:rFonts w:hint="eastAsia" w:ascii="宋体" w:hAnsi="宋体" w:eastAsia="宋体" w:cs="宋体"/>
          <w:color w:val="auto"/>
          <w:sz w:val="24"/>
          <w:highlight w:val="none"/>
        </w:rPr>
      </w:pPr>
    </w:p>
    <w:p w14:paraId="19208813">
      <w:pPr>
        <w:spacing w:line="360" w:lineRule="auto"/>
        <w:ind w:firstLine="643"/>
        <w:jc w:val="center"/>
        <w:rPr>
          <w:rFonts w:hint="eastAsia" w:ascii="宋体" w:hAnsi="宋体" w:eastAsia="宋体" w:cs="宋体"/>
          <w:b/>
          <w:color w:val="auto"/>
          <w:sz w:val="32"/>
          <w:szCs w:val="32"/>
          <w:highlight w:val="none"/>
        </w:rPr>
      </w:pPr>
    </w:p>
    <w:p w14:paraId="00121D13">
      <w:pPr>
        <w:spacing w:line="360" w:lineRule="auto"/>
        <w:ind w:firstLine="480"/>
        <w:jc w:val="center"/>
        <w:outlineLvl w:val="1"/>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bookmarkStart w:id="316" w:name="_Toc4757"/>
      <w:bookmarkStart w:id="317" w:name="_Toc5040"/>
      <w:bookmarkStart w:id="318" w:name="_Toc1005"/>
      <w:r>
        <w:rPr>
          <w:rFonts w:hint="eastAsia" w:ascii="宋体" w:hAnsi="宋体" w:eastAsia="宋体" w:cs="宋体"/>
          <w:color w:val="auto"/>
          <w:sz w:val="24"/>
          <w:highlight w:val="none"/>
        </w:rPr>
        <w:t>供应商名称（加盖公章）：</w:t>
      </w:r>
      <w:bookmarkEnd w:id="316"/>
      <w:bookmarkEnd w:id="317"/>
      <w:bookmarkEnd w:id="318"/>
    </w:p>
    <w:p w14:paraId="618602B3">
      <w:pPr>
        <w:pStyle w:val="89"/>
        <w:rPr>
          <w:rStyle w:val="120"/>
          <w:rFonts w:hint="eastAsia" w:ascii="宋体" w:hAnsi="宋体" w:eastAsia="宋体" w:cs="宋体"/>
          <w:b/>
          <w:color w:val="auto"/>
          <w:sz w:val="28"/>
          <w:highlight w:val="none"/>
        </w:rPr>
      </w:pPr>
    </w:p>
    <w:p w14:paraId="459F489F">
      <w:pPr>
        <w:pStyle w:val="82"/>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w:t>
      </w:r>
    </w:p>
    <w:p w14:paraId="4B940716">
      <w:pPr>
        <w:pStyle w:val="84"/>
        <w:jc w:val="left"/>
        <w:outlineLvl w:val="1"/>
        <w:rPr>
          <w:rStyle w:val="16"/>
          <w:rFonts w:ascii="Times New Roman" w:hAnsi="Times New Roman" w:eastAsia="Times New Roman" w:cs="Times New Roman"/>
          <w:color w:val="auto"/>
          <w:highlight w:val="none"/>
        </w:rPr>
      </w:pPr>
      <w:r>
        <w:rPr>
          <w:rStyle w:val="16"/>
          <w:rFonts w:hint="eastAsia" w:ascii="宋体" w:hAnsi="宋体" w:eastAsia="宋体" w:cs="宋体"/>
          <w:color w:val="auto"/>
          <w:highlight w:val="none"/>
        </w:rPr>
        <w:br w:type="page"/>
      </w:r>
      <w:bookmarkStart w:id="319" w:name="_Toc256000018"/>
      <w:bookmarkStart w:id="320" w:name="_Toc10156"/>
      <w:r>
        <w:rPr>
          <w:rStyle w:val="16"/>
          <w:rFonts w:ascii="宋体" w:hAnsi="宋体" w:eastAsia="宋体" w:cs="宋体"/>
          <w:b/>
          <w:color w:val="auto"/>
          <w:sz w:val="32"/>
          <w:highlight w:val="none"/>
        </w:rPr>
        <w:t>五、经费测算明细表</w:t>
      </w:r>
      <w:bookmarkEnd w:id="319"/>
      <w:bookmarkEnd w:id="320"/>
    </w:p>
    <w:p w14:paraId="5F990BC8">
      <w:pPr>
        <w:pStyle w:val="85"/>
        <w:spacing w:line="440" w:lineRule="exact"/>
        <w:outlineLvl w:val="9"/>
        <w:rPr>
          <w:rStyle w:val="16"/>
          <w:rFonts w:ascii="Times New Roman" w:hAnsi="Times New Roman" w:eastAsia="Times New Roman" w:cs="Times New Roman"/>
          <w:color w:val="auto"/>
          <w:spacing w:val="7"/>
          <w:highlight w:val="none"/>
        </w:rPr>
      </w:pPr>
      <w:r>
        <w:rPr>
          <w:rStyle w:val="16"/>
          <w:rFonts w:ascii="宋体" w:hAnsi="宋体" w:eastAsia="宋体" w:cs="宋体"/>
          <w:color w:val="auto"/>
          <w:highlight w:val="none"/>
        </w:rPr>
        <w:t xml:space="preserve">﻿ </w:t>
      </w:r>
    </w:p>
    <w:p w14:paraId="25FD0BFC">
      <w:pPr>
        <w:pStyle w:val="85"/>
        <w:spacing w:before="400" w:after="400" w:line="300" w:lineRule="auto"/>
        <w:jc w:val="center"/>
        <w:rPr>
          <w:rStyle w:val="16"/>
          <w:rFonts w:ascii="黑体" w:hAnsi="黑体" w:eastAsia="黑体" w:cs="黑体"/>
          <w:b/>
          <w:bCs/>
          <w:color w:val="auto"/>
          <w:sz w:val="40"/>
          <w:szCs w:val="40"/>
          <w:highlight w:val="none"/>
        </w:rPr>
      </w:pPr>
      <w:r>
        <w:rPr>
          <w:rStyle w:val="16"/>
          <w:rFonts w:ascii="黑体" w:hAnsi="黑体" w:eastAsia="黑体" w:cs="黑体"/>
          <w:b/>
          <w:bCs/>
          <w:color w:val="auto"/>
          <w:sz w:val="40"/>
          <w:szCs w:val="40"/>
          <w:highlight w:val="none"/>
        </w:rPr>
        <w:t xml:space="preserve">经费测算明细表 </w:t>
      </w:r>
    </w:p>
    <w:p w14:paraId="2BC24AA8">
      <w:pPr>
        <w:pStyle w:val="85"/>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highlight w:val="none"/>
        </w:rPr>
        <w:t xml:space="preserve">  </w:t>
      </w:r>
    </w:p>
    <w:tbl>
      <w:tblPr>
        <w:tblStyle w:val="15"/>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81"/>
        <w:gridCol w:w="2184"/>
        <w:gridCol w:w="2821"/>
        <w:gridCol w:w="1039"/>
        <w:gridCol w:w="1039"/>
        <w:gridCol w:w="1421"/>
      </w:tblGrid>
      <w:tr w14:paraId="24482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1" w:type="dxa"/>
            <w:noWrap w:val="0"/>
            <w:tcMar>
              <w:top w:w="0" w:type="dxa"/>
              <w:left w:w="0" w:type="dxa"/>
              <w:bottom w:w="0" w:type="dxa"/>
              <w:right w:w="0" w:type="dxa"/>
            </w:tcMar>
            <w:vAlign w:val="center"/>
          </w:tcPr>
          <w:p w14:paraId="58F861A8">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序号</w:t>
            </w:r>
          </w:p>
        </w:tc>
        <w:tc>
          <w:tcPr>
            <w:tcW w:w="2184" w:type="dxa"/>
            <w:noWrap w:val="0"/>
            <w:tcMar>
              <w:top w:w="0" w:type="dxa"/>
              <w:left w:w="0" w:type="dxa"/>
              <w:bottom w:w="0" w:type="dxa"/>
              <w:right w:w="0" w:type="dxa"/>
            </w:tcMar>
            <w:vAlign w:val="center"/>
          </w:tcPr>
          <w:p w14:paraId="4D70D30B">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项目</w:t>
            </w:r>
          </w:p>
        </w:tc>
        <w:tc>
          <w:tcPr>
            <w:tcW w:w="2821" w:type="dxa"/>
            <w:noWrap w:val="0"/>
            <w:tcMar>
              <w:top w:w="0" w:type="dxa"/>
              <w:left w:w="0" w:type="dxa"/>
              <w:bottom w:w="0" w:type="dxa"/>
              <w:right w:w="0" w:type="dxa"/>
            </w:tcMar>
            <w:vAlign w:val="center"/>
          </w:tcPr>
          <w:p w14:paraId="3217FB28">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测算依据和测算式</w:t>
            </w:r>
          </w:p>
        </w:tc>
        <w:tc>
          <w:tcPr>
            <w:tcW w:w="1039" w:type="dxa"/>
            <w:noWrap w:val="0"/>
            <w:tcMar>
              <w:top w:w="0" w:type="dxa"/>
              <w:left w:w="0" w:type="dxa"/>
              <w:bottom w:w="0" w:type="dxa"/>
              <w:right w:w="0" w:type="dxa"/>
            </w:tcMar>
            <w:vAlign w:val="center"/>
          </w:tcPr>
          <w:p w14:paraId="0771EDE1">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月支出（元）</w:t>
            </w:r>
          </w:p>
        </w:tc>
        <w:tc>
          <w:tcPr>
            <w:tcW w:w="1039" w:type="dxa"/>
            <w:noWrap w:val="0"/>
            <w:tcMar>
              <w:top w:w="0" w:type="dxa"/>
              <w:left w:w="0" w:type="dxa"/>
              <w:bottom w:w="0" w:type="dxa"/>
              <w:right w:w="0" w:type="dxa"/>
            </w:tcMar>
            <w:vAlign w:val="center"/>
          </w:tcPr>
          <w:p w14:paraId="7661401A">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总支出（元）</w:t>
            </w:r>
          </w:p>
        </w:tc>
        <w:tc>
          <w:tcPr>
            <w:tcW w:w="1421" w:type="dxa"/>
            <w:noWrap w:val="0"/>
            <w:tcMar>
              <w:top w:w="0" w:type="dxa"/>
              <w:left w:w="0" w:type="dxa"/>
              <w:bottom w:w="0" w:type="dxa"/>
              <w:right w:w="0" w:type="dxa"/>
            </w:tcMar>
            <w:vAlign w:val="center"/>
          </w:tcPr>
          <w:p w14:paraId="6B1D47B8">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备注</w:t>
            </w:r>
          </w:p>
        </w:tc>
      </w:tr>
      <w:tr w14:paraId="569C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481" w:type="dxa"/>
            <w:noWrap w:val="0"/>
            <w:tcMar>
              <w:top w:w="0" w:type="dxa"/>
              <w:left w:w="0" w:type="dxa"/>
              <w:bottom w:w="0" w:type="dxa"/>
              <w:right w:w="0" w:type="dxa"/>
            </w:tcMar>
            <w:vAlign w:val="center"/>
          </w:tcPr>
          <w:p w14:paraId="78D66159">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1</w:t>
            </w:r>
          </w:p>
        </w:tc>
        <w:tc>
          <w:tcPr>
            <w:tcW w:w="2184" w:type="dxa"/>
            <w:noWrap w:val="0"/>
            <w:tcMar>
              <w:top w:w="0" w:type="dxa"/>
              <w:left w:w="0" w:type="dxa"/>
              <w:bottom w:w="0" w:type="dxa"/>
              <w:right w:w="0" w:type="dxa"/>
            </w:tcMar>
            <w:vAlign w:val="center"/>
          </w:tcPr>
          <w:p w14:paraId="2E43D4EC">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    </w:t>
            </w:r>
          </w:p>
        </w:tc>
        <w:tc>
          <w:tcPr>
            <w:tcW w:w="2821" w:type="dxa"/>
            <w:noWrap w:val="0"/>
            <w:tcMar>
              <w:top w:w="0" w:type="dxa"/>
              <w:left w:w="0" w:type="dxa"/>
              <w:bottom w:w="0" w:type="dxa"/>
              <w:right w:w="0" w:type="dxa"/>
            </w:tcMar>
            <w:vAlign w:val="center"/>
          </w:tcPr>
          <w:p w14:paraId="6D06AF9F">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    </w:t>
            </w:r>
          </w:p>
        </w:tc>
        <w:tc>
          <w:tcPr>
            <w:tcW w:w="1039" w:type="dxa"/>
            <w:noWrap w:val="0"/>
            <w:tcMar>
              <w:top w:w="0" w:type="dxa"/>
              <w:left w:w="0" w:type="dxa"/>
              <w:bottom w:w="0" w:type="dxa"/>
              <w:right w:w="0" w:type="dxa"/>
            </w:tcMar>
            <w:vAlign w:val="center"/>
          </w:tcPr>
          <w:p w14:paraId="073DAEFB">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    </w:t>
            </w:r>
          </w:p>
        </w:tc>
        <w:tc>
          <w:tcPr>
            <w:tcW w:w="1039" w:type="dxa"/>
            <w:noWrap w:val="0"/>
            <w:tcMar>
              <w:top w:w="0" w:type="dxa"/>
              <w:left w:w="0" w:type="dxa"/>
              <w:bottom w:w="0" w:type="dxa"/>
              <w:right w:w="0" w:type="dxa"/>
            </w:tcMar>
            <w:vAlign w:val="center"/>
          </w:tcPr>
          <w:p w14:paraId="1C9230B5">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    </w:t>
            </w:r>
          </w:p>
        </w:tc>
        <w:tc>
          <w:tcPr>
            <w:tcW w:w="1421" w:type="dxa"/>
            <w:noWrap w:val="0"/>
            <w:tcMar>
              <w:top w:w="0" w:type="dxa"/>
              <w:left w:w="0" w:type="dxa"/>
              <w:bottom w:w="0" w:type="dxa"/>
              <w:right w:w="0" w:type="dxa"/>
            </w:tcMar>
            <w:vAlign w:val="center"/>
          </w:tcPr>
          <w:p w14:paraId="08E2D287">
            <w:pPr>
              <w:pStyle w:val="85"/>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 xml:space="preserve">    </w:t>
            </w:r>
          </w:p>
        </w:tc>
      </w:tr>
      <w:tr w14:paraId="189C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5486" w:type="dxa"/>
            <w:gridSpan w:val="3"/>
            <w:noWrap w:val="0"/>
            <w:tcMar>
              <w:top w:w="0" w:type="dxa"/>
              <w:left w:w="0" w:type="dxa"/>
              <w:bottom w:w="0" w:type="dxa"/>
              <w:right w:w="0" w:type="dxa"/>
            </w:tcMar>
            <w:vAlign w:val="center"/>
          </w:tcPr>
          <w:p w14:paraId="223BA2F8">
            <w:pPr>
              <w:pStyle w:val="85"/>
              <w:jc w:val="center"/>
              <w:rPr>
                <w:rStyle w:val="16"/>
                <w:rFonts w:hint="eastAsia" w:ascii="宋体" w:hAnsi="宋体" w:eastAsia="宋体" w:cs="宋体"/>
                <w:b w:val="0"/>
                <w:bCs w:val="0"/>
                <w:i w:val="0"/>
                <w:iCs w:val="0"/>
                <w:smallCaps w:val="0"/>
                <w:color w:val="auto"/>
                <w:sz w:val="24"/>
                <w:szCs w:val="24"/>
                <w:highlight w:val="none"/>
                <w:lang w:eastAsia="zh-CN"/>
              </w:rPr>
            </w:pPr>
            <w:r>
              <w:rPr>
                <w:rStyle w:val="16"/>
                <w:rFonts w:hint="eastAsia" w:ascii="宋体" w:hAnsi="宋体" w:eastAsia="宋体" w:cs="宋体"/>
                <w:b w:val="0"/>
                <w:bCs w:val="0"/>
                <w:i w:val="0"/>
                <w:iCs w:val="0"/>
                <w:smallCaps w:val="0"/>
                <w:color w:val="auto"/>
                <w:sz w:val="24"/>
                <w:szCs w:val="24"/>
                <w:highlight w:val="none"/>
                <w:lang w:eastAsia="zh-CN"/>
              </w:rPr>
              <w:t>合计</w:t>
            </w:r>
          </w:p>
        </w:tc>
        <w:tc>
          <w:tcPr>
            <w:tcW w:w="1039" w:type="dxa"/>
            <w:noWrap w:val="0"/>
            <w:tcMar>
              <w:top w:w="0" w:type="dxa"/>
              <w:left w:w="0" w:type="dxa"/>
              <w:bottom w:w="0" w:type="dxa"/>
              <w:right w:w="0" w:type="dxa"/>
            </w:tcMar>
            <w:vAlign w:val="center"/>
          </w:tcPr>
          <w:p w14:paraId="4502DE0F">
            <w:pPr>
              <w:pStyle w:val="85"/>
              <w:jc w:val="center"/>
              <w:rPr>
                <w:rStyle w:val="16"/>
                <w:rFonts w:ascii="宋体" w:hAnsi="宋体" w:eastAsia="宋体" w:cs="宋体"/>
                <w:b w:val="0"/>
                <w:bCs w:val="0"/>
                <w:i w:val="0"/>
                <w:iCs w:val="0"/>
                <w:smallCaps w:val="0"/>
                <w:color w:val="auto"/>
                <w:sz w:val="24"/>
                <w:szCs w:val="24"/>
                <w:highlight w:val="none"/>
              </w:rPr>
            </w:pPr>
          </w:p>
        </w:tc>
        <w:tc>
          <w:tcPr>
            <w:tcW w:w="1039" w:type="dxa"/>
            <w:noWrap w:val="0"/>
            <w:tcMar>
              <w:top w:w="0" w:type="dxa"/>
              <w:left w:w="0" w:type="dxa"/>
              <w:bottom w:w="0" w:type="dxa"/>
              <w:right w:w="0" w:type="dxa"/>
            </w:tcMar>
            <w:vAlign w:val="center"/>
          </w:tcPr>
          <w:p w14:paraId="4C8BBFCC">
            <w:pPr>
              <w:pStyle w:val="85"/>
              <w:jc w:val="center"/>
              <w:rPr>
                <w:rStyle w:val="16"/>
                <w:rFonts w:ascii="宋体" w:hAnsi="宋体" w:eastAsia="宋体" w:cs="宋体"/>
                <w:b w:val="0"/>
                <w:bCs w:val="0"/>
                <w:i w:val="0"/>
                <w:iCs w:val="0"/>
                <w:smallCaps w:val="0"/>
                <w:color w:val="auto"/>
                <w:sz w:val="24"/>
                <w:szCs w:val="24"/>
                <w:highlight w:val="none"/>
              </w:rPr>
            </w:pPr>
          </w:p>
        </w:tc>
        <w:tc>
          <w:tcPr>
            <w:tcW w:w="1421" w:type="dxa"/>
            <w:noWrap w:val="0"/>
            <w:tcMar>
              <w:top w:w="0" w:type="dxa"/>
              <w:left w:w="0" w:type="dxa"/>
              <w:bottom w:w="0" w:type="dxa"/>
              <w:right w:w="0" w:type="dxa"/>
            </w:tcMar>
            <w:vAlign w:val="center"/>
          </w:tcPr>
          <w:p w14:paraId="0B5697F1">
            <w:pPr>
              <w:pStyle w:val="85"/>
              <w:jc w:val="center"/>
              <w:rPr>
                <w:rStyle w:val="16"/>
                <w:rFonts w:ascii="宋体" w:hAnsi="宋体" w:eastAsia="宋体" w:cs="宋体"/>
                <w:b w:val="0"/>
                <w:bCs w:val="0"/>
                <w:i w:val="0"/>
                <w:iCs w:val="0"/>
                <w:smallCaps w:val="0"/>
                <w:color w:val="auto"/>
                <w:sz w:val="24"/>
                <w:szCs w:val="24"/>
                <w:highlight w:val="none"/>
              </w:rPr>
            </w:pPr>
          </w:p>
        </w:tc>
      </w:tr>
    </w:tbl>
    <w:p w14:paraId="0CFF141F">
      <w:pPr>
        <w:pStyle w:val="85"/>
        <w:rPr>
          <w:rStyle w:val="16"/>
          <w:rFonts w:ascii="Times New Roman" w:hAnsi="Times New Roman" w:eastAsia="Times New Roman" w:cs="Times New Roman"/>
          <w:vanish/>
          <w:color w:val="auto"/>
          <w:highlight w:val="none"/>
        </w:rPr>
      </w:pPr>
    </w:p>
    <w:p w14:paraId="4542571A">
      <w:pPr>
        <w:pStyle w:val="85"/>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highlight w:val="none"/>
        </w:rPr>
        <w:t xml:space="preserve">  </w:t>
      </w:r>
    </w:p>
    <w:p w14:paraId="652E6218">
      <w:pPr>
        <w:pStyle w:val="85"/>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highlight w:val="none"/>
        </w:rPr>
        <w:t xml:space="preserve">注：以上表格必须如实提供，内容表述不全的可自行调整或添加。此表的合计金额应与开标一览表相符，如有不符，以开标一览表为准。 </w:t>
      </w:r>
    </w:p>
    <w:p w14:paraId="3FC49E7B">
      <w:pPr>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br w:type="page"/>
      </w:r>
    </w:p>
    <w:p w14:paraId="3661281B">
      <w:pPr>
        <w:pStyle w:val="88"/>
        <w:jc w:val="left"/>
        <w:outlineLvl w:val="1"/>
        <w:rPr>
          <w:rStyle w:val="16"/>
          <w:rFonts w:hint="eastAsia" w:ascii="宋体" w:hAnsi="宋体" w:eastAsia="宋体" w:cs="宋体"/>
          <w:color w:val="auto"/>
          <w:highlight w:val="none"/>
        </w:rPr>
      </w:pPr>
      <w:bookmarkStart w:id="321" w:name="_Toc20508"/>
      <w:r>
        <w:rPr>
          <w:rStyle w:val="16"/>
          <w:rFonts w:hint="eastAsia" w:ascii="宋体" w:hAnsi="宋体" w:eastAsia="宋体" w:cs="宋体"/>
          <w:b/>
          <w:color w:val="auto"/>
          <w:sz w:val="32"/>
          <w:highlight w:val="none"/>
          <w:lang w:val="en-US" w:eastAsia="zh-CN"/>
        </w:rPr>
        <w:t>六</w:t>
      </w:r>
      <w:r>
        <w:rPr>
          <w:rStyle w:val="16"/>
          <w:rFonts w:hint="eastAsia" w:ascii="宋体" w:hAnsi="宋体" w:eastAsia="宋体" w:cs="宋体"/>
          <w:b/>
          <w:color w:val="auto"/>
          <w:sz w:val="32"/>
          <w:highlight w:val="none"/>
        </w:rPr>
        <w:t>、第四章项目需求中实质性要求响应对照表</w:t>
      </w:r>
      <w:bookmarkEnd w:id="321"/>
    </w:p>
    <w:p w14:paraId="7FA8A21C">
      <w:pPr>
        <w:widowControl/>
        <w:spacing w:before="400" w:after="400" w:line="300" w:lineRule="auto"/>
        <w:jc w:val="center"/>
        <w:rPr>
          <w:rFonts w:ascii="黑体" w:hAnsi="黑体" w:eastAsia="黑体" w:cs="黑体"/>
          <w:b/>
          <w:bCs/>
          <w:color w:val="auto"/>
          <w:sz w:val="40"/>
          <w:szCs w:val="40"/>
          <w:highlight w:val="none"/>
        </w:rPr>
      </w:pPr>
      <w:r>
        <w:rPr>
          <w:rStyle w:val="16"/>
          <w:rFonts w:hint="eastAsia" w:ascii="宋体" w:hAnsi="宋体" w:eastAsia="宋体" w:cs="宋体"/>
          <w:color w:val="auto"/>
          <w:highlight w:val="none"/>
        </w:rPr>
        <w:t xml:space="preserve">﻿ </w:t>
      </w:r>
      <w:r>
        <w:rPr>
          <w:rFonts w:ascii="黑体" w:hAnsi="黑体" w:eastAsia="黑体" w:cs="黑体"/>
          <w:b/>
          <w:bCs/>
          <w:color w:val="auto"/>
          <w:sz w:val="40"/>
          <w:szCs w:val="40"/>
          <w:highlight w:val="none"/>
        </w:rPr>
        <w:t xml:space="preserve">第四章项目需求中实质性要求响应对照表 </w:t>
      </w:r>
    </w:p>
    <w:p w14:paraId="75D0C3D3">
      <w:pPr>
        <w:widowControl/>
        <w:spacing w:before="240" w:after="240"/>
        <w:jc w:val="left"/>
        <w:rPr>
          <w:rFonts w:ascii="宋体" w:hAnsi="宋体" w:cs="宋体"/>
          <w:color w:val="auto"/>
          <w:sz w:val="24"/>
          <w:szCs w:val="24"/>
          <w:highlight w:val="none"/>
        </w:rPr>
      </w:pPr>
      <w:r>
        <w:rPr>
          <w:rFonts w:ascii="宋体" w:hAnsi="宋体" w:cs="宋体"/>
          <w:color w:val="auto"/>
          <w:sz w:val="24"/>
          <w:szCs w:val="24"/>
          <w:highlight w:val="none"/>
        </w:rPr>
        <w:t xml:space="preserve">  </w:t>
      </w:r>
    </w:p>
    <w:tbl>
      <w:tblPr>
        <w:tblStyle w:val="15"/>
        <w:tblW w:w="898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85"/>
        <w:gridCol w:w="7203"/>
        <w:gridCol w:w="897"/>
      </w:tblGrid>
      <w:tr w14:paraId="60931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915" w:type="dxa"/>
            <w:noWrap w:val="0"/>
            <w:tcMar>
              <w:top w:w="0" w:type="dxa"/>
              <w:left w:w="0" w:type="dxa"/>
              <w:bottom w:w="0" w:type="dxa"/>
              <w:right w:w="0" w:type="dxa"/>
            </w:tcMar>
            <w:vAlign w:val="center"/>
          </w:tcPr>
          <w:p w14:paraId="60FF3CDE">
            <w:pPr>
              <w:widowControl/>
              <w:jc w:val="center"/>
              <w:rPr>
                <w:rFonts w:ascii="宋体" w:hAnsi="宋体" w:cs="宋体"/>
                <w:color w:val="auto"/>
                <w:sz w:val="24"/>
                <w:szCs w:val="24"/>
                <w:highlight w:val="none"/>
              </w:rPr>
            </w:pPr>
            <w:r>
              <w:rPr>
                <w:rFonts w:ascii="宋体" w:hAnsi="宋体" w:cs="宋体"/>
                <w:color w:val="auto"/>
                <w:sz w:val="24"/>
                <w:szCs w:val="24"/>
                <w:highlight w:val="none"/>
              </w:rPr>
              <w:t>序号</w:t>
            </w:r>
          </w:p>
        </w:tc>
        <w:tc>
          <w:tcPr>
            <w:tcW w:w="7515" w:type="dxa"/>
            <w:noWrap w:val="0"/>
            <w:tcMar>
              <w:top w:w="0" w:type="dxa"/>
              <w:left w:w="0" w:type="dxa"/>
              <w:bottom w:w="0" w:type="dxa"/>
              <w:right w:w="0" w:type="dxa"/>
            </w:tcMar>
            <w:vAlign w:val="center"/>
          </w:tcPr>
          <w:p w14:paraId="10EAB4D0">
            <w:pPr>
              <w:widowControl/>
              <w:jc w:val="center"/>
              <w:rPr>
                <w:rFonts w:ascii="宋体" w:hAnsi="宋体" w:cs="宋体"/>
                <w:color w:val="auto"/>
                <w:sz w:val="24"/>
                <w:szCs w:val="24"/>
                <w:highlight w:val="none"/>
              </w:rPr>
            </w:pPr>
            <w:r>
              <w:rPr>
                <w:rFonts w:ascii="宋体" w:hAnsi="宋体" w:cs="宋体"/>
                <w:color w:val="auto"/>
                <w:sz w:val="24"/>
                <w:szCs w:val="24"/>
                <w:highlight w:val="none"/>
              </w:rPr>
              <w:t>第四章项目需求中的实质性要求</w:t>
            </w:r>
          </w:p>
          <w:p w14:paraId="103561CF">
            <w:pPr>
              <w:widowControl/>
              <w:jc w:val="center"/>
              <w:rPr>
                <w:rFonts w:ascii="宋体" w:hAnsi="宋体" w:cs="宋体"/>
                <w:color w:val="auto"/>
                <w:sz w:val="24"/>
                <w:szCs w:val="24"/>
                <w:highlight w:val="none"/>
              </w:rPr>
            </w:pPr>
            <w:r>
              <w:rPr>
                <w:rFonts w:ascii="宋体" w:hAnsi="宋体" w:cs="宋体"/>
                <w:color w:val="auto"/>
                <w:sz w:val="24"/>
                <w:szCs w:val="24"/>
                <w:highlight w:val="none"/>
              </w:rPr>
              <w:t>（即斜体且有下划线部分，每条详细列出）</w:t>
            </w:r>
          </w:p>
        </w:tc>
        <w:tc>
          <w:tcPr>
            <w:tcW w:w="915" w:type="dxa"/>
            <w:noWrap w:val="0"/>
            <w:tcMar>
              <w:top w:w="0" w:type="dxa"/>
              <w:left w:w="0" w:type="dxa"/>
              <w:bottom w:w="0" w:type="dxa"/>
              <w:right w:w="0" w:type="dxa"/>
            </w:tcMar>
            <w:vAlign w:val="center"/>
          </w:tcPr>
          <w:p w14:paraId="344CC35D">
            <w:pPr>
              <w:widowControl/>
              <w:jc w:val="center"/>
              <w:rPr>
                <w:rFonts w:ascii="宋体" w:hAnsi="宋体" w:cs="宋体"/>
                <w:color w:val="auto"/>
                <w:sz w:val="24"/>
                <w:szCs w:val="24"/>
                <w:highlight w:val="none"/>
              </w:rPr>
            </w:pPr>
            <w:r>
              <w:rPr>
                <w:rFonts w:ascii="宋体" w:hAnsi="宋体" w:cs="宋体"/>
                <w:color w:val="auto"/>
                <w:sz w:val="24"/>
                <w:szCs w:val="24"/>
                <w:highlight w:val="none"/>
              </w:rPr>
              <w:t>是否响应（填是或者否）</w:t>
            </w:r>
          </w:p>
        </w:tc>
      </w:tr>
      <w:tr w14:paraId="4BE4E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915" w:type="dxa"/>
            <w:noWrap w:val="0"/>
            <w:tcMar>
              <w:top w:w="0" w:type="dxa"/>
              <w:left w:w="0" w:type="dxa"/>
              <w:bottom w:w="0" w:type="dxa"/>
              <w:right w:w="0" w:type="dxa"/>
            </w:tcMar>
            <w:vAlign w:val="center"/>
          </w:tcPr>
          <w:p w14:paraId="5EE59898">
            <w:pPr>
              <w:widowControl/>
              <w:jc w:val="center"/>
              <w:rPr>
                <w:rFonts w:ascii="宋体" w:hAnsi="宋体" w:cs="宋体"/>
                <w:color w:val="auto"/>
                <w:sz w:val="24"/>
                <w:szCs w:val="24"/>
                <w:highlight w:val="none"/>
              </w:rPr>
            </w:pPr>
          </w:p>
        </w:tc>
        <w:tc>
          <w:tcPr>
            <w:tcW w:w="7515" w:type="dxa"/>
            <w:noWrap w:val="0"/>
            <w:tcMar>
              <w:top w:w="0" w:type="dxa"/>
              <w:left w:w="0" w:type="dxa"/>
              <w:bottom w:w="0" w:type="dxa"/>
              <w:right w:w="0" w:type="dxa"/>
            </w:tcMar>
            <w:vAlign w:val="center"/>
          </w:tcPr>
          <w:p w14:paraId="6D52B267">
            <w:pPr>
              <w:widowControl/>
              <w:jc w:val="center"/>
              <w:rPr>
                <w:rFonts w:ascii="宋体" w:hAnsi="宋体" w:cs="宋体"/>
                <w:color w:val="auto"/>
                <w:sz w:val="24"/>
                <w:szCs w:val="24"/>
                <w:highlight w:val="none"/>
              </w:rPr>
            </w:pPr>
          </w:p>
        </w:tc>
        <w:tc>
          <w:tcPr>
            <w:tcW w:w="915" w:type="dxa"/>
            <w:noWrap w:val="0"/>
            <w:tcMar>
              <w:top w:w="0" w:type="dxa"/>
              <w:left w:w="0" w:type="dxa"/>
              <w:bottom w:w="0" w:type="dxa"/>
              <w:right w:w="0" w:type="dxa"/>
            </w:tcMar>
            <w:vAlign w:val="center"/>
          </w:tcPr>
          <w:p w14:paraId="1F1CCBB6">
            <w:pPr>
              <w:widowControl/>
              <w:jc w:val="center"/>
              <w:rPr>
                <w:rFonts w:ascii="宋体" w:hAnsi="宋体" w:cs="宋体"/>
                <w:color w:val="auto"/>
                <w:sz w:val="24"/>
                <w:szCs w:val="24"/>
                <w:highlight w:val="none"/>
              </w:rPr>
            </w:pPr>
          </w:p>
        </w:tc>
      </w:tr>
    </w:tbl>
    <w:p w14:paraId="64E2D2AF">
      <w:pPr>
        <w:widowControl/>
        <w:jc w:val="left"/>
        <w:rPr>
          <w:rFonts w:ascii="宋体" w:hAnsi="宋体" w:cs="宋体"/>
          <w:color w:val="auto"/>
          <w:sz w:val="24"/>
          <w:szCs w:val="24"/>
          <w:highlight w:val="none"/>
        </w:rPr>
      </w:pPr>
    </w:p>
    <w:p w14:paraId="7510DF44">
      <w:pPr>
        <w:rPr>
          <w:rStyle w:val="16"/>
          <w:rFonts w:hint="eastAsia" w:ascii="宋体" w:hAnsi="宋体" w:eastAsia="宋体" w:cs="宋体"/>
          <w:b/>
          <w:color w:val="auto"/>
          <w:sz w:val="32"/>
          <w:highlight w:val="none"/>
          <w:lang w:val="en-US" w:eastAsia="zh-CN"/>
        </w:rPr>
      </w:pPr>
      <w:r>
        <w:rPr>
          <w:rStyle w:val="16"/>
          <w:rFonts w:hint="eastAsia" w:ascii="宋体" w:hAnsi="宋体" w:eastAsia="宋体" w:cs="宋体"/>
          <w:b/>
          <w:color w:val="auto"/>
          <w:sz w:val="32"/>
          <w:highlight w:val="none"/>
          <w:lang w:val="en-US" w:eastAsia="zh-CN"/>
        </w:rPr>
        <w:br w:type="page"/>
      </w:r>
    </w:p>
    <w:p w14:paraId="3DFA8BA3">
      <w:pPr>
        <w:pStyle w:val="90"/>
        <w:jc w:val="left"/>
        <w:outlineLvl w:val="1"/>
        <w:rPr>
          <w:rStyle w:val="16"/>
          <w:rFonts w:hint="eastAsia" w:ascii="宋体" w:hAnsi="宋体" w:eastAsia="宋体" w:cs="宋体"/>
          <w:color w:val="auto"/>
          <w:highlight w:val="none"/>
        </w:rPr>
      </w:pPr>
      <w:bookmarkStart w:id="322" w:name="_Toc15411"/>
      <w:r>
        <w:rPr>
          <w:rStyle w:val="16"/>
          <w:rFonts w:hint="eastAsia" w:ascii="宋体" w:hAnsi="宋体" w:eastAsia="宋体" w:cs="宋体"/>
          <w:b/>
          <w:color w:val="auto"/>
          <w:sz w:val="32"/>
          <w:highlight w:val="none"/>
          <w:lang w:val="en-US" w:eastAsia="zh-CN"/>
        </w:rPr>
        <w:t>七</w:t>
      </w:r>
      <w:r>
        <w:rPr>
          <w:rStyle w:val="16"/>
          <w:rFonts w:hint="eastAsia" w:ascii="宋体" w:hAnsi="宋体" w:eastAsia="宋体" w:cs="宋体"/>
          <w:b/>
          <w:color w:val="auto"/>
          <w:sz w:val="32"/>
          <w:highlight w:val="none"/>
        </w:rPr>
        <w:t>、服务方案</w:t>
      </w:r>
      <w:bookmarkEnd w:id="322"/>
    </w:p>
    <w:p w14:paraId="05F0796B">
      <w:pPr>
        <w:pStyle w:val="91"/>
        <w:keepNext/>
        <w:keepLines/>
        <w:spacing w:before="260" w:after="260" w:line="415" w:lineRule="auto"/>
        <w:jc w:val="center"/>
        <w:outlineLvl w:val="9"/>
        <w:rPr>
          <w:rStyle w:val="16"/>
          <w:rFonts w:hint="eastAsia" w:ascii="宋体" w:hAnsi="宋体" w:eastAsia="宋体" w:cs="宋体"/>
          <w:b/>
          <w:bCs/>
          <w:color w:val="auto"/>
          <w:sz w:val="28"/>
          <w:szCs w:val="28"/>
          <w:highlight w:val="none"/>
        </w:rPr>
      </w:pPr>
      <w:bookmarkStart w:id="323" w:name="_Toc35266041"/>
      <w:bookmarkStart w:id="324" w:name="_Toc43285583"/>
      <w:r>
        <w:rPr>
          <w:rStyle w:val="16"/>
          <w:rFonts w:hint="eastAsia" w:ascii="宋体" w:hAnsi="宋体" w:eastAsia="宋体" w:cs="宋体"/>
          <w:b/>
          <w:bCs/>
          <w:color w:val="auto"/>
          <w:sz w:val="28"/>
          <w:szCs w:val="28"/>
          <w:highlight w:val="none"/>
        </w:rPr>
        <w:t>服务方案</w:t>
      </w:r>
      <w:bookmarkEnd w:id="323"/>
      <w:bookmarkEnd w:id="324"/>
    </w:p>
    <w:p w14:paraId="0594BF33">
      <w:pPr>
        <w:pStyle w:val="91"/>
        <w:spacing w:line="360" w:lineRule="auto"/>
        <w:ind w:firstLine="480" w:firstLineChars="200"/>
        <w:jc w:val="left"/>
        <w:rPr>
          <w:rStyle w:val="16"/>
          <w:rFonts w:hint="eastAsia" w:ascii="宋体" w:hAnsi="宋体" w:eastAsia="宋体" w:cs="宋体"/>
          <w:color w:val="auto"/>
          <w:sz w:val="24"/>
          <w:szCs w:val="24"/>
          <w:highlight w:val="none"/>
        </w:rPr>
      </w:pPr>
    </w:p>
    <w:p w14:paraId="5D1D7C33">
      <w:pPr>
        <w:pStyle w:val="91"/>
        <w:adjustRightInd w:val="0"/>
        <w:snapToGrid w:val="0"/>
        <w:spacing w:line="360" w:lineRule="auto"/>
        <w:jc w:val="center"/>
        <w:textAlignment w:val="baseline"/>
        <w:rPr>
          <w:rStyle w:val="16"/>
          <w:rFonts w:hint="eastAsia" w:ascii="宋体" w:hAnsi="宋体" w:eastAsia="宋体" w:cs="宋体"/>
          <w:color w:val="auto"/>
          <w:sz w:val="24"/>
          <w:szCs w:val="21"/>
          <w:highlight w:val="none"/>
        </w:rPr>
      </w:pPr>
      <w:r>
        <w:rPr>
          <w:rStyle w:val="16"/>
          <w:rFonts w:hint="eastAsia" w:ascii="宋体" w:hAnsi="宋体" w:eastAsia="宋体" w:cs="宋体"/>
          <w:color w:val="auto"/>
          <w:sz w:val="24"/>
          <w:szCs w:val="21"/>
          <w:highlight w:val="none"/>
        </w:rPr>
        <w:t>（服务方案的内容编排等由投标人自定）</w:t>
      </w:r>
    </w:p>
    <w:p w14:paraId="43AC7B55">
      <w:pPr>
        <w:pStyle w:val="93"/>
        <w:jc w:val="left"/>
        <w:outlineLvl w:val="1"/>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br w:type="page"/>
      </w:r>
      <w:bookmarkStart w:id="325" w:name="_Toc9832"/>
      <w:r>
        <w:rPr>
          <w:rStyle w:val="16"/>
          <w:rFonts w:hint="eastAsia" w:ascii="宋体" w:hAnsi="宋体" w:eastAsia="宋体" w:cs="宋体"/>
          <w:b/>
          <w:color w:val="auto"/>
          <w:sz w:val="32"/>
          <w:highlight w:val="none"/>
          <w:lang w:val="en-US" w:eastAsia="zh-CN"/>
        </w:rPr>
        <w:t>八</w:t>
      </w:r>
      <w:r>
        <w:rPr>
          <w:rStyle w:val="16"/>
          <w:rFonts w:hint="eastAsia" w:ascii="宋体" w:hAnsi="宋体" w:eastAsia="宋体" w:cs="宋体"/>
          <w:b/>
          <w:color w:val="auto"/>
          <w:sz w:val="32"/>
          <w:highlight w:val="none"/>
        </w:rPr>
        <w:t>、投标人情况介绍</w:t>
      </w:r>
      <w:bookmarkEnd w:id="325"/>
    </w:p>
    <w:p w14:paraId="03C594DB">
      <w:pPr>
        <w:widowControl/>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1.类似业绩</w:t>
      </w:r>
    </w:p>
    <w:p w14:paraId="4F3DFE1A">
      <w:pPr>
        <w:widowControl/>
        <w:spacing w:line="44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2.相关证书</w:t>
      </w:r>
    </w:p>
    <w:p w14:paraId="3B50BDA3">
      <w:pPr>
        <w:widowControl/>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410AF9F">
      <w:pPr>
        <w:pStyle w:val="103"/>
        <w:jc w:val="left"/>
        <w:outlineLvl w:val="1"/>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br w:type="page"/>
      </w:r>
      <w:r>
        <w:rPr>
          <w:rStyle w:val="16"/>
          <w:rFonts w:hint="eastAsia" w:ascii="宋体" w:hAnsi="宋体" w:eastAsia="宋体" w:cs="宋体"/>
          <w:b/>
          <w:color w:val="auto"/>
          <w:sz w:val="28"/>
          <w:highlight w:val="none"/>
        </w:rPr>
        <w:t xml:space="preserve">  </w:t>
      </w:r>
      <w:bookmarkStart w:id="326" w:name="_Toc80"/>
      <w:r>
        <w:rPr>
          <w:rStyle w:val="16"/>
          <w:rFonts w:hint="eastAsia" w:ascii="宋体" w:hAnsi="宋体" w:eastAsia="宋体" w:cs="宋体"/>
          <w:b/>
          <w:bCs/>
          <w:color w:val="auto"/>
          <w:highlight w:val="none"/>
          <w:lang w:val="en-US" w:eastAsia="zh-CN"/>
        </w:rPr>
        <w:t>九</w:t>
      </w:r>
      <w:r>
        <w:rPr>
          <w:rStyle w:val="16"/>
          <w:rFonts w:hint="eastAsia" w:ascii="宋体" w:hAnsi="宋体" w:eastAsia="宋体" w:cs="宋体"/>
          <w:b/>
          <w:bCs/>
          <w:color w:val="auto"/>
          <w:sz w:val="32"/>
          <w:highlight w:val="none"/>
        </w:rPr>
        <w:t>、中小企业声明函</w:t>
      </w:r>
      <w:bookmarkEnd w:id="326"/>
    </w:p>
    <w:p w14:paraId="491D8FF9">
      <w:pPr>
        <w:pStyle w:val="104"/>
        <w:spacing w:line="440" w:lineRule="exact"/>
        <w:jc w:val="center"/>
        <w:outlineLvl w:val="9"/>
        <w:rPr>
          <w:rStyle w:val="16"/>
          <w:rFonts w:hint="eastAsia" w:ascii="宋体" w:hAnsi="宋体" w:eastAsia="宋体" w:cs="宋体"/>
          <w:color w:val="auto"/>
          <w:sz w:val="32"/>
          <w:szCs w:val="32"/>
          <w:highlight w:val="none"/>
        </w:rPr>
      </w:pPr>
      <w:r>
        <w:rPr>
          <w:rStyle w:val="16"/>
          <w:rFonts w:hint="eastAsia" w:ascii="宋体" w:hAnsi="宋体" w:eastAsia="宋体" w:cs="宋体"/>
          <w:color w:val="auto"/>
          <w:highlight w:val="none"/>
        </w:rPr>
        <w:t xml:space="preserve">﻿   </w:t>
      </w:r>
      <w:r>
        <w:rPr>
          <w:rStyle w:val="16"/>
          <w:rFonts w:hint="eastAsia" w:ascii="宋体" w:hAnsi="宋体" w:eastAsia="宋体" w:cs="宋体"/>
          <w:color w:val="auto"/>
          <w:sz w:val="32"/>
          <w:szCs w:val="32"/>
          <w:highlight w:val="none"/>
        </w:rPr>
        <w:t>中小企业声明函（服务）</w:t>
      </w:r>
    </w:p>
    <w:p w14:paraId="74413236">
      <w:pPr>
        <w:pStyle w:val="104"/>
        <w:keepNext w:val="0"/>
        <w:keepLines w:val="0"/>
        <w:pageBreakBefore w:val="0"/>
        <w:widowControl/>
        <w:kinsoku/>
        <w:wordWrap/>
        <w:overflowPunct/>
        <w:topLinePunct w:val="0"/>
        <w:autoSpaceDE/>
        <w:autoSpaceDN/>
        <w:bidi w:val="0"/>
        <w:adjustRightInd/>
        <w:snapToGrid/>
        <w:spacing w:line="360" w:lineRule="auto"/>
        <w:textAlignment w:val="auto"/>
        <w:rPr>
          <w:rStyle w:val="16"/>
          <w:rFonts w:hint="eastAsia" w:ascii="宋体" w:hAnsi="宋体" w:eastAsia="宋体" w:cs="宋体"/>
          <w:color w:val="auto"/>
          <w:sz w:val="24"/>
          <w:szCs w:val="24"/>
          <w:highlight w:val="none"/>
        </w:rPr>
      </w:pPr>
      <w:r>
        <w:rPr>
          <w:rStyle w:val="16"/>
          <w:rFonts w:hint="eastAsia" w:ascii="宋体" w:hAnsi="宋体" w:eastAsia="宋体" w:cs="宋体"/>
          <w:color w:val="auto"/>
          <w:sz w:val="24"/>
          <w:szCs w:val="24"/>
          <w:highlight w:val="none"/>
        </w:rPr>
        <w:t> </w:t>
      </w:r>
    </w:p>
    <w:p w14:paraId="18FC267C">
      <w:pPr>
        <w:pStyle w:val="8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本公司郑重声明，根据《政府采购促进中小企业发展管理办法》 (财库〔2020〕46号)的规定，本公司参加 </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rPr>
        <w:t>单位名称）的</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rPr>
        <w:t>（项目名称）采购活动，服务全部由符合政策要求的中小企业承接。相关企业的具体情况如下：</w:t>
      </w:r>
    </w:p>
    <w:p w14:paraId="7C564698">
      <w:pPr>
        <w:pStyle w:val="112"/>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 </w:t>
      </w:r>
      <w:r>
        <w:rPr>
          <w:rFonts w:hint="eastAsia" w:ascii="宋体" w:hAnsi="宋体" w:eastAsia="宋体" w:cs="宋体"/>
          <w:i w:val="0"/>
          <w:iCs w:val="0"/>
          <w:color w:val="auto"/>
          <w:sz w:val="24"/>
          <w:szCs w:val="24"/>
          <w:highlight w:val="none"/>
          <w:u w:val="single"/>
        </w:rPr>
        <w:t xml:space="preserve">    （标的名称） </w:t>
      </w:r>
      <w:r>
        <w:rPr>
          <w:rFonts w:hint="eastAsia" w:ascii="宋体" w:hAnsi="宋体" w:eastAsia="宋体" w:cs="宋体"/>
          <w:i w:val="0"/>
          <w:iCs w:val="0"/>
          <w:color w:val="auto"/>
          <w:sz w:val="24"/>
          <w:szCs w:val="24"/>
          <w:highlight w:val="none"/>
        </w:rPr>
        <w:t xml:space="preserve">，属于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（采购文件中明确的所属行业）  </w:t>
      </w:r>
      <w:r>
        <w:rPr>
          <w:rFonts w:hint="eastAsia" w:ascii="宋体" w:hAnsi="宋体" w:eastAsia="宋体" w:cs="宋体"/>
          <w:i w:val="0"/>
          <w:iCs w:val="0"/>
          <w:color w:val="auto"/>
          <w:sz w:val="24"/>
          <w:szCs w:val="24"/>
          <w:highlight w:val="none"/>
        </w:rPr>
        <w:t xml:space="preserve"> 行业；承建（承接）企业为</w:t>
      </w:r>
      <w:r>
        <w:rPr>
          <w:rFonts w:hint="eastAsia" w:ascii="宋体" w:hAnsi="宋体" w:eastAsia="宋体" w:cs="宋体"/>
          <w:i w:val="0"/>
          <w:iCs w:val="0"/>
          <w:color w:val="auto"/>
          <w:sz w:val="24"/>
          <w:szCs w:val="24"/>
          <w:highlight w:val="none"/>
          <w:u w:val="single"/>
        </w:rPr>
        <w:t>（企业名称）</w:t>
      </w:r>
      <w:r>
        <w:rPr>
          <w:rFonts w:hint="eastAsia" w:ascii="宋体" w:hAnsi="宋体" w:eastAsia="宋体" w:cs="宋体"/>
          <w:i w:val="0"/>
          <w:iCs w:val="0"/>
          <w:color w:val="auto"/>
          <w:sz w:val="24"/>
          <w:szCs w:val="24"/>
          <w:highlight w:val="none"/>
        </w:rPr>
        <w:t>，从业人员</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人，营业收入为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万元，资产总额为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万元，属于</w:t>
      </w:r>
      <w:r>
        <w:rPr>
          <w:rFonts w:hint="eastAsia" w:ascii="宋体" w:hAnsi="宋体" w:eastAsia="宋体" w:cs="宋体"/>
          <w:i w:val="0"/>
          <w:iCs w:val="0"/>
          <w:color w:val="auto"/>
          <w:sz w:val="24"/>
          <w:szCs w:val="24"/>
          <w:highlight w:val="none"/>
          <w:u w:val="single"/>
        </w:rPr>
        <w:t xml:space="preserve">     （中型企业、小型企业、微型企业）</w:t>
      </w:r>
      <w:r>
        <w:rPr>
          <w:rFonts w:hint="eastAsia" w:ascii="宋体" w:hAnsi="宋体" w:eastAsia="宋体" w:cs="宋体"/>
          <w:i w:val="0"/>
          <w:iCs w:val="0"/>
          <w:color w:val="auto"/>
          <w:sz w:val="24"/>
          <w:szCs w:val="24"/>
          <w:highlight w:val="none"/>
        </w:rPr>
        <w:t>；</w:t>
      </w:r>
    </w:p>
    <w:p w14:paraId="5948CA28">
      <w:pPr>
        <w:pStyle w:val="8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以上企业，不属于大企业的分支机构，不存在控股股东为大企业的情形，也不存在与大企业的负责人为同一人的情形。 </w:t>
      </w:r>
    </w:p>
    <w:p w14:paraId="2B3F9DE7">
      <w:pPr>
        <w:pStyle w:val="8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本企业对上述声明内容的真实性负责。如有虚假，将依法承担相应责任。 </w:t>
      </w:r>
    </w:p>
    <w:p w14:paraId="2D10820D">
      <w:pPr>
        <w:pStyle w:val="8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企业名称（盖章）：   </w:t>
      </w:r>
    </w:p>
    <w:p w14:paraId="6ED60705">
      <w:pPr>
        <w:pStyle w:val="85"/>
        <w:keepNext w:val="0"/>
        <w:keepLines w:val="0"/>
        <w:pageBreakBefore w:val="0"/>
        <w:widowControl/>
        <w:kinsoku/>
        <w:wordWrap/>
        <w:overflowPunct/>
        <w:topLinePunct w:val="0"/>
        <w:autoSpaceDE/>
        <w:autoSpaceDN/>
        <w:bidi w:val="0"/>
        <w:adjustRightInd/>
        <w:snapToGrid/>
        <w:spacing w:line="360" w:lineRule="auto"/>
        <w:ind w:firstLine="48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日期：   </w:t>
      </w:r>
    </w:p>
    <w:p w14:paraId="1DCBACB4">
      <w:pPr>
        <w:pStyle w:val="8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注：</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供应商对照《关于印发中小企业划型标准规定的通知》（工信部联企业【2011】300号）中的标准，明确标的承接企业所属企业类型。</w:t>
      </w:r>
    </w:p>
    <w:p w14:paraId="7BE4D447">
      <w:pPr>
        <w:pStyle w:val="8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从业人员、营业收入、资产总额填报上一年度数据，无上一年度数据的新成立企业可不填报。</w:t>
      </w:r>
    </w:p>
    <w:p w14:paraId="62760F75">
      <w:pPr>
        <w:pStyle w:val="8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.涉及多个采购标的的项目，供应商应当</w:t>
      </w:r>
      <w:r>
        <w:rPr>
          <w:rFonts w:hint="eastAsia" w:ascii="宋体" w:hAnsi="宋体" w:eastAsia="宋体" w:cs="宋体"/>
          <w:b/>
          <w:bCs/>
          <w:i w:val="0"/>
          <w:iCs w:val="0"/>
          <w:color w:val="auto"/>
          <w:sz w:val="24"/>
          <w:szCs w:val="24"/>
          <w:highlight w:val="none"/>
        </w:rPr>
        <w:t>逐一填报与采购项目属性一致的每个采购标的（主要采购标的，不包括配件、辅料等</w:t>
      </w:r>
      <w:r>
        <w:rPr>
          <w:rFonts w:hint="eastAsia" w:ascii="宋体" w:hAnsi="宋体" w:eastAsia="宋体" w:cs="宋体"/>
          <w:i w:val="0"/>
          <w:iCs w:val="0"/>
          <w:color w:val="auto"/>
          <w:sz w:val="24"/>
          <w:szCs w:val="24"/>
          <w:highlight w:val="none"/>
        </w:rPr>
        <w:t>）的制造商或者承建（承接）供应商信息。</w:t>
      </w:r>
    </w:p>
    <w:p w14:paraId="288CD435">
      <w:pPr>
        <w:pStyle w:val="85"/>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 xml:space="preserve">.若供应商对照《政府采购促进中小企业发展管理办法》 (财库〔2020〕46号)中的规定，明确不符合中小企业的，则无需提供此声明函。 </w:t>
      </w:r>
    </w:p>
    <w:p w14:paraId="4BB53D4F">
      <w:pPr>
        <w:rPr>
          <w:rStyle w:val="116"/>
          <w:rFonts w:hint="eastAsia" w:ascii="宋体" w:hAnsi="宋体" w:eastAsia="宋体" w:cs="宋体"/>
          <w:i w:val="0"/>
          <w:iCs w:val="0"/>
          <w:color w:val="auto"/>
          <w:highlight w:val="none"/>
        </w:rPr>
      </w:pPr>
      <w:r>
        <w:rPr>
          <w:rStyle w:val="116"/>
          <w:rFonts w:hint="eastAsia" w:ascii="宋体" w:hAnsi="宋体" w:eastAsia="宋体" w:cs="宋体"/>
          <w:i w:val="0"/>
          <w:iCs w:val="0"/>
          <w:color w:val="auto"/>
          <w:highlight w:val="none"/>
        </w:rPr>
        <w:br w:type="page"/>
      </w:r>
    </w:p>
    <w:p w14:paraId="561F922E">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附：中小企业划型标准规定</w:t>
      </w:r>
    </w:p>
    <w:p w14:paraId="3279FC97">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28FF7D5B">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D0B55F3">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8405B74">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60CF4D5">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0251B38">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138EAD9">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F133769">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F4010D7">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90DBF55">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2C1BC9">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867134D">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A58F101">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2EC0662">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2A31897">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979A3D1">
      <w:pPr>
        <w:pStyle w:val="102"/>
        <w:spacing w:before="240" w:after="240"/>
        <w:rPr>
          <w:rStyle w:val="116"/>
          <w:rFonts w:hint="eastAsia" w:ascii="宋体" w:hAnsi="宋体" w:eastAsia="宋体" w:cs="宋体"/>
          <w:color w:val="auto"/>
          <w:sz w:val="24"/>
          <w:szCs w:val="24"/>
          <w:highlight w:val="none"/>
        </w:rPr>
      </w:pPr>
      <w:r>
        <w:rPr>
          <w:rStyle w:val="116"/>
          <w:rFonts w:hint="eastAsia" w:ascii="宋体" w:hAnsi="宋体" w:eastAsia="宋体" w:cs="宋体"/>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231E27A4">
      <w:pPr>
        <w:pStyle w:val="105"/>
        <w:jc w:val="left"/>
        <w:outlineLvl w:val="1"/>
        <w:rPr>
          <w:rStyle w:val="16"/>
          <w:rFonts w:hint="eastAsia" w:ascii="宋体" w:hAnsi="宋体" w:eastAsia="宋体" w:cs="宋体"/>
          <w:color w:val="auto"/>
          <w:highlight w:val="none"/>
        </w:rPr>
      </w:pPr>
      <w:r>
        <w:rPr>
          <w:rStyle w:val="116"/>
          <w:rFonts w:hint="eastAsia" w:ascii="宋体" w:hAnsi="宋体" w:eastAsia="宋体" w:cs="宋体"/>
          <w:color w:val="auto"/>
          <w:highlight w:val="none"/>
        </w:rPr>
        <w:br w:type="page" w:clear="all"/>
      </w:r>
      <w:bookmarkStart w:id="327" w:name="_Toc32049"/>
      <w:r>
        <w:rPr>
          <w:rStyle w:val="16"/>
          <w:rFonts w:hint="eastAsia" w:ascii="宋体" w:hAnsi="宋体" w:eastAsia="宋体" w:cs="宋体"/>
          <w:b/>
          <w:color w:val="auto"/>
          <w:sz w:val="32"/>
          <w:highlight w:val="none"/>
          <w:lang w:val="en-US" w:eastAsia="zh-CN"/>
        </w:rPr>
        <w:t>十</w:t>
      </w:r>
      <w:r>
        <w:rPr>
          <w:rStyle w:val="16"/>
          <w:rFonts w:hint="eastAsia" w:ascii="宋体" w:hAnsi="宋体" w:eastAsia="宋体" w:cs="宋体"/>
          <w:b/>
          <w:color w:val="auto"/>
          <w:sz w:val="32"/>
          <w:highlight w:val="none"/>
        </w:rPr>
        <w:t>、残疾人福利性单位声明函</w:t>
      </w:r>
      <w:bookmarkEnd w:id="327"/>
    </w:p>
    <w:p w14:paraId="7FA08D41">
      <w:pPr>
        <w:pStyle w:val="106"/>
        <w:spacing w:before="240" w:after="240"/>
        <w:rPr>
          <w:rStyle w:val="16"/>
          <w:rFonts w:hint="eastAsia" w:ascii="宋体" w:hAnsi="宋体" w:eastAsia="宋体" w:cs="宋体"/>
          <w:color w:val="auto"/>
          <w:sz w:val="24"/>
          <w:szCs w:val="24"/>
          <w:highlight w:val="none"/>
        </w:rPr>
      </w:pPr>
      <w:r>
        <w:rPr>
          <w:rStyle w:val="16"/>
          <w:rFonts w:hint="eastAsia" w:ascii="宋体" w:hAnsi="宋体" w:eastAsia="宋体" w:cs="宋体"/>
          <w:color w:val="auto"/>
          <w:highlight w:val="none"/>
        </w:rPr>
        <w:t xml:space="preserve">﻿ </w:t>
      </w:r>
    </w:p>
    <w:p w14:paraId="079C216D">
      <w:pPr>
        <w:pStyle w:val="106"/>
        <w:spacing w:before="320" w:after="320"/>
        <w:jc w:val="center"/>
        <w:rPr>
          <w:rStyle w:val="16"/>
          <w:rFonts w:hint="eastAsia" w:ascii="宋体" w:hAnsi="宋体" w:eastAsia="宋体" w:cs="宋体"/>
          <w:color w:val="auto"/>
          <w:sz w:val="32"/>
          <w:szCs w:val="32"/>
          <w:highlight w:val="none"/>
        </w:rPr>
      </w:pPr>
      <w:r>
        <w:rPr>
          <w:rStyle w:val="16"/>
          <w:rFonts w:hint="eastAsia" w:ascii="宋体" w:hAnsi="宋体" w:eastAsia="宋体" w:cs="宋体"/>
          <w:color w:val="auto"/>
          <w:sz w:val="32"/>
          <w:szCs w:val="32"/>
          <w:highlight w:val="none"/>
        </w:rPr>
        <w:t>残疾人福利性单位声明函</w:t>
      </w:r>
    </w:p>
    <w:p w14:paraId="611F47BE">
      <w:pPr>
        <w:pStyle w:val="8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w:t>
      </w:r>
      <w:r>
        <w:rPr>
          <w:rFonts w:hint="eastAsia" w:ascii="宋体" w:hAnsi="宋体" w:eastAsia="宋体" w:cs="宋体"/>
          <w:color w:val="auto"/>
          <w:highlight w:val="none"/>
        </w:rPr>
        <w:t>单位的</w:t>
      </w:r>
      <w:r>
        <w:rPr>
          <w:rFonts w:hint="eastAsia" w:ascii="宋体" w:hAnsi="宋体" w:eastAsia="宋体" w:cs="宋体"/>
          <w:color w:val="auto"/>
          <w:highlight w:val="none"/>
          <w:u w:val="single"/>
        </w:rPr>
        <w:t>   </w:t>
      </w:r>
      <w:r>
        <w:rPr>
          <w:rFonts w:hint="eastAsia"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p>
    <w:p w14:paraId="62EFF4CD">
      <w:pPr>
        <w:pStyle w:val="8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27D1104B">
      <w:pPr>
        <w:pStyle w:val="87"/>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076F67C">
      <w:pPr>
        <w:pStyle w:val="87"/>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2B595BC">
      <w:pPr>
        <w:pStyle w:val="87"/>
        <w:spacing w:before="240" w:after="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94DD7EA">
      <w:pPr>
        <w:pStyle w:val="8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单位名称（盖章）：   </w:t>
      </w:r>
    </w:p>
    <w:p w14:paraId="171DDA69">
      <w:pPr>
        <w:pStyle w:val="8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日期：   </w:t>
      </w:r>
    </w:p>
    <w:p w14:paraId="2E2FB970">
      <w:pPr>
        <w:pStyle w:val="8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注：1、符合《关于促进残疾人就业政府采购政策的通知》（财库〔2017〕141号）规定条件的残疾人福利性单位在参加政府采购活动时，应当提供《残疾人福利性单位声明函》，并对声明的真实性负责。</w:t>
      </w:r>
    </w:p>
    <w:p w14:paraId="101340C4">
      <w:pPr>
        <w:pStyle w:val="8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供应商提供的《残疾人福利性单位声明函》与事实不符的，依照《政府采购法》第七十七条第一款的规定追究法律责任。</w:t>
      </w:r>
    </w:p>
    <w:p w14:paraId="37613B87">
      <w:pPr>
        <w:pStyle w:val="8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中标、成交供应商为残疾人福利性单位的，采购人或者其委托的采购代理机构应当随中标、成交结果同时公告其《残疾人福利性单位声明函》，接受社会监督。</w:t>
      </w:r>
    </w:p>
    <w:p w14:paraId="6AABC802">
      <w:pPr>
        <w:pStyle w:val="87"/>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p>
    <w:p w14:paraId="3F5EC9A7">
      <w:pPr>
        <w:rPr>
          <w:rStyle w:val="16"/>
          <w:rFonts w:hint="eastAsia" w:ascii="宋体" w:hAnsi="宋体" w:eastAsia="宋体" w:cs="宋体"/>
          <w:b/>
          <w:color w:val="auto"/>
          <w:sz w:val="32"/>
          <w:highlight w:val="none"/>
        </w:rPr>
      </w:pPr>
      <w:r>
        <w:rPr>
          <w:rStyle w:val="16"/>
          <w:rFonts w:hint="eastAsia" w:ascii="宋体" w:hAnsi="宋体" w:eastAsia="宋体" w:cs="宋体"/>
          <w:b/>
          <w:color w:val="auto"/>
          <w:sz w:val="32"/>
          <w:highlight w:val="none"/>
        </w:rPr>
        <w:br w:type="page"/>
      </w:r>
    </w:p>
    <w:p w14:paraId="4A4B55D8">
      <w:pPr>
        <w:pStyle w:val="107"/>
        <w:jc w:val="left"/>
        <w:outlineLvl w:val="1"/>
        <w:rPr>
          <w:rStyle w:val="16"/>
          <w:rFonts w:hint="eastAsia" w:ascii="宋体" w:hAnsi="宋体" w:eastAsia="宋体" w:cs="宋体"/>
          <w:color w:val="auto"/>
          <w:highlight w:val="none"/>
        </w:rPr>
      </w:pPr>
      <w:bookmarkStart w:id="328" w:name="_Toc10799"/>
      <w:r>
        <w:rPr>
          <w:rStyle w:val="16"/>
          <w:rFonts w:hint="eastAsia" w:ascii="宋体" w:hAnsi="宋体" w:eastAsia="宋体" w:cs="宋体"/>
          <w:b/>
          <w:color w:val="auto"/>
          <w:sz w:val="32"/>
          <w:highlight w:val="none"/>
        </w:rPr>
        <w:t>十</w:t>
      </w:r>
      <w:r>
        <w:rPr>
          <w:rStyle w:val="16"/>
          <w:rFonts w:hint="eastAsia" w:ascii="宋体" w:hAnsi="宋体" w:eastAsia="宋体" w:cs="宋体"/>
          <w:b/>
          <w:color w:val="auto"/>
          <w:sz w:val="32"/>
          <w:highlight w:val="none"/>
          <w:lang w:eastAsia="zh-CN"/>
        </w:rPr>
        <w:t>一</w:t>
      </w:r>
      <w:r>
        <w:rPr>
          <w:rStyle w:val="16"/>
          <w:rFonts w:hint="eastAsia" w:ascii="宋体" w:hAnsi="宋体" w:eastAsia="宋体" w:cs="宋体"/>
          <w:b/>
          <w:color w:val="auto"/>
          <w:sz w:val="32"/>
          <w:highlight w:val="none"/>
        </w:rPr>
        <w:t>、监狱企业的证明文件</w:t>
      </w:r>
      <w:bookmarkEnd w:id="328"/>
    </w:p>
    <w:p w14:paraId="61F2FC16">
      <w:pPr>
        <w:pStyle w:val="108"/>
        <w:jc w:val="center"/>
        <w:rPr>
          <w:rStyle w:val="110"/>
          <w:rFonts w:hint="eastAsia" w:ascii="宋体" w:hAnsi="宋体" w:eastAsia="宋体" w:cs="宋体"/>
          <w:color w:val="auto"/>
          <w:highlight w:val="none"/>
        </w:rPr>
      </w:pPr>
      <w:bookmarkStart w:id="329" w:name="_Toc43285587"/>
      <w:bookmarkStart w:id="330" w:name="_Toc35246808"/>
      <w:bookmarkStart w:id="331" w:name="_Toc35266045"/>
      <w:bookmarkStart w:id="332" w:name="_Toc35244896"/>
    </w:p>
    <w:p w14:paraId="5AB6AA48">
      <w:pPr>
        <w:pStyle w:val="108"/>
        <w:spacing w:line="360" w:lineRule="auto"/>
        <w:jc w:val="center"/>
        <w:rPr>
          <w:rStyle w:val="110"/>
          <w:rFonts w:hint="eastAsia" w:ascii="宋体" w:hAnsi="宋体" w:eastAsia="宋体" w:cs="宋体"/>
          <w:color w:val="auto"/>
          <w:highlight w:val="none"/>
        </w:rPr>
      </w:pPr>
      <w:r>
        <w:rPr>
          <w:rStyle w:val="110"/>
          <w:rFonts w:hint="eastAsia" w:ascii="宋体" w:hAnsi="宋体" w:eastAsia="宋体" w:cs="宋体"/>
          <w:color w:val="auto"/>
          <w:highlight w:val="none"/>
        </w:rPr>
        <w:t>监狱企业的证明文件</w:t>
      </w:r>
      <w:bookmarkEnd w:id="329"/>
      <w:bookmarkEnd w:id="330"/>
      <w:bookmarkEnd w:id="331"/>
      <w:bookmarkEnd w:id="332"/>
    </w:p>
    <w:p w14:paraId="0AAC3C77">
      <w:pPr>
        <w:rPr>
          <w:rFonts w:hint="eastAsia" w:ascii="宋体" w:hAnsi="宋体" w:eastAsia="宋体" w:cs="宋体"/>
          <w:color w:val="auto"/>
          <w:highlight w:val="none"/>
        </w:rPr>
      </w:pPr>
      <w:r>
        <w:rPr>
          <w:rFonts w:hint="eastAsia" w:ascii="宋体" w:hAnsi="宋体" w:eastAsia="宋体" w:cs="宋体"/>
          <w:color w:val="auto"/>
          <w:highlight w:val="none"/>
        </w:rPr>
        <w:t>（证明文件）</w:t>
      </w:r>
    </w:p>
    <w:p w14:paraId="0E7FB430">
      <w:pPr>
        <w:pStyle w:val="20"/>
        <w:rPr>
          <w:rFonts w:hint="eastAsia" w:ascii="宋体" w:hAnsi="宋体" w:eastAsia="宋体" w:cs="宋体"/>
          <w:color w:val="auto"/>
          <w:sz w:val="21"/>
          <w:highlight w:val="none"/>
        </w:rPr>
      </w:pPr>
    </w:p>
    <w:p w14:paraId="261623ED">
      <w:pPr>
        <w:pStyle w:val="20"/>
        <w:ind w:firstLine="0"/>
        <w:rPr>
          <w:rFonts w:hint="eastAsia" w:ascii="宋体" w:hAnsi="宋体" w:eastAsia="宋体" w:cs="宋体"/>
          <w:color w:val="auto"/>
          <w:sz w:val="21"/>
          <w:highlight w:val="none"/>
        </w:rPr>
      </w:pPr>
    </w:p>
    <w:p w14:paraId="43C955C1">
      <w:pPr>
        <w:pStyle w:val="20"/>
        <w:rPr>
          <w:rFonts w:hint="eastAsia" w:ascii="宋体" w:hAnsi="宋体" w:eastAsia="宋体" w:cs="宋体"/>
          <w:color w:val="auto"/>
          <w:sz w:val="21"/>
          <w:highlight w:val="none"/>
        </w:rPr>
      </w:pPr>
    </w:p>
    <w:p w14:paraId="3391295A">
      <w:pPr>
        <w:pStyle w:val="20"/>
        <w:rPr>
          <w:rFonts w:hint="eastAsia" w:ascii="宋体" w:hAnsi="宋体" w:eastAsia="宋体" w:cs="宋体"/>
          <w:color w:val="auto"/>
          <w:sz w:val="21"/>
          <w:highlight w:val="none"/>
        </w:rPr>
      </w:pPr>
    </w:p>
    <w:p w14:paraId="1CEC8E9F">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FC916FA">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4449143">
      <w:pPr>
        <w:spacing w:line="44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p>
    <w:p w14:paraId="67E35023">
      <w:pPr>
        <w:pStyle w:val="89"/>
        <w:outlineLvl w:val="0"/>
        <w:rPr>
          <w:rFonts w:hint="eastAsia" w:ascii="宋体" w:hAnsi="宋体" w:eastAsia="宋体" w:cs="宋体"/>
          <w:b/>
          <w:color w:val="auto"/>
          <w:sz w:val="32"/>
          <w:highlight w:val="none"/>
        </w:rPr>
      </w:pPr>
    </w:p>
    <w:p w14:paraId="39073D0E">
      <w:pPr>
        <w:rPr>
          <w:rStyle w:val="16"/>
          <w:rFonts w:hint="eastAsia" w:ascii="宋体" w:hAnsi="宋体" w:eastAsia="宋体" w:cs="宋体"/>
          <w:b/>
          <w:color w:val="auto"/>
          <w:sz w:val="32"/>
          <w:highlight w:val="none"/>
        </w:rPr>
      </w:pPr>
      <w:r>
        <w:rPr>
          <w:rStyle w:val="16"/>
          <w:rFonts w:hint="eastAsia" w:ascii="宋体" w:hAnsi="宋体" w:eastAsia="宋体" w:cs="宋体"/>
          <w:b/>
          <w:color w:val="auto"/>
          <w:sz w:val="32"/>
          <w:highlight w:val="none"/>
        </w:rPr>
        <w:br w:type="page"/>
      </w:r>
    </w:p>
    <w:bookmarkEnd w:id="246"/>
    <w:bookmarkEnd w:id="247"/>
    <w:bookmarkEnd w:id="285"/>
    <w:bookmarkEnd w:id="286"/>
    <w:p w14:paraId="1160C773">
      <w:pPr>
        <w:pStyle w:val="111"/>
        <w:jc w:val="left"/>
        <w:outlineLvl w:val="1"/>
        <w:rPr>
          <w:rStyle w:val="16"/>
          <w:rFonts w:ascii="Times New Roman" w:hAnsi="Times New Roman" w:eastAsia="Times New Roman" w:cs="Times New Roman"/>
          <w:color w:val="auto"/>
          <w:highlight w:val="none"/>
        </w:rPr>
      </w:pPr>
      <w:bookmarkStart w:id="333" w:name="_Toc8100"/>
      <w:bookmarkStart w:id="334" w:name="_Toc11777"/>
      <w:r>
        <w:rPr>
          <w:rStyle w:val="16"/>
          <w:rFonts w:ascii="宋体" w:hAnsi="宋体" w:eastAsia="宋体" w:cs="宋体"/>
          <w:b/>
          <w:color w:val="auto"/>
          <w:sz w:val="32"/>
          <w:highlight w:val="none"/>
        </w:rPr>
        <w:t>十</w:t>
      </w:r>
      <w:r>
        <w:rPr>
          <w:rStyle w:val="16"/>
          <w:rFonts w:hint="eastAsia" w:ascii="宋体" w:hAnsi="宋体" w:eastAsia="宋体" w:cs="宋体"/>
          <w:b/>
          <w:color w:val="auto"/>
          <w:sz w:val="32"/>
          <w:highlight w:val="none"/>
          <w:lang w:val="en-US" w:eastAsia="zh-CN"/>
        </w:rPr>
        <w:t>二</w:t>
      </w:r>
      <w:r>
        <w:rPr>
          <w:rStyle w:val="16"/>
          <w:rFonts w:ascii="宋体" w:hAnsi="宋体" w:eastAsia="宋体" w:cs="宋体"/>
          <w:b/>
          <w:color w:val="auto"/>
          <w:sz w:val="32"/>
          <w:highlight w:val="none"/>
        </w:rPr>
        <w:t>、技术参数响应及偏离表</w:t>
      </w:r>
      <w:bookmarkEnd w:id="333"/>
      <w:bookmarkEnd w:id="334"/>
    </w:p>
    <w:p w14:paraId="2BE0E8EB">
      <w:pPr>
        <w:pStyle w:val="112"/>
        <w:spacing w:line="440" w:lineRule="exact"/>
        <w:outlineLvl w:val="9"/>
        <w:rPr>
          <w:rStyle w:val="16"/>
          <w:rFonts w:ascii="Times New Roman" w:hAnsi="Times New Roman" w:eastAsia="Times New Roman" w:cs="Times New Roman"/>
          <w:color w:val="auto"/>
          <w:spacing w:val="7"/>
          <w:highlight w:val="none"/>
        </w:rPr>
      </w:pPr>
      <w:r>
        <w:rPr>
          <w:rStyle w:val="16"/>
          <w:rFonts w:ascii="宋体" w:hAnsi="宋体" w:eastAsia="宋体" w:cs="宋体"/>
          <w:color w:val="auto"/>
          <w:highlight w:val="none"/>
        </w:rPr>
        <w:t xml:space="preserve">﻿ </w:t>
      </w:r>
    </w:p>
    <w:p w14:paraId="5E0EE2C4">
      <w:pPr>
        <w:pStyle w:val="112"/>
        <w:spacing w:before="320" w:after="320" w:line="300" w:lineRule="auto"/>
        <w:jc w:val="center"/>
        <w:rPr>
          <w:rStyle w:val="16"/>
          <w:rFonts w:ascii="黑体" w:hAnsi="黑体" w:eastAsia="黑体" w:cs="黑体"/>
          <w:b/>
          <w:bCs/>
          <w:color w:val="auto"/>
          <w:sz w:val="32"/>
          <w:szCs w:val="32"/>
          <w:highlight w:val="none"/>
        </w:rPr>
      </w:pPr>
      <w:r>
        <w:rPr>
          <w:rStyle w:val="16"/>
          <w:rFonts w:ascii="黑体" w:hAnsi="黑体" w:eastAsia="黑体" w:cs="黑体"/>
          <w:b/>
          <w:bCs/>
          <w:color w:val="auto"/>
          <w:sz w:val="32"/>
          <w:szCs w:val="32"/>
          <w:highlight w:val="none"/>
        </w:rPr>
        <w:t xml:space="preserve">技术参数响应及偏离表 </w:t>
      </w:r>
    </w:p>
    <w:p w14:paraId="363F3730">
      <w:pPr>
        <w:pStyle w:val="112"/>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highlight w:val="none"/>
        </w:rPr>
        <w:t xml:space="preserve">  </w:t>
      </w:r>
    </w:p>
    <w:tbl>
      <w:tblPr>
        <w:tblStyle w:val="15"/>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14"/>
        <w:gridCol w:w="1008"/>
        <w:gridCol w:w="2355"/>
        <w:gridCol w:w="2149"/>
        <w:gridCol w:w="709"/>
        <w:gridCol w:w="2150"/>
      </w:tblGrid>
      <w:tr w14:paraId="3D3D2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614" w:type="dxa"/>
            <w:noWrap w:val="0"/>
            <w:tcMar>
              <w:top w:w="0" w:type="dxa"/>
              <w:left w:w="0" w:type="dxa"/>
              <w:bottom w:w="0" w:type="dxa"/>
              <w:right w:w="0" w:type="dxa"/>
            </w:tcMar>
            <w:vAlign w:val="center"/>
          </w:tcPr>
          <w:p w14:paraId="238D926B">
            <w:pPr>
              <w:pStyle w:val="112"/>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序号</w:t>
            </w:r>
          </w:p>
        </w:tc>
        <w:tc>
          <w:tcPr>
            <w:tcW w:w="1008" w:type="dxa"/>
            <w:noWrap w:val="0"/>
            <w:tcMar>
              <w:top w:w="0" w:type="dxa"/>
              <w:left w:w="0" w:type="dxa"/>
              <w:bottom w:w="0" w:type="dxa"/>
              <w:right w:w="0" w:type="dxa"/>
            </w:tcMar>
            <w:vAlign w:val="center"/>
          </w:tcPr>
          <w:p w14:paraId="2F4A28C6">
            <w:pPr>
              <w:pStyle w:val="112"/>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名称</w:t>
            </w:r>
          </w:p>
        </w:tc>
        <w:tc>
          <w:tcPr>
            <w:tcW w:w="2355" w:type="dxa"/>
            <w:noWrap w:val="0"/>
            <w:tcMar>
              <w:top w:w="0" w:type="dxa"/>
              <w:left w:w="0" w:type="dxa"/>
              <w:bottom w:w="0" w:type="dxa"/>
              <w:right w:w="0" w:type="dxa"/>
            </w:tcMar>
            <w:vAlign w:val="center"/>
          </w:tcPr>
          <w:p w14:paraId="694E7348">
            <w:pPr>
              <w:shd w:val="clear" w:color="auto" w:fill="auto"/>
              <w:jc w:val="center"/>
              <w:rPr>
                <w:rStyle w:val="16"/>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招标文件技术要求中的要求</w:t>
            </w:r>
          </w:p>
        </w:tc>
        <w:tc>
          <w:tcPr>
            <w:tcW w:w="2149" w:type="dxa"/>
            <w:noWrap w:val="0"/>
            <w:tcMar>
              <w:top w:w="0" w:type="dxa"/>
              <w:left w:w="0" w:type="dxa"/>
              <w:bottom w:w="0" w:type="dxa"/>
              <w:right w:w="0" w:type="dxa"/>
            </w:tcMar>
            <w:vAlign w:val="center"/>
          </w:tcPr>
          <w:p w14:paraId="0B70E84D">
            <w:pPr>
              <w:shd w:val="clear" w:color="auto" w:fill="auto"/>
              <w:jc w:val="center"/>
              <w:rPr>
                <w:rStyle w:val="16"/>
                <w:rFonts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caps w:val="0"/>
                <w:smallCaps w:val="0"/>
                <w:color w:val="auto"/>
                <w:spacing w:val="0"/>
                <w:sz w:val="24"/>
                <w:szCs w:val="24"/>
                <w:highlight w:val="none"/>
                <w:shd w:val="clear" w:color="auto" w:fill="auto"/>
              </w:rPr>
              <w:t>投标文件对应要求的服务承诺</w:t>
            </w:r>
          </w:p>
        </w:tc>
        <w:tc>
          <w:tcPr>
            <w:tcW w:w="709" w:type="dxa"/>
            <w:noWrap w:val="0"/>
            <w:tcMar>
              <w:top w:w="0" w:type="dxa"/>
              <w:left w:w="0" w:type="dxa"/>
              <w:bottom w:w="0" w:type="dxa"/>
              <w:right w:w="0" w:type="dxa"/>
            </w:tcMar>
            <w:vAlign w:val="center"/>
          </w:tcPr>
          <w:p w14:paraId="50C7C365">
            <w:pPr>
              <w:pStyle w:val="112"/>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有无偏离</w:t>
            </w:r>
          </w:p>
        </w:tc>
        <w:tc>
          <w:tcPr>
            <w:tcW w:w="2150" w:type="dxa"/>
            <w:noWrap w:val="0"/>
            <w:tcMar>
              <w:top w:w="0" w:type="dxa"/>
              <w:left w:w="0" w:type="dxa"/>
              <w:bottom w:w="0" w:type="dxa"/>
              <w:right w:w="0" w:type="dxa"/>
            </w:tcMar>
            <w:vAlign w:val="center"/>
          </w:tcPr>
          <w:p w14:paraId="3609ECED">
            <w:pPr>
              <w:pStyle w:val="112"/>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偏离内容及原因</w:t>
            </w:r>
          </w:p>
        </w:tc>
      </w:tr>
      <w:tr w14:paraId="416E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614" w:type="dxa"/>
            <w:noWrap w:val="0"/>
            <w:tcMar>
              <w:top w:w="0" w:type="dxa"/>
              <w:left w:w="0" w:type="dxa"/>
              <w:bottom w:w="0" w:type="dxa"/>
              <w:right w:w="0" w:type="dxa"/>
            </w:tcMar>
            <w:vAlign w:val="center"/>
          </w:tcPr>
          <w:p w14:paraId="473D9494">
            <w:pPr>
              <w:pStyle w:val="112"/>
              <w:jc w:val="center"/>
              <w:rPr>
                <w:rStyle w:val="16"/>
                <w:rFonts w:ascii="宋体" w:hAnsi="宋体" w:eastAsia="宋体" w:cs="宋体"/>
                <w:b w:val="0"/>
                <w:bCs w:val="0"/>
                <w:i w:val="0"/>
                <w:iCs w:val="0"/>
                <w:smallCaps w:val="0"/>
                <w:color w:val="auto"/>
                <w:sz w:val="24"/>
                <w:szCs w:val="24"/>
                <w:highlight w:val="none"/>
              </w:rPr>
            </w:pPr>
          </w:p>
        </w:tc>
        <w:tc>
          <w:tcPr>
            <w:tcW w:w="1008" w:type="dxa"/>
            <w:noWrap w:val="0"/>
            <w:tcMar>
              <w:top w:w="0" w:type="dxa"/>
              <w:left w:w="0" w:type="dxa"/>
              <w:bottom w:w="0" w:type="dxa"/>
              <w:right w:w="0" w:type="dxa"/>
            </w:tcMar>
            <w:vAlign w:val="center"/>
          </w:tcPr>
          <w:p w14:paraId="044E6E5B">
            <w:pPr>
              <w:pStyle w:val="112"/>
              <w:jc w:val="center"/>
              <w:rPr>
                <w:rStyle w:val="16"/>
                <w:rFonts w:ascii="宋体" w:hAnsi="宋体" w:eastAsia="宋体" w:cs="宋体"/>
                <w:b w:val="0"/>
                <w:bCs w:val="0"/>
                <w:i w:val="0"/>
                <w:iCs w:val="0"/>
                <w:smallCaps w:val="0"/>
                <w:color w:val="auto"/>
                <w:sz w:val="24"/>
                <w:szCs w:val="24"/>
                <w:highlight w:val="none"/>
              </w:rPr>
            </w:pPr>
          </w:p>
        </w:tc>
        <w:tc>
          <w:tcPr>
            <w:tcW w:w="2355" w:type="dxa"/>
            <w:noWrap w:val="0"/>
            <w:tcMar>
              <w:top w:w="0" w:type="dxa"/>
              <w:left w:w="0" w:type="dxa"/>
              <w:bottom w:w="0" w:type="dxa"/>
              <w:right w:w="0" w:type="dxa"/>
            </w:tcMar>
            <w:vAlign w:val="center"/>
          </w:tcPr>
          <w:p w14:paraId="09E92508">
            <w:pPr>
              <w:pStyle w:val="112"/>
              <w:jc w:val="center"/>
              <w:rPr>
                <w:rStyle w:val="16"/>
                <w:rFonts w:ascii="宋体" w:hAnsi="宋体" w:eastAsia="宋体" w:cs="宋体"/>
                <w:b w:val="0"/>
                <w:bCs w:val="0"/>
                <w:i w:val="0"/>
                <w:iCs w:val="0"/>
                <w:smallCaps w:val="0"/>
                <w:color w:val="auto"/>
                <w:sz w:val="24"/>
                <w:szCs w:val="24"/>
                <w:highlight w:val="none"/>
              </w:rPr>
            </w:pPr>
          </w:p>
        </w:tc>
        <w:tc>
          <w:tcPr>
            <w:tcW w:w="2149" w:type="dxa"/>
            <w:noWrap w:val="0"/>
            <w:tcMar>
              <w:top w:w="0" w:type="dxa"/>
              <w:left w:w="0" w:type="dxa"/>
              <w:bottom w:w="0" w:type="dxa"/>
              <w:right w:w="0" w:type="dxa"/>
            </w:tcMar>
            <w:vAlign w:val="center"/>
          </w:tcPr>
          <w:p w14:paraId="66E45D51">
            <w:pPr>
              <w:pStyle w:val="112"/>
              <w:jc w:val="center"/>
              <w:rPr>
                <w:rStyle w:val="16"/>
                <w:rFonts w:ascii="宋体" w:hAnsi="宋体" w:eastAsia="宋体" w:cs="宋体"/>
                <w:b w:val="0"/>
                <w:bCs w:val="0"/>
                <w:i w:val="0"/>
                <w:iCs w:val="0"/>
                <w:smallCaps w:val="0"/>
                <w:color w:val="auto"/>
                <w:sz w:val="24"/>
                <w:szCs w:val="24"/>
                <w:highlight w:val="none"/>
              </w:rPr>
            </w:pPr>
          </w:p>
        </w:tc>
        <w:tc>
          <w:tcPr>
            <w:tcW w:w="709" w:type="dxa"/>
            <w:noWrap w:val="0"/>
            <w:tcMar>
              <w:top w:w="0" w:type="dxa"/>
              <w:left w:w="0" w:type="dxa"/>
              <w:bottom w:w="0" w:type="dxa"/>
              <w:right w:w="0" w:type="dxa"/>
            </w:tcMar>
            <w:vAlign w:val="center"/>
          </w:tcPr>
          <w:p w14:paraId="24AA2842">
            <w:pPr>
              <w:pStyle w:val="112"/>
              <w:jc w:val="center"/>
              <w:rPr>
                <w:rStyle w:val="16"/>
                <w:rFonts w:ascii="宋体" w:hAnsi="宋体" w:eastAsia="宋体" w:cs="宋体"/>
                <w:b w:val="0"/>
                <w:bCs w:val="0"/>
                <w:i w:val="0"/>
                <w:iCs w:val="0"/>
                <w:smallCaps w:val="0"/>
                <w:color w:val="auto"/>
                <w:sz w:val="24"/>
                <w:szCs w:val="24"/>
                <w:highlight w:val="none"/>
              </w:rPr>
            </w:pPr>
          </w:p>
        </w:tc>
        <w:tc>
          <w:tcPr>
            <w:tcW w:w="2150" w:type="dxa"/>
            <w:noWrap w:val="0"/>
            <w:tcMar>
              <w:top w:w="0" w:type="dxa"/>
              <w:left w:w="0" w:type="dxa"/>
              <w:bottom w:w="0" w:type="dxa"/>
              <w:right w:w="0" w:type="dxa"/>
            </w:tcMar>
            <w:vAlign w:val="center"/>
          </w:tcPr>
          <w:p w14:paraId="6CDFB848">
            <w:pPr>
              <w:pStyle w:val="112"/>
              <w:jc w:val="center"/>
              <w:rPr>
                <w:rStyle w:val="16"/>
                <w:rFonts w:ascii="宋体" w:hAnsi="宋体" w:eastAsia="宋体" w:cs="宋体"/>
                <w:b w:val="0"/>
                <w:bCs w:val="0"/>
                <w:i w:val="0"/>
                <w:iCs w:val="0"/>
                <w:smallCaps w:val="0"/>
                <w:color w:val="auto"/>
                <w:sz w:val="24"/>
                <w:szCs w:val="24"/>
                <w:highlight w:val="none"/>
              </w:rPr>
            </w:pPr>
          </w:p>
        </w:tc>
      </w:tr>
    </w:tbl>
    <w:p w14:paraId="5D4B3E66">
      <w:pPr>
        <w:pStyle w:val="112"/>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highlight w:val="none"/>
        </w:rPr>
        <w:t xml:space="preserve">  </w:t>
      </w:r>
    </w:p>
    <w:p w14:paraId="7C652429">
      <w:pPr>
        <w:pStyle w:val="112"/>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highlight w:val="none"/>
        </w:rPr>
        <w:t xml:space="preserve">注： </w:t>
      </w:r>
    </w:p>
    <w:p w14:paraId="55BDDEF0">
      <w:pPr>
        <w:pStyle w:val="112"/>
        <w:spacing w:before="240" w:after="240"/>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t>1</w:t>
      </w:r>
      <w:r>
        <w:rPr>
          <w:rStyle w:val="16"/>
          <w:rFonts w:hint="eastAsia" w:ascii="宋体" w:hAnsi="宋体" w:eastAsia="宋体" w:cs="宋体"/>
          <w:color w:val="auto"/>
          <w:highlight w:val="none"/>
          <w:lang w:val="en-US" w:eastAsia="zh-CN"/>
        </w:rPr>
        <w:t>.</w:t>
      </w:r>
      <w:r>
        <w:rPr>
          <w:rStyle w:val="16"/>
          <w:rFonts w:hint="eastAsia" w:ascii="宋体" w:hAnsi="宋体" w:eastAsia="宋体" w:cs="宋体"/>
          <w:color w:val="auto"/>
          <w:highlight w:val="none"/>
        </w:rPr>
        <w:t>投标人应根据招标文件技术</w:t>
      </w:r>
      <w:r>
        <w:rPr>
          <w:rStyle w:val="16"/>
          <w:rFonts w:hint="eastAsia" w:ascii="宋体" w:hAnsi="宋体" w:eastAsia="宋体" w:cs="宋体"/>
          <w:color w:val="auto"/>
          <w:highlight w:val="none"/>
          <w:lang w:val="en-US" w:eastAsia="zh-CN"/>
        </w:rPr>
        <w:t>要求</w:t>
      </w:r>
      <w:r>
        <w:rPr>
          <w:rStyle w:val="16"/>
          <w:rFonts w:hint="eastAsia" w:ascii="宋体" w:hAnsi="宋体" w:eastAsia="宋体" w:cs="宋体"/>
          <w:color w:val="auto"/>
          <w:highlight w:val="none"/>
        </w:rPr>
        <w:t>中的要求对照投标人所提供的服务承诺进行逐项评议。</w:t>
      </w:r>
    </w:p>
    <w:p w14:paraId="50821190">
      <w:pPr>
        <w:pStyle w:val="112"/>
        <w:spacing w:before="240" w:after="240"/>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t>2</w:t>
      </w:r>
      <w:r>
        <w:rPr>
          <w:rStyle w:val="16"/>
          <w:rFonts w:hint="eastAsia" w:ascii="宋体" w:hAnsi="宋体" w:eastAsia="宋体" w:cs="宋体"/>
          <w:color w:val="auto"/>
          <w:highlight w:val="none"/>
          <w:lang w:val="en-US" w:eastAsia="zh-CN"/>
        </w:rPr>
        <w:t>.</w:t>
      </w:r>
      <w:r>
        <w:rPr>
          <w:rStyle w:val="16"/>
          <w:rFonts w:hint="eastAsia" w:ascii="宋体" w:hAnsi="宋体" w:eastAsia="宋体" w:cs="宋体"/>
          <w:color w:val="auto"/>
          <w:highlight w:val="none"/>
        </w:rPr>
        <w:t>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p>
    <w:p w14:paraId="65A8D47D">
      <w:pPr>
        <w:pStyle w:val="112"/>
        <w:spacing w:before="240" w:after="240"/>
        <w:rPr>
          <w:rStyle w:val="16"/>
          <w:rFonts w:hint="eastAsia" w:ascii="宋体" w:hAnsi="宋体" w:eastAsia="宋体" w:cs="宋体"/>
          <w:color w:val="auto"/>
          <w:highlight w:val="none"/>
        </w:rPr>
      </w:pPr>
      <w:r>
        <w:rPr>
          <w:rStyle w:val="16"/>
          <w:rFonts w:hint="eastAsia" w:ascii="宋体" w:hAnsi="宋体" w:eastAsia="宋体" w:cs="宋体"/>
          <w:color w:val="auto"/>
          <w:highlight w:val="none"/>
        </w:rPr>
        <w:t>3</w:t>
      </w:r>
      <w:r>
        <w:rPr>
          <w:rStyle w:val="16"/>
          <w:rFonts w:hint="eastAsia" w:ascii="宋体" w:hAnsi="宋体" w:eastAsia="宋体" w:cs="宋体"/>
          <w:color w:val="auto"/>
          <w:highlight w:val="none"/>
          <w:lang w:val="en-US" w:eastAsia="zh-CN"/>
        </w:rPr>
        <w:t>.</w:t>
      </w:r>
      <w:r>
        <w:rPr>
          <w:rStyle w:val="16"/>
          <w:rFonts w:hint="eastAsia" w:ascii="宋体" w:hAnsi="宋体" w:eastAsia="宋体" w:cs="宋体"/>
          <w:color w:val="auto"/>
          <w:highlight w:val="none"/>
        </w:rPr>
        <w:t>表格不够可另接。</w:t>
      </w:r>
    </w:p>
    <w:p w14:paraId="14E2AEDE">
      <w:pPr>
        <w:pStyle w:val="107"/>
        <w:keepNext w:val="0"/>
        <w:keepLines w:val="0"/>
        <w:pageBreakBefore w:val="0"/>
        <w:widowControl/>
        <w:shd w:val="clear" w:color="auto" w:fill="auto"/>
        <w:spacing w:line="360" w:lineRule="auto"/>
        <w:rPr>
          <w:rStyle w:val="116"/>
          <w:rFonts w:hint="eastAsia" w:ascii="宋体" w:hAnsi="宋体" w:eastAsia="宋体" w:cs="宋体"/>
          <w:caps w:val="0"/>
          <w:smallCaps w:val="0"/>
          <w:color w:val="auto"/>
          <w:spacing w:val="0"/>
          <w:highlight w:val="none"/>
          <w:shd w:val="clear" w:color="auto" w:fill="auto"/>
        </w:rPr>
        <w:sectPr>
          <w:pgSz w:w="11906" w:h="16838"/>
          <w:pgMar w:top="1440" w:right="1080" w:bottom="1440" w:left="1080" w:header="851" w:footer="992" w:gutter="0"/>
          <w:cols w:space="1701" w:num="1"/>
          <w:titlePg/>
          <w:docGrid w:linePitch="360" w:charSpace="0"/>
        </w:sectPr>
      </w:pPr>
    </w:p>
    <w:p w14:paraId="644F224B">
      <w:pPr>
        <w:pStyle w:val="113"/>
        <w:jc w:val="left"/>
        <w:outlineLvl w:val="1"/>
        <w:rPr>
          <w:rStyle w:val="16"/>
          <w:rFonts w:ascii="Times New Roman" w:hAnsi="Times New Roman" w:eastAsia="Times New Roman" w:cs="Times New Roman"/>
          <w:color w:val="auto"/>
          <w:highlight w:val="none"/>
        </w:rPr>
      </w:pPr>
      <w:bookmarkStart w:id="335" w:name="_Toc28508"/>
      <w:bookmarkStart w:id="336" w:name="_Toc24859"/>
      <w:r>
        <w:rPr>
          <w:rStyle w:val="16"/>
          <w:rFonts w:ascii="宋体" w:hAnsi="宋体" w:eastAsia="宋体" w:cs="宋体"/>
          <w:b/>
          <w:color w:val="auto"/>
          <w:sz w:val="32"/>
          <w:highlight w:val="none"/>
        </w:rPr>
        <w:t>十</w:t>
      </w:r>
      <w:r>
        <w:rPr>
          <w:rStyle w:val="16"/>
          <w:rFonts w:hint="eastAsia" w:ascii="宋体" w:hAnsi="宋体" w:eastAsia="宋体" w:cs="宋体"/>
          <w:b/>
          <w:color w:val="auto"/>
          <w:sz w:val="32"/>
          <w:highlight w:val="none"/>
          <w:lang w:val="en-US" w:eastAsia="zh-CN"/>
        </w:rPr>
        <w:t>三</w:t>
      </w:r>
      <w:r>
        <w:rPr>
          <w:rStyle w:val="16"/>
          <w:rFonts w:ascii="宋体" w:hAnsi="宋体" w:eastAsia="宋体" w:cs="宋体"/>
          <w:b/>
          <w:color w:val="auto"/>
          <w:sz w:val="32"/>
          <w:highlight w:val="none"/>
        </w:rPr>
        <w:t>、商务条款响应及偏离表</w:t>
      </w:r>
      <w:bookmarkEnd w:id="335"/>
      <w:bookmarkEnd w:id="336"/>
    </w:p>
    <w:p w14:paraId="5914AB3A">
      <w:pPr>
        <w:pStyle w:val="114"/>
        <w:spacing w:line="440" w:lineRule="exact"/>
        <w:outlineLvl w:val="9"/>
        <w:rPr>
          <w:rStyle w:val="16"/>
          <w:rFonts w:ascii="Times New Roman" w:hAnsi="Times New Roman" w:eastAsia="Times New Roman" w:cs="Times New Roman"/>
          <w:color w:val="auto"/>
          <w:spacing w:val="7"/>
          <w:highlight w:val="none"/>
        </w:rPr>
      </w:pPr>
      <w:r>
        <w:rPr>
          <w:rStyle w:val="16"/>
          <w:rFonts w:ascii="宋体" w:hAnsi="宋体" w:eastAsia="宋体" w:cs="宋体"/>
          <w:color w:val="auto"/>
          <w:highlight w:val="none"/>
        </w:rPr>
        <w:t xml:space="preserve">﻿ </w:t>
      </w:r>
    </w:p>
    <w:p w14:paraId="5AE1B2F5">
      <w:pPr>
        <w:pStyle w:val="114"/>
        <w:spacing w:before="320" w:after="320" w:line="300" w:lineRule="auto"/>
        <w:jc w:val="center"/>
        <w:rPr>
          <w:rStyle w:val="16"/>
          <w:rFonts w:ascii="黑体" w:hAnsi="黑体" w:eastAsia="黑体" w:cs="黑体"/>
          <w:b/>
          <w:bCs/>
          <w:color w:val="auto"/>
          <w:sz w:val="32"/>
          <w:szCs w:val="32"/>
          <w:highlight w:val="none"/>
        </w:rPr>
      </w:pPr>
      <w:r>
        <w:rPr>
          <w:rStyle w:val="16"/>
          <w:rFonts w:ascii="黑体" w:hAnsi="黑体" w:eastAsia="黑体" w:cs="黑体"/>
          <w:b/>
          <w:bCs/>
          <w:color w:val="auto"/>
          <w:sz w:val="32"/>
          <w:szCs w:val="32"/>
          <w:highlight w:val="none"/>
        </w:rPr>
        <w:t xml:space="preserve">商务条款响应及偏离表 </w:t>
      </w:r>
    </w:p>
    <w:p w14:paraId="5AA2F029">
      <w:pPr>
        <w:pStyle w:val="11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highlight w:val="none"/>
        </w:rPr>
        <w:t xml:space="preserve">  </w:t>
      </w:r>
    </w:p>
    <w:tbl>
      <w:tblPr>
        <w:tblStyle w:val="15"/>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559"/>
        <w:gridCol w:w="2254"/>
        <w:gridCol w:w="1111"/>
        <w:gridCol w:w="3061"/>
      </w:tblGrid>
      <w:tr w14:paraId="3E87E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2559" w:type="dxa"/>
            <w:noWrap w:val="0"/>
            <w:tcMar>
              <w:top w:w="0" w:type="dxa"/>
              <w:left w:w="0" w:type="dxa"/>
              <w:bottom w:w="0" w:type="dxa"/>
              <w:right w:w="0" w:type="dxa"/>
            </w:tcMar>
            <w:vAlign w:val="center"/>
          </w:tcPr>
          <w:p w14:paraId="4A52A341">
            <w:pPr>
              <w:pStyle w:val="114"/>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项目</w:t>
            </w:r>
          </w:p>
        </w:tc>
        <w:tc>
          <w:tcPr>
            <w:tcW w:w="2254" w:type="dxa"/>
            <w:noWrap w:val="0"/>
            <w:tcMar>
              <w:top w:w="0" w:type="dxa"/>
              <w:left w:w="0" w:type="dxa"/>
              <w:bottom w:w="0" w:type="dxa"/>
              <w:right w:w="0" w:type="dxa"/>
            </w:tcMar>
            <w:vAlign w:val="center"/>
          </w:tcPr>
          <w:p w14:paraId="0E7DC691">
            <w:pPr>
              <w:pStyle w:val="114"/>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招标文件要求</w:t>
            </w:r>
          </w:p>
        </w:tc>
        <w:tc>
          <w:tcPr>
            <w:tcW w:w="1111" w:type="dxa"/>
            <w:noWrap w:val="0"/>
            <w:tcMar>
              <w:top w:w="0" w:type="dxa"/>
              <w:left w:w="0" w:type="dxa"/>
              <w:bottom w:w="0" w:type="dxa"/>
              <w:right w:w="0" w:type="dxa"/>
            </w:tcMar>
            <w:vAlign w:val="center"/>
          </w:tcPr>
          <w:p w14:paraId="5E247A24">
            <w:pPr>
              <w:pStyle w:val="114"/>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是否响应</w:t>
            </w:r>
          </w:p>
        </w:tc>
        <w:tc>
          <w:tcPr>
            <w:tcW w:w="3061" w:type="dxa"/>
            <w:noWrap w:val="0"/>
            <w:tcMar>
              <w:top w:w="0" w:type="dxa"/>
              <w:left w:w="0" w:type="dxa"/>
              <w:bottom w:w="0" w:type="dxa"/>
              <w:right w:w="0" w:type="dxa"/>
            </w:tcMar>
            <w:vAlign w:val="center"/>
          </w:tcPr>
          <w:p w14:paraId="3D136F82">
            <w:pPr>
              <w:pStyle w:val="114"/>
              <w:jc w:val="center"/>
              <w:rPr>
                <w:rStyle w:val="16"/>
                <w:rFonts w:ascii="宋体" w:hAnsi="宋体" w:eastAsia="宋体" w:cs="宋体"/>
                <w:b w:val="0"/>
                <w:bCs w:val="0"/>
                <w:i w:val="0"/>
                <w:iCs w:val="0"/>
                <w:smallCaps w:val="0"/>
                <w:color w:val="auto"/>
                <w:sz w:val="24"/>
                <w:szCs w:val="24"/>
                <w:highlight w:val="none"/>
              </w:rPr>
            </w:pPr>
            <w:r>
              <w:rPr>
                <w:rStyle w:val="16"/>
                <w:rFonts w:ascii="宋体" w:hAnsi="宋体" w:eastAsia="宋体" w:cs="宋体"/>
                <w:b w:val="0"/>
                <w:bCs w:val="0"/>
                <w:i w:val="0"/>
                <w:iCs w:val="0"/>
                <w:smallCaps w:val="0"/>
                <w:color w:val="auto"/>
                <w:sz w:val="24"/>
                <w:szCs w:val="24"/>
                <w:highlight w:val="none"/>
              </w:rPr>
              <w:t>投标人的承诺或说明</w:t>
            </w:r>
          </w:p>
        </w:tc>
      </w:tr>
      <w:tr w14:paraId="625D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2559" w:type="dxa"/>
            <w:noWrap w:val="0"/>
            <w:tcMar>
              <w:top w:w="0" w:type="dxa"/>
              <w:left w:w="0" w:type="dxa"/>
              <w:bottom w:w="0" w:type="dxa"/>
              <w:right w:w="0" w:type="dxa"/>
            </w:tcMar>
            <w:vAlign w:val="center"/>
          </w:tcPr>
          <w:p w14:paraId="5A609B6F">
            <w:pPr>
              <w:pStyle w:val="114"/>
              <w:jc w:val="center"/>
              <w:rPr>
                <w:rStyle w:val="16"/>
                <w:rFonts w:ascii="宋体" w:hAnsi="宋体" w:eastAsia="宋体" w:cs="宋体"/>
                <w:b w:val="0"/>
                <w:bCs w:val="0"/>
                <w:i w:val="0"/>
                <w:iCs w:val="0"/>
                <w:smallCaps w:val="0"/>
                <w:color w:val="auto"/>
                <w:sz w:val="24"/>
                <w:szCs w:val="24"/>
                <w:highlight w:val="none"/>
              </w:rPr>
            </w:pPr>
          </w:p>
        </w:tc>
        <w:tc>
          <w:tcPr>
            <w:tcW w:w="2254" w:type="dxa"/>
            <w:noWrap w:val="0"/>
            <w:tcMar>
              <w:top w:w="0" w:type="dxa"/>
              <w:left w:w="0" w:type="dxa"/>
              <w:bottom w:w="0" w:type="dxa"/>
              <w:right w:w="0" w:type="dxa"/>
            </w:tcMar>
            <w:vAlign w:val="center"/>
          </w:tcPr>
          <w:p w14:paraId="6E5821D2">
            <w:pPr>
              <w:pStyle w:val="114"/>
              <w:jc w:val="center"/>
              <w:rPr>
                <w:rStyle w:val="16"/>
                <w:rFonts w:ascii="宋体" w:hAnsi="宋体" w:eastAsia="宋体" w:cs="宋体"/>
                <w:b w:val="0"/>
                <w:bCs w:val="0"/>
                <w:i w:val="0"/>
                <w:iCs w:val="0"/>
                <w:smallCaps w:val="0"/>
                <w:color w:val="auto"/>
                <w:sz w:val="24"/>
                <w:szCs w:val="24"/>
                <w:highlight w:val="none"/>
              </w:rPr>
            </w:pPr>
          </w:p>
        </w:tc>
        <w:tc>
          <w:tcPr>
            <w:tcW w:w="1111" w:type="dxa"/>
            <w:noWrap w:val="0"/>
            <w:tcMar>
              <w:top w:w="0" w:type="dxa"/>
              <w:left w:w="0" w:type="dxa"/>
              <w:bottom w:w="0" w:type="dxa"/>
              <w:right w:w="0" w:type="dxa"/>
            </w:tcMar>
            <w:vAlign w:val="center"/>
          </w:tcPr>
          <w:p w14:paraId="567C517E">
            <w:pPr>
              <w:pStyle w:val="114"/>
              <w:jc w:val="center"/>
              <w:rPr>
                <w:rStyle w:val="16"/>
                <w:rFonts w:ascii="宋体" w:hAnsi="宋体" w:eastAsia="宋体" w:cs="宋体"/>
                <w:b w:val="0"/>
                <w:bCs w:val="0"/>
                <w:i w:val="0"/>
                <w:iCs w:val="0"/>
                <w:smallCaps w:val="0"/>
                <w:color w:val="auto"/>
                <w:sz w:val="24"/>
                <w:szCs w:val="24"/>
                <w:highlight w:val="none"/>
              </w:rPr>
            </w:pPr>
          </w:p>
        </w:tc>
        <w:tc>
          <w:tcPr>
            <w:tcW w:w="3061" w:type="dxa"/>
            <w:noWrap w:val="0"/>
            <w:tcMar>
              <w:top w:w="0" w:type="dxa"/>
              <w:left w:w="0" w:type="dxa"/>
              <w:bottom w:w="0" w:type="dxa"/>
              <w:right w:w="0" w:type="dxa"/>
            </w:tcMar>
            <w:vAlign w:val="center"/>
          </w:tcPr>
          <w:p w14:paraId="3E28BD01">
            <w:pPr>
              <w:pStyle w:val="114"/>
              <w:jc w:val="center"/>
              <w:rPr>
                <w:rStyle w:val="16"/>
                <w:rFonts w:ascii="宋体" w:hAnsi="宋体" w:eastAsia="宋体" w:cs="宋体"/>
                <w:b w:val="0"/>
                <w:bCs w:val="0"/>
                <w:i w:val="0"/>
                <w:iCs w:val="0"/>
                <w:smallCaps w:val="0"/>
                <w:color w:val="auto"/>
                <w:sz w:val="24"/>
                <w:szCs w:val="24"/>
                <w:highlight w:val="none"/>
              </w:rPr>
            </w:pPr>
          </w:p>
        </w:tc>
      </w:tr>
      <w:tr w14:paraId="4E380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2559" w:type="dxa"/>
            <w:noWrap w:val="0"/>
            <w:tcMar>
              <w:top w:w="0" w:type="dxa"/>
              <w:left w:w="0" w:type="dxa"/>
              <w:bottom w:w="0" w:type="dxa"/>
              <w:right w:w="0" w:type="dxa"/>
            </w:tcMar>
            <w:vAlign w:val="center"/>
          </w:tcPr>
          <w:p w14:paraId="1F74D8EB">
            <w:pPr>
              <w:pStyle w:val="114"/>
              <w:jc w:val="center"/>
              <w:rPr>
                <w:rStyle w:val="16"/>
                <w:rFonts w:ascii="宋体" w:hAnsi="宋体" w:eastAsia="宋体" w:cs="宋体"/>
                <w:b w:val="0"/>
                <w:bCs w:val="0"/>
                <w:i w:val="0"/>
                <w:iCs w:val="0"/>
                <w:smallCaps w:val="0"/>
                <w:color w:val="auto"/>
                <w:sz w:val="24"/>
                <w:szCs w:val="24"/>
                <w:highlight w:val="none"/>
              </w:rPr>
            </w:pPr>
          </w:p>
        </w:tc>
        <w:tc>
          <w:tcPr>
            <w:tcW w:w="2254" w:type="dxa"/>
            <w:noWrap w:val="0"/>
            <w:tcMar>
              <w:top w:w="0" w:type="dxa"/>
              <w:left w:w="0" w:type="dxa"/>
              <w:bottom w:w="0" w:type="dxa"/>
              <w:right w:w="0" w:type="dxa"/>
            </w:tcMar>
            <w:vAlign w:val="center"/>
          </w:tcPr>
          <w:p w14:paraId="435F9CF1">
            <w:pPr>
              <w:pStyle w:val="114"/>
              <w:jc w:val="center"/>
              <w:rPr>
                <w:rStyle w:val="16"/>
                <w:rFonts w:ascii="宋体" w:hAnsi="宋体" w:eastAsia="宋体" w:cs="宋体"/>
                <w:b w:val="0"/>
                <w:bCs w:val="0"/>
                <w:i w:val="0"/>
                <w:iCs w:val="0"/>
                <w:smallCaps w:val="0"/>
                <w:color w:val="auto"/>
                <w:sz w:val="24"/>
                <w:szCs w:val="24"/>
                <w:highlight w:val="none"/>
              </w:rPr>
            </w:pPr>
          </w:p>
        </w:tc>
        <w:tc>
          <w:tcPr>
            <w:tcW w:w="1111" w:type="dxa"/>
            <w:noWrap w:val="0"/>
            <w:tcMar>
              <w:top w:w="0" w:type="dxa"/>
              <w:left w:w="0" w:type="dxa"/>
              <w:bottom w:w="0" w:type="dxa"/>
              <w:right w:w="0" w:type="dxa"/>
            </w:tcMar>
            <w:vAlign w:val="center"/>
          </w:tcPr>
          <w:p w14:paraId="34966EE8">
            <w:pPr>
              <w:pStyle w:val="114"/>
              <w:jc w:val="center"/>
              <w:rPr>
                <w:rStyle w:val="16"/>
                <w:rFonts w:ascii="宋体" w:hAnsi="宋体" w:eastAsia="宋体" w:cs="宋体"/>
                <w:b w:val="0"/>
                <w:bCs w:val="0"/>
                <w:i w:val="0"/>
                <w:iCs w:val="0"/>
                <w:smallCaps w:val="0"/>
                <w:color w:val="auto"/>
                <w:sz w:val="24"/>
                <w:szCs w:val="24"/>
                <w:highlight w:val="none"/>
              </w:rPr>
            </w:pPr>
          </w:p>
        </w:tc>
        <w:tc>
          <w:tcPr>
            <w:tcW w:w="3061" w:type="dxa"/>
            <w:noWrap w:val="0"/>
            <w:tcMar>
              <w:top w:w="0" w:type="dxa"/>
              <w:left w:w="0" w:type="dxa"/>
              <w:bottom w:w="0" w:type="dxa"/>
              <w:right w:w="0" w:type="dxa"/>
            </w:tcMar>
            <w:vAlign w:val="center"/>
          </w:tcPr>
          <w:p w14:paraId="704E7FA8">
            <w:pPr>
              <w:pStyle w:val="114"/>
              <w:jc w:val="center"/>
              <w:rPr>
                <w:rStyle w:val="16"/>
                <w:rFonts w:ascii="宋体" w:hAnsi="宋体" w:eastAsia="宋体" w:cs="宋体"/>
                <w:b w:val="0"/>
                <w:bCs w:val="0"/>
                <w:i w:val="0"/>
                <w:iCs w:val="0"/>
                <w:smallCaps w:val="0"/>
                <w:color w:val="auto"/>
                <w:sz w:val="24"/>
                <w:szCs w:val="24"/>
                <w:highlight w:val="none"/>
              </w:rPr>
            </w:pPr>
          </w:p>
        </w:tc>
      </w:tr>
      <w:tr w14:paraId="7D411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2559" w:type="dxa"/>
            <w:noWrap w:val="0"/>
            <w:tcMar>
              <w:top w:w="0" w:type="dxa"/>
              <w:left w:w="0" w:type="dxa"/>
              <w:bottom w:w="0" w:type="dxa"/>
              <w:right w:w="0" w:type="dxa"/>
            </w:tcMar>
            <w:vAlign w:val="center"/>
          </w:tcPr>
          <w:p w14:paraId="21B52D46">
            <w:pPr>
              <w:pStyle w:val="114"/>
              <w:jc w:val="center"/>
              <w:rPr>
                <w:rStyle w:val="16"/>
                <w:rFonts w:ascii="宋体" w:hAnsi="宋体" w:eastAsia="宋体" w:cs="宋体"/>
                <w:b w:val="0"/>
                <w:bCs w:val="0"/>
                <w:i w:val="0"/>
                <w:iCs w:val="0"/>
                <w:smallCaps w:val="0"/>
                <w:color w:val="auto"/>
                <w:sz w:val="24"/>
                <w:szCs w:val="24"/>
                <w:highlight w:val="none"/>
              </w:rPr>
            </w:pPr>
          </w:p>
        </w:tc>
        <w:tc>
          <w:tcPr>
            <w:tcW w:w="2254" w:type="dxa"/>
            <w:noWrap w:val="0"/>
            <w:tcMar>
              <w:top w:w="0" w:type="dxa"/>
              <w:left w:w="0" w:type="dxa"/>
              <w:bottom w:w="0" w:type="dxa"/>
              <w:right w:w="0" w:type="dxa"/>
            </w:tcMar>
            <w:vAlign w:val="center"/>
          </w:tcPr>
          <w:p w14:paraId="45C41F28">
            <w:pPr>
              <w:pStyle w:val="114"/>
              <w:jc w:val="center"/>
              <w:rPr>
                <w:rStyle w:val="16"/>
                <w:rFonts w:ascii="宋体" w:hAnsi="宋体" w:eastAsia="宋体" w:cs="宋体"/>
                <w:b w:val="0"/>
                <w:bCs w:val="0"/>
                <w:i w:val="0"/>
                <w:iCs w:val="0"/>
                <w:smallCaps w:val="0"/>
                <w:color w:val="auto"/>
                <w:sz w:val="24"/>
                <w:szCs w:val="24"/>
                <w:highlight w:val="none"/>
              </w:rPr>
            </w:pPr>
          </w:p>
        </w:tc>
        <w:tc>
          <w:tcPr>
            <w:tcW w:w="1111" w:type="dxa"/>
            <w:noWrap w:val="0"/>
            <w:tcMar>
              <w:top w:w="0" w:type="dxa"/>
              <w:left w:w="0" w:type="dxa"/>
              <w:bottom w:w="0" w:type="dxa"/>
              <w:right w:w="0" w:type="dxa"/>
            </w:tcMar>
            <w:vAlign w:val="center"/>
          </w:tcPr>
          <w:p w14:paraId="37CCE917">
            <w:pPr>
              <w:pStyle w:val="114"/>
              <w:jc w:val="center"/>
              <w:rPr>
                <w:rStyle w:val="16"/>
                <w:rFonts w:ascii="宋体" w:hAnsi="宋体" w:eastAsia="宋体" w:cs="宋体"/>
                <w:b w:val="0"/>
                <w:bCs w:val="0"/>
                <w:i w:val="0"/>
                <w:iCs w:val="0"/>
                <w:smallCaps w:val="0"/>
                <w:color w:val="auto"/>
                <w:sz w:val="24"/>
                <w:szCs w:val="24"/>
                <w:highlight w:val="none"/>
              </w:rPr>
            </w:pPr>
          </w:p>
        </w:tc>
        <w:tc>
          <w:tcPr>
            <w:tcW w:w="3061" w:type="dxa"/>
            <w:noWrap w:val="0"/>
            <w:tcMar>
              <w:top w:w="0" w:type="dxa"/>
              <w:left w:w="0" w:type="dxa"/>
              <w:bottom w:w="0" w:type="dxa"/>
              <w:right w:w="0" w:type="dxa"/>
            </w:tcMar>
            <w:vAlign w:val="center"/>
          </w:tcPr>
          <w:p w14:paraId="0C46EDBD">
            <w:pPr>
              <w:pStyle w:val="114"/>
              <w:jc w:val="center"/>
              <w:rPr>
                <w:rStyle w:val="16"/>
                <w:rFonts w:ascii="宋体" w:hAnsi="宋体" w:eastAsia="宋体" w:cs="宋体"/>
                <w:b w:val="0"/>
                <w:bCs w:val="0"/>
                <w:i w:val="0"/>
                <w:iCs w:val="0"/>
                <w:smallCaps w:val="0"/>
                <w:color w:val="auto"/>
                <w:sz w:val="24"/>
                <w:szCs w:val="24"/>
                <w:highlight w:val="none"/>
              </w:rPr>
            </w:pPr>
          </w:p>
        </w:tc>
      </w:tr>
      <w:tr w14:paraId="56DAA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2559" w:type="dxa"/>
            <w:noWrap w:val="0"/>
            <w:tcMar>
              <w:top w:w="0" w:type="dxa"/>
              <w:left w:w="0" w:type="dxa"/>
              <w:bottom w:w="0" w:type="dxa"/>
              <w:right w:w="0" w:type="dxa"/>
            </w:tcMar>
            <w:vAlign w:val="center"/>
          </w:tcPr>
          <w:p w14:paraId="6A42AA92">
            <w:pPr>
              <w:pStyle w:val="114"/>
              <w:jc w:val="center"/>
              <w:rPr>
                <w:rStyle w:val="16"/>
                <w:rFonts w:ascii="宋体" w:hAnsi="宋体" w:eastAsia="宋体" w:cs="宋体"/>
                <w:b w:val="0"/>
                <w:bCs w:val="0"/>
                <w:i w:val="0"/>
                <w:iCs w:val="0"/>
                <w:smallCaps w:val="0"/>
                <w:color w:val="auto"/>
                <w:sz w:val="24"/>
                <w:szCs w:val="24"/>
                <w:highlight w:val="none"/>
              </w:rPr>
            </w:pPr>
          </w:p>
        </w:tc>
        <w:tc>
          <w:tcPr>
            <w:tcW w:w="2254" w:type="dxa"/>
            <w:noWrap w:val="0"/>
            <w:tcMar>
              <w:top w:w="0" w:type="dxa"/>
              <w:left w:w="0" w:type="dxa"/>
              <w:bottom w:w="0" w:type="dxa"/>
              <w:right w:w="0" w:type="dxa"/>
            </w:tcMar>
            <w:vAlign w:val="center"/>
          </w:tcPr>
          <w:p w14:paraId="786BCB0F">
            <w:pPr>
              <w:pStyle w:val="114"/>
              <w:jc w:val="center"/>
              <w:rPr>
                <w:rStyle w:val="16"/>
                <w:rFonts w:ascii="宋体" w:hAnsi="宋体" w:eastAsia="宋体" w:cs="宋体"/>
                <w:b w:val="0"/>
                <w:bCs w:val="0"/>
                <w:i w:val="0"/>
                <w:iCs w:val="0"/>
                <w:smallCaps w:val="0"/>
                <w:color w:val="auto"/>
                <w:sz w:val="24"/>
                <w:szCs w:val="24"/>
                <w:highlight w:val="none"/>
              </w:rPr>
            </w:pPr>
          </w:p>
        </w:tc>
        <w:tc>
          <w:tcPr>
            <w:tcW w:w="1111" w:type="dxa"/>
            <w:noWrap w:val="0"/>
            <w:tcMar>
              <w:top w:w="0" w:type="dxa"/>
              <w:left w:w="0" w:type="dxa"/>
              <w:bottom w:w="0" w:type="dxa"/>
              <w:right w:w="0" w:type="dxa"/>
            </w:tcMar>
            <w:vAlign w:val="center"/>
          </w:tcPr>
          <w:p w14:paraId="1E52ABE3">
            <w:pPr>
              <w:pStyle w:val="114"/>
              <w:jc w:val="center"/>
              <w:rPr>
                <w:rStyle w:val="16"/>
                <w:rFonts w:ascii="宋体" w:hAnsi="宋体" w:eastAsia="宋体" w:cs="宋体"/>
                <w:b w:val="0"/>
                <w:bCs w:val="0"/>
                <w:i w:val="0"/>
                <w:iCs w:val="0"/>
                <w:smallCaps w:val="0"/>
                <w:color w:val="auto"/>
                <w:sz w:val="24"/>
                <w:szCs w:val="24"/>
                <w:highlight w:val="none"/>
              </w:rPr>
            </w:pPr>
          </w:p>
        </w:tc>
        <w:tc>
          <w:tcPr>
            <w:tcW w:w="3061" w:type="dxa"/>
            <w:noWrap w:val="0"/>
            <w:tcMar>
              <w:top w:w="0" w:type="dxa"/>
              <w:left w:w="0" w:type="dxa"/>
              <w:bottom w:w="0" w:type="dxa"/>
              <w:right w:w="0" w:type="dxa"/>
            </w:tcMar>
            <w:vAlign w:val="center"/>
          </w:tcPr>
          <w:p w14:paraId="26797815">
            <w:pPr>
              <w:pStyle w:val="114"/>
              <w:jc w:val="center"/>
              <w:rPr>
                <w:rStyle w:val="16"/>
                <w:rFonts w:ascii="宋体" w:hAnsi="宋体" w:eastAsia="宋体" w:cs="宋体"/>
                <w:b w:val="0"/>
                <w:bCs w:val="0"/>
                <w:i w:val="0"/>
                <w:iCs w:val="0"/>
                <w:smallCaps w:val="0"/>
                <w:color w:val="auto"/>
                <w:sz w:val="24"/>
                <w:szCs w:val="24"/>
                <w:highlight w:val="none"/>
              </w:rPr>
            </w:pPr>
          </w:p>
        </w:tc>
      </w:tr>
    </w:tbl>
    <w:p w14:paraId="282029F1">
      <w:pPr>
        <w:pStyle w:val="114"/>
        <w:spacing w:before="240" w:after="240"/>
        <w:rPr>
          <w:rStyle w:val="16"/>
          <w:rFonts w:ascii="宋体" w:hAnsi="宋体" w:eastAsia="宋体" w:cs="宋体"/>
          <w:color w:val="auto"/>
          <w:sz w:val="24"/>
          <w:szCs w:val="24"/>
          <w:highlight w:val="none"/>
        </w:rPr>
      </w:pPr>
      <w:r>
        <w:rPr>
          <w:rStyle w:val="16"/>
          <w:rFonts w:ascii="宋体" w:hAnsi="宋体" w:eastAsia="宋体" w:cs="宋体"/>
          <w:color w:val="auto"/>
          <w:highlight w:val="none"/>
        </w:rPr>
        <w:t xml:space="preserve">  </w:t>
      </w:r>
    </w:p>
    <w:p w14:paraId="4454F811">
      <w:pPr>
        <w:pStyle w:val="115"/>
        <w:jc w:val="left"/>
        <w:outlineLvl w:val="1"/>
        <w:rPr>
          <w:rStyle w:val="16"/>
          <w:rFonts w:ascii="Times New Roman" w:hAnsi="Times New Roman" w:eastAsia="Times New Roman" w:cs="Times New Roman"/>
          <w:color w:val="auto"/>
          <w:highlight w:val="none"/>
        </w:rPr>
      </w:pPr>
      <w:r>
        <w:rPr>
          <w:rStyle w:val="16"/>
          <w:rFonts w:ascii="Times New Roman" w:hAnsi="Times New Roman" w:eastAsia="Times New Roman" w:cs="Times New Roman"/>
          <w:color w:val="auto"/>
          <w:highlight w:val="none"/>
        </w:rPr>
        <w:br w:type="page"/>
      </w:r>
      <w:bookmarkStart w:id="337" w:name="_Toc23544"/>
      <w:bookmarkStart w:id="338" w:name="_Toc12110"/>
      <w:r>
        <w:rPr>
          <w:rStyle w:val="16"/>
          <w:rFonts w:ascii="宋体" w:hAnsi="宋体" w:eastAsia="宋体" w:cs="宋体"/>
          <w:b/>
          <w:color w:val="auto"/>
          <w:sz w:val="32"/>
          <w:highlight w:val="none"/>
        </w:rPr>
        <w:t>十</w:t>
      </w:r>
      <w:r>
        <w:rPr>
          <w:rStyle w:val="16"/>
          <w:rFonts w:hint="eastAsia" w:ascii="宋体" w:hAnsi="宋体" w:eastAsia="宋体" w:cs="宋体"/>
          <w:b/>
          <w:color w:val="auto"/>
          <w:sz w:val="32"/>
          <w:highlight w:val="none"/>
          <w:lang w:val="en-US" w:eastAsia="zh-CN"/>
        </w:rPr>
        <w:t>四</w:t>
      </w:r>
      <w:r>
        <w:rPr>
          <w:rStyle w:val="16"/>
          <w:rFonts w:ascii="宋体" w:hAnsi="宋体" w:eastAsia="宋体" w:cs="宋体"/>
          <w:b/>
          <w:color w:val="auto"/>
          <w:sz w:val="32"/>
          <w:highlight w:val="none"/>
        </w:rPr>
        <w:t>、其他材料</w:t>
      </w:r>
      <w:bookmarkEnd w:id="337"/>
      <w:bookmarkEnd w:id="338"/>
    </w:p>
    <w:p w14:paraId="05D48EED">
      <w:pPr>
        <w:snapToGrid w:val="0"/>
        <w:spacing w:line="360" w:lineRule="auto"/>
        <w:rPr>
          <w:rFonts w:ascii="宋体" w:hAnsi="宋体"/>
          <w:b/>
          <w:bCs/>
          <w:color w:val="auto"/>
          <w:sz w:val="20"/>
          <w:szCs w:val="32"/>
          <w:highlight w:val="none"/>
        </w:rPr>
      </w:pPr>
      <w:bookmarkStart w:id="339" w:name="_Hlt26671244"/>
      <w:bookmarkEnd w:id="339"/>
      <w:bookmarkStart w:id="340" w:name="EB588535cb89c848fcab6b1c628a21da1b"/>
      <w:bookmarkStart w:id="341" w:name="_Toc120614282"/>
      <w:bookmarkStart w:id="342" w:name="_Toc49090576"/>
      <w:r>
        <w:rPr>
          <w:rFonts w:ascii="宋体" w:hAnsi="宋体"/>
          <w:b/>
          <w:bCs/>
          <w:color w:val="auto"/>
          <w:sz w:val="20"/>
          <w:szCs w:val="32"/>
          <w:highlight w:val="none"/>
        </w:rPr>
        <w:t xml:space="preserve"> </w:t>
      </w:r>
      <w:bookmarkEnd w:id="340"/>
    </w:p>
    <w:bookmarkEnd w:id="341"/>
    <w:bookmarkEnd w:id="342"/>
    <w:p w14:paraId="3A620024">
      <w:pPr>
        <w:snapToGrid w:val="0"/>
        <w:spacing w:line="360" w:lineRule="auto"/>
        <w:ind w:firstLine="480" w:firstLineChars="200"/>
        <w:rPr>
          <w:rFonts w:hint="eastAsia" w:ascii="宋体" w:hAnsi="宋体" w:eastAsia="宋体" w:cs="宋体"/>
          <w:color w:val="auto"/>
          <w:sz w:val="24"/>
          <w:highlight w:val="none"/>
        </w:rPr>
      </w:pPr>
    </w:p>
    <w:p w14:paraId="47C17A14">
      <w:pPr>
        <w:rPr>
          <w:rFonts w:hint="eastAsia" w:ascii="宋体" w:hAnsi="宋体" w:eastAsia="宋体" w:cs="宋体"/>
          <w:color w:val="auto"/>
          <w:highlight w:val="none"/>
        </w:rPr>
      </w:pPr>
    </w:p>
    <w:sectPr>
      <w:footerReference r:id="rId8" w:type="first"/>
      <w:footerReference r:id="rId6" w:type="default"/>
      <w:footerReference r:id="rId7" w:type="even"/>
      <w:pgSz w:w="11906" w:h="16838"/>
      <w:pgMar w:top="1440" w:right="1466" w:bottom="1440" w:left="1797"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创艺简仿宋">
    <w:altName w:val="方正兰亭超细黑简体"/>
    <w:panose1 w:val="020B0503020202020204"/>
    <w:charset w:val="00"/>
    <w:family w:val="auto"/>
    <w:pitch w:val="default"/>
    <w:sig w:usb0="00000000" w:usb1="00000000" w:usb2="00000000" w:usb3="00000000" w:csb0="00000000" w:csb1="00000000"/>
  </w:font>
  <w:font w:name="方正兰亭超细黑简体">
    <w:panose1 w:val="02000000000000000000"/>
    <w:charset w:val="86"/>
    <w:family w:val="auto"/>
    <w:pitch w:val="default"/>
    <w:sig w:usb0="00000001" w:usb1="08000000" w:usb2="00000000" w:usb3="00000000" w:csb0="00040000"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C6F3">
    <w:pPr>
      <w:pStyle w:val="9"/>
      <w:framePr w:wrap="around" w:vAnchor="text" w:hAnchor="margin" w:xAlign="center" w:y="1"/>
      <w:rPr>
        <w:rStyle w:val="18"/>
      </w:rPr>
    </w:pPr>
    <w:r>
      <w:fldChar w:fldCharType="begin"/>
    </w:r>
    <w:r>
      <w:rPr>
        <w:rStyle w:val="18"/>
        <w:highlight w:val="white"/>
      </w:rPr>
      <w:instrText xml:space="preserve">PAGE  </w:instrText>
    </w:r>
    <w:r>
      <w:fldChar w:fldCharType="separate"/>
    </w:r>
    <w:r>
      <w:rPr>
        <w:rStyle w:val="18"/>
        <w:highlight w:val="white"/>
      </w:rPr>
      <w:t>1</w:t>
    </w:r>
    <w:r>
      <w:fldChar w:fldCharType="end"/>
    </w:r>
  </w:p>
  <w:p w14:paraId="1690A68F">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2B4CB">
    <w:pPr>
      <w:pStyle w:val="9"/>
      <w:framePr w:wrap="around" w:vAnchor="text" w:hAnchor="margin" w:xAlign="center" w:y="1"/>
      <w:rPr>
        <w:rStyle w:val="18"/>
      </w:rPr>
    </w:pPr>
    <w:r>
      <w:fldChar w:fldCharType="begin"/>
    </w:r>
    <w:r>
      <w:rPr>
        <w:rStyle w:val="18"/>
        <w:highlight w:val="white"/>
      </w:rPr>
      <w:instrText xml:space="preserve">PAGE  </w:instrText>
    </w:r>
    <w:r>
      <w:fldChar w:fldCharType="separate"/>
    </w:r>
    <w:r>
      <w:fldChar w:fldCharType="end"/>
    </w:r>
  </w:p>
  <w:p w14:paraId="125B7C23">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FCF95">
    <w:pPr>
      <w:pStyle w:val="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59</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B60A7">
    <w:pPr>
      <w:pStyle w:val="9"/>
      <w:framePr w:wrap="around" w:vAnchor="text" w:hAnchor="margin" w:xAlign="right" w:y="1"/>
      <w:ind w:firstLine="360"/>
      <w:rPr>
        <w:rStyle w:val="18"/>
      </w:rPr>
    </w:pPr>
    <w:r>
      <w:fldChar w:fldCharType="begin"/>
    </w:r>
    <w:r>
      <w:rPr>
        <w:rStyle w:val="18"/>
        <w:color w:val="000000"/>
        <w:highlight w:val="white"/>
      </w:rPr>
      <w:instrText xml:space="preserve">PAGE  </w:instrText>
    </w:r>
    <w:r>
      <w:fldChar w:fldCharType="separate"/>
    </w:r>
    <w:r>
      <w:fldChar w:fldCharType="end"/>
    </w:r>
  </w:p>
  <w:p w14:paraId="68238124">
    <w:pPr>
      <w:pStyle w:val="9"/>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D275E">
    <w:pPr>
      <w:pStyle w:val="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5E428C48">
    <w:pPr>
      <w:pStyle w:val="9"/>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11A68">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4DC07F"/>
    <w:multiLevelType w:val="multilevel"/>
    <w:tmpl w:val="4D4DC07F"/>
    <w:lvl w:ilvl="0" w:tentative="0">
      <w:start w:val="1"/>
      <w:numFmt w:val="decimal"/>
      <w:suff w:val="nothing"/>
      <w:lvlText w:val="%1、"/>
      <w:lvlJc w:val="left"/>
      <w:pPr>
        <w:ind w:left="278"/>
      </w:pPr>
    </w:lvl>
    <w:lvl w:ilvl="1" w:tentative="0">
      <w:start w:val="1"/>
      <w:numFmt w:val="bullet"/>
      <w:lvlText w:val="o"/>
      <w:lvlJc w:val="left"/>
      <w:pPr>
        <w:ind w:left="1718" w:hanging="360"/>
      </w:pPr>
      <w:rPr>
        <w:rFonts w:hint="default" w:ascii="Courier New" w:hAnsi="Courier New" w:eastAsia="Courier New" w:cs="Courier New"/>
      </w:rPr>
    </w:lvl>
    <w:lvl w:ilvl="2" w:tentative="0">
      <w:start w:val="1"/>
      <w:numFmt w:val="bullet"/>
      <w:lvlText w:val="§"/>
      <w:lvlJc w:val="left"/>
      <w:pPr>
        <w:ind w:left="2438" w:hanging="360"/>
      </w:pPr>
      <w:rPr>
        <w:rFonts w:hint="default" w:ascii="Wingdings" w:hAnsi="Wingdings" w:eastAsia="Wingdings" w:cs="Wingdings"/>
      </w:rPr>
    </w:lvl>
    <w:lvl w:ilvl="3" w:tentative="0">
      <w:start w:val="1"/>
      <w:numFmt w:val="bullet"/>
      <w:lvlText w:val="·"/>
      <w:lvlJc w:val="left"/>
      <w:pPr>
        <w:ind w:left="3158" w:hanging="360"/>
      </w:pPr>
      <w:rPr>
        <w:rFonts w:hint="default" w:ascii="Symbol" w:hAnsi="Symbol" w:eastAsia="Symbol" w:cs="Symbol"/>
      </w:rPr>
    </w:lvl>
    <w:lvl w:ilvl="4" w:tentative="0">
      <w:start w:val="1"/>
      <w:numFmt w:val="bullet"/>
      <w:lvlText w:val="o"/>
      <w:lvlJc w:val="left"/>
      <w:pPr>
        <w:ind w:left="3878" w:hanging="360"/>
      </w:pPr>
      <w:rPr>
        <w:rFonts w:hint="default" w:ascii="Courier New" w:hAnsi="Courier New" w:eastAsia="Courier New" w:cs="Courier New"/>
      </w:rPr>
    </w:lvl>
    <w:lvl w:ilvl="5" w:tentative="0">
      <w:start w:val="1"/>
      <w:numFmt w:val="bullet"/>
      <w:lvlText w:val="§"/>
      <w:lvlJc w:val="left"/>
      <w:pPr>
        <w:ind w:left="4598" w:hanging="360"/>
      </w:pPr>
      <w:rPr>
        <w:rFonts w:hint="default" w:ascii="Wingdings" w:hAnsi="Wingdings" w:eastAsia="Wingdings" w:cs="Wingdings"/>
      </w:rPr>
    </w:lvl>
    <w:lvl w:ilvl="6" w:tentative="0">
      <w:start w:val="1"/>
      <w:numFmt w:val="bullet"/>
      <w:lvlText w:val="·"/>
      <w:lvlJc w:val="left"/>
      <w:pPr>
        <w:ind w:left="5318" w:hanging="360"/>
      </w:pPr>
      <w:rPr>
        <w:rFonts w:hint="default" w:ascii="Symbol" w:hAnsi="Symbol" w:eastAsia="Symbol" w:cs="Symbol"/>
      </w:rPr>
    </w:lvl>
    <w:lvl w:ilvl="7" w:tentative="0">
      <w:start w:val="1"/>
      <w:numFmt w:val="bullet"/>
      <w:lvlText w:val="o"/>
      <w:lvlJc w:val="left"/>
      <w:pPr>
        <w:ind w:left="6038" w:hanging="360"/>
      </w:pPr>
      <w:rPr>
        <w:rFonts w:hint="default" w:ascii="Courier New" w:hAnsi="Courier New" w:eastAsia="Courier New" w:cs="Courier New"/>
      </w:rPr>
    </w:lvl>
    <w:lvl w:ilvl="8" w:tentative="0">
      <w:start w:val="1"/>
      <w:numFmt w:val="bullet"/>
      <w:lvlText w:val="§"/>
      <w:lvlJc w:val="left"/>
      <w:pPr>
        <w:ind w:left="6758" w:hanging="360"/>
      </w:pPr>
      <w:rPr>
        <w:rFonts w:hint="default" w:ascii="Wingdings" w:hAnsi="Wingdings" w:eastAsia="Wingdings" w:cs="Wingdings"/>
      </w:rPr>
    </w:lvl>
  </w:abstractNum>
  <w:abstractNum w:abstractNumId="1">
    <w:nsid w:val="59ADCABA"/>
    <w:multiLevelType w:val="multilevel"/>
    <w:tmpl w:val="59ADCABA"/>
    <w:lvl w:ilvl="0" w:tentative="0">
      <w:start w:val="1"/>
      <w:numFmt w:val="decimal"/>
      <w:pStyle w:val="121"/>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wZDQwYzdlOTE5Mzk5MzhjNzgwMTNjNTY3OGE3NzEifQ=="/>
  </w:docVars>
  <w:rsids>
    <w:rsidRoot w:val="00000000"/>
    <w:rsid w:val="00063B38"/>
    <w:rsid w:val="006A0C23"/>
    <w:rsid w:val="00C41B0E"/>
    <w:rsid w:val="013712F7"/>
    <w:rsid w:val="01FF3BC3"/>
    <w:rsid w:val="03CA7D58"/>
    <w:rsid w:val="04737E25"/>
    <w:rsid w:val="05EE570D"/>
    <w:rsid w:val="060F2843"/>
    <w:rsid w:val="072B545A"/>
    <w:rsid w:val="07C70EDB"/>
    <w:rsid w:val="089F7EAE"/>
    <w:rsid w:val="09BA2AC6"/>
    <w:rsid w:val="0A5D12DB"/>
    <w:rsid w:val="0C807FF6"/>
    <w:rsid w:val="0C8574BF"/>
    <w:rsid w:val="0C8C2BC3"/>
    <w:rsid w:val="0D447EB9"/>
    <w:rsid w:val="0DF16D91"/>
    <w:rsid w:val="0E372F95"/>
    <w:rsid w:val="0EAC50D3"/>
    <w:rsid w:val="0F3330FE"/>
    <w:rsid w:val="0F545C1A"/>
    <w:rsid w:val="0F61547E"/>
    <w:rsid w:val="0FD0658C"/>
    <w:rsid w:val="10771710"/>
    <w:rsid w:val="11E903EC"/>
    <w:rsid w:val="12F708E7"/>
    <w:rsid w:val="13500556"/>
    <w:rsid w:val="15AC59B8"/>
    <w:rsid w:val="15AE1730"/>
    <w:rsid w:val="15EA64E1"/>
    <w:rsid w:val="16421E79"/>
    <w:rsid w:val="16F3336F"/>
    <w:rsid w:val="174A03C5"/>
    <w:rsid w:val="175F72C4"/>
    <w:rsid w:val="1783099B"/>
    <w:rsid w:val="179E5100"/>
    <w:rsid w:val="17D03785"/>
    <w:rsid w:val="19406B43"/>
    <w:rsid w:val="19784E3B"/>
    <w:rsid w:val="19902D48"/>
    <w:rsid w:val="19DA0E67"/>
    <w:rsid w:val="1A136006"/>
    <w:rsid w:val="1AF45F58"/>
    <w:rsid w:val="1B86562D"/>
    <w:rsid w:val="1BE55780"/>
    <w:rsid w:val="1D865868"/>
    <w:rsid w:val="1E05210A"/>
    <w:rsid w:val="1EAF02C7"/>
    <w:rsid w:val="1EE3614B"/>
    <w:rsid w:val="1F370D5E"/>
    <w:rsid w:val="229E5830"/>
    <w:rsid w:val="233A2855"/>
    <w:rsid w:val="2368332E"/>
    <w:rsid w:val="238241FC"/>
    <w:rsid w:val="240B5FA0"/>
    <w:rsid w:val="24F835D4"/>
    <w:rsid w:val="25D32ECF"/>
    <w:rsid w:val="296660E8"/>
    <w:rsid w:val="29C50F33"/>
    <w:rsid w:val="29FE527D"/>
    <w:rsid w:val="2A5C57A7"/>
    <w:rsid w:val="2C4132A6"/>
    <w:rsid w:val="2D004DFB"/>
    <w:rsid w:val="2D9D410D"/>
    <w:rsid w:val="2DB476A8"/>
    <w:rsid w:val="2DF06932"/>
    <w:rsid w:val="2E2B796A"/>
    <w:rsid w:val="2FEC3129"/>
    <w:rsid w:val="305807BF"/>
    <w:rsid w:val="318D4498"/>
    <w:rsid w:val="34060532"/>
    <w:rsid w:val="3427319D"/>
    <w:rsid w:val="34DF325D"/>
    <w:rsid w:val="35A87AF3"/>
    <w:rsid w:val="35B9585C"/>
    <w:rsid w:val="36525CB0"/>
    <w:rsid w:val="36687282"/>
    <w:rsid w:val="36D13079"/>
    <w:rsid w:val="38305B7D"/>
    <w:rsid w:val="39BA6046"/>
    <w:rsid w:val="39E14E06"/>
    <w:rsid w:val="3AF92B9E"/>
    <w:rsid w:val="3B4B2B92"/>
    <w:rsid w:val="3BC44782"/>
    <w:rsid w:val="3CBF5312"/>
    <w:rsid w:val="3E90265D"/>
    <w:rsid w:val="431B1B9B"/>
    <w:rsid w:val="45C62F96"/>
    <w:rsid w:val="46B73AC1"/>
    <w:rsid w:val="47D227AD"/>
    <w:rsid w:val="488937B4"/>
    <w:rsid w:val="496D353C"/>
    <w:rsid w:val="4A0656A1"/>
    <w:rsid w:val="4A7B537E"/>
    <w:rsid w:val="4A965D14"/>
    <w:rsid w:val="4AA03036"/>
    <w:rsid w:val="4AF313B8"/>
    <w:rsid w:val="4BCE14DD"/>
    <w:rsid w:val="4C2832E3"/>
    <w:rsid w:val="4CC703CE"/>
    <w:rsid w:val="4E5C7274"/>
    <w:rsid w:val="4E6D0FDC"/>
    <w:rsid w:val="4F5633C3"/>
    <w:rsid w:val="527728CF"/>
    <w:rsid w:val="534D3630"/>
    <w:rsid w:val="551F0D2D"/>
    <w:rsid w:val="55CE055B"/>
    <w:rsid w:val="55F06C20"/>
    <w:rsid w:val="56073F6A"/>
    <w:rsid w:val="570C2D17"/>
    <w:rsid w:val="589671DA"/>
    <w:rsid w:val="58E25DE1"/>
    <w:rsid w:val="598D68D5"/>
    <w:rsid w:val="5C806824"/>
    <w:rsid w:val="5CE96177"/>
    <w:rsid w:val="605129B1"/>
    <w:rsid w:val="609B1E7E"/>
    <w:rsid w:val="61FF312F"/>
    <w:rsid w:val="62584843"/>
    <w:rsid w:val="62792788"/>
    <w:rsid w:val="62D22154"/>
    <w:rsid w:val="63E415B2"/>
    <w:rsid w:val="64120BC2"/>
    <w:rsid w:val="64BE25DF"/>
    <w:rsid w:val="6652530F"/>
    <w:rsid w:val="66A80B78"/>
    <w:rsid w:val="673E6667"/>
    <w:rsid w:val="68572B2F"/>
    <w:rsid w:val="687F015B"/>
    <w:rsid w:val="68FE74B6"/>
    <w:rsid w:val="6A0C5941"/>
    <w:rsid w:val="6A120FD9"/>
    <w:rsid w:val="6AC63F9C"/>
    <w:rsid w:val="6B5A0A5A"/>
    <w:rsid w:val="6D88378A"/>
    <w:rsid w:val="6E2434B3"/>
    <w:rsid w:val="6E4F3D89"/>
    <w:rsid w:val="6F9F5FF2"/>
    <w:rsid w:val="6FC860C0"/>
    <w:rsid w:val="702120FD"/>
    <w:rsid w:val="7024623F"/>
    <w:rsid w:val="73230309"/>
    <w:rsid w:val="73DD63A1"/>
    <w:rsid w:val="7420471D"/>
    <w:rsid w:val="744C72C0"/>
    <w:rsid w:val="762304F4"/>
    <w:rsid w:val="7673541A"/>
    <w:rsid w:val="76760624"/>
    <w:rsid w:val="77C66E44"/>
    <w:rsid w:val="7A8772A3"/>
    <w:rsid w:val="7ACD1D5C"/>
    <w:rsid w:val="7AFC777B"/>
    <w:rsid w:val="7B7D707E"/>
    <w:rsid w:val="7FF94C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16"/>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qFormat/>
    <w:uiPriority w:val="0"/>
    <w:pPr>
      <w:keepNext/>
      <w:keepLines/>
      <w:spacing w:before="260" w:after="260" w:line="415" w:lineRule="auto"/>
      <w:jc w:val="center"/>
      <w:outlineLvl w:val="1"/>
    </w:pPr>
    <w:rPr>
      <w:rFonts w:ascii="Arial" w:hAnsi="Arial" w:eastAsia="幼圆"/>
      <w:b/>
      <w:bCs/>
      <w:sz w:val="44"/>
      <w:szCs w:val="44"/>
    </w:rPr>
  </w:style>
  <w:style w:type="paragraph" w:styleId="6">
    <w:name w:val="heading 3"/>
    <w:basedOn w:val="1"/>
    <w:next w:val="1"/>
    <w:unhideWhenUsed/>
    <w:qFormat/>
    <w:uiPriority w:val="9"/>
    <w:pPr>
      <w:keepNext/>
      <w:keepLines/>
      <w:spacing w:before="320" w:after="200"/>
      <w:outlineLvl w:val="2"/>
    </w:pPr>
    <w:rPr>
      <w:rFonts w:ascii="Arial" w:hAnsi="Arial" w:eastAsia="Arial" w:cs="Arial"/>
      <w:sz w:val="30"/>
      <w:szCs w:val="30"/>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line="360" w:lineRule="auto"/>
      <w:ind w:firstLine="200" w:firstLineChars="200"/>
    </w:pPr>
    <w:rPr>
      <w:rFonts w:ascii="宋体" w:eastAsia="宋体"/>
      <w:sz w:val="21"/>
      <w:szCs w:val="20"/>
    </w:rPr>
  </w:style>
  <w:style w:type="paragraph" w:styleId="3">
    <w:name w:val="Body Text Indent"/>
    <w:basedOn w:val="1"/>
    <w:qFormat/>
    <w:uiPriority w:val="0"/>
    <w:pPr>
      <w:ind w:firstLine="645"/>
    </w:pPr>
    <w:rPr>
      <w:rFonts w:ascii="楷体_GB2312" w:hAnsi="宋体" w:eastAsia="楷体_GB2312" w:cs="宋体"/>
      <w:sz w:val="32"/>
      <w:szCs w:val="32"/>
    </w:rPr>
  </w:style>
  <w:style w:type="paragraph" w:styleId="7">
    <w:name w:val="Body Text"/>
    <w:basedOn w:val="1"/>
    <w:qFormat/>
    <w:uiPriority w:val="99"/>
    <w:rPr>
      <w:rFonts w:ascii="楷体_GB2312" w:hAnsi="宋体" w:eastAsia="楷体_GB2312"/>
      <w:sz w:val="28"/>
      <w:szCs w:val="28"/>
    </w:rPr>
  </w:style>
  <w:style w:type="paragraph" w:styleId="8">
    <w:name w:val="Date"/>
    <w:basedOn w:val="1"/>
    <w:next w:val="1"/>
    <w:qFormat/>
    <w:uiPriority w:val="0"/>
    <w:rPr>
      <w:sz w:val="24"/>
    </w:r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spacing w:before="120" w:after="120"/>
      <w:jc w:val="left"/>
    </w:pPr>
    <w:rPr>
      <w:rFonts w:ascii="Calibri" w:hAnsi="Calibri" w:cs="Calibri"/>
      <w:b/>
      <w:bCs/>
      <w:caps/>
      <w:sz w:val="20"/>
      <w:szCs w:val="20"/>
    </w:rPr>
  </w:style>
  <w:style w:type="paragraph" w:styleId="12">
    <w:name w:val="toc 2"/>
    <w:basedOn w:val="1"/>
    <w:next w:val="1"/>
    <w:qFormat/>
    <w:uiPriority w:val="39"/>
    <w:pPr>
      <w:ind w:left="210"/>
      <w:jc w:val="left"/>
    </w:pPr>
    <w:rPr>
      <w:rFonts w:ascii="Calibri" w:hAnsi="Calibri" w:cs="Calibri"/>
      <w:smallCaps/>
      <w:sz w:val="20"/>
      <w:szCs w:val="20"/>
    </w:rPr>
  </w:style>
  <w:style w:type="paragraph" w:styleId="13">
    <w:name w:val="Normal (Web)"/>
    <w:basedOn w:val="1"/>
    <w:qFormat/>
    <w:uiPriority w:val="0"/>
    <w:pPr>
      <w:spacing w:beforeAutospacing="1" w:afterAutospacing="1"/>
      <w:jc w:val="left"/>
    </w:pPr>
    <w:rPr>
      <w:sz w:val="24"/>
    </w:rPr>
  </w:style>
  <w:style w:type="paragraph" w:styleId="14">
    <w:name w:val="Title"/>
    <w:basedOn w:val="1"/>
    <w:qFormat/>
    <w:uiPriority w:val="0"/>
    <w:pPr>
      <w:spacing w:before="240" w:after="60"/>
      <w:jc w:val="center"/>
      <w:outlineLvl w:val="0"/>
    </w:pPr>
    <w:rPr>
      <w:rFonts w:ascii="Arial" w:hAnsi="Arial" w:eastAsia="黑体"/>
      <w:b/>
      <w:bCs/>
      <w:sz w:val="44"/>
      <w:szCs w:val="32"/>
    </w:rPr>
  </w:style>
  <w:style w:type="character" w:styleId="17">
    <w:name w:val="Strong"/>
    <w:basedOn w:val="16"/>
    <w:qFormat/>
    <w:uiPriority w:val="0"/>
    <w:rPr>
      <w:b/>
    </w:rPr>
  </w:style>
  <w:style w:type="character" w:styleId="18">
    <w:name w:val="page number"/>
    <w:qFormat/>
    <w:uiPriority w:val="0"/>
  </w:style>
  <w:style w:type="character" w:styleId="19">
    <w:name w:val="Hyperlink"/>
    <w:qFormat/>
    <w:uiPriority w:val="99"/>
    <w:rPr>
      <w:color w:val="0000FF"/>
      <w:u w:val="single"/>
    </w:rPr>
  </w:style>
  <w:style w:type="paragraph" w:customStyle="1" w:styleId="20">
    <w:name w:val="首行缩进"/>
    <w:basedOn w:val="1"/>
    <w:qFormat/>
    <w:uiPriority w:val="0"/>
    <w:pPr>
      <w:spacing w:line="360" w:lineRule="auto"/>
      <w:ind w:firstLine="480" w:firstLineChars="200"/>
      <w:jc w:val="left"/>
    </w:pPr>
    <w:rPr>
      <w:rFonts w:ascii="宋体" w:hAnsi="宋体"/>
      <w:sz w:val="24"/>
    </w:rPr>
  </w:style>
  <w:style w:type="paragraph" w:customStyle="1" w:styleId="21">
    <w:name w:val="正文文本缩进1"/>
    <w:next w:val="22"/>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22">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2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4">
    <w:name w:val="Normal_14"/>
    <w:qFormat/>
    <w:uiPriority w:val="0"/>
    <w:rPr>
      <w:rFonts w:ascii="Times New Roman" w:hAnsi="Times New Roman" w:eastAsia="Times New Roman" w:cs="Times New Roman"/>
      <w:sz w:val="24"/>
      <w:szCs w:val="24"/>
    </w:rPr>
  </w:style>
  <w:style w:type="paragraph" w:customStyle="1" w:styleId="25">
    <w:name w:val="Normal_15"/>
    <w:qFormat/>
    <w:uiPriority w:val="0"/>
    <w:rPr>
      <w:rFonts w:ascii="Times New Roman" w:hAnsi="Times New Roman" w:eastAsia="Times New Roman" w:cs="Times New Roman"/>
      <w:sz w:val="24"/>
      <w:szCs w:val="24"/>
    </w:rPr>
  </w:style>
  <w:style w:type="paragraph" w:customStyle="1" w:styleId="26">
    <w:name w:val="Normal_2"/>
    <w:next w:val="27"/>
    <w:qFormat/>
    <w:uiPriority w:val="0"/>
    <w:rPr>
      <w:rFonts w:ascii="Times New Roman" w:hAnsi="Times New Roman" w:eastAsia="Times New Roman" w:cs="Times New Roman"/>
      <w:sz w:val="24"/>
      <w:szCs w:val="24"/>
    </w:rPr>
  </w:style>
  <w:style w:type="paragraph" w:customStyle="1" w:styleId="27">
    <w:name w:val="首行缩进_0"/>
    <w:basedOn w:val="28"/>
    <w:qFormat/>
    <w:uiPriority w:val="0"/>
    <w:pPr>
      <w:spacing w:line="360" w:lineRule="auto"/>
      <w:ind w:firstLine="480"/>
      <w:jc w:val="left"/>
    </w:pPr>
    <w:rPr>
      <w:rFonts w:ascii="宋体" w:hAnsi="宋体"/>
      <w:sz w:val="24"/>
    </w:rPr>
  </w:style>
  <w:style w:type="paragraph" w:customStyle="1" w:styleId="28">
    <w:name w:val="Normal_0"/>
    <w:next w:val="29"/>
    <w:qFormat/>
    <w:uiPriority w:val="0"/>
    <w:pPr>
      <w:widowControl w:val="0"/>
      <w:spacing w:line="440" w:lineRule="exact"/>
      <w:ind w:firstLine="200" w:firstLineChars="200"/>
      <w:jc w:val="both"/>
    </w:pPr>
    <w:rPr>
      <w:rFonts w:ascii="Times New Roman" w:hAnsi="Times New Roman" w:eastAsia="宋体" w:cs="Times New Roman"/>
      <w:kern w:val="2"/>
      <w:sz w:val="21"/>
      <w:szCs w:val="24"/>
    </w:rPr>
  </w:style>
  <w:style w:type="paragraph" w:customStyle="1" w:styleId="29">
    <w:name w:val="首行缩进_0_0"/>
    <w:basedOn w:val="30"/>
    <w:qFormat/>
    <w:uiPriority w:val="0"/>
    <w:pPr>
      <w:spacing w:line="360" w:lineRule="auto"/>
      <w:ind w:firstLine="480"/>
      <w:jc w:val="left"/>
    </w:pPr>
    <w:rPr>
      <w:rFonts w:ascii="宋体" w:hAnsi="宋体"/>
      <w:sz w:val="24"/>
    </w:rPr>
  </w:style>
  <w:style w:type="paragraph" w:customStyle="1" w:styleId="30">
    <w:name w:val="Normal_1"/>
    <w:next w:val="29"/>
    <w:qFormat/>
    <w:uiPriority w:val="0"/>
    <w:rPr>
      <w:rFonts w:ascii="Times New Roman" w:hAnsi="Times New Roman" w:eastAsia="Times New Roman" w:cs="Times New Roman"/>
      <w:sz w:val="24"/>
      <w:szCs w:val="24"/>
    </w:rPr>
  </w:style>
  <w:style w:type="paragraph" w:customStyle="1" w:styleId="31">
    <w:name w:val="Body Text"/>
    <w:basedOn w:val="28"/>
    <w:qFormat/>
    <w:uiPriority w:val="0"/>
    <w:pPr>
      <w:spacing w:after="120"/>
    </w:pPr>
    <w:rPr>
      <w:rFonts w:eastAsia="宋体" w:cs="Times New Roman"/>
    </w:rPr>
  </w:style>
  <w:style w:type="paragraph" w:styleId="32">
    <w:name w:val="List Paragraph"/>
    <w:basedOn w:val="1"/>
    <w:qFormat/>
    <w:uiPriority w:val="34"/>
    <w:pPr>
      <w:widowControl/>
      <w:ind w:left="720"/>
      <w:contextualSpacing/>
      <w:jc w:val="left"/>
    </w:pPr>
    <w:rPr>
      <w:rFonts w:ascii="Calibri" w:hAnsi="Calibri" w:cs="宋体"/>
      <w:kern w:val="0"/>
      <w:sz w:val="24"/>
      <w:lang w:eastAsia="en-US"/>
    </w:rPr>
  </w:style>
  <w:style w:type="character" w:customStyle="1" w:styleId="33">
    <w:name w:val="标题 4 Char"/>
    <w:link w:val="1"/>
    <w:qFormat/>
    <w:uiPriority w:val="0"/>
    <w:rPr>
      <w:rFonts w:ascii="Cambria" w:hAnsi="Cambria" w:eastAsia="宋体" w:cs="Times New Roman"/>
      <w:b/>
      <w:bCs/>
      <w:sz w:val="28"/>
      <w:szCs w:val="28"/>
    </w:rPr>
  </w:style>
  <w:style w:type="paragraph" w:customStyle="1" w:styleId="34">
    <w:name w:val="Normal_13"/>
    <w:qFormat/>
    <w:uiPriority w:val="0"/>
    <w:rPr>
      <w:rFonts w:ascii="Times New Roman" w:hAnsi="Times New Roman" w:eastAsia="Times New Roman" w:cs="Times New Roman"/>
      <w:sz w:val="24"/>
      <w:szCs w:val="24"/>
    </w:rPr>
  </w:style>
  <w:style w:type="paragraph" w:customStyle="1" w:styleId="35">
    <w:name w:val="p0"/>
    <w:basedOn w:val="1"/>
    <w:qFormat/>
    <w:uiPriority w:val="99"/>
    <w:pPr>
      <w:widowControl/>
    </w:pPr>
    <w:rPr>
      <w:rFonts w:ascii="Calibri" w:hAnsi="Calibri" w:cs="宋体"/>
      <w:kern w:val="0"/>
      <w:szCs w:val="21"/>
    </w:rPr>
  </w:style>
  <w:style w:type="paragraph" w:customStyle="1" w:styleId="36">
    <w:name w:val="Normal_3"/>
    <w:qFormat/>
    <w:uiPriority w:val="0"/>
    <w:rPr>
      <w:rFonts w:ascii="Times New Roman" w:hAnsi="Times New Roman" w:eastAsia="Times New Roman" w:cs="Times New Roman"/>
      <w:sz w:val="24"/>
      <w:szCs w:val="24"/>
    </w:rPr>
  </w:style>
  <w:style w:type="paragraph" w:customStyle="1" w:styleId="37">
    <w:name w:val="Normal_4"/>
    <w:qFormat/>
    <w:uiPriority w:val="0"/>
    <w:rPr>
      <w:rFonts w:ascii="Times New Roman" w:hAnsi="Times New Roman" w:eastAsia="Times New Roman" w:cs="Times New Roman"/>
      <w:sz w:val="24"/>
      <w:szCs w:val="24"/>
    </w:rPr>
  </w:style>
  <w:style w:type="paragraph" w:customStyle="1" w:styleId="38">
    <w:name w:val="Normal_5"/>
    <w:qFormat/>
    <w:uiPriority w:val="0"/>
    <w:rPr>
      <w:rFonts w:ascii="Times New Roman" w:hAnsi="Times New Roman" w:eastAsia="Times New Roman" w:cs="Times New Roman"/>
      <w:sz w:val="24"/>
      <w:szCs w:val="24"/>
    </w:rPr>
  </w:style>
  <w:style w:type="paragraph" w:customStyle="1" w:styleId="39">
    <w:name w:val="Normal_6"/>
    <w:qFormat/>
    <w:uiPriority w:val="0"/>
    <w:rPr>
      <w:rFonts w:ascii="Times New Roman" w:hAnsi="Times New Roman" w:eastAsia="Times New Roman" w:cs="Times New Roman"/>
      <w:sz w:val="24"/>
      <w:szCs w:val="24"/>
    </w:rPr>
  </w:style>
  <w:style w:type="paragraph" w:customStyle="1" w:styleId="40">
    <w:name w:val="Normal_7"/>
    <w:qFormat/>
    <w:uiPriority w:val="0"/>
    <w:rPr>
      <w:rFonts w:ascii="Times New Roman" w:hAnsi="Times New Roman" w:eastAsia="Times New Roman" w:cs="Times New Roman"/>
      <w:sz w:val="24"/>
      <w:szCs w:val="24"/>
    </w:rPr>
  </w:style>
  <w:style w:type="paragraph" w:customStyle="1" w:styleId="41">
    <w:name w:val="Normal_8"/>
    <w:qFormat/>
    <w:uiPriority w:val="0"/>
    <w:rPr>
      <w:rFonts w:ascii="Times New Roman" w:hAnsi="Times New Roman" w:eastAsia="Times New Roman" w:cs="Times New Roman"/>
      <w:sz w:val="24"/>
      <w:szCs w:val="24"/>
    </w:rPr>
  </w:style>
  <w:style w:type="paragraph" w:customStyle="1" w:styleId="42">
    <w:name w:val="Normal_9"/>
    <w:qFormat/>
    <w:uiPriority w:val="0"/>
    <w:rPr>
      <w:rFonts w:ascii="Times New Roman" w:hAnsi="Times New Roman" w:eastAsia="Times New Roman" w:cs="Times New Roman"/>
      <w:sz w:val="24"/>
      <w:szCs w:val="24"/>
    </w:rPr>
  </w:style>
  <w:style w:type="paragraph" w:customStyle="1" w:styleId="43">
    <w:name w:val="Normal_10"/>
    <w:qFormat/>
    <w:uiPriority w:val="0"/>
    <w:rPr>
      <w:rFonts w:ascii="Times New Roman" w:hAnsi="Times New Roman" w:eastAsia="Times New Roman" w:cs="Times New Roman"/>
      <w:sz w:val="24"/>
      <w:szCs w:val="24"/>
    </w:rPr>
  </w:style>
  <w:style w:type="paragraph" w:customStyle="1" w:styleId="44">
    <w:name w:val="Normal_16"/>
    <w:qFormat/>
    <w:uiPriority w:val="0"/>
    <w:rPr>
      <w:rFonts w:ascii="Times New Roman" w:hAnsi="Times New Roman" w:eastAsia="Times New Roman" w:cs="Times New Roman"/>
      <w:sz w:val="24"/>
      <w:szCs w:val="24"/>
    </w:rPr>
  </w:style>
  <w:style w:type="paragraph" w:customStyle="1" w:styleId="45">
    <w:name w:val="Normal_0_1"/>
    <w:qFormat/>
    <w:uiPriority w:val="0"/>
    <w:rPr>
      <w:rFonts w:ascii="Times New Roman" w:hAnsi="Times New Roman" w:eastAsia="Times New Roman" w:cs="Times New Roman"/>
      <w:sz w:val="24"/>
      <w:szCs w:val="24"/>
    </w:rPr>
  </w:style>
  <w:style w:type="paragraph" w:customStyle="1" w:styleId="46">
    <w:name w:val="Normal_1_0"/>
    <w:qFormat/>
    <w:uiPriority w:val="0"/>
    <w:rPr>
      <w:rFonts w:ascii="Times New Roman" w:hAnsi="Times New Roman" w:eastAsia="Times New Roman" w:cs="Times New Roman"/>
      <w:sz w:val="24"/>
      <w:szCs w:val="24"/>
    </w:rPr>
  </w:style>
  <w:style w:type="paragraph" w:customStyle="1" w:styleId="47">
    <w:name w:val="Normal_11"/>
    <w:qFormat/>
    <w:uiPriority w:val="0"/>
    <w:rPr>
      <w:rFonts w:ascii="Times New Roman" w:hAnsi="Times New Roman" w:eastAsia="Times New Roman" w:cs="Times New Roman"/>
      <w:sz w:val="24"/>
      <w:szCs w:val="24"/>
    </w:rPr>
  </w:style>
  <w:style w:type="paragraph" w:customStyle="1" w:styleId="48">
    <w:name w:val="p0_0"/>
    <w:basedOn w:val="26"/>
    <w:qFormat/>
    <w:uiPriority w:val="0"/>
    <w:pPr>
      <w:widowControl/>
    </w:pPr>
    <w:rPr>
      <w:kern w:val="0"/>
      <w:szCs w:val="21"/>
    </w:rPr>
  </w:style>
  <w:style w:type="paragraph" w:customStyle="1" w:styleId="49">
    <w:name w:val="Normal_0_2"/>
    <w:qFormat/>
    <w:uiPriority w:val="0"/>
    <w:rPr>
      <w:rFonts w:ascii="Times New Roman" w:hAnsi="Times New Roman" w:eastAsia="Times New Roman" w:cs="Times New Roman"/>
      <w:sz w:val="24"/>
      <w:szCs w:val="24"/>
    </w:rPr>
  </w:style>
  <w:style w:type="paragraph" w:customStyle="1" w:styleId="50">
    <w:name w:val="Normal_0_0_0"/>
    <w:qFormat/>
    <w:uiPriority w:val="0"/>
    <w:rPr>
      <w:rFonts w:ascii="Times New Roman" w:hAnsi="Times New Roman" w:eastAsia="Times New Roman" w:cs="Times New Roman"/>
      <w:sz w:val="24"/>
      <w:szCs w:val="24"/>
    </w:rPr>
  </w:style>
  <w:style w:type="paragraph" w:customStyle="1" w:styleId="51">
    <w:name w:val="Normal_1_1"/>
    <w:qFormat/>
    <w:uiPriority w:val="0"/>
    <w:rPr>
      <w:rFonts w:ascii="Times New Roman" w:hAnsi="Times New Roman" w:eastAsia="Times New Roman" w:cs="Times New Roman"/>
      <w:sz w:val="24"/>
      <w:szCs w:val="24"/>
    </w:rPr>
  </w:style>
  <w:style w:type="paragraph" w:customStyle="1" w:styleId="52">
    <w:name w:val="Normal_2_0"/>
    <w:qFormat/>
    <w:uiPriority w:val="0"/>
    <w:rPr>
      <w:rFonts w:ascii="Times New Roman" w:hAnsi="Times New Roman" w:eastAsia="Times New Roman" w:cs="Times New Roman"/>
      <w:sz w:val="24"/>
      <w:szCs w:val="24"/>
    </w:rPr>
  </w:style>
  <w:style w:type="paragraph" w:customStyle="1" w:styleId="53">
    <w:name w:val="Normal_4_0"/>
    <w:qFormat/>
    <w:uiPriority w:val="0"/>
    <w:rPr>
      <w:rFonts w:ascii="Times New Roman" w:hAnsi="Times New Roman" w:eastAsia="Times New Roman" w:cs="Times New Roman"/>
      <w:sz w:val="24"/>
      <w:szCs w:val="24"/>
    </w:rPr>
  </w:style>
  <w:style w:type="paragraph" w:customStyle="1" w:styleId="54">
    <w:name w:val="Normal_5_0"/>
    <w:qFormat/>
    <w:uiPriority w:val="0"/>
    <w:rPr>
      <w:rFonts w:ascii="Times New Roman" w:hAnsi="Times New Roman" w:eastAsia="Times New Roman" w:cs="Times New Roman"/>
      <w:sz w:val="24"/>
      <w:szCs w:val="24"/>
    </w:rPr>
  </w:style>
  <w:style w:type="paragraph" w:customStyle="1" w:styleId="55">
    <w:name w:val="Normal_0_3"/>
    <w:qFormat/>
    <w:uiPriority w:val="0"/>
    <w:rPr>
      <w:rFonts w:ascii="Times New Roman" w:hAnsi="Times New Roman" w:eastAsia="Times New Roman" w:cs="Times New Roman"/>
      <w:sz w:val="24"/>
      <w:szCs w:val="24"/>
    </w:rPr>
  </w:style>
  <w:style w:type="paragraph" w:customStyle="1" w:styleId="56">
    <w:name w:val="Normal_0_4"/>
    <w:qFormat/>
    <w:uiPriority w:val="0"/>
    <w:rPr>
      <w:rFonts w:ascii="Times New Roman" w:hAnsi="Times New Roman" w:eastAsia="Times New Roman" w:cs="Times New Roman"/>
      <w:sz w:val="24"/>
      <w:szCs w:val="24"/>
    </w:rPr>
  </w:style>
  <w:style w:type="paragraph" w:customStyle="1" w:styleId="57">
    <w:name w:val="Normal_17"/>
    <w:qFormat/>
    <w:uiPriority w:val="0"/>
    <w:rPr>
      <w:rFonts w:ascii="Times New Roman" w:hAnsi="Times New Roman" w:eastAsia="Times New Roman" w:cs="Times New Roman"/>
      <w:sz w:val="24"/>
      <w:szCs w:val="24"/>
    </w:rPr>
  </w:style>
  <w:style w:type="paragraph" w:customStyle="1" w:styleId="58">
    <w:name w:val="Normal_12"/>
    <w:qFormat/>
    <w:uiPriority w:val="0"/>
    <w:rPr>
      <w:rFonts w:ascii="Times New Roman" w:hAnsi="Times New Roman" w:eastAsia="Times New Roman" w:cs="Times New Roman"/>
      <w:sz w:val="24"/>
      <w:szCs w:val="24"/>
    </w:rPr>
  </w:style>
  <w:style w:type="paragraph" w:customStyle="1" w:styleId="59">
    <w:name w:val="Normal_0_0"/>
    <w:qFormat/>
    <w:uiPriority w:val="0"/>
    <w:rPr>
      <w:rFonts w:ascii="Times New Roman" w:hAnsi="Times New Roman" w:eastAsia="Times New Roman" w:cs="Times New Roman"/>
      <w:sz w:val="24"/>
      <w:szCs w:val="24"/>
    </w:rPr>
  </w:style>
  <w:style w:type="paragraph" w:customStyle="1" w:styleId="60">
    <w:name w:val="Normal_18"/>
    <w:qFormat/>
    <w:uiPriority w:val="0"/>
    <w:rPr>
      <w:rFonts w:ascii="Times New Roman" w:hAnsi="Times New Roman" w:eastAsia="Times New Roman" w:cs="Times New Roman"/>
      <w:sz w:val="24"/>
      <w:szCs w:val="24"/>
    </w:rPr>
  </w:style>
  <w:style w:type="paragraph" w:customStyle="1" w:styleId="61">
    <w:name w:val="Normal_0_5"/>
    <w:qFormat/>
    <w:uiPriority w:val="0"/>
    <w:rPr>
      <w:rFonts w:ascii="Times New Roman" w:hAnsi="Times New Roman" w:eastAsia="Times New Roman" w:cs="Times New Roman"/>
      <w:sz w:val="24"/>
      <w:szCs w:val="24"/>
    </w:rPr>
  </w:style>
  <w:style w:type="paragraph" w:customStyle="1" w:styleId="62">
    <w:name w:val="Normal_1_2"/>
    <w:qFormat/>
    <w:uiPriority w:val="0"/>
    <w:rPr>
      <w:rFonts w:ascii="Times New Roman" w:hAnsi="Times New Roman" w:eastAsia="Times New Roman" w:cs="Times New Roman"/>
      <w:sz w:val="24"/>
      <w:szCs w:val="24"/>
    </w:rPr>
  </w:style>
  <w:style w:type="paragraph" w:customStyle="1" w:styleId="63">
    <w:name w:val="Normal_2_1"/>
    <w:qFormat/>
    <w:uiPriority w:val="0"/>
    <w:rPr>
      <w:rFonts w:ascii="Times New Roman" w:hAnsi="Times New Roman" w:eastAsia="Times New Roman" w:cs="Times New Roman"/>
      <w:sz w:val="24"/>
      <w:szCs w:val="24"/>
    </w:rPr>
  </w:style>
  <w:style w:type="paragraph" w:customStyle="1" w:styleId="64">
    <w:name w:val="Normal_3_0"/>
    <w:qFormat/>
    <w:uiPriority w:val="0"/>
    <w:rPr>
      <w:rFonts w:ascii="Times New Roman" w:hAnsi="Times New Roman" w:eastAsia="Times New Roman" w:cs="Times New Roman"/>
      <w:sz w:val="24"/>
      <w:szCs w:val="24"/>
    </w:rPr>
  </w:style>
  <w:style w:type="paragraph" w:customStyle="1" w:styleId="65">
    <w:name w:val="Normal_4_1"/>
    <w:qFormat/>
    <w:uiPriority w:val="0"/>
    <w:rPr>
      <w:rFonts w:ascii="Times New Roman" w:hAnsi="Times New Roman" w:eastAsia="Times New Roman" w:cs="Times New Roman"/>
      <w:sz w:val="24"/>
      <w:szCs w:val="24"/>
    </w:rPr>
  </w:style>
  <w:style w:type="paragraph" w:customStyle="1" w:styleId="66">
    <w:name w:val="Normal_5_1"/>
    <w:qFormat/>
    <w:uiPriority w:val="0"/>
    <w:rPr>
      <w:rFonts w:ascii="Times New Roman" w:hAnsi="Times New Roman" w:eastAsia="Times New Roman" w:cs="Times New Roman"/>
      <w:sz w:val="24"/>
      <w:szCs w:val="24"/>
    </w:rPr>
  </w:style>
  <w:style w:type="paragraph" w:customStyle="1" w:styleId="67">
    <w:name w:val="Normal_6_0"/>
    <w:qFormat/>
    <w:uiPriority w:val="0"/>
    <w:rPr>
      <w:rFonts w:ascii="Times New Roman" w:hAnsi="Times New Roman" w:eastAsia="Times New Roman" w:cs="Times New Roman"/>
      <w:sz w:val="24"/>
      <w:szCs w:val="24"/>
    </w:rPr>
  </w:style>
  <w:style w:type="paragraph" w:customStyle="1" w:styleId="68">
    <w:name w:val="Normal_7_0"/>
    <w:qFormat/>
    <w:uiPriority w:val="0"/>
    <w:rPr>
      <w:rFonts w:ascii="Times New Roman" w:hAnsi="Times New Roman" w:eastAsia="Times New Roman" w:cs="Times New Roman"/>
      <w:sz w:val="24"/>
      <w:szCs w:val="24"/>
    </w:rPr>
  </w:style>
  <w:style w:type="paragraph" w:customStyle="1" w:styleId="69">
    <w:name w:val="Normal_8_0"/>
    <w:qFormat/>
    <w:uiPriority w:val="0"/>
    <w:rPr>
      <w:rFonts w:ascii="Times New Roman" w:hAnsi="Times New Roman" w:eastAsia="Times New Roman" w:cs="Times New Roman"/>
      <w:sz w:val="24"/>
      <w:szCs w:val="24"/>
    </w:rPr>
  </w:style>
  <w:style w:type="paragraph" w:customStyle="1" w:styleId="70">
    <w:name w:val="Normal_9_0"/>
    <w:qFormat/>
    <w:uiPriority w:val="0"/>
    <w:rPr>
      <w:rFonts w:ascii="Times New Roman" w:hAnsi="Times New Roman" w:eastAsia="Times New Roman" w:cs="Times New Roman"/>
      <w:sz w:val="24"/>
      <w:szCs w:val="24"/>
    </w:rPr>
  </w:style>
  <w:style w:type="paragraph" w:customStyle="1" w:styleId="71">
    <w:name w:val="Normal_10_0"/>
    <w:qFormat/>
    <w:uiPriority w:val="0"/>
    <w:rPr>
      <w:rFonts w:ascii="Times New Roman" w:hAnsi="Times New Roman" w:eastAsia="Times New Roman" w:cs="Times New Roman"/>
      <w:sz w:val="24"/>
      <w:szCs w:val="24"/>
    </w:rPr>
  </w:style>
  <w:style w:type="paragraph" w:customStyle="1" w:styleId="72">
    <w:name w:val="Normal_11_0"/>
    <w:qFormat/>
    <w:uiPriority w:val="0"/>
    <w:rPr>
      <w:rFonts w:ascii="Times New Roman" w:hAnsi="Times New Roman" w:eastAsia="Times New Roman" w:cs="Times New Roman"/>
      <w:sz w:val="24"/>
      <w:szCs w:val="24"/>
    </w:rPr>
  </w:style>
  <w:style w:type="paragraph" w:customStyle="1" w:styleId="73">
    <w:name w:val="Normal_12_0"/>
    <w:qFormat/>
    <w:uiPriority w:val="0"/>
    <w:rPr>
      <w:rFonts w:ascii="Times New Roman" w:hAnsi="Times New Roman" w:eastAsia="Times New Roman" w:cs="Times New Roman"/>
      <w:sz w:val="24"/>
      <w:szCs w:val="24"/>
    </w:rPr>
  </w:style>
  <w:style w:type="paragraph" w:customStyle="1" w:styleId="74">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Normal_13_0"/>
    <w:qFormat/>
    <w:uiPriority w:val="0"/>
    <w:rPr>
      <w:rFonts w:ascii="Times New Roman" w:hAnsi="Times New Roman" w:eastAsia="Times New Roman" w:cs="Times New Roman"/>
      <w:sz w:val="24"/>
      <w:szCs w:val="24"/>
    </w:rPr>
  </w:style>
  <w:style w:type="paragraph" w:customStyle="1" w:styleId="76">
    <w:name w:val="Normal_14_0"/>
    <w:qFormat/>
    <w:uiPriority w:val="0"/>
    <w:rPr>
      <w:rFonts w:ascii="Times New Roman" w:hAnsi="Times New Roman" w:eastAsia="Times New Roman" w:cs="Times New Roman"/>
      <w:sz w:val="24"/>
      <w:szCs w:val="24"/>
    </w:rPr>
  </w:style>
  <w:style w:type="paragraph" w:customStyle="1" w:styleId="77">
    <w:name w:val="Normal_15_0"/>
    <w:qFormat/>
    <w:uiPriority w:val="0"/>
    <w:rPr>
      <w:rFonts w:ascii="Times New Roman" w:hAnsi="Times New Roman" w:eastAsia="Times New Roman" w:cs="Times New Roman"/>
      <w:sz w:val="24"/>
      <w:szCs w:val="24"/>
    </w:rPr>
  </w:style>
  <w:style w:type="paragraph" w:customStyle="1" w:styleId="78">
    <w:name w:val="Normal_16_0"/>
    <w:qFormat/>
    <w:uiPriority w:val="0"/>
    <w:rPr>
      <w:rFonts w:ascii="Times New Roman" w:hAnsi="Times New Roman" w:eastAsia="Times New Roman" w:cs="Times New Roman"/>
      <w:sz w:val="24"/>
      <w:szCs w:val="24"/>
    </w:rPr>
  </w:style>
  <w:style w:type="paragraph" w:customStyle="1" w:styleId="79">
    <w:name w:val="Normal_17_0"/>
    <w:qFormat/>
    <w:uiPriority w:val="0"/>
    <w:rPr>
      <w:rFonts w:ascii="Times New Roman" w:hAnsi="Times New Roman" w:eastAsia="Times New Roman" w:cs="Times New Roman"/>
      <w:sz w:val="24"/>
      <w:szCs w:val="24"/>
    </w:rPr>
  </w:style>
  <w:style w:type="paragraph" w:customStyle="1" w:styleId="80">
    <w:name w:val="Normal_18_0"/>
    <w:qFormat/>
    <w:uiPriority w:val="0"/>
    <w:rPr>
      <w:rFonts w:ascii="Times New Roman" w:hAnsi="Times New Roman" w:eastAsia="Times New Roman" w:cs="Times New Roman"/>
      <w:sz w:val="24"/>
      <w:szCs w:val="24"/>
    </w:rPr>
  </w:style>
  <w:style w:type="paragraph" w:customStyle="1" w:styleId="81">
    <w:name w:val="Normal_19"/>
    <w:qFormat/>
    <w:uiPriority w:val="0"/>
    <w:rPr>
      <w:rFonts w:ascii="Times New Roman" w:hAnsi="Times New Roman" w:eastAsia="Times New Roman" w:cs="Times New Roman"/>
      <w:sz w:val="24"/>
      <w:szCs w:val="24"/>
    </w:rPr>
  </w:style>
  <w:style w:type="paragraph" w:customStyle="1" w:styleId="82">
    <w:name w:val="Normal_20"/>
    <w:qFormat/>
    <w:uiPriority w:val="0"/>
    <w:rPr>
      <w:rFonts w:ascii="Times New Roman" w:hAnsi="Times New Roman" w:eastAsia="Times New Roman" w:cs="Times New Roman"/>
      <w:sz w:val="24"/>
      <w:szCs w:val="24"/>
    </w:rPr>
  </w:style>
  <w:style w:type="paragraph" w:customStyle="1" w:styleId="83">
    <w:name w:val="Normal_21"/>
    <w:qFormat/>
    <w:uiPriority w:val="0"/>
    <w:rPr>
      <w:rFonts w:ascii="Times New Roman" w:hAnsi="Times New Roman" w:eastAsia="Times New Roman" w:cs="Times New Roman"/>
      <w:sz w:val="24"/>
      <w:szCs w:val="24"/>
    </w:rPr>
  </w:style>
  <w:style w:type="paragraph" w:customStyle="1" w:styleId="84">
    <w:name w:val="Normal_22"/>
    <w:qFormat/>
    <w:uiPriority w:val="0"/>
    <w:rPr>
      <w:rFonts w:ascii="Times New Roman" w:hAnsi="Times New Roman" w:eastAsia="Times New Roman" w:cs="Times New Roman"/>
      <w:sz w:val="24"/>
      <w:szCs w:val="24"/>
    </w:rPr>
  </w:style>
  <w:style w:type="paragraph" w:customStyle="1" w:styleId="85">
    <w:name w:val="Normal_23"/>
    <w:qFormat/>
    <w:uiPriority w:val="0"/>
    <w:rPr>
      <w:rFonts w:ascii="Times New Roman" w:hAnsi="Times New Roman" w:eastAsia="Times New Roman" w:cs="Times New Roman"/>
      <w:sz w:val="24"/>
      <w:szCs w:val="24"/>
    </w:rPr>
  </w:style>
  <w:style w:type="paragraph" w:customStyle="1" w:styleId="86">
    <w:name w:val="Normal_24"/>
    <w:qFormat/>
    <w:uiPriority w:val="0"/>
    <w:rPr>
      <w:rFonts w:ascii="Times New Roman" w:hAnsi="Times New Roman" w:eastAsia="Times New Roman" w:cs="Times New Roman"/>
      <w:sz w:val="24"/>
      <w:szCs w:val="24"/>
    </w:rPr>
  </w:style>
  <w:style w:type="paragraph" w:customStyle="1" w:styleId="87">
    <w:name w:val="Normal_25"/>
    <w:qFormat/>
    <w:uiPriority w:val="0"/>
    <w:rPr>
      <w:rFonts w:ascii="Times New Roman" w:hAnsi="Times New Roman" w:eastAsia="Times New Roman" w:cs="Times New Roman"/>
      <w:sz w:val="24"/>
      <w:szCs w:val="24"/>
    </w:rPr>
  </w:style>
  <w:style w:type="paragraph" w:customStyle="1" w:styleId="88">
    <w:name w:val="Normal_26"/>
    <w:qFormat/>
    <w:uiPriority w:val="0"/>
    <w:rPr>
      <w:rFonts w:ascii="Times New Roman" w:hAnsi="Times New Roman" w:eastAsia="Times New Roman" w:cs="Times New Roman"/>
      <w:sz w:val="24"/>
      <w:szCs w:val="24"/>
    </w:rPr>
  </w:style>
  <w:style w:type="paragraph" w:customStyle="1" w:styleId="89">
    <w:name w:val="Normal_27"/>
    <w:qFormat/>
    <w:uiPriority w:val="0"/>
    <w:rPr>
      <w:rFonts w:ascii="Times New Roman" w:hAnsi="Times New Roman" w:eastAsia="Times New Roman" w:cs="Times New Roman"/>
      <w:sz w:val="24"/>
      <w:szCs w:val="24"/>
    </w:rPr>
  </w:style>
  <w:style w:type="paragraph" w:customStyle="1" w:styleId="90">
    <w:name w:val="Normal_28"/>
    <w:qFormat/>
    <w:uiPriority w:val="0"/>
    <w:rPr>
      <w:rFonts w:ascii="Times New Roman" w:hAnsi="Times New Roman" w:eastAsia="Times New Roman" w:cs="Times New Roman"/>
      <w:sz w:val="24"/>
      <w:szCs w:val="24"/>
    </w:rPr>
  </w:style>
  <w:style w:type="paragraph" w:customStyle="1" w:styleId="91">
    <w:name w:val="正文_0_0"/>
    <w:next w:val="9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2">
    <w:name w:val="正文文本_0"/>
    <w:basedOn w:val="91"/>
    <w:qFormat/>
    <w:uiPriority w:val="0"/>
    <w:pPr>
      <w:spacing w:line="400" w:lineRule="exact"/>
    </w:pPr>
    <w:rPr>
      <w:sz w:val="24"/>
    </w:rPr>
  </w:style>
  <w:style w:type="paragraph" w:customStyle="1" w:styleId="93">
    <w:name w:val="Normal_29"/>
    <w:qFormat/>
    <w:uiPriority w:val="0"/>
    <w:rPr>
      <w:rFonts w:ascii="Times New Roman" w:hAnsi="Times New Roman" w:eastAsia="Times New Roman" w:cs="Times New Roman"/>
      <w:sz w:val="24"/>
      <w:szCs w:val="24"/>
    </w:rPr>
  </w:style>
  <w:style w:type="paragraph" w:customStyle="1" w:styleId="94">
    <w:name w:val="Normal_30"/>
    <w:qFormat/>
    <w:uiPriority w:val="0"/>
    <w:rPr>
      <w:rFonts w:ascii="Times New Roman" w:hAnsi="Times New Roman" w:eastAsia="Times New Roman" w:cs="Times New Roman"/>
      <w:sz w:val="24"/>
      <w:szCs w:val="24"/>
    </w:rPr>
  </w:style>
  <w:style w:type="paragraph" w:customStyle="1" w:styleId="95">
    <w:name w:val="正文_1"/>
    <w:next w:val="96"/>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6">
    <w:name w:val="正文文本_0_0"/>
    <w:basedOn w:val="95"/>
    <w:qFormat/>
    <w:uiPriority w:val="0"/>
    <w:pPr>
      <w:spacing w:line="400" w:lineRule="exact"/>
    </w:pPr>
    <w:rPr>
      <w:sz w:val="24"/>
    </w:rPr>
  </w:style>
  <w:style w:type="paragraph" w:customStyle="1" w:styleId="97">
    <w:name w:val="Normal_31"/>
    <w:qFormat/>
    <w:uiPriority w:val="0"/>
    <w:rPr>
      <w:rFonts w:ascii="Times New Roman" w:hAnsi="Times New Roman" w:eastAsia="Times New Roman" w:cs="Times New Roman"/>
      <w:sz w:val="24"/>
      <w:szCs w:val="24"/>
    </w:rPr>
  </w:style>
  <w:style w:type="paragraph" w:customStyle="1" w:styleId="98">
    <w:name w:val="Normal_32"/>
    <w:qFormat/>
    <w:uiPriority w:val="0"/>
    <w:rPr>
      <w:rFonts w:ascii="Times New Roman" w:hAnsi="Times New Roman" w:eastAsia="Times New Roman" w:cs="Times New Roman"/>
      <w:sz w:val="24"/>
      <w:szCs w:val="24"/>
    </w:rPr>
  </w:style>
  <w:style w:type="paragraph" w:customStyle="1" w:styleId="99">
    <w:name w:val="Normal_33"/>
    <w:qFormat/>
    <w:uiPriority w:val="0"/>
    <w:rPr>
      <w:rFonts w:ascii="Times New Roman" w:hAnsi="Times New Roman" w:eastAsia="Times New Roman" w:cs="Times New Roman"/>
      <w:sz w:val="24"/>
      <w:szCs w:val="24"/>
    </w:rPr>
  </w:style>
  <w:style w:type="paragraph" w:customStyle="1" w:styleId="100">
    <w:name w:val="Normal_34"/>
    <w:qFormat/>
    <w:uiPriority w:val="0"/>
    <w:rPr>
      <w:rFonts w:ascii="Times New Roman" w:hAnsi="Times New Roman" w:eastAsia="Times New Roman" w:cs="Times New Roman"/>
      <w:sz w:val="24"/>
      <w:szCs w:val="24"/>
    </w:rPr>
  </w:style>
  <w:style w:type="paragraph" w:customStyle="1" w:styleId="101">
    <w:name w:val="Normal_35"/>
    <w:qFormat/>
    <w:uiPriority w:val="0"/>
    <w:rPr>
      <w:rFonts w:ascii="Times New Roman" w:hAnsi="Times New Roman" w:eastAsia="Times New Roman" w:cs="Times New Roman"/>
      <w:sz w:val="24"/>
      <w:szCs w:val="24"/>
    </w:rPr>
  </w:style>
  <w:style w:type="paragraph" w:customStyle="1" w:styleId="102">
    <w:name w:val="Normal_36"/>
    <w:qFormat/>
    <w:uiPriority w:val="0"/>
    <w:rPr>
      <w:rFonts w:ascii="Times New Roman" w:hAnsi="Times New Roman" w:eastAsia="Times New Roman" w:cs="Times New Roman"/>
      <w:sz w:val="24"/>
      <w:szCs w:val="24"/>
    </w:rPr>
  </w:style>
  <w:style w:type="paragraph" w:customStyle="1" w:styleId="103">
    <w:name w:val="Normal_37"/>
    <w:qFormat/>
    <w:uiPriority w:val="0"/>
    <w:rPr>
      <w:rFonts w:ascii="Times New Roman" w:hAnsi="Times New Roman" w:eastAsia="Times New Roman" w:cs="Times New Roman"/>
      <w:sz w:val="24"/>
      <w:szCs w:val="24"/>
    </w:rPr>
  </w:style>
  <w:style w:type="paragraph" w:customStyle="1" w:styleId="104">
    <w:name w:val="Normal_38"/>
    <w:qFormat/>
    <w:uiPriority w:val="0"/>
    <w:rPr>
      <w:rFonts w:ascii="Times New Roman" w:hAnsi="Times New Roman" w:eastAsia="Times New Roman" w:cs="Times New Roman"/>
      <w:sz w:val="24"/>
      <w:szCs w:val="24"/>
    </w:rPr>
  </w:style>
  <w:style w:type="paragraph" w:customStyle="1" w:styleId="105">
    <w:name w:val="Normal_39"/>
    <w:qFormat/>
    <w:uiPriority w:val="0"/>
    <w:rPr>
      <w:rFonts w:ascii="Times New Roman" w:hAnsi="Times New Roman" w:eastAsia="Times New Roman" w:cs="Times New Roman"/>
      <w:sz w:val="24"/>
      <w:szCs w:val="24"/>
    </w:rPr>
  </w:style>
  <w:style w:type="paragraph" w:customStyle="1" w:styleId="106">
    <w:name w:val="Normal_40"/>
    <w:qFormat/>
    <w:uiPriority w:val="0"/>
    <w:rPr>
      <w:rFonts w:ascii="Times New Roman" w:hAnsi="Times New Roman" w:eastAsia="Times New Roman" w:cs="Times New Roman"/>
      <w:sz w:val="24"/>
      <w:szCs w:val="24"/>
    </w:rPr>
  </w:style>
  <w:style w:type="paragraph" w:customStyle="1" w:styleId="107">
    <w:name w:val="Normal_41"/>
    <w:qFormat/>
    <w:uiPriority w:val="0"/>
    <w:rPr>
      <w:rFonts w:ascii="Times New Roman" w:hAnsi="Times New Roman" w:eastAsia="Times New Roman" w:cs="Times New Roman"/>
      <w:sz w:val="24"/>
      <w:szCs w:val="24"/>
    </w:rPr>
  </w:style>
  <w:style w:type="paragraph" w:customStyle="1" w:styleId="108">
    <w:name w:val="正文_2"/>
    <w:next w:val="109"/>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9">
    <w:name w:val="正文文本_1"/>
    <w:basedOn w:val="108"/>
    <w:qFormat/>
    <w:uiPriority w:val="0"/>
    <w:pPr>
      <w:spacing w:line="400" w:lineRule="exact"/>
    </w:pPr>
    <w:rPr>
      <w:sz w:val="24"/>
    </w:rPr>
  </w:style>
  <w:style w:type="character" w:customStyle="1" w:styleId="110">
    <w:name w:val="标题 4 Char_0"/>
    <w:qFormat/>
    <w:uiPriority w:val="0"/>
    <w:rPr>
      <w:rFonts w:ascii="Cambria" w:hAnsi="Cambria" w:eastAsia="宋体" w:cs="Times New Roman"/>
      <w:b/>
      <w:bCs/>
      <w:sz w:val="28"/>
      <w:szCs w:val="28"/>
    </w:rPr>
  </w:style>
  <w:style w:type="paragraph" w:customStyle="1" w:styleId="111">
    <w:name w:val="Normal_42"/>
    <w:qFormat/>
    <w:uiPriority w:val="0"/>
    <w:rPr>
      <w:rFonts w:ascii="Times New Roman" w:hAnsi="Times New Roman" w:eastAsia="Times New Roman" w:cs="Times New Roman"/>
      <w:sz w:val="24"/>
      <w:szCs w:val="24"/>
    </w:rPr>
  </w:style>
  <w:style w:type="paragraph" w:customStyle="1" w:styleId="112">
    <w:name w:val="Normal_43"/>
    <w:qFormat/>
    <w:uiPriority w:val="0"/>
    <w:rPr>
      <w:rFonts w:ascii="Times New Roman" w:hAnsi="Times New Roman" w:eastAsia="Times New Roman" w:cs="Times New Roman"/>
      <w:sz w:val="24"/>
      <w:szCs w:val="24"/>
    </w:rPr>
  </w:style>
  <w:style w:type="paragraph" w:customStyle="1" w:styleId="113">
    <w:name w:val="Normal_44"/>
    <w:qFormat/>
    <w:uiPriority w:val="0"/>
    <w:rPr>
      <w:rFonts w:ascii="Times New Roman" w:hAnsi="Times New Roman" w:eastAsia="Times New Roman" w:cs="Times New Roman"/>
      <w:sz w:val="24"/>
      <w:szCs w:val="24"/>
    </w:rPr>
  </w:style>
  <w:style w:type="paragraph" w:customStyle="1" w:styleId="114">
    <w:name w:val="Normal_45"/>
    <w:qFormat/>
    <w:uiPriority w:val="0"/>
    <w:rPr>
      <w:rFonts w:ascii="Times New Roman" w:hAnsi="Times New Roman" w:eastAsia="Times New Roman" w:cs="Times New Roman"/>
      <w:sz w:val="24"/>
      <w:szCs w:val="24"/>
    </w:rPr>
  </w:style>
  <w:style w:type="paragraph" w:customStyle="1" w:styleId="115">
    <w:name w:val="Normal_46"/>
    <w:qFormat/>
    <w:uiPriority w:val="0"/>
    <w:rPr>
      <w:rFonts w:ascii="Times New Roman" w:hAnsi="Times New Roman" w:eastAsia="Times New Roman" w:cs="Times New Roman"/>
      <w:sz w:val="24"/>
      <w:szCs w:val="24"/>
    </w:rPr>
  </w:style>
  <w:style w:type="character" w:customStyle="1" w:styleId="116">
    <w:name w:val="默认段落字体1"/>
    <w:link w:val="1"/>
    <w:semiHidden/>
    <w:qFormat/>
    <w:uiPriority w:val="0"/>
    <w:rPr>
      <w:rFonts w:ascii="Calibri" w:hAnsi="Calibri" w:eastAsia="宋体" w:cs="Times New Roman"/>
      <w:kern w:val="2"/>
      <w:sz w:val="21"/>
      <w:szCs w:val="22"/>
      <w:lang w:val="en-US" w:eastAsia="zh-CN" w:bidi="ar-SA"/>
    </w:rPr>
  </w:style>
  <w:style w:type="paragraph" w:customStyle="1" w:styleId="117">
    <w:name w:val="标题 21"/>
    <w:basedOn w:val="1"/>
    <w:qFormat/>
    <w:uiPriority w:val="0"/>
    <w:pPr>
      <w:keepNext/>
      <w:keepLines/>
      <w:spacing w:before="260" w:after="260" w:line="415" w:lineRule="auto"/>
      <w:jc w:val="center"/>
      <w:outlineLvl w:val="1"/>
    </w:pPr>
    <w:rPr>
      <w:rFonts w:ascii="Arial" w:hAnsi="Arial" w:eastAsia="幼圆"/>
      <w:b/>
      <w:bCs/>
      <w:sz w:val="44"/>
      <w:szCs w:val="44"/>
    </w:rPr>
  </w:style>
  <w:style w:type="paragraph" w:customStyle="1" w:styleId="118">
    <w:name w:val="正文文本1"/>
    <w:basedOn w:val="1"/>
    <w:qFormat/>
    <w:uiPriority w:val="99"/>
    <w:rPr>
      <w:rFonts w:ascii="楷体_GB2312" w:hAnsi="宋体" w:eastAsia="楷体_GB2312"/>
      <w:sz w:val="28"/>
      <w:szCs w:val="28"/>
    </w:rPr>
  </w:style>
  <w:style w:type="paragraph" w:customStyle="1" w:styleId="119">
    <w:name w:val="纯文本1"/>
    <w:basedOn w:val="1"/>
    <w:qFormat/>
    <w:uiPriority w:val="0"/>
    <w:pPr>
      <w:jc w:val="both"/>
    </w:pPr>
    <w:rPr>
      <w:rFonts w:ascii="宋体" w:hAnsi="Courier New"/>
      <w:sz w:val="20"/>
      <w:szCs w:val="21"/>
    </w:rPr>
  </w:style>
  <w:style w:type="character" w:customStyle="1" w:styleId="120">
    <w:name w:val="默认段落字体11"/>
    <w:unhideWhenUsed/>
    <w:qFormat/>
    <w:uiPriority w:val="1"/>
  </w:style>
  <w:style w:type="paragraph" w:customStyle="1" w:styleId="121">
    <w:name w:val="样式1"/>
    <w:basedOn w:val="1"/>
    <w:qFormat/>
    <w:uiPriority w:val="0"/>
    <w:pPr>
      <w:numPr>
        <w:ilvl w:val="0"/>
        <w:numId w:val="1"/>
      </w:numPr>
    </w:pPr>
    <w:rPr>
      <w:rFonts w:ascii="宋体" w:hAnsi="宋体"/>
      <w:szCs w:val="21"/>
    </w:rPr>
  </w:style>
  <w:style w:type="paragraph" w:customStyle="1" w:styleId="122">
    <w:name w:val="正文缩进1"/>
    <w:basedOn w:val="1"/>
    <w:next w:val="1"/>
    <w:qFormat/>
    <w:uiPriority w:val="99"/>
    <w:pPr>
      <w:ind w:firstLine="420"/>
    </w:pPr>
    <w:rPr>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54</Pages>
  <Words>25469</Words>
  <Characters>27276</Characters>
  <Lines>0</Lines>
  <Paragraphs>0</Paragraphs>
  <TotalTime>8</TotalTime>
  <ScaleCrop>false</ScaleCrop>
  <LinksUpToDate>false</LinksUpToDate>
  <CharactersWithSpaces>28536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2024-12-16T00:12:51Z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84FC7396420A47C1AE5E499560577754_13</vt:lpwstr>
  </property>
</Properties>
</file>