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DA6F" w14:textId="77777777" w:rsidR="00B44DF2" w:rsidRDefault="00000000">
      <w:pPr>
        <w:spacing w:line="360" w:lineRule="auto"/>
        <w:jc w:val="center"/>
        <w:rPr>
          <w:rFonts w:ascii="宋体" w:eastAsia="宋体" w:hAnsi="宋体" w:hint="eastAsia"/>
          <w:b/>
          <w:sz w:val="30"/>
          <w:szCs w:val="30"/>
          <w:shd w:val="clear" w:color="auto" w:fill="FFFFFF"/>
        </w:rPr>
      </w:pPr>
      <w:r>
        <w:rPr>
          <w:rFonts w:ascii="宋体" w:eastAsia="宋体" w:hAnsi="宋体"/>
          <w:b/>
          <w:sz w:val="30"/>
          <w:szCs w:val="30"/>
          <w:shd w:val="clear" w:color="auto" w:fill="FFFFFF"/>
        </w:rPr>
        <w:t>2025年园区照明控制中心运行维护服务</w:t>
      </w:r>
    </w:p>
    <w:p w14:paraId="7D9B239D" w14:textId="77777777" w:rsidR="00B44DF2" w:rsidRDefault="00000000">
      <w:pPr>
        <w:spacing w:line="360" w:lineRule="auto"/>
        <w:jc w:val="center"/>
        <w:rPr>
          <w:rFonts w:ascii="宋体" w:eastAsia="宋体" w:hAnsi="宋体" w:hint="eastAsia"/>
          <w:b/>
          <w:sz w:val="30"/>
          <w:szCs w:val="30"/>
          <w:shd w:val="clear" w:color="auto" w:fill="FFFFFF"/>
        </w:rPr>
      </w:pPr>
      <w:r>
        <w:rPr>
          <w:rFonts w:ascii="宋体" w:eastAsia="宋体" w:hAnsi="宋体" w:hint="eastAsia"/>
          <w:b/>
          <w:sz w:val="30"/>
          <w:szCs w:val="30"/>
          <w:shd w:val="clear" w:color="auto" w:fill="FFFFFF"/>
        </w:rPr>
        <w:t>运维技术要求及标准</w:t>
      </w:r>
    </w:p>
    <w:p w14:paraId="4649DB27" w14:textId="77777777" w:rsidR="00B44DF2" w:rsidRDefault="00B44DF2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CN"/>
        </w:rPr>
      </w:pPr>
    </w:p>
    <w:p w14:paraId="20FC3164" w14:textId="77777777" w:rsidR="00B44DF2" w:rsidRDefault="00000000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sz w:val="24"/>
          <w:szCs w:val="24"/>
          <w:shd w:val="clear" w:color="auto" w:fill="FFFFFF"/>
        </w:rPr>
      </w:pPr>
      <w:bookmarkStart w:id="0" w:name="_Toc107828183"/>
      <w:r>
        <w:rPr>
          <w:rFonts w:ascii="宋体" w:eastAsia="宋体" w:hAnsi="宋体" w:hint="eastAsia"/>
          <w:b/>
          <w:sz w:val="24"/>
          <w:szCs w:val="24"/>
          <w:shd w:val="clear" w:color="auto" w:fill="FFFFFF"/>
        </w:rPr>
        <w:t>一、项目背景</w:t>
      </w:r>
    </w:p>
    <w:p w14:paraId="246D2A75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园区智慧照明运行管理系统对园区路灯、景观灯、楼宇灯全覆盖监控，通过GPRS对各终端实现“遥控、遥信、遥测”等功能。整个系统包含现存外部终端约2000台以及未来新增的终端，其中现存路灯终端约950台、景观灯终端约500台、楼宇灯终端约500台、其他终端约50台，单灯控制器60000余套。系统通过单灯监控模块对区内4G-GAT1单灯监测器进行有效监测和控制，实现自动报警、故障查询/统计、参数设置、时间设置等功能。通过照明监控模块利用数据交互完成市民扫码报修的闭环处置，实现工单生成、派发、处理、故障缺陷登记、物料消耗登记、归档提交等功能，自动形成一个动态的、系统化的设备健康管理档案。</w:t>
      </w:r>
    </w:p>
    <w:p w14:paraId="326C1B1E" w14:textId="77777777" w:rsidR="00B44DF2" w:rsidRDefault="00000000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sz w:val="24"/>
          <w:szCs w:val="24"/>
          <w:shd w:val="clear" w:color="auto" w:fill="FFFFFF"/>
        </w:rPr>
        <w:t>二、项目工作内容</w:t>
      </w:r>
      <w:bookmarkEnd w:id="0"/>
    </w:p>
    <w:p w14:paraId="5C633647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/>
          <w:sz w:val="24"/>
          <w:szCs w:val="24"/>
        </w:rPr>
        <w:t>1、</w:t>
      </w:r>
      <w:r>
        <w:rPr>
          <w:rFonts w:asciiTheme="minorEastAsia" w:eastAsiaTheme="minorEastAsia" w:hAnsiTheme="minorEastAsia" w:hint="eastAsia"/>
          <w:sz w:val="24"/>
          <w:szCs w:val="24"/>
        </w:rPr>
        <w:t>苏州工业园区智慧照明运行管理系统（包括园区照明控制模块、园区单灯监测模块、园区临时接电管理模块、园区扫码报修模块等）的全天候运行监控、操作派单、软硬件维护、模块开发升级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。</w:t>
      </w:r>
    </w:p>
    <w:p w14:paraId="75B99675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2、</w:t>
      </w:r>
      <w:r>
        <w:rPr>
          <w:rFonts w:asciiTheme="minorEastAsia" w:eastAsiaTheme="minorEastAsia" w:hAnsiTheme="minorEastAsia" w:hint="eastAsia"/>
          <w:sz w:val="24"/>
          <w:szCs w:val="24"/>
        </w:rPr>
        <w:t>园区市政公共设施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报修电话（66602222）的接听与处理。</w:t>
      </w:r>
    </w:p>
    <w:p w14:paraId="6E0EA188" w14:textId="77777777" w:rsidR="00B44DF2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3、苏州工业园区范围内约2000台路灯监控终端(详见附件1)的维护；路灯监控终端、单灯监测器、智能空开的运行维修培训；新建路灯监控终端的开通维</w:t>
      </w:r>
      <w:r>
        <w:rPr>
          <w:rFonts w:asciiTheme="minorEastAsia" w:eastAsiaTheme="minorEastAsia" w:hAnsiTheme="minorEastAsia" w:hint="eastAsia"/>
          <w:sz w:val="24"/>
          <w:szCs w:val="24"/>
        </w:rPr>
        <w:t>护；新建单灯监测器的开通和运行监控；新增临时接电智能空开的开通维护；零星设施信息变更录入。</w:t>
      </w:r>
    </w:p>
    <w:p w14:paraId="4F98A70F" w14:textId="77777777" w:rsidR="00B44DF2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4、</w:t>
      </w:r>
      <w:r>
        <w:rPr>
          <w:rFonts w:asciiTheme="minorEastAsia" w:eastAsiaTheme="minorEastAsia" w:hAnsiTheme="minorEastAsia" w:hint="eastAsia"/>
          <w:sz w:val="24"/>
          <w:szCs w:val="24"/>
        </w:rPr>
        <w:t>苏州工业园区范围内</w:t>
      </w:r>
      <w:r>
        <w:rPr>
          <w:rFonts w:asciiTheme="minorEastAsia" w:eastAsiaTheme="minorEastAsia" w:hAnsiTheme="minorEastAsia"/>
          <w:sz w:val="24"/>
          <w:szCs w:val="24"/>
        </w:rPr>
        <w:t>400台路灯监控终端(详见附件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)的更新工作。</w:t>
      </w:r>
    </w:p>
    <w:p w14:paraId="5E04ACB1" w14:textId="77777777" w:rsidR="00B44DF2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5、各月度、季度、年度费用整理录入及发票打印，</w:t>
      </w:r>
      <w:r>
        <w:rPr>
          <w:rFonts w:asciiTheme="minorEastAsia" w:eastAsiaTheme="minorEastAsia" w:hAnsiTheme="minorEastAsia" w:hint="eastAsia"/>
          <w:sz w:val="24"/>
          <w:szCs w:val="24"/>
        </w:rPr>
        <w:t>相关资料存档工作。</w:t>
      </w:r>
    </w:p>
    <w:p w14:paraId="4B560055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6、建立各类台账：建立费用管理台帐，包括电费、水费、</w:t>
      </w:r>
      <w:r>
        <w:rPr>
          <w:rFonts w:asciiTheme="minorEastAsia" w:eastAsiaTheme="minorEastAsia" w:hAnsiTheme="minorEastAsia"/>
          <w:sz w:val="24"/>
          <w:szCs w:val="24"/>
        </w:rPr>
        <w:t>GPRS费用、控制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中心运维费及养护费用等，并按月度、季度、年度进行多维度统计，以丰富的图表形式，直观呈现各类费用的变化趋势与占比情况，为费用分析与成本控制提供精准数据支持；建立设施精细化管理台帐，包含各类道路照明、景观照明、楼宇照明相关设施所属工程项目、所在区域、具体道路位置、负责管理的单位以及负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lastRenderedPageBreak/>
        <w:t>责养护的单位等，确保信息准确无误，便于追踪和管理；建立项目运维台账，按月度上报并运维养护月度汇总，内容包含不限于：值班排班及记录、值班运维记录、软硬件检查记录、外部维修计划及记录、故障分析、会议记录、培训及安全方面运维记录。</w:t>
      </w:r>
    </w:p>
    <w:p w14:paraId="20415438" w14:textId="77777777" w:rsidR="00B44DF2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7、处置突发应急事故，建立项目应急预案方案（包括但不限于系统崩溃、灾害天气应急亮灯等），一旦发现夜间系统性软硬件问题，需专职人员</w:t>
      </w:r>
      <w:r>
        <w:rPr>
          <w:rFonts w:ascii="宋体" w:eastAsia="宋体" w:hAnsi="宋体"/>
          <w:sz w:val="24"/>
          <w:szCs w:val="24"/>
          <w:shd w:val="clear" w:color="auto" w:fill="FFFFFF"/>
        </w:rPr>
        <w:t>30分钟到达控制中心进行技术性处置，每年应急演练一次。</w:t>
      </w:r>
    </w:p>
    <w:p w14:paraId="48814A50" w14:textId="77777777" w:rsidR="00B44DF2" w:rsidRDefault="00000000">
      <w:pPr>
        <w:pStyle w:val="a0"/>
        <w:ind w:left="0" w:firstLine="520"/>
        <w:rPr>
          <w:rFonts w:hint="eastAsia"/>
        </w:rPr>
      </w:pPr>
      <w:r>
        <w:rPr>
          <w:rFonts w:hint="eastAsia"/>
        </w:rPr>
        <w:t>8、</w:t>
      </w:r>
      <w:r>
        <w:rPr>
          <w:rFonts w:asciiTheme="minorEastAsia" w:eastAsiaTheme="minorEastAsia" w:hAnsiTheme="minorEastAsia" w:hint="eastAsia"/>
          <w:szCs w:val="24"/>
        </w:rPr>
        <w:t>配合采购方做好其他机电养护项目月度考核数据统计工作，对业务养护管理的人员考勤、亮灯率、故障及时率按标段月度统计并定期提供，实时做好该系统的需求及更新。</w:t>
      </w:r>
    </w:p>
    <w:p w14:paraId="4139E4FC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9、</w:t>
      </w:r>
      <w:r>
        <w:rPr>
          <w:rFonts w:ascii="宋体" w:eastAsia="宋体" w:hAnsi="宋体"/>
          <w:sz w:val="24"/>
          <w:szCs w:val="24"/>
          <w:shd w:val="clear" w:color="auto" w:fill="FFFFFF"/>
        </w:rPr>
        <w:t>配合采购方做好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东方之门楼宇灯光系统信息安全保障工作。具体要求参考《东方之门楼宇灯光系统文字动画播放内容管理办法》</w:t>
      </w:r>
    </w:p>
    <w:p w14:paraId="0FC65370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10、视频汇聚</w:t>
      </w:r>
    </w:p>
    <w:p w14:paraId="69F15B37" w14:textId="77777777" w:rsidR="00B44DF2" w:rsidRDefault="00000000">
      <w:pPr>
        <w:spacing w:line="360" w:lineRule="auto"/>
        <w:ind w:firstLineChars="200" w:firstLine="480"/>
        <w:jc w:val="left"/>
        <w:rPr>
          <w:rFonts w:ascii="宋体" w:hAnsi="宋体" w:hint="eastAsia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苏州工业园区范围内市政监控设备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约</w:t>
      </w:r>
      <w:r>
        <w:rPr>
          <w:rFonts w:ascii="宋体" w:eastAsia="宋体" w:hAnsi="宋体"/>
          <w:sz w:val="24"/>
          <w:szCs w:val="24"/>
          <w:shd w:val="clear" w:color="auto" w:fill="FFFFFF"/>
        </w:rPr>
        <w:t>600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路</w:t>
      </w:r>
      <w:r>
        <w:rPr>
          <w:rFonts w:ascii="宋体" w:eastAsia="宋体" w:hAnsi="宋体"/>
          <w:sz w:val="24"/>
          <w:szCs w:val="24"/>
          <w:shd w:val="clear" w:color="auto" w:fill="FFFFFF"/>
        </w:rPr>
        <w:t>，覆盖园区多个重要区域，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本次通过专线租赁方式把所有公园的监控接入城管大厦</w:t>
      </w:r>
      <w:r>
        <w:rPr>
          <w:rFonts w:ascii="宋体" w:eastAsia="宋体" w:hAnsi="宋体"/>
          <w:sz w:val="24"/>
          <w:szCs w:val="24"/>
          <w:shd w:val="clear" w:color="auto" w:fill="FFFFFF"/>
        </w:rPr>
        <w:t>5楼照明控制中心，用于调用查看现场视频，不进行存储，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部署苏州园区市政服务集团控制中心监控视频管理平台，接入各个公园的监控视频资源，并通过监控视频平台将各分散区域视频监控点推送控制中心大屏，实现各个监控汇聚，方便查看，满足要求。（详见附件9）</w:t>
      </w:r>
    </w:p>
    <w:p w14:paraId="15B1F2A7" w14:textId="77777777" w:rsidR="00B44DF2" w:rsidRDefault="0000000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11、配合采购方完成其他日常工作。</w:t>
      </w:r>
    </w:p>
    <w:p w14:paraId="4DCA6F3B" w14:textId="77777777" w:rsidR="00B44DF2" w:rsidRDefault="00000000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sz w:val="24"/>
          <w:szCs w:val="24"/>
          <w:shd w:val="clear" w:color="auto" w:fill="FFFFFF"/>
        </w:rPr>
        <w:t>三、</w:t>
      </w:r>
      <w:bookmarkStart w:id="1" w:name="_Toc107828188"/>
      <w:r>
        <w:rPr>
          <w:rFonts w:ascii="宋体" w:eastAsia="宋体" w:hAnsi="宋体" w:hint="eastAsia"/>
          <w:b/>
          <w:sz w:val="24"/>
          <w:szCs w:val="24"/>
          <w:shd w:val="clear" w:color="auto" w:fill="FFFFFF"/>
        </w:rPr>
        <w:t>工作要求</w:t>
      </w:r>
      <w:bookmarkEnd w:id="1"/>
    </w:p>
    <w:p w14:paraId="34E25E3A" w14:textId="77777777" w:rsidR="00B44DF2" w:rsidRDefault="00000000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sz w:val="24"/>
          <w:szCs w:val="24"/>
          <w:shd w:val="clear" w:color="auto" w:fill="FFFFFF"/>
        </w:rPr>
      </w:pPr>
      <w:bookmarkStart w:id="2" w:name="_Toc107828189"/>
      <w:r>
        <w:rPr>
          <w:rFonts w:ascii="宋体" w:eastAsia="宋体" w:hAnsi="宋体"/>
          <w:b/>
          <w:sz w:val="24"/>
          <w:szCs w:val="24"/>
          <w:shd w:val="clear" w:color="auto" w:fill="FFFFFF"/>
        </w:rPr>
        <w:t>1、项目组工作要求</w:t>
      </w:r>
      <w:bookmarkEnd w:id="2"/>
    </w:p>
    <w:p w14:paraId="2A55E302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1.1时间安排：按照国家法定工作时间上班。</w:t>
      </w:r>
    </w:p>
    <w:p w14:paraId="7778615C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1.2岗位配置：1人。</w:t>
      </w:r>
    </w:p>
    <w:p w14:paraId="26DE077B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1.3具体要求：常驻园区照明控制中心办公。</w:t>
      </w:r>
    </w:p>
    <w:p w14:paraId="220469DB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负责值班人员的值班安排、日常考勤、交接班内容核查及跟进、派单维修情况核查及跟进、日常及固定维护内容检查、定期安全检查等工作，总结汇总日常运维工作的优缺点，提出改进建议。同时，所有工作均需形成纸质或电子文档。</w:t>
      </w:r>
    </w:p>
    <w:p w14:paraId="25168151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根据业主安排，不定时对接业主对该项目的人员、平台及相关任务进行提升、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lastRenderedPageBreak/>
        <w:t>完善、完成。项目经理牵头控制中心平台的运行、功能完善，负责控制中心区域运行管理，做好安全检查、记录及管理工作完成采购方安排的其他相关工作。</w:t>
      </w:r>
    </w:p>
    <w:p w14:paraId="6C4C7B1C" w14:textId="77777777" w:rsidR="00B44DF2" w:rsidRDefault="00000000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sz w:val="24"/>
          <w:szCs w:val="24"/>
          <w:shd w:val="clear" w:color="auto" w:fill="FFFFFF"/>
        </w:rPr>
      </w:pPr>
      <w:bookmarkStart w:id="3" w:name="_Toc107828190"/>
      <w:r>
        <w:rPr>
          <w:rFonts w:ascii="宋体" w:eastAsia="宋体" w:hAnsi="宋体"/>
          <w:b/>
          <w:sz w:val="24"/>
          <w:szCs w:val="24"/>
          <w:shd w:val="clear" w:color="auto" w:fill="FFFFFF"/>
        </w:rPr>
        <w:t>2、运行工作要求</w:t>
      </w:r>
      <w:bookmarkEnd w:id="3"/>
    </w:p>
    <w:p w14:paraId="29EA9113" w14:textId="2EFA54B9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2.1时间安排：全年24小时不间断工作制。</w:t>
      </w:r>
    </w:p>
    <w:p w14:paraId="212E2A47" w14:textId="5A3CDAEA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2.2岗位配置：每班2人，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4</w:t>
      </w:r>
      <w:r>
        <w:rPr>
          <w:rFonts w:ascii="宋体" w:eastAsia="宋体" w:hAnsi="宋体"/>
          <w:sz w:val="24"/>
          <w:szCs w:val="24"/>
          <w:shd w:val="clear" w:color="auto" w:fill="FFFFFF"/>
        </w:rPr>
        <w:t>班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3</w:t>
      </w:r>
      <w:r>
        <w:rPr>
          <w:rFonts w:ascii="宋体" w:eastAsia="宋体" w:hAnsi="宋体"/>
          <w:sz w:val="24"/>
          <w:szCs w:val="24"/>
          <w:shd w:val="clear" w:color="auto" w:fill="FFFFFF"/>
        </w:rPr>
        <w:t>运转，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共计</w:t>
      </w:r>
      <w:r>
        <w:rPr>
          <w:rFonts w:ascii="宋体" w:eastAsia="宋体" w:hAnsi="宋体"/>
          <w:sz w:val="24"/>
          <w:szCs w:val="24"/>
          <w:shd w:val="clear" w:color="auto" w:fill="FFFFFF"/>
        </w:rPr>
        <w:t>8人。白天每班包含1名长白班人员。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全员考勤。</w:t>
      </w:r>
    </w:p>
    <w:p w14:paraId="48BB026C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2.3具体要求：</w:t>
      </w:r>
    </w:p>
    <w:p w14:paraId="20F8514B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负责园区智慧照明运行管理系统</w:t>
      </w:r>
      <w:r>
        <w:rPr>
          <w:rFonts w:ascii="宋体" w:eastAsia="宋体" w:hAnsi="宋体"/>
          <w:sz w:val="24"/>
          <w:szCs w:val="24"/>
          <w:shd w:val="clear" w:color="auto" w:fill="FFFFFF"/>
        </w:rPr>
        <w:t>的运行管理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，做好运行监督分析工作</w:t>
      </w:r>
      <w:r>
        <w:rPr>
          <w:rFonts w:ascii="宋体" w:eastAsia="宋体" w:hAnsi="宋体"/>
          <w:sz w:val="24"/>
          <w:szCs w:val="24"/>
          <w:shd w:val="clear" w:color="auto" w:fill="FFFFFF"/>
        </w:rPr>
        <w:t>,妥善处理电话(66602222)投诉和故障报警，并完成交接班记录。</w:t>
      </w:r>
    </w:p>
    <w:p w14:paraId="5D3B100A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值班人员需做好岗前培训，熟练控制中心平台各项业务操作，及时将系统发现的问题对业务处室的流转。遵守各项岗位制度。</w:t>
      </w:r>
    </w:p>
    <w:p w14:paraId="699E3583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禁止随意启闭路灯。若因特殊情况需要临时非正常启闭，由采购方授权后操作。</w:t>
      </w:r>
    </w:p>
    <w:p w14:paraId="34E48971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不得将主控终端随意退出园区智慧照明运行管理系统，不得在主控终端安装与系统无关的任何软件</w:t>
      </w:r>
      <w:r>
        <w:rPr>
          <w:rFonts w:ascii="宋体" w:eastAsia="宋体" w:hAnsi="宋体"/>
          <w:sz w:val="24"/>
          <w:szCs w:val="24"/>
          <w:shd w:val="clear" w:color="auto" w:fill="FFFFFF"/>
        </w:rPr>
        <w:t>,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主控终端不得做与运行系统无关的事情。</w:t>
      </w:r>
    </w:p>
    <w:p w14:paraId="6EF4BAA8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对设备故障及设备表现出的不稳定情况，及时处理并加以记录，同时跟踪故障处理情况。如遇重大异常和事故，在应急处理的同时向采购方汇报。</w:t>
      </w:r>
    </w:p>
    <w:p w14:paraId="48CB81B0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汇总当班故障及往期维修情况，按轻重缓急原则持续派单维修。</w:t>
      </w:r>
    </w:p>
    <w:p w14:paraId="1749F2B5" w14:textId="77777777" w:rsidR="00B44DF2" w:rsidRDefault="00000000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sz w:val="24"/>
          <w:szCs w:val="24"/>
          <w:shd w:val="clear" w:color="auto" w:fill="FFFFFF"/>
        </w:rPr>
      </w:pPr>
      <w:bookmarkStart w:id="4" w:name="_Toc107828191"/>
      <w:r>
        <w:rPr>
          <w:rFonts w:ascii="宋体" w:eastAsia="宋体" w:hAnsi="宋体"/>
          <w:b/>
          <w:sz w:val="24"/>
          <w:szCs w:val="24"/>
          <w:shd w:val="clear" w:color="auto" w:fill="FFFFFF"/>
        </w:rPr>
        <w:t>3、</w:t>
      </w:r>
      <w:r>
        <w:rPr>
          <w:rFonts w:ascii="宋体" w:eastAsia="宋体" w:hAnsi="宋体" w:hint="eastAsia"/>
          <w:b/>
          <w:sz w:val="24"/>
          <w:szCs w:val="24"/>
          <w:shd w:val="clear" w:color="auto" w:fill="FFFFFF"/>
        </w:rPr>
        <w:t>维修工作要求</w:t>
      </w:r>
      <w:bookmarkEnd w:id="4"/>
    </w:p>
    <w:p w14:paraId="18F70858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3.1时间安排：按照国家法定工作时间上班。</w:t>
      </w:r>
    </w:p>
    <w:p w14:paraId="3C34CC4B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3.2岗位配置：每组2人，共计4人。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全员考勤。</w:t>
      </w:r>
    </w:p>
    <w:p w14:paraId="6DF9982A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3.3具体要求：</w:t>
      </w:r>
    </w:p>
    <w:p w14:paraId="76B05BC2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积极响应采购方提出的任何时段的软硬件抢修需求。</w:t>
      </w:r>
    </w:p>
    <w:p w14:paraId="01CA18AF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完成苏州工业园区范围内约2000台路灯监控终端的维护；路灯监控终端/单灯监测器的运行维修培训、新建路灯监控终端的开通维护、单灯监测器的开通维护、临时接电智能空开的开通维护；确保园区照明设施24小时不间断监控。</w:t>
      </w:r>
    </w:p>
    <w:p w14:paraId="40FF3663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3.4维修响应时间</w:t>
      </w:r>
    </w:p>
    <w:p w14:paraId="13253E39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维修人员在接到采购方抢修通知后60分钟内到达现场，涉及危及人身安全、设备损失扩大、影响开关灯、影响亮灯率的情况须在45分钟内到达现场；第一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lastRenderedPageBreak/>
        <w:t>时间到场检查故障、进行抢修，</w:t>
      </w:r>
      <w:r>
        <w:rPr>
          <w:rFonts w:ascii="宋体" w:eastAsia="宋体" w:hAnsi="宋体"/>
          <w:sz w:val="24"/>
          <w:szCs w:val="24"/>
          <w:shd w:val="clear" w:color="auto" w:fill="FFFFFF"/>
        </w:rPr>
        <w:t>24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小时内修复。若因客观原因在</w:t>
      </w:r>
      <w:r>
        <w:rPr>
          <w:rFonts w:ascii="宋体" w:eastAsia="宋体" w:hAnsi="宋体"/>
          <w:sz w:val="24"/>
          <w:szCs w:val="24"/>
          <w:shd w:val="clear" w:color="auto" w:fill="FFFFFF"/>
        </w:rPr>
        <w:t>24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小时内无法修复的必须及时上报，并在采购方规定时间内修复。</w:t>
      </w:r>
    </w:p>
    <w:p w14:paraId="53369902" w14:textId="77777777" w:rsidR="00B44DF2" w:rsidRDefault="00000000">
      <w:pPr>
        <w:spacing w:line="360" w:lineRule="auto"/>
        <w:ind w:firstLineChars="200" w:firstLine="482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sz w:val="24"/>
          <w:szCs w:val="24"/>
          <w:shd w:val="clear" w:color="auto" w:fill="FFFFFF"/>
        </w:rPr>
        <w:t>5、工作频次要求</w:t>
      </w:r>
    </w:p>
    <w:p w14:paraId="1FAAAB32" w14:textId="77777777" w:rsidR="00B44DF2" w:rsidRDefault="00000000">
      <w:pPr>
        <w:adjustRightInd w:val="0"/>
        <w:snapToGrid w:val="0"/>
        <w:spacing w:line="360" w:lineRule="auto"/>
        <w:contextualSpacing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附表1：终端维护和更新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923"/>
        <w:gridCol w:w="651"/>
        <w:gridCol w:w="2557"/>
        <w:gridCol w:w="646"/>
        <w:gridCol w:w="3325"/>
      </w:tblGrid>
      <w:tr w:rsidR="00B44DF2" w14:paraId="543BE2E5" w14:textId="77777777">
        <w:trPr>
          <w:jc w:val="center"/>
        </w:trPr>
        <w:tc>
          <w:tcPr>
            <w:tcW w:w="420" w:type="dxa"/>
            <w:vAlign w:val="center"/>
          </w:tcPr>
          <w:p w14:paraId="7045DA62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序号</w:t>
            </w:r>
          </w:p>
        </w:tc>
        <w:tc>
          <w:tcPr>
            <w:tcW w:w="923" w:type="dxa"/>
            <w:vAlign w:val="center"/>
          </w:tcPr>
          <w:p w14:paraId="127D538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分项</w:t>
            </w:r>
          </w:p>
        </w:tc>
        <w:tc>
          <w:tcPr>
            <w:tcW w:w="651" w:type="dxa"/>
            <w:vAlign w:val="center"/>
          </w:tcPr>
          <w:p w14:paraId="4C29524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具体内容</w:t>
            </w:r>
          </w:p>
        </w:tc>
        <w:tc>
          <w:tcPr>
            <w:tcW w:w="2557" w:type="dxa"/>
            <w:vAlign w:val="center"/>
          </w:tcPr>
          <w:p w14:paraId="6C7BAF4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具体要求</w:t>
            </w:r>
          </w:p>
        </w:tc>
        <w:tc>
          <w:tcPr>
            <w:tcW w:w="646" w:type="dxa"/>
            <w:vAlign w:val="center"/>
          </w:tcPr>
          <w:p w14:paraId="3D9F841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频率</w:t>
            </w:r>
          </w:p>
        </w:tc>
        <w:tc>
          <w:tcPr>
            <w:tcW w:w="3325" w:type="dxa"/>
            <w:vAlign w:val="center"/>
          </w:tcPr>
          <w:p w14:paraId="09DDB11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备注</w:t>
            </w:r>
          </w:p>
        </w:tc>
      </w:tr>
      <w:tr w:rsidR="00B44DF2" w14:paraId="0DB1298B" w14:textId="77777777">
        <w:trPr>
          <w:jc w:val="center"/>
        </w:trPr>
        <w:tc>
          <w:tcPr>
            <w:tcW w:w="420" w:type="dxa"/>
            <w:vMerge w:val="restart"/>
            <w:vAlign w:val="center"/>
          </w:tcPr>
          <w:p w14:paraId="092B34F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</w:t>
            </w:r>
          </w:p>
        </w:tc>
        <w:tc>
          <w:tcPr>
            <w:tcW w:w="923" w:type="dxa"/>
            <w:vMerge w:val="restart"/>
            <w:vAlign w:val="center"/>
          </w:tcPr>
          <w:p w14:paraId="5FDBA37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路灯监控终端维护工作</w:t>
            </w:r>
          </w:p>
        </w:tc>
        <w:tc>
          <w:tcPr>
            <w:tcW w:w="651" w:type="dxa"/>
            <w:vAlign w:val="center"/>
          </w:tcPr>
          <w:p w14:paraId="11BFAA8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路灯监控终端维护</w:t>
            </w:r>
          </w:p>
        </w:tc>
        <w:tc>
          <w:tcPr>
            <w:tcW w:w="2557" w:type="dxa"/>
            <w:vAlign w:val="center"/>
          </w:tcPr>
          <w:p w14:paraId="56BFD4C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确保所有路灯监控终端稳定运行，所有影响开关灯的故障/报警必须当天处理完毕直至恢复正常</w:t>
            </w:r>
          </w:p>
        </w:tc>
        <w:tc>
          <w:tcPr>
            <w:tcW w:w="646" w:type="dxa"/>
            <w:vAlign w:val="center"/>
          </w:tcPr>
          <w:p w14:paraId="68F014D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24小时内</w:t>
            </w:r>
          </w:p>
        </w:tc>
        <w:tc>
          <w:tcPr>
            <w:tcW w:w="3325" w:type="dxa"/>
            <w:vAlign w:val="center"/>
          </w:tcPr>
          <w:p w14:paraId="4C5FF88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1）如出现修复不及时导致无法正常亮灯的情况及时报备，继续处理至正常运行。</w:t>
            </w:r>
          </w:p>
          <w:p w14:paraId="6FFB1391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2）所有维护涉及的元器件完全兼容园区现有设备及系统。</w:t>
            </w:r>
          </w:p>
        </w:tc>
      </w:tr>
      <w:tr w:rsidR="00B44DF2" w14:paraId="76F65A12" w14:textId="77777777">
        <w:trPr>
          <w:jc w:val="center"/>
        </w:trPr>
        <w:tc>
          <w:tcPr>
            <w:tcW w:w="420" w:type="dxa"/>
            <w:vMerge/>
            <w:vAlign w:val="center"/>
          </w:tcPr>
          <w:p w14:paraId="6ED70F1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23" w:type="dxa"/>
            <w:vMerge/>
            <w:vAlign w:val="center"/>
          </w:tcPr>
          <w:p w14:paraId="24E345F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18330E1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终端开通</w:t>
            </w:r>
          </w:p>
        </w:tc>
        <w:tc>
          <w:tcPr>
            <w:tcW w:w="2557" w:type="dxa"/>
            <w:vAlign w:val="center"/>
          </w:tcPr>
          <w:p w14:paraId="777560C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维修人员按要求登记“现场记录单”并设置参数，运行人员负责新装终端运行情况的跟踪，“零故障”接收</w:t>
            </w:r>
          </w:p>
        </w:tc>
        <w:tc>
          <w:tcPr>
            <w:tcW w:w="646" w:type="dxa"/>
            <w:vAlign w:val="center"/>
          </w:tcPr>
          <w:p w14:paraId="162B20B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按需完成</w:t>
            </w:r>
          </w:p>
        </w:tc>
        <w:tc>
          <w:tcPr>
            <w:tcW w:w="3325" w:type="dxa"/>
            <w:vAlign w:val="center"/>
          </w:tcPr>
          <w:p w14:paraId="30F2845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3C33F17C" w14:textId="77777777">
        <w:trPr>
          <w:jc w:val="center"/>
        </w:trPr>
        <w:tc>
          <w:tcPr>
            <w:tcW w:w="420" w:type="dxa"/>
            <w:vMerge/>
            <w:vAlign w:val="center"/>
          </w:tcPr>
          <w:p w14:paraId="783DD35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23" w:type="dxa"/>
            <w:vMerge/>
            <w:vAlign w:val="center"/>
          </w:tcPr>
          <w:p w14:paraId="1975F1D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5A6B7BE7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小电流处理</w:t>
            </w:r>
          </w:p>
        </w:tc>
        <w:tc>
          <w:tcPr>
            <w:tcW w:w="2557" w:type="dxa"/>
            <w:vAlign w:val="center"/>
          </w:tcPr>
          <w:p w14:paraId="7911D9A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统一更换“30/5”或更小变比型号的CT，直至解决故障</w:t>
            </w:r>
          </w:p>
        </w:tc>
        <w:tc>
          <w:tcPr>
            <w:tcW w:w="646" w:type="dxa"/>
            <w:vAlign w:val="center"/>
          </w:tcPr>
          <w:p w14:paraId="221C7D62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按需完成</w:t>
            </w:r>
          </w:p>
        </w:tc>
        <w:tc>
          <w:tcPr>
            <w:tcW w:w="3325" w:type="dxa"/>
            <w:vAlign w:val="center"/>
          </w:tcPr>
          <w:p w14:paraId="48CABC0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049B6A76" w14:textId="77777777">
        <w:trPr>
          <w:jc w:val="center"/>
        </w:trPr>
        <w:tc>
          <w:tcPr>
            <w:tcW w:w="420" w:type="dxa"/>
            <w:vMerge w:val="restart"/>
            <w:vAlign w:val="center"/>
          </w:tcPr>
          <w:p w14:paraId="27BB9C7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</w:p>
        </w:tc>
        <w:tc>
          <w:tcPr>
            <w:tcW w:w="923" w:type="dxa"/>
            <w:vMerge w:val="restart"/>
            <w:vAlign w:val="center"/>
          </w:tcPr>
          <w:p w14:paraId="4D25A63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路灯监控终端更新工作</w:t>
            </w:r>
          </w:p>
        </w:tc>
        <w:tc>
          <w:tcPr>
            <w:tcW w:w="651" w:type="dxa"/>
            <w:vAlign w:val="center"/>
          </w:tcPr>
          <w:p w14:paraId="69F898D1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终端更新</w:t>
            </w:r>
          </w:p>
        </w:tc>
        <w:tc>
          <w:tcPr>
            <w:tcW w:w="2557" w:type="dxa"/>
            <w:vAlign w:val="center"/>
          </w:tcPr>
          <w:p w14:paraId="6A1F997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每年更新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eastAsia="宋体" w:hAnsi="宋体" w:cs="宋体" w:hint="eastAsia"/>
                <w:sz w:val="20"/>
              </w:rPr>
              <w:t>台左右，总量</w:t>
            </w:r>
            <w:r>
              <w:rPr>
                <w:rFonts w:ascii="宋体" w:eastAsia="宋体" w:hAnsi="宋体" w:cs="宋体"/>
                <w:sz w:val="20"/>
              </w:rPr>
              <w:t>400</w:t>
            </w:r>
            <w:r>
              <w:rPr>
                <w:rFonts w:ascii="宋体" w:eastAsia="宋体" w:hAnsi="宋体" w:cs="宋体" w:hint="eastAsia"/>
                <w:sz w:val="20"/>
              </w:rPr>
              <w:t>台，每年工期最长不超过</w:t>
            </w:r>
            <w:r>
              <w:rPr>
                <w:rFonts w:ascii="宋体" w:eastAsia="宋体" w:hAnsi="宋体" w:cs="宋体"/>
                <w:sz w:val="20"/>
              </w:rPr>
              <w:t>3个月</w:t>
            </w:r>
          </w:p>
        </w:tc>
        <w:tc>
          <w:tcPr>
            <w:tcW w:w="646" w:type="dxa"/>
            <w:vAlign w:val="center"/>
          </w:tcPr>
          <w:p w14:paraId="0DD97B9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每年</w:t>
            </w:r>
          </w:p>
        </w:tc>
        <w:tc>
          <w:tcPr>
            <w:tcW w:w="3325" w:type="dxa"/>
            <w:vAlign w:val="center"/>
          </w:tcPr>
          <w:p w14:paraId="0183D63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更新条件：满负荷运行满8周年</w:t>
            </w:r>
          </w:p>
          <w:p w14:paraId="3CBED8ED" w14:textId="5220615E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参数要求：更换终端为现有型号，或参数配置不低于现有型号。</w:t>
            </w:r>
          </w:p>
        </w:tc>
      </w:tr>
      <w:tr w:rsidR="00B44DF2" w14:paraId="174F2EE9" w14:textId="77777777">
        <w:trPr>
          <w:jc w:val="center"/>
        </w:trPr>
        <w:tc>
          <w:tcPr>
            <w:tcW w:w="420" w:type="dxa"/>
            <w:vMerge/>
            <w:vAlign w:val="center"/>
          </w:tcPr>
          <w:p w14:paraId="49DF2F3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23" w:type="dxa"/>
            <w:vMerge/>
            <w:vAlign w:val="center"/>
          </w:tcPr>
          <w:p w14:paraId="347DDC8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53491A1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交通协调</w:t>
            </w:r>
          </w:p>
        </w:tc>
        <w:tc>
          <w:tcPr>
            <w:tcW w:w="2557" w:type="dxa"/>
            <w:vAlign w:val="center"/>
          </w:tcPr>
          <w:p w14:paraId="67B7F65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更新存在信号灯供电负荷的计控箱，中标单位在更新工作前与交通信号灯管理部门充分沟通，做好相应预案，确保工作时的信号灯正常工作</w:t>
            </w:r>
          </w:p>
        </w:tc>
        <w:tc>
          <w:tcPr>
            <w:tcW w:w="646" w:type="dxa"/>
            <w:vAlign w:val="center"/>
          </w:tcPr>
          <w:p w14:paraId="20C390D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按需完成</w:t>
            </w:r>
          </w:p>
        </w:tc>
        <w:tc>
          <w:tcPr>
            <w:tcW w:w="3325" w:type="dxa"/>
            <w:vAlign w:val="center"/>
          </w:tcPr>
          <w:p w14:paraId="3BC23FD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如因沟通不畅导致交通事故，一切后果由中标单位承担，与采购方无关。</w:t>
            </w:r>
          </w:p>
        </w:tc>
      </w:tr>
      <w:tr w:rsidR="00B44DF2" w14:paraId="4CB0FBA4" w14:textId="77777777">
        <w:trPr>
          <w:jc w:val="center"/>
        </w:trPr>
        <w:tc>
          <w:tcPr>
            <w:tcW w:w="420" w:type="dxa"/>
            <w:vMerge/>
            <w:vAlign w:val="center"/>
          </w:tcPr>
          <w:p w14:paraId="2B13E07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23" w:type="dxa"/>
            <w:vMerge/>
            <w:vAlign w:val="center"/>
          </w:tcPr>
          <w:p w14:paraId="2801D8E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1374B361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废旧终端处理</w:t>
            </w:r>
          </w:p>
        </w:tc>
        <w:tc>
          <w:tcPr>
            <w:tcW w:w="2557" w:type="dxa"/>
            <w:vAlign w:val="center"/>
          </w:tcPr>
          <w:p w14:paraId="53F02C7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拆下的废旧终端全部入甲方仓库</w:t>
            </w:r>
          </w:p>
        </w:tc>
        <w:tc>
          <w:tcPr>
            <w:tcW w:w="646" w:type="dxa"/>
            <w:vAlign w:val="center"/>
          </w:tcPr>
          <w:p w14:paraId="4B6EE47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按需完成</w:t>
            </w:r>
          </w:p>
        </w:tc>
        <w:tc>
          <w:tcPr>
            <w:tcW w:w="3325" w:type="dxa"/>
            <w:vAlign w:val="center"/>
          </w:tcPr>
          <w:p w14:paraId="6AEE7D5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color w:val="FF0000"/>
                <w:sz w:val="20"/>
              </w:rPr>
            </w:pPr>
          </w:p>
        </w:tc>
      </w:tr>
      <w:tr w:rsidR="00B44DF2" w14:paraId="19171866" w14:textId="77777777">
        <w:trPr>
          <w:jc w:val="center"/>
        </w:trPr>
        <w:tc>
          <w:tcPr>
            <w:tcW w:w="420" w:type="dxa"/>
            <w:vMerge w:val="restart"/>
            <w:vAlign w:val="center"/>
          </w:tcPr>
          <w:p w14:paraId="075B3261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</w:t>
            </w:r>
          </w:p>
        </w:tc>
        <w:tc>
          <w:tcPr>
            <w:tcW w:w="923" w:type="dxa"/>
            <w:vMerge w:val="restart"/>
            <w:vAlign w:val="center"/>
          </w:tcPr>
          <w:p w14:paraId="666E331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维修台帐</w:t>
            </w:r>
          </w:p>
        </w:tc>
        <w:tc>
          <w:tcPr>
            <w:tcW w:w="651" w:type="dxa"/>
            <w:vMerge w:val="restart"/>
            <w:vAlign w:val="center"/>
          </w:tcPr>
          <w:p w14:paraId="5312A1E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台帐登记</w:t>
            </w:r>
          </w:p>
        </w:tc>
        <w:tc>
          <w:tcPr>
            <w:tcW w:w="2557" w:type="dxa"/>
            <w:vAlign w:val="center"/>
          </w:tcPr>
          <w:p w14:paraId="56AD11D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所有维修工作均在在园区照明管理平台完成录入</w:t>
            </w:r>
          </w:p>
        </w:tc>
        <w:tc>
          <w:tcPr>
            <w:tcW w:w="646" w:type="dxa"/>
            <w:vAlign w:val="center"/>
          </w:tcPr>
          <w:p w14:paraId="03E12EE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按需完成</w:t>
            </w:r>
          </w:p>
        </w:tc>
        <w:tc>
          <w:tcPr>
            <w:tcW w:w="3325" w:type="dxa"/>
            <w:vAlign w:val="center"/>
          </w:tcPr>
          <w:p w14:paraId="67827869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23F25FE1" w14:textId="77777777">
        <w:trPr>
          <w:jc w:val="center"/>
        </w:trPr>
        <w:tc>
          <w:tcPr>
            <w:tcW w:w="420" w:type="dxa"/>
            <w:vMerge/>
            <w:vAlign w:val="center"/>
          </w:tcPr>
          <w:p w14:paraId="5AF79D3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923" w:type="dxa"/>
            <w:vMerge/>
            <w:vAlign w:val="center"/>
          </w:tcPr>
          <w:p w14:paraId="483E2F9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651" w:type="dxa"/>
            <w:vMerge/>
            <w:vAlign w:val="center"/>
          </w:tcPr>
          <w:p w14:paraId="2E431E3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2557" w:type="dxa"/>
            <w:vAlign w:val="center"/>
          </w:tcPr>
          <w:p w14:paraId="65B53FF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数据真实、完整、准确</w:t>
            </w:r>
          </w:p>
        </w:tc>
        <w:tc>
          <w:tcPr>
            <w:tcW w:w="646" w:type="dxa"/>
            <w:vAlign w:val="center"/>
          </w:tcPr>
          <w:p w14:paraId="69BD9AD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按需完成</w:t>
            </w:r>
          </w:p>
        </w:tc>
        <w:tc>
          <w:tcPr>
            <w:tcW w:w="3325" w:type="dxa"/>
            <w:vAlign w:val="center"/>
          </w:tcPr>
          <w:p w14:paraId="55A5375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</w:tbl>
    <w:p w14:paraId="661EB87D" w14:textId="77777777" w:rsidR="00B44DF2" w:rsidRDefault="00000000">
      <w:pPr>
        <w:adjustRightInd w:val="0"/>
        <w:snapToGrid w:val="0"/>
        <w:spacing w:line="360" w:lineRule="auto"/>
        <w:contextualSpacing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附表2：机房设施检查</w:t>
      </w:r>
    </w:p>
    <w:tbl>
      <w:tblPr>
        <w:tblpPr w:leftFromText="180" w:rightFromText="180" w:vertAnchor="text" w:horzAnchor="margin" w:tblpY="38"/>
        <w:tblW w:w="8696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072"/>
        <w:gridCol w:w="520"/>
        <w:gridCol w:w="508"/>
        <w:gridCol w:w="1112"/>
        <w:gridCol w:w="1060"/>
        <w:gridCol w:w="1290"/>
      </w:tblGrid>
      <w:tr w:rsidR="00B44DF2" w14:paraId="31DAA984" w14:textId="77777777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709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573099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设备名称</w:t>
            </w: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3ADD1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维护项目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0FEF4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数量</w:t>
            </w:r>
          </w:p>
        </w:tc>
        <w:tc>
          <w:tcPr>
            <w:tcW w:w="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151296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单位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ABA9A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日常检查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4008B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经常性维护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5A1B9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定期检修</w:t>
            </w:r>
          </w:p>
        </w:tc>
      </w:tr>
      <w:tr w:rsidR="00B44DF2" w14:paraId="54FA1ADC" w14:textId="77777777">
        <w:trPr>
          <w:trHeight w:val="20"/>
        </w:trPr>
        <w:tc>
          <w:tcPr>
            <w:tcW w:w="42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C2A35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1F0083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通讯/数据服务器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FFC68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设备保养：设备、柜内、外表面除尘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005787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0D96E6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54E81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E7E3C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1次/两月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C31BB3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13308132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DBF288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2679D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2E70B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电源检查：检查电源指示灯是否显示正常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F1839F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B5077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BA4189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557FF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4CB2F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2C52518D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B0DE37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C565D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8ABC49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设备运行检查：正常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4BAE4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70E8529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2C424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DA3D2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49B38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777CDBAA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1699B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9FFD2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2CC6D6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检查服务器所有连接件有无松动、有无过热现象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3050F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B28B729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4889F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5BC9A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1次/两月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0BD88F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3D9FF421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59B66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C3F480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07AB3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外壳漏电检查：无漏电现象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F79C5A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1CD2B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E53F0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887EB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01D68D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1次/年</w:t>
            </w:r>
          </w:p>
        </w:tc>
      </w:tr>
      <w:tr w:rsidR="00B44DF2" w14:paraId="4B129224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F12C5B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7B5C4C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92AE3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电源电压：输入、输出电压正常，响应时间符合设计要求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863206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425FB3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ADF46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278DC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D63604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1次/年</w:t>
            </w:r>
          </w:p>
        </w:tc>
      </w:tr>
      <w:tr w:rsidR="00B44DF2" w14:paraId="3C7A663E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FD5874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12E1A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43EF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软件启动检查：正常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5583C1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B0891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93292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C3294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89E88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1次/季度</w:t>
            </w:r>
          </w:p>
        </w:tc>
      </w:tr>
      <w:tr w:rsidR="00B44DF2" w14:paraId="4FE5CEBA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0609E4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6579389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5CA731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数据备份检查：查看运行数据的储存是否正常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18225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B10225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992B8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B7B36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E64D5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42FD8779" w14:textId="77777777">
        <w:trPr>
          <w:trHeight w:val="2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5DF7DA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356FB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5DBEA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系统联动功能检测：正常</w:t>
            </w:r>
          </w:p>
          <w:p w14:paraId="7981C19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并出具系统稳定性检测报告（带章）</w:t>
            </w:r>
          </w:p>
        </w:tc>
        <w:tc>
          <w:tcPr>
            <w:tcW w:w="52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E0A56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9FAD8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21C52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7D9913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F7E19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1次/季度</w:t>
            </w:r>
          </w:p>
        </w:tc>
      </w:tr>
      <w:tr w:rsidR="00B44DF2" w14:paraId="40B3F109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45F64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  <w:p w14:paraId="2D6E13B7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663D8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工作站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D62037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设备外表面除尘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9AC7A1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58E4A4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4EC28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9D5B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1次/两月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DF6D9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09F1A866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47DA6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D5457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0D240C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电源检查：检查电源指示灯是否显示正常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625C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24363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5AB60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3ACB4C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ABFDB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45DFE6C5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806D8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85D5D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B6E65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设备运行检查：正常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F5B8F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27643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A2A43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87FFA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17DAE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2E4F52AD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B0E513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C1750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22729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软件维护即开机检查：可正常开机，各项功能正常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F840E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FE5A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3D1709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81290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D7655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78DD152A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CE726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133A5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959DA2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检查设备运转有无过热现象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7B3CE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41656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7F1F7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C314E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6BE5B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4A01A7C3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3E390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38356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82B59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磁盘扫描和碎片整理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3A8E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47878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C4592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D1318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1次/两月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73F22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6ECACC54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8B23C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85152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UPS主机</w:t>
            </w: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903011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外观保养：清洁、无损伤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EBA73C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</w:p>
        </w:tc>
        <w:tc>
          <w:tcPr>
            <w:tcW w:w="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F8C1F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套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AC54A3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18FB9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1次/两月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0F492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6CC54C25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C372B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0906B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8C4C6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风扇工作情况检查：正常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B28A4C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E965F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65ACA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90DE2C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1次/两月　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81AEB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75AACAB3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8B66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41443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EB250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温、湿度检查：0-40℃、20-80%,无凝露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391DC3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5A2FA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745210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7291A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831D6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74EAF1CE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A1B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0B293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29F3B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接地电阻检查</w:t>
            </w: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296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073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6ECAE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F0617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CC12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1次/年</w:t>
            </w:r>
          </w:p>
        </w:tc>
      </w:tr>
      <w:tr w:rsidR="00B44DF2" w14:paraId="4B81FD98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6732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F9F08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电池及其机柜</w:t>
            </w: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47EB9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电池组外观检查：无污染或损伤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68840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</w:t>
            </w:r>
          </w:p>
        </w:tc>
        <w:tc>
          <w:tcPr>
            <w:tcW w:w="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CBE561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组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A1241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16A6D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1次/两月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CEAD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01369436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92B9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941FD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6A5A2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温、湿度测量：15～25℃,0%～95%, 不凝结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C240C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A829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84750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422D7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CA30F2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6151ED0F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F011E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37970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619F3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UPS放电操作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3CBF3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EDB04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0A452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6211CB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1次/三月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0975A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701279C7" w14:textId="77777777"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D39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683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CFF26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检查各项电流、电压读数；检查电池使用年限</w:t>
            </w: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059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C8D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CCC94A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A0062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23A0BC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1次/年</w:t>
            </w:r>
          </w:p>
        </w:tc>
      </w:tr>
      <w:tr w:rsidR="00B44DF2" w14:paraId="1F73C546" w14:textId="77777777"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FAC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458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有线控制配电柜</w:t>
            </w: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1A5B1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外观保养：清洁、无损伤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4754F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</w:t>
            </w:r>
          </w:p>
        </w:tc>
        <w:tc>
          <w:tcPr>
            <w:tcW w:w="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C5BD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个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93328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B304C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1次/两月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8C921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68CF75A5" w14:textId="77777777">
        <w:trPr>
          <w:trHeight w:val="2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2713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3CCF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CCCCE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外观检查：铜鼻子表面有无变色，接线端子有无松动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0E2B66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3EA52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725BBF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1BB56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4F84E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1次/年</w:t>
            </w:r>
          </w:p>
        </w:tc>
      </w:tr>
      <w:tr w:rsidR="00B44DF2" w14:paraId="5162776D" w14:textId="77777777">
        <w:trPr>
          <w:trHeight w:val="2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4B9D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F58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6A3696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温、湿度检查：0-40℃、20-80%,无凝露</w:t>
            </w: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5820B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117E9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393156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1次/日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DFF97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786349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B44DF2" w14:paraId="6B4351B0" w14:textId="77777777">
        <w:trPr>
          <w:trHeight w:val="2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E345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4D87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4DFA2D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接地电阻检查</w:t>
            </w: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D434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BD68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EAB17B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7E944F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DC18E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1次/年</w:t>
            </w:r>
          </w:p>
        </w:tc>
      </w:tr>
      <w:tr w:rsidR="00B44DF2" w14:paraId="2363AA2C" w14:textId="77777777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D1C4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3DAE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光照度计</w:t>
            </w:r>
          </w:p>
        </w:tc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B2FFD8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校验、清洁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30FDA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EAA5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台</w:t>
            </w: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38213E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DC9EF1" w14:textId="77777777" w:rsidR="00B44DF2" w:rsidRDefault="00B44DF2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63FD03" w14:textId="77777777" w:rsidR="00B44DF2" w:rsidRDefault="00000000">
            <w:pPr>
              <w:adjustRightInd w:val="0"/>
              <w:snapToGrid w:val="0"/>
              <w:contextualSpacing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2次/年</w:t>
            </w:r>
          </w:p>
        </w:tc>
      </w:tr>
    </w:tbl>
    <w:p w14:paraId="46975EF8" w14:textId="77777777" w:rsidR="00B44DF2" w:rsidRDefault="00B44DF2">
      <w:pPr>
        <w:spacing w:line="360" w:lineRule="auto"/>
        <w:ind w:firstLine="482"/>
        <w:jc w:val="left"/>
        <w:rPr>
          <w:rFonts w:ascii="宋体" w:eastAsia="宋体" w:hAnsi="宋体" w:hint="eastAsia"/>
          <w:b/>
          <w:sz w:val="24"/>
          <w:szCs w:val="24"/>
          <w:shd w:val="clear" w:color="auto" w:fill="FFFFFF"/>
        </w:rPr>
      </w:pPr>
    </w:p>
    <w:p w14:paraId="6042CCEC" w14:textId="77777777" w:rsidR="00B44DF2" w:rsidRDefault="00000000">
      <w:pPr>
        <w:spacing w:line="360" w:lineRule="auto"/>
        <w:ind w:firstLine="482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sz w:val="24"/>
          <w:szCs w:val="24"/>
          <w:shd w:val="clear" w:color="auto" w:fill="FFFFFF"/>
        </w:rPr>
        <w:t>6、其他管理要求</w:t>
      </w:r>
    </w:p>
    <w:p w14:paraId="5C708EE7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6.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1为适应时代进步，建设高质量园区照明运行管理平台，配合采购单位积极探索试点工作：如计控箱温度、烟雾感应报警器、计控箱智能门锁。</w:t>
      </w:r>
    </w:p>
    <w:p w14:paraId="01DB63BA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>6.2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建立值班人员奖惩制度，对有建议建言、表现积极、操作熟练、连续值班期间无过失、发现并解决重大安全故障等情况的值班人员进行奖励。</w:t>
      </w:r>
    </w:p>
    <w:p w14:paraId="099B412E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bookmarkStart w:id="5" w:name="_Toc107828195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6.3保密要求</w:t>
      </w:r>
      <w:bookmarkEnd w:id="5"/>
    </w:p>
    <w:p w14:paraId="29AA54FD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（1）中标单位不得向任何单位和个人提供采购方所提供的技术资料。</w:t>
      </w:r>
    </w:p>
    <w:p w14:paraId="7070E2EE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（2）中标单位和个人不得用采购方所提供的技术资料进行一切商业活动。</w:t>
      </w:r>
    </w:p>
    <w:p w14:paraId="0B2C271B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6.4涉及道路作业或特殊作业须按采购方规定进行钉钉报备。</w:t>
      </w:r>
    </w:p>
    <w:p w14:paraId="0A79DAB6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bookmarkStart w:id="6" w:name="_Toc107828196"/>
      <w:bookmarkStart w:id="7" w:name="_Toc426039681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6.5专业培训要求</w:t>
      </w:r>
      <w:bookmarkEnd w:id="6"/>
    </w:p>
    <w:p w14:paraId="73CB9C19" w14:textId="77777777" w:rsidR="00B44DF2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lastRenderedPageBreak/>
        <w:t>合同履约到期后，中标单位须对后续养护接收单位进行照明控制系统运行维修培训，直至新接收单位人员熟练掌握运行维修技能，三方签署“苏州工业园区照明控制系统运行维修培训确认单”作为凭证。</w:t>
      </w:r>
    </w:p>
    <w:bookmarkEnd w:id="7"/>
    <w:p w14:paraId="665A79C1" w14:textId="77777777" w:rsidR="00B44DF2" w:rsidRDefault="00B44DF2">
      <w:pPr>
        <w:pStyle w:val="a0"/>
        <w:rPr>
          <w:rFonts w:ascii="宋体" w:eastAsia="宋体" w:hAnsi="宋体" w:hint="eastAsia"/>
          <w:szCs w:val="24"/>
          <w:shd w:val="clear" w:color="auto" w:fill="FFFFFF"/>
        </w:rPr>
      </w:pPr>
    </w:p>
    <w:sectPr w:rsidR="00B4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AF27" w14:textId="77777777" w:rsidR="00C769B2" w:rsidRDefault="00C769B2" w:rsidP="007D6605">
      <w:r>
        <w:separator/>
      </w:r>
    </w:p>
  </w:endnote>
  <w:endnote w:type="continuationSeparator" w:id="0">
    <w:p w14:paraId="102A5E04" w14:textId="77777777" w:rsidR="00C769B2" w:rsidRDefault="00C769B2" w:rsidP="007D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A19F" w14:textId="77777777" w:rsidR="00C769B2" w:rsidRDefault="00C769B2" w:rsidP="007D6605">
      <w:r>
        <w:separator/>
      </w:r>
    </w:p>
  </w:footnote>
  <w:footnote w:type="continuationSeparator" w:id="0">
    <w:p w14:paraId="163FDCF5" w14:textId="77777777" w:rsidR="00C769B2" w:rsidRDefault="00C769B2" w:rsidP="007D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53F795D"/>
    <w:rsid w:val="00014D30"/>
    <w:rsid w:val="000556D4"/>
    <w:rsid w:val="00055EF0"/>
    <w:rsid w:val="0007671E"/>
    <w:rsid w:val="000836A7"/>
    <w:rsid w:val="000A0102"/>
    <w:rsid w:val="000C3170"/>
    <w:rsid w:val="000E20C2"/>
    <w:rsid w:val="000E3FD8"/>
    <w:rsid w:val="00110A70"/>
    <w:rsid w:val="001548F9"/>
    <w:rsid w:val="001D6BB8"/>
    <w:rsid w:val="001F595F"/>
    <w:rsid w:val="00221F41"/>
    <w:rsid w:val="00225C36"/>
    <w:rsid w:val="002310E9"/>
    <w:rsid w:val="002327E1"/>
    <w:rsid w:val="002361BC"/>
    <w:rsid w:val="00243E61"/>
    <w:rsid w:val="00251B4F"/>
    <w:rsid w:val="00253224"/>
    <w:rsid w:val="0027166F"/>
    <w:rsid w:val="002872F8"/>
    <w:rsid w:val="002C5525"/>
    <w:rsid w:val="002F1A04"/>
    <w:rsid w:val="00332FB9"/>
    <w:rsid w:val="0034362C"/>
    <w:rsid w:val="00352467"/>
    <w:rsid w:val="00394824"/>
    <w:rsid w:val="00396AE9"/>
    <w:rsid w:val="003C3B02"/>
    <w:rsid w:val="003C7AE6"/>
    <w:rsid w:val="003E2190"/>
    <w:rsid w:val="0042554B"/>
    <w:rsid w:val="00436F09"/>
    <w:rsid w:val="00443D4E"/>
    <w:rsid w:val="00446C6E"/>
    <w:rsid w:val="004702D8"/>
    <w:rsid w:val="004A57C2"/>
    <w:rsid w:val="004E5FAE"/>
    <w:rsid w:val="004F5989"/>
    <w:rsid w:val="00531344"/>
    <w:rsid w:val="00534BA0"/>
    <w:rsid w:val="00537F5F"/>
    <w:rsid w:val="00552D2A"/>
    <w:rsid w:val="00562D49"/>
    <w:rsid w:val="0056756E"/>
    <w:rsid w:val="005D5D8D"/>
    <w:rsid w:val="005E782E"/>
    <w:rsid w:val="00616AE1"/>
    <w:rsid w:val="00641F97"/>
    <w:rsid w:val="00646EFE"/>
    <w:rsid w:val="006E70F4"/>
    <w:rsid w:val="006E777C"/>
    <w:rsid w:val="007129C4"/>
    <w:rsid w:val="00720926"/>
    <w:rsid w:val="0072274C"/>
    <w:rsid w:val="007570B4"/>
    <w:rsid w:val="00766350"/>
    <w:rsid w:val="007B23E7"/>
    <w:rsid w:val="007C10F8"/>
    <w:rsid w:val="007D0BB7"/>
    <w:rsid w:val="007D6605"/>
    <w:rsid w:val="007D73F7"/>
    <w:rsid w:val="008215D1"/>
    <w:rsid w:val="008252A7"/>
    <w:rsid w:val="00857A51"/>
    <w:rsid w:val="00866276"/>
    <w:rsid w:val="00877878"/>
    <w:rsid w:val="008C1885"/>
    <w:rsid w:val="008F1679"/>
    <w:rsid w:val="008F33F3"/>
    <w:rsid w:val="00922F22"/>
    <w:rsid w:val="009319B7"/>
    <w:rsid w:val="0098764C"/>
    <w:rsid w:val="009E235A"/>
    <w:rsid w:val="00A1647C"/>
    <w:rsid w:val="00A33416"/>
    <w:rsid w:val="00A35C46"/>
    <w:rsid w:val="00A43941"/>
    <w:rsid w:val="00A4506E"/>
    <w:rsid w:val="00A51317"/>
    <w:rsid w:val="00A52C8B"/>
    <w:rsid w:val="00A801CB"/>
    <w:rsid w:val="00A936C4"/>
    <w:rsid w:val="00AA13A0"/>
    <w:rsid w:val="00AB7A43"/>
    <w:rsid w:val="00AF6018"/>
    <w:rsid w:val="00B1645A"/>
    <w:rsid w:val="00B36C91"/>
    <w:rsid w:val="00B36E9C"/>
    <w:rsid w:val="00B36FEB"/>
    <w:rsid w:val="00B44DF2"/>
    <w:rsid w:val="00B51D20"/>
    <w:rsid w:val="00B64FA7"/>
    <w:rsid w:val="00B673A3"/>
    <w:rsid w:val="00BC2653"/>
    <w:rsid w:val="00BE26EC"/>
    <w:rsid w:val="00BF357F"/>
    <w:rsid w:val="00C05B7C"/>
    <w:rsid w:val="00C26A8F"/>
    <w:rsid w:val="00C46E34"/>
    <w:rsid w:val="00C605F0"/>
    <w:rsid w:val="00C612DF"/>
    <w:rsid w:val="00C65B19"/>
    <w:rsid w:val="00C769B2"/>
    <w:rsid w:val="00C775D2"/>
    <w:rsid w:val="00C8281F"/>
    <w:rsid w:val="00CB4F68"/>
    <w:rsid w:val="00CC393B"/>
    <w:rsid w:val="00CE5B7B"/>
    <w:rsid w:val="00D14E52"/>
    <w:rsid w:val="00D573FC"/>
    <w:rsid w:val="00D61A0C"/>
    <w:rsid w:val="00D721CA"/>
    <w:rsid w:val="00D968DE"/>
    <w:rsid w:val="00DA2DF1"/>
    <w:rsid w:val="00E02F27"/>
    <w:rsid w:val="00E0482B"/>
    <w:rsid w:val="00E44B8B"/>
    <w:rsid w:val="00E76A80"/>
    <w:rsid w:val="00E83784"/>
    <w:rsid w:val="00EB432E"/>
    <w:rsid w:val="00ED7201"/>
    <w:rsid w:val="00EE1643"/>
    <w:rsid w:val="00F00C2E"/>
    <w:rsid w:val="00F276FB"/>
    <w:rsid w:val="00F362DE"/>
    <w:rsid w:val="00F43FD9"/>
    <w:rsid w:val="00F67CE1"/>
    <w:rsid w:val="00F67DBA"/>
    <w:rsid w:val="00F82B44"/>
    <w:rsid w:val="00F864DA"/>
    <w:rsid w:val="00F87BED"/>
    <w:rsid w:val="00F95954"/>
    <w:rsid w:val="00FB3965"/>
    <w:rsid w:val="04C30A30"/>
    <w:rsid w:val="0C89513D"/>
    <w:rsid w:val="24316E29"/>
    <w:rsid w:val="275D063B"/>
    <w:rsid w:val="29E40461"/>
    <w:rsid w:val="33F804A8"/>
    <w:rsid w:val="36957FE6"/>
    <w:rsid w:val="3CB26D00"/>
    <w:rsid w:val="3D6376A7"/>
    <w:rsid w:val="4163643F"/>
    <w:rsid w:val="474D04FA"/>
    <w:rsid w:val="482F7BFF"/>
    <w:rsid w:val="4A930919"/>
    <w:rsid w:val="4DA370C6"/>
    <w:rsid w:val="553F795D"/>
    <w:rsid w:val="593443C5"/>
    <w:rsid w:val="5C02156D"/>
    <w:rsid w:val="6339400C"/>
    <w:rsid w:val="7939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E7A5139-7655-45D3-B50A-4A218B6F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楷体_GB2312" w:hAnsi="Calibri"/>
      <w:kern w:val="2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5">
    <w:name w:val="annotation text"/>
    <w:basedOn w:val="a"/>
    <w:link w:val="a6"/>
    <w:unhideWhenUsed/>
    <w:pPr>
      <w:jc w:val="left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character" w:styleId="af">
    <w:name w:val="annotation reference"/>
    <w:basedOn w:val="a1"/>
    <w:unhideWhenUsed/>
    <w:qFormat/>
    <w:rPr>
      <w:sz w:val="21"/>
      <w:szCs w:val="21"/>
    </w:rPr>
  </w:style>
  <w:style w:type="paragraph" w:customStyle="1" w:styleId="1">
    <w:name w:val="修订1"/>
    <w:hidden/>
    <w:uiPriority w:val="99"/>
    <w:unhideWhenUsed/>
    <w:qFormat/>
    <w:rPr>
      <w:rFonts w:ascii="Calibri" w:eastAsia="楷体_GB2312" w:hAnsi="Calibri"/>
      <w:kern w:val="2"/>
      <w:sz w:val="26"/>
    </w:rPr>
  </w:style>
  <w:style w:type="paragraph" w:customStyle="1" w:styleId="0">
    <w:name w:val="样式 首行缩进:  0 字符"/>
    <w:basedOn w:val="a"/>
    <w:link w:val="0Char"/>
    <w:qFormat/>
    <w:pPr>
      <w:spacing w:line="360" w:lineRule="auto"/>
      <w:ind w:firstLineChars="200" w:firstLine="200"/>
    </w:pPr>
    <w:rPr>
      <w:rFonts w:ascii="Arial" w:eastAsia="宋体" w:hAnsi="Arial" w:cs="宋体"/>
      <w:sz w:val="24"/>
    </w:rPr>
  </w:style>
  <w:style w:type="character" w:customStyle="1" w:styleId="0Char">
    <w:name w:val="样式 首行缩进:  0 字符 Char"/>
    <w:link w:val="0"/>
    <w:qFormat/>
    <w:rPr>
      <w:rFonts w:ascii="Arial" w:hAnsi="Arial" w:cs="宋体"/>
      <w:kern w:val="2"/>
      <w:sz w:val="24"/>
    </w:rPr>
  </w:style>
  <w:style w:type="character" w:customStyle="1" w:styleId="ac">
    <w:name w:val="页眉 字符"/>
    <w:basedOn w:val="a1"/>
    <w:link w:val="ab"/>
    <w:qFormat/>
    <w:rPr>
      <w:rFonts w:ascii="Calibri" w:eastAsia="楷体_GB2312" w:hAnsi="Calibri"/>
      <w:kern w:val="2"/>
      <w:sz w:val="18"/>
      <w:szCs w:val="18"/>
    </w:rPr>
  </w:style>
  <w:style w:type="character" w:customStyle="1" w:styleId="aa">
    <w:name w:val="页脚 字符"/>
    <w:basedOn w:val="a1"/>
    <w:link w:val="a9"/>
    <w:qFormat/>
    <w:rPr>
      <w:rFonts w:ascii="Calibri" w:eastAsia="楷体_GB2312" w:hAnsi="Calibri"/>
      <w:kern w:val="2"/>
      <w:sz w:val="18"/>
      <w:szCs w:val="18"/>
    </w:rPr>
  </w:style>
  <w:style w:type="character" w:customStyle="1" w:styleId="a6">
    <w:name w:val="批注文字 字符"/>
    <w:basedOn w:val="a1"/>
    <w:link w:val="a5"/>
    <w:qFormat/>
    <w:rPr>
      <w:rFonts w:ascii="Calibri" w:eastAsia="楷体_GB2312" w:hAnsi="Calibri"/>
      <w:kern w:val="2"/>
      <w:sz w:val="26"/>
    </w:rPr>
  </w:style>
  <w:style w:type="character" w:customStyle="1" w:styleId="ae">
    <w:name w:val="批注主题 字符"/>
    <w:basedOn w:val="a6"/>
    <w:link w:val="ad"/>
    <w:semiHidden/>
    <w:qFormat/>
    <w:rPr>
      <w:rFonts w:ascii="Calibri" w:eastAsia="楷体_GB2312" w:hAnsi="Calibri"/>
      <w:b/>
      <w:bCs/>
      <w:kern w:val="2"/>
      <w:sz w:val="26"/>
    </w:rPr>
  </w:style>
  <w:style w:type="character" w:customStyle="1" w:styleId="a8">
    <w:name w:val="批注框文本 字符"/>
    <w:basedOn w:val="a1"/>
    <w:link w:val="a7"/>
    <w:semiHidden/>
    <w:qFormat/>
    <w:rPr>
      <w:rFonts w:ascii="Calibri" w:eastAsia="楷体_GB2312" w:hAnsi="Calibri"/>
      <w:kern w:val="2"/>
      <w:sz w:val="18"/>
      <w:szCs w:val="18"/>
    </w:rPr>
  </w:style>
  <w:style w:type="character" w:customStyle="1" w:styleId="a4">
    <w:name w:val="正文文本缩进 字符"/>
    <w:basedOn w:val="a1"/>
    <w:link w:val="a0"/>
    <w:qFormat/>
    <w:rPr>
      <w:rFonts w:ascii="方正仿宋简体" w:eastAsia="方正仿宋简体" w:hAnsi="创艺简仿宋"/>
      <w:kern w:val="2"/>
      <w:sz w:val="24"/>
    </w:rPr>
  </w:style>
  <w:style w:type="paragraph" w:styleId="af0">
    <w:name w:val="Revision"/>
    <w:hidden/>
    <w:uiPriority w:val="99"/>
    <w:unhideWhenUsed/>
    <w:rsid w:val="007D6605"/>
    <w:rPr>
      <w:rFonts w:ascii="Calibri" w:eastAsia="楷体_GB2312" w:hAnsi="Calibri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EE6087-E573-439E-B065-79B568D5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6</Pages>
  <Words>2070</Words>
  <Characters>2134</Characters>
  <Application>Microsoft Office Word</Application>
  <DocSecurity>0</DocSecurity>
  <Lines>266</Lines>
  <Paragraphs>200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顾苹</cp:lastModifiedBy>
  <cp:revision>82</cp:revision>
  <cp:lastPrinted>2025-09-19T01:13:00Z</cp:lastPrinted>
  <dcterms:created xsi:type="dcterms:W3CDTF">2025-05-26T01:30:00Z</dcterms:created>
  <dcterms:modified xsi:type="dcterms:W3CDTF">2025-11-03T02:49:00Z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0467670E1FA34A63A36E19F5A0837ABA_11</vt:lpwstr>
  </property>
  <property fmtid="{D5CDD505-2E9C-101B-9397-08002B2CF9AE}" pid="4" name="KSOTemplateDocerSaveRecord">
    <vt:lpwstr>eyJoZGlkIjoiNDM4N2UzNDBiZjkzMmE3ODdlMjI1ZGY1ZDNkNGM3ZjciLCJ1c2VySWQiOiIxMjIwNzYwNDczIn0=</vt:lpwstr>
  </property>
</Properties>
</file>