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0"/>
        <w:jc w:val="center"/>
        <w:spacing w:line="420" w:lineRule="auto"/>
        <w:rPr>
          <w:rFonts w:eastAsia="黑体"/>
          <w:sz w:val="36"/>
        </w:rPr>
      </w:pPr>
      <w:r>
        <w:rPr>
          <w:rFonts w:hint="eastAsia" w:eastAsia="黑体"/>
          <w:sz w:val="36"/>
        </w:rPr>
        <w:t xml:space="preserve"> </w:t>
      </w:r>
      <w:r/>
    </w:p>
    <w:p>
      <w:pPr>
        <w:pStyle w:val="782"/>
        <w:jc w:val="center"/>
        <w:spacing w:before="120" w:beforeAutospacing="0" w:after="120" w:afterAutospacing="0" w:line="360" w:lineRule="auto"/>
      </w:pPr>
      <w:r>
        <w:rPr>
          <w:rFonts w:ascii="Arial" w:hAnsi="Arial" w:cs="Arial"/>
          <w:b/>
          <w:color w:val="000000"/>
          <w:sz w:val="84"/>
          <w:szCs w:val="84"/>
        </w:rPr>
        <w:t xml:space="preserve">招 标 文 件</w:t>
      </w:r>
      <w:r/>
    </w:p>
    <w:p>
      <w:pPr>
        <w:pStyle w:val="782"/>
        <w:ind w:firstLine="2249"/>
        <w:spacing w:before="120" w:beforeAutospacing="0" w:after="120" w:afterAutospacing="0"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782"/>
        <w:ind w:firstLine="2249"/>
        <w:spacing w:before="120" w:beforeAutospacing="0" w:after="120" w:afterAutospacing="0"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782"/>
        <w:spacing w:before="120" w:beforeAutospacing="0" w:after="120" w:afterAutospacing="0"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782"/>
        <w:spacing w:before="120" w:beforeAutospacing="0" w:after="120" w:afterAutospacing="0"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782"/>
        <w:ind w:firstLine="1807"/>
        <w:spacing w:before="120" w:beforeAutospacing="0" w:after="120" w:afterAutospacing="0" w:line="360" w:lineRule="auto"/>
        <w:rPr>
          <w:rFonts w:hint="eastAsia" w:ascii="宋体" w:hAnsi="宋体" w:cs="宋体"/>
          <w:b/>
          <w:color w:val="000000"/>
          <w:sz w:val="36"/>
          <w:szCs w:val="36"/>
          <w:u w:val="single"/>
        </w:rPr>
      </w:pPr>
      <w:r>
        <w:rPr>
          <w:rFonts w:hint="eastAsia" w:ascii="宋体" w:hAnsi="宋体" w:cs="宋体"/>
          <w:b/>
          <w:color w:val="000000"/>
          <w:sz w:val="36"/>
          <w:szCs w:val="36"/>
        </w:rPr>
        <w:t xml:space="preserve">项目名称：</w:t>
      </w:r>
      <w:r>
        <w:rPr>
          <w:rFonts w:hint="eastAsia" w:ascii="宋体" w:hAnsi="宋体" w:cs="宋体"/>
          <w:b/>
          <w:color w:val="000000"/>
          <w:sz w:val="36"/>
          <w:szCs w:val="36"/>
          <w:u w:val="single"/>
        </w:rPr>
        <w:t xml:space="preserve">滨海县城东大道（迎宾大道-东海大道）智慧化灯杆等采购及安装项目</w:t>
      </w:r>
      <w:r/>
    </w:p>
    <w:p>
      <w:pPr>
        <w:pStyle w:val="782"/>
        <w:ind w:firstLine="2249"/>
        <w:jc w:val="both"/>
        <w:spacing w:before="120" w:beforeAutospacing="0" w:after="120" w:afterAutospacing="0"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782"/>
        <w:ind w:firstLine="1807"/>
        <w:jc w:val="both"/>
        <w:spacing w:before="120" w:beforeAutospacing="0" w:after="120" w:afterAutospacing="0" w:line="360" w:lineRule="auto"/>
        <w:rPr>
          <w:rFonts w:hint="eastAsia" w:ascii="宋体" w:hAnsi="宋体" w:eastAsia="宋体" w:cs="宋体"/>
          <w:sz w:val="36"/>
          <w:szCs w:val="36"/>
          <w:highlight w:val="none"/>
          <w:u w:val="single"/>
          <w:lang w:eastAsia="zh-CN"/>
        </w:rPr>
      </w:pPr>
      <w:r>
        <w:rPr>
          <w:rFonts w:hint="eastAsia" w:ascii="宋体" w:hAnsi="宋体" w:cs="宋体"/>
          <w:b/>
          <w:color w:val="000000"/>
          <w:sz w:val="36"/>
          <w:szCs w:val="36"/>
        </w:rPr>
        <w:t xml:space="preserve">项目编号：</w:t>
      </w:r>
      <w:r>
        <w:rPr>
          <w:rFonts w:hint="eastAsia" w:ascii="宋体" w:hAnsi="宋体" w:cs="宋体"/>
          <w:b/>
          <w:color w:val="000000"/>
          <w:sz w:val="36"/>
          <w:szCs w:val="36"/>
          <w:highlight w:val="none"/>
          <w:u w:val="single"/>
          <w:lang w:eastAsia="zh-CN"/>
        </w:rPr>
        <w:t xml:space="preserve">JSZC-320922-BHJD-G2024-0005</w:t>
      </w:r>
      <w:r/>
    </w:p>
    <w:p>
      <w:pPr>
        <w:pStyle w:val="782"/>
        <w:spacing w:beforeAutospacing="0" w:afterAutospacing="0" w:line="360" w:lineRule="auto"/>
        <w:rPr>
          <w:rFonts w:hint="eastAsia" w:ascii="宋体" w:hAnsi="宋体" w:cs="宋体"/>
          <w:sz w:val="36"/>
          <w:szCs w:val="36"/>
        </w:rPr>
      </w:pPr>
      <w:r>
        <w:rPr>
          <w:rFonts w:hint="eastAsia" w:ascii="宋体" w:hAnsi="宋体" w:cs="宋体"/>
          <w:sz w:val="36"/>
          <w:szCs w:val="36"/>
        </w:rPr>
        <w:t xml:space="preserve"> </w:t>
      </w:r>
      <w:r/>
    </w:p>
    <w:p>
      <w:pPr>
        <w:pStyle w:val="782"/>
        <w:spacing w:beforeAutospacing="0" w:afterAutospacing="0" w:line="360" w:lineRule="auto"/>
        <w:rPr>
          <w:rFonts w:hint="eastAsia" w:ascii="宋体" w:hAnsi="宋体" w:cs="宋体"/>
          <w:sz w:val="36"/>
          <w:szCs w:val="36"/>
        </w:rPr>
      </w:pPr>
      <w:r>
        <w:rPr>
          <w:rFonts w:hint="eastAsia" w:ascii="宋体" w:hAnsi="宋体" w:cs="宋体"/>
          <w:sz w:val="36"/>
          <w:szCs w:val="36"/>
        </w:rPr>
        <w:t xml:space="preserve"> </w:t>
      </w:r>
      <w:r/>
    </w:p>
    <w:p>
      <w:pPr>
        <w:pStyle w:val="782"/>
        <w:spacing w:beforeAutospacing="0" w:afterAutospacing="0" w:line="360" w:lineRule="auto"/>
        <w:rPr>
          <w:rFonts w:hint="eastAsia" w:ascii="宋体" w:hAnsi="宋体" w:cs="宋体"/>
          <w:sz w:val="36"/>
          <w:szCs w:val="36"/>
        </w:rPr>
      </w:pPr>
      <w:r>
        <w:rPr>
          <w:rFonts w:hint="eastAsia" w:ascii="宋体" w:hAnsi="宋体" w:cs="宋体"/>
          <w:sz w:val="36"/>
          <w:szCs w:val="36"/>
        </w:rPr>
      </w:r>
      <w:r/>
    </w:p>
    <w:p>
      <w:pPr>
        <w:pStyle w:val="782"/>
        <w:spacing w:beforeAutospacing="0" w:afterAutospacing="0" w:line="360" w:lineRule="auto"/>
        <w:rPr>
          <w:rFonts w:hint="eastAsia" w:ascii="宋体" w:hAnsi="宋体" w:cs="宋体"/>
          <w:sz w:val="36"/>
          <w:szCs w:val="36"/>
        </w:rPr>
      </w:pPr>
      <w:r>
        <w:rPr>
          <w:rFonts w:hint="eastAsia" w:ascii="宋体" w:hAnsi="宋体" w:cs="宋体"/>
          <w:sz w:val="36"/>
          <w:szCs w:val="36"/>
        </w:rPr>
      </w:r>
      <w:r/>
    </w:p>
    <w:p>
      <w:pPr>
        <w:pStyle w:val="782"/>
        <w:jc w:val="center"/>
        <w:spacing w:before="120" w:beforeAutospacing="0" w:after="120" w:afterAutospacing="0" w:line="360" w:lineRule="auto"/>
        <w:rPr>
          <w:rFonts w:hint="eastAsia" w:ascii="宋体" w:hAnsi="宋体" w:cs="宋体"/>
          <w:b/>
          <w:color w:val="000000"/>
          <w:sz w:val="36"/>
          <w:szCs w:val="36"/>
        </w:rPr>
      </w:pPr>
      <w:r>
        <w:rPr>
          <w:rFonts w:hint="eastAsia" w:ascii="宋体" w:hAnsi="宋体" w:cs="宋体"/>
          <w:b/>
          <w:color w:val="000000"/>
          <w:sz w:val="36"/>
          <w:szCs w:val="36"/>
        </w:rPr>
        <w:t xml:space="preserve">采购单位：</w:t>
      </w:r>
      <w:r>
        <w:rPr>
          <w:rFonts w:hint="eastAsia" w:ascii="宋体" w:hAnsi="宋体" w:cs="宋体"/>
          <w:b/>
          <w:color w:val="000000"/>
          <w:sz w:val="36"/>
          <w:szCs w:val="36"/>
          <w:u w:val="single"/>
        </w:rPr>
        <w:t xml:space="preserve">滨海县住房和城乡建设局</w:t>
      </w:r>
      <w:r/>
    </w:p>
    <w:p>
      <w:pPr>
        <w:pStyle w:val="782"/>
        <w:jc w:val="center"/>
        <w:spacing w:before="120" w:beforeAutospacing="0" w:after="120" w:afterAutospacing="0" w:line="360" w:lineRule="auto"/>
      </w:pPr>
      <w:r>
        <w:rPr>
          <w:rFonts w:hint="eastAsia" w:ascii="宋体" w:hAnsi="宋体" w:cs="宋体"/>
          <w:b/>
          <w:color w:val="000000"/>
          <w:sz w:val="36"/>
          <w:szCs w:val="36"/>
        </w:rPr>
        <w:t xml:space="preserve">2024年1</w:t>
      </w:r>
      <w:r>
        <w:rPr>
          <w:rFonts w:hint="eastAsia" w:ascii="宋体" w:hAnsi="宋体" w:cs="宋体"/>
          <w:b/>
          <w:color w:val="000000"/>
          <w:sz w:val="36"/>
          <w:szCs w:val="36"/>
          <w:lang w:val="en-US" w:eastAsia="zh-CN"/>
        </w:rPr>
        <w:t xml:space="preserve">2</w:t>
      </w:r>
      <w:r>
        <w:rPr>
          <w:rFonts w:hint="eastAsia" w:ascii="宋体" w:hAnsi="宋体" w:cs="宋体"/>
          <w:b/>
          <w:color w:val="000000"/>
          <w:sz w:val="36"/>
          <w:szCs w:val="36"/>
        </w:rPr>
        <w:t xml:space="preserve">月</w:t>
      </w:r>
      <w:r>
        <w:br w:type="page" w:clear="all"/>
      </w:r>
      <w:bookmarkStart w:id="0" w:name="_Toc120614210"/>
      <w:r/>
      <w:bookmarkStart w:id="1" w:name="_Toc513029200"/>
      <w:r/>
      <w:bookmarkStart w:id="2" w:name="_Toc479757206"/>
      <w:r/>
      <w:bookmarkStart w:id="3" w:name="_Toc16938516"/>
      <w:r/>
      <w:bookmarkStart w:id="4" w:name="_Toc523127445"/>
      <w:r/>
      <w:bookmarkStart w:id="5" w:name="_Toc20823272"/>
      <w:r/>
      <w:r/>
    </w:p>
    <w:p>
      <w:pPr>
        <w:jc w:val="center"/>
        <w:spacing w:line="420" w:lineRule="auto"/>
        <w:rPr>
          <w:rFonts w:ascii="黑体" w:hAnsi="Arial" w:eastAsia="黑体"/>
          <w:b/>
          <w:sz w:val="44"/>
        </w:rPr>
        <w:outlineLvl w:val="0"/>
      </w:pPr>
      <w:r>
        <w:rPr>
          <w:rFonts w:hint="eastAsia" w:ascii="黑体" w:hAnsi="Arial" w:eastAsia="黑体"/>
          <w:b/>
          <w:sz w:val="44"/>
        </w:rPr>
        <w:t xml:space="preserve">总  目  录</w:t>
      </w:r>
      <w:r/>
    </w:p>
    <w:p>
      <w:pPr>
        <w:ind w:firstLine="562"/>
        <w:spacing w:line="420" w:lineRule="auto"/>
        <w:rPr>
          <w:rFonts w:ascii="仿宋_GB2312" w:hAnsi="Arial" w:eastAsia="仿宋_GB2312"/>
          <w:b/>
          <w:sz w:val="28"/>
        </w:rPr>
      </w:pPr>
      <w:r>
        <w:rPr>
          <w:rFonts w:ascii="仿宋_GB2312" w:hAnsi="Arial" w:eastAsia="仿宋_GB2312"/>
          <w:b/>
          <w:sz w:val="28"/>
        </w:rPr>
      </w:r>
      <w:r/>
    </w:p>
    <w:p>
      <w:pPr>
        <w:pStyle w:val="970"/>
        <w:ind w:left="1470" w:right="1470" w:firstLine="420"/>
        <w:rPr>
          <w:rFonts w:hint="default"/>
        </w:rPr>
      </w:pPr>
      <w:r>
        <w:rPr>
          <w:rFonts w:hint="default"/>
        </w:rPr>
      </w:r>
      <w:r/>
    </w:p>
    <w:p>
      <w:pPr>
        <w:numPr>
          <w:ilvl w:val="0"/>
          <w:numId w:val="4"/>
        </w:numPr>
        <w:ind w:firstLine="720"/>
        <w:spacing w:line="900" w:lineRule="auto"/>
        <w:rPr>
          <w:rFonts w:ascii="黑体" w:hAnsi="Showcard Gothic" w:eastAsia="黑体"/>
          <w:sz w:val="32"/>
        </w:rPr>
        <w:outlineLvl w:val="0"/>
      </w:pPr>
      <w:r>
        <w:rPr>
          <w:rFonts w:hint="eastAsia" w:ascii="黑体" w:hAnsi="宋体" w:eastAsia="黑体"/>
          <w:sz w:val="36"/>
        </w:rPr>
        <w:t xml:space="preserve">招标公告</w:t>
      </w:r>
      <w:r/>
    </w:p>
    <w:p>
      <w:pPr>
        <w:numPr>
          <w:ilvl w:val="0"/>
          <w:numId w:val="4"/>
        </w:numPr>
        <w:ind w:firstLine="720"/>
        <w:spacing w:line="900" w:lineRule="auto"/>
        <w:rPr>
          <w:rFonts w:ascii="黑体" w:hAnsi="Showcard Gothic" w:eastAsia="黑体"/>
          <w:sz w:val="36"/>
        </w:rPr>
        <w:outlineLvl w:val="0"/>
      </w:pPr>
      <w:r>
        <w:rPr>
          <w:rFonts w:hint="eastAsia" w:ascii="黑体" w:hAnsi="宋体" w:eastAsia="黑体"/>
          <w:bCs/>
          <w:sz w:val="36"/>
          <w:szCs w:val="36"/>
        </w:rPr>
        <w:t xml:space="preserve">投标人须知</w:t>
      </w:r>
      <w:r/>
    </w:p>
    <w:p>
      <w:pPr>
        <w:numPr>
          <w:ilvl w:val="0"/>
          <w:numId w:val="4"/>
        </w:numPr>
        <w:ind w:firstLine="720"/>
        <w:spacing w:line="900" w:lineRule="auto"/>
        <w:rPr>
          <w:rFonts w:ascii="黑体" w:hAnsi="Showcard Gothic" w:eastAsia="黑体"/>
          <w:sz w:val="36"/>
        </w:rPr>
        <w:outlineLvl w:val="0"/>
      </w:pPr>
      <w:r>
        <w:rPr>
          <w:rFonts w:hint="eastAsia" w:ascii="黑体" w:hAnsi="宋体" w:eastAsia="黑体"/>
          <w:sz w:val="36"/>
        </w:rPr>
        <w:t xml:space="preserve">合同条款及格式</w:t>
      </w:r>
      <w:r/>
    </w:p>
    <w:p>
      <w:pPr>
        <w:numPr>
          <w:ilvl w:val="0"/>
          <w:numId w:val="4"/>
        </w:numPr>
        <w:ind w:firstLine="720"/>
        <w:spacing w:line="900" w:lineRule="auto"/>
        <w:rPr>
          <w:rFonts w:ascii="黑体" w:hAnsi="Showcard Gothic" w:eastAsia="黑体"/>
          <w:sz w:val="36"/>
        </w:rPr>
        <w:outlineLvl w:val="0"/>
      </w:pPr>
      <w:r>
        <w:rPr>
          <w:rFonts w:hint="eastAsia" w:ascii="黑体" w:hAnsi="宋体" w:eastAsia="黑体"/>
          <w:sz w:val="36"/>
        </w:rPr>
        <w:t xml:space="preserve">项目需求</w:t>
      </w:r>
      <w:r/>
    </w:p>
    <w:p>
      <w:pPr>
        <w:numPr>
          <w:ilvl w:val="0"/>
          <w:numId w:val="4"/>
        </w:numPr>
        <w:ind w:firstLine="720"/>
        <w:spacing w:line="90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p>
    <w:p>
      <w:pPr>
        <w:numPr>
          <w:ilvl w:val="0"/>
          <w:numId w:val="4"/>
        </w:numPr>
        <w:ind w:firstLine="720"/>
        <w:spacing w:line="900" w:lineRule="auto"/>
        <w:rPr>
          <w:rFonts w:hint="eastAsia" w:ascii="黑体" w:hAnsi="宋体" w:eastAsia="黑体"/>
          <w:sz w:val="36"/>
        </w:rPr>
        <w:outlineLvl w:val="0"/>
      </w:pPr>
      <w:r>
        <w:rPr>
          <w:rFonts w:hint="eastAsia" w:ascii="黑体" w:hAnsi="宋体" w:eastAsia="黑体"/>
          <w:sz w:val="36"/>
        </w:rPr>
        <w:t xml:space="preserve">投标文件格式</w:t>
      </w:r>
      <w:r/>
    </w:p>
    <w:p>
      <w:pPr>
        <w:pStyle w:val="949"/>
        <w:jc w:val="both"/>
        <w:spacing w:line="420" w:lineRule="auto"/>
        <w:rPr>
          <w:rFonts w:hint="eastAsia" w:ascii="宋体" w:hAnsi="宋体" w:eastAsia="宋体" w:cs="宋体"/>
          <w:sz w:val="24"/>
          <w:szCs w:val="24"/>
        </w:rPr>
      </w:pPr>
      <w:r>
        <w:rPr>
          <w:rFonts w:hint="eastAsia" w:ascii="宋体" w:hAnsi="宋体" w:eastAsia="宋体" w:cs="宋体"/>
          <w:sz w:val="24"/>
          <w:szCs w:val="24"/>
        </w:rPr>
      </w:r>
      <w:r/>
    </w:p>
    <w:p>
      <w:pPr>
        <w:pStyle w:val="949"/>
        <w:ind w:firstLine="880"/>
        <w:spacing w:line="360" w:lineRule="auto"/>
        <w:rPr>
          <w:rFonts w:ascii="黑体" w:eastAsia="黑体"/>
          <w:sz w:val="44"/>
          <w:szCs w:val="44"/>
        </w:rPr>
      </w:pPr>
      <w:r>
        <w:rPr>
          <w:rFonts w:hint="eastAsia" w:ascii="黑体" w:eastAsia="黑体"/>
          <w:sz w:val="44"/>
          <w:szCs w:val="44"/>
        </w:rPr>
        <w:t xml:space="preserve">第一章 </w:t>
      </w:r>
      <w:bookmarkEnd w:id="0"/>
      <w:r/>
      <w:bookmarkStart w:id="6" w:name="_Toc120614211"/>
      <w:r>
        <w:rPr>
          <w:rFonts w:hint="eastAsia" w:ascii="黑体" w:eastAsia="黑体"/>
          <w:sz w:val="44"/>
          <w:szCs w:val="44"/>
        </w:rPr>
        <w:t xml:space="preserve"> 招标公告</w:t>
      </w:r>
      <w:r/>
    </w:p>
    <w:p>
      <w:pPr>
        <w:ind w:firstLine="480"/>
        <w:spacing w:line="520" w:lineRule="exact"/>
        <w:rPr>
          <w:sz w:val="24"/>
          <w:szCs w:val="24"/>
        </w:rPr>
        <w:pBdr>
          <w:top w:val="single" w:color="000000" w:sz="4" w:space="1"/>
          <w:left w:val="single" w:color="000000" w:sz="4" w:space="4"/>
          <w:bottom w:val="single" w:color="000000" w:sz="4" w:space="1"/>
          <w:right w:val="single" w:color="000000" w:sz="4" w:space="4"/>
        </w:pBdr>
      </w:pPr>
      <w:r>
        <w:rPr>
          <w:sz w:val="24"/>
          <w:szCs w:val="24"/>
        </w:rPr>
        <w:t xml:space="preserve">项目概况</w:t>
      </w:r>
      <w:r/>
    </w:p>
    <w:p>
      <w:pPr>
        <w:ind w:firstLine="480"/>
        <w:spacing w:line="520" w:lineRule="exact"/>
        <w:rPr>
          <w:sz w:val="24"/>
          <w:szCs w:val="24"/>
          <w:u w:val="single"/>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滨海县城东大道（迎宾大道-东海大道）智慧化灯杆等采购及安装项目</w:t>
      </w:r>
      <w:r>
        <w:rPr>
          <w:sz w:val="24"/>
          <w:szCs w:val="24"/>
        </w:rPr>
        <w:t xml:space="preserve">的潜在投标人</w:t>
      </w:r>
      <w:r>
        <w:rPr>
          <w:rFonts w:hint="eastAsia"/>
          <w:sz w:val="24"/>
          <w:szCs w:val="24"/>
        </w:rPr>
        <w:t xml:space="preserve">可</w:t>
      </w:r>
      <w:r>
        <w:rPr>
          <w:sz w:val="24"/>
          <w:szCs w:val="24"/>
        </w:rPr>
        <w:t xml:space="preserve">在</w:t>
      </w:r>
      <w:r>
        <w:rPr>
          <w:rFonts w:hint="eastAsia"/>
          <w:sz w:val="24"/>
          <w:szCs w:val="24"/>
        </w:rPr>
        <w:t xml:space="preserve">“中国政府采购网”、“江苏政府采购网”、“盐城市政府采购网”</w:t>
      </w:r>
      <w:r>
        <w:rPr>
          <w:sz w:val="24"/>
          <w:szCs w:val="24"/>
        </w:rPr>
        <w:t xml:space="preserve">获取招标文件，</w:t>
      </w:r>
      <w:r>
        <w:rPr>
          <w:highlight w:val="none"/>
        </w:rPr>
        <w:fldChar w:fldCharType="begin"/>
      </w:r>
      <w:r>
        <w:rPr>
          <w:highlight w:val="none"/>
        </w:rPr>
        <w:instrText xml:space="preserve"> HYPERLINK "http://www.binhai.gov.cn/）获取招标文件，并于2023年12月" </w:instrText>
      </w:r>
      <w:r>
        <w:rPr>
          <w:highlight w:val="none"/>
        </w:rPr>
        <w:fldChar w:fldCharType="separate"/>
      </w:r>
      <w:r>
        <w:rPr>
          <w:rStyle w:val="1001"/>
          <w:rFonts w:hint="eastAsia" w:ascii="宋体" w:hAnsi="宋体" w:cs="宋体"/>
          <w:b/>
          <w:bCs/>
          <w:color w:val="000000"/>
          <w:sz w:val="24"/>
          <w:szCs w:val="24"/>
          <w:highlight w:val="none"/>
          <w:u w:val="none"/>
        </w:rPr>
        <w:t xml:space="preserve">并于</w:t>
      </w:r>
      <w:r>
        <w:rPr>
          <w:rStyle w:val="1001"/>
          <w:rFonts w:hint="eastAsia" w:ascii="宋体" w:hAnsi="宋体" w:cs="宋体"/>
          <w:b/>
          <w:bCs/>
          <w:color w:val="000000"/>
          <w:sz w:val="24"/>
          <w:szCs w:val="24"/>
          <w:highlight w:val="none"/>
        </w:rPr>
        <w:t xml:space="preserve">2024年1</w:t>
      </w:r>
      <w:r>
        <w:rPr>
          <w:rStyle w:val="1001"/>
          <w:rFonts w:hint="eastAsia" w:ascii="宋体" w:hAnsi="宋体" w:cs="宋体"/>
          <w:b/>
          <w:bCs/>
          <w:color w:val="000000"/>
          <w:sz w:val="24"/>
          <w:szCs w:val="24"/>
          <w:highlight w:val="none"/>
          <w:lang w:val="en-US" w:eastAsia="zh-CN"/>
        </w:rPr>
        <w:t xml:space="preserve">2</w:t>
      </w:r>
      <w:r>
        <w:rPr>
          <w:rStyle w:val="1001"/>
          <w:rFonts w:hint="eastAsia" w:ascii="宋体" w:hAnsi="宋体" w:cs="宋体"/>
          <w:b/>
          <w:bCs/>
          <w:color w:val="000000"/>
          <w:sz w:val="24"/>
          <w:szCs w:val="24"/>
          <w:highlight w:val="none"/>
        </w:rPr>
        <w:t xml:space="preserve">月</w:t>
      </w:r>
      <w:r>
        <w:rPr>
          <w:rStyle w:val="1001"/>
          <w:rFonts w:hint="eastAsia" w:ascii="宋体" w:hAnsi="宋体" w:cs="宋体"/>
          <w:b/>
          <w:bCs/>
          <w:color w:val="000000"/>
          <w:sz w:val="24"/>
          <w:szCs w:val="24"/>
          <w:highlight w:val="none"/>
        </w:rPr>
        <w:fldChar w:fldCharType="end"/>
      </w:r>
      <w:r>
        <w:rPr>
          <w:rStyle w:val="1001"/>
          <w:rFonts w:hint="eastAsia" w:ascii="宋体" w:hAnsi="宋体" w:cs="宋体"/>
          <w:b/>
          <w:bCs/>
          <w:color w:val="000000"/>
          <w:sz w:val="24"/>
          <w:szCs w:val="24"/>
          <w:highlight w:val="none"/>
          <w:lang w:val="en-US" w:eastAsia="zh-CN"/>
        </w:rPr>
        <w:t xml:space="preserve">26</w:t>
      </w:r>
      <w:r>
        <w:rPr>
          <w:rFonts w:hint="eastAsia" w:ascii="宋体" w:hAnsi="宋体" w:cs="宋体"/>
          <w:b/>
          <w:bCs/>
          <w:sz w:val="24"/>
          <w:szCs w:val="24"/>
          <w:highlight w:val="none"/>
          <w:u w:val="single"/>
        </w:rPr>
        <w:t xml:space="preserve">日</w:t>
      </w:r>
      <w:r>
        <w:rPr>
          <w:rFonts w:hint="eastAsia" w:ascii="宋体" w:hAnsi="宋体" w:cs="宋体"/>
          <w:b/>
          <w:bCs/>
          <w:sz w:val="24"/>
          <w:szCs w:val="24"/>
          <w:highlight w:val="none"/>
          <w:u w:val="single"/>
          <w:lang w:val="en-US" w:eastAsia="zh-CN"/>
        </w:rPr>
        <w:t xml:space="preserve">9</w:t>
      </w:r>
      <w:r>
        <w:rPr>
          <w:rFonts w:hint="eastAsia" w:ascii="宋体" w:hAnsi="宋体" w:cs="宋体"/>
          <w:b/>
          <w:bCs/>
          <w:sz w:val="24"/>
          <w:szCs w:val="24"/>
          <w:highlight w:val="none"/>
          <w:u w:val="single"/>
        </w:rPr>
        <w:t xml:space="preserve">点00分00秒</w:t>
      </w:r>
      <w:r>
        <w:rPr>
          <w:bCs/>
          <w:sz w:val="24"/>
          <w:szCs w:val="24"/>
          <w:u w:val="single"/>
        </w:rPr>
        <w:t xml:space="preserve">（</w:t>
      </w:r>
      <w:r>
        <w:rPr>
          <w:bCs/>
          <w:sz w:val="24"/>
          <w:szCs w:val="24"/>
        </w:rPr>
        <w:t xml:space="preserve">北京时间）前递交投标文件</w:t>
      </w:r>
      <w:r>
        <w:rPr>
          <w:sz w:val="24"/>
          <w:szCs w:val="24"/>
        </w:rPr>
        <w:t xml:space="preserve">。</w:t>
      </w:r>
      <w:r/>
    </w:p>
    <w:p>
      <w:pPr>
        <w:pStyle w:val="949"/>
        <w:ind w:firstLine="480"/>
        <w:jc w:val="left"/>
        <w:spacing w:line="520" w:lineRule="exact"/>
        <w:tabs>
          <w:tab w:val="left" w:pos="0" w:leader="none"/>
          <w:tab w:val="left" w:pos="3165" w:leader="none"/>
          <w:tab w:val="center" w:pos="4153" w:leader="none"/>
        </w:tabs>
        <w:rPr>
          <w:rFonts w:ascii="Times New Roman" w:eastAsia="宋体"/>
          <w:sz w:val="24"/>
          <w:szCs w:val="24"/>
        </w:rPr>
      </w:pPr>
      <w:r/>
      <w:bookmarkStart w:id="7" w:name="_Toc28359079"/>
      <w:r/>
      <w:bookmarkStart w:id="8" w:name="_Toc35393621"/>
      <w:r/>
      <w:bookmarkStart w:id="9" w:name="_Toc35393790"/>
      <w:r/>
      <w:bookmarkStart w:id="10" w:name="_Toc28359002"/>
      <w:r/>
      <w:bookmarkStart w:id="11" w:name="_Hlk24379207"/>
      <w:r>
        <w:rPr>
          <w:rFonts w:ascii="Times New Roman" w:eastAsia="宋体"/>
          <w:sz w:val="24"/>
          <w:szCs w:val="24"/>
        </w:rPr>
        <w:t xml:space="preserve">一、项目基本情况</w:t>
      </w:r>
      <w:bookmarkEnd w:id="7"/>
      <w:r/>
      <w:bookmarkEnd w:id="8"/>
      <w:r/>
      <w:bookmarkEnd w:id="9"/>
      <w:r/>
      <w:bookmarkEnd w:id="10"/>
      <w:r/>
      <w:r/>
    </w:p>
    <w:p>
      <w:pPr>
        <w:ind w:firstLine="480"/>
        <w:spacing w:line="520" w:lineRule="exact"/>
        <w:rPr>
          <w:rFonts w:hint="eastAsia" w:ascii="宋体" w:hAnsi="宋体" w:eastAsia="宋体" w:cs="宋体"/>
          <w:sz w:val="24"/>
          <w:szCs w:val="24"/>
          <w:highlight w:val="none"/>
          <w:u w:val="single"/>
          <w:lang w:eastAsia="zh-CN"/>
        </w:rPr>
      </w:pPr>
      <w:r>
        <w:rPr>
          <w:rFonts w:hint="eastAsia" w:ascii="宋体" w:hAnsi="宋体" w:cs="宋体"/>
          <w:sz w:val="24"/>
          <w:szCs w:val="24"/>
        </w:rPr>
        <w:t xml:space="preserve">1.项目编号：</w:t>
      </w:r>
      <w:r>
        <w:rPr>
          <w:rFonts w:hint="eastAsia" w:ascii="宋体" w:hAnsi="宋体" w:cs="宋体"/>
          <w:sz w:val="24"/>
          <w:szCs w:val="24"/>
          <w:highlight w:val="none"/>
          <w:lang w:eastAsia="zh-CN"/>
        </w:rPr>
        <w:t xml:space="preserve">JSZC-320922-BHJD-G2024-0005</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2.项目名称：</w:t>
      </w:r>
      <w:bookmarkEnd w:id="11"/>
      <w:r>
        <w:rPr>
          <w:rFonts w:hint="eastAsia" w:ascii="宋体" w:hAnsi="宋体" w:cs="宋体"/>
          <w:sz w:val="24"/>
          <w:szCs w:val="24"/>
        </w:rPr>
        <w:t xml:space="preserve">滨海县城东大道（迎宾大道-东海大道）智慧化灯杆等采购及安装项目</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3.采购方式：公开招标</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4.预算金额：</w:t>
      </w:r>
      <w:r>
        <w:rPr>
          <w:rFonts w:hint="eastAsia" w:ascii="宋体" w:hAnsi="宋体" w:cs="宋体"/>
          <w:color w:val="000000"/>
          <w:sz w:val="24"/>
          <w:szCs w:val="24"/>
          <w:highlight w:val="none"/>
        </w:rPr>
        <w:t xml:space="preserve">人民币</w:t>
      </w:r>
      <w:r>
        <w:rPr>
          <w:rFonts w:hint="eastAsia" w:ascii="宋体" w:hAnsi="宋体" w:cs="宋体"/>
          <w:color w:val="000000"/>
          <w:sz w:val="24"/>
          <w:szCs w:val="24"/>
          <w:highlight w:val="none"/>
          <w:lang w:val="en-US" w:eastAsia="zh-CN"/>
        </w:rPr>
        <w:t xml:space="preserve">1552</w:t>
      </w:r>
      <w:r>
        <w:rPr>
          <w:rFonts w:hint="eastAsia" w:ascii="宋体" w:hAnsi="宋体" w:cs="宋体"/>
          <w:color w:val="000000"/>
          <w:sz w:val="24"/>
          <w:szCs w:val="24"/>
          <w:highlight w:val="none"/>
        </w:rPr>
        <w:t xml:space="preserve">万元</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5.最高限价：人民币</w:t>
      </w:r>
      <w:r>
        <w:rPr>
          <w:rFonts w:hint="eastAsia" w:ascii="宋体" w:hAnsi="宋体" w:cs="宋体"/>
          <w:sz w:val="24"/>
          <w:szCs w:val="24"/>
          <w:highlight w:val="none"/>
          <w:lang w:val="en-US" w:eastAsia="zh-CN"/>
        </w:rPr>
        <w:t xml:space="preserve">1552</w:t>
      </w:r>
      <w:r>
        <w:rPr>
          <w:rFonts w:hint="eastAsia" w:ascii="宋体" w:hAnsi="宋体" w:cs="宋体"/>
          <w:sz w:val="24"/>
          <w:szCs w:val="24"/>
          <w:highlight w:val="none"/>
        </w:rPr>
        <w:t xml:space="preserve">万元</w:t>
      </w:r>
      <w:r/>
    </w:p>
    <w:p>
      <w:pPr>
        <w:ind w:firstLine="480"/>
        <w:spacing w:line="440" w:lineRule="exact"/>
        <w:rPr>
          <w:rFonts w:hint="eastAsia" w:ascii="宋体" w:hAnsi="宋体" w:cs="宋体"/>
          <w:color w:val="000000"/>
          <w:sz w:val="24"/>
          <w:szCs w:val="24"/>
        </w:rPr>
      </w:pPr>
      <w:r>
        <w:rPr>
          <w:rFonts w:hint="eastAsia" w:ascii="宋体" w:hAnsi="宋体" w:cs="宋体"/>
          <w:sz w:val="24"/>
          <w:szCs w:val="24"/>
        </w:rPr>
        <w:t xml:space="preserve">6.采购需求：滨海县城东大道（迎宾大道-东海大道）智慧化灯杆等采购及安装项目，</w:t>
      </w:r>
      <w:r>
        <w:rPr>
          <w:rFonts w:hint="eastAsia" w:ascii="宋体" w:hAnsi="宋体" w:cs="宋体"/>
          <w:color w:val="000000"/>
          <w:sz w:val="24"/>
          <w:szCs w:val="24"/>
        </w:rPr>
        <w:t xml:space="preserve">具体内容详见第四章。</w:t>
      </w:r>
      <w:r/>
    </w:p>
    <w:p>
      <w:pPr>
        <w:ind w:firstLine="480"/>
        <w:spacing w:line="520" w:lineRule="exact"/>
        <w:rPr>
          <w:rFonts w:hint="eastAsia" w:ascii="宋体" w:hAnsi="宋体" w:cs="宋体"/>
          <w:sz w:val="24"/>
          <w:szCs w:val="24"/>
        </w:rPr>
      </w:pPr>
      <w:r/>
      <w:bookmarkStart w:id="12" w:name="_Toc28359080"/>
      <w:r/>
      <w:bookmarkStart w:id="13" w:name="_Toc28359003"/>
      <w:r/>
      <w:bookmarkStart w:id="14" w:name="_Toc35393622"/>
      <w:r/>
      <w:bookmarkStart w:id="15" w:name="_Toc35393791"/>
      <w:r>
        <w:rPr>
          <w:rFonts w:hint="eastAsia" w:ascii="宋体" w:hAnsi="宋体" w:cs="宋体"/>
          <w:sz w:val="24"/>
          <w:szCs w:val="24"/>
        </w:rPr>
        <w:t xml:space="preserve">7.项目地点：采购人指定地点。</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9.质量要求及验收标准：合格。</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备注：货物质量等级为“合格”,并符合招标文件中技术要求、国家现行的相关规范标准及有关部门颁布的较高标准；项目确保按规范和标准验收，且达国家合格标准。</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10.免费质保期：本项目免费质保期不少于 2 年。</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11.供货期限：30日历天（合同签订后30个日历天内完成设备供货及安装调试）。</w:t>
      </w:r>
      <w:r/>
    </w:p>
    <w:p>
      <w:pPr>
        <w:ind w:firstLine="480"/>
        <w:spacing w:line="520" w:lineRule="exact"/>
        <w:rPr>
          <w:rFonts w:hint="eastAsia" w:ascii="宋体" w:hAnsi="宋体" w:cs="宋体"/>
        </w:rPr>
      </w:pPr>
      <w:r>
        <w:rPr>
          <w:rFonts w:hint="eastAsia" w:ascii="宋体" w:hAnsi="宋体" w:cs="宋体"/>
          <w:sz w:val="24"/>
          <w:szCs w:val="24"/>
        </w:rPr>
        <w:t xml:space="preserve">12.本项目不接受联合体</w:t>
      </w:r>
      <w:r>
        <w:rPr>
          <w:rFonts w:hint="eastAsia" w:ascii="宋体" w:hAnsi="宋体" w:cs="宋体"/>
          <w:bCs/>
          <w:sz w:val="24"/>
          <w:szCs w:val="24"/>
        </w:rPr>
        <w:t xml:space="preserve">投标</w:t>
      </w:r>
      <w:r>
        <w:rPr>
          <w:rFonts w:hint="eastAsia" w:ascii="宋体" w:hAnsi="宋体" w:cs="宋体"/>
          <w:sz w:val="24"/>
          <w:szCs w:val="24"/>
        </w:rPr>
        <w:t xml:space="preserve">。</w:t>
      </w:r>
      <w:r/>
    </w:p>
    <w:p>
      <w:pPr>
        <w:ind w:firstLine="480"/>
        <w:spacing w:line="520" w:lineRule="exact"/>
        <w:rPr>
          <w:sz w:val="24"/>
          <w:szCs w:val="24"/>
        </w:rPr>
      </w:pPr>
      <w:r>
        <w:rPr>
          <w:sz w:val="24"/>
          <w:szCs w:val="24"/>
        </w:rPr>
        <w:t xml:space="preserve">二、申请人的资格要求：</w:t>
      </w:r>
      <w:bookmarkEnd w:id="12"/>
      <w:r/>
      <w:bookmarkEnd w:id="13"/>
      <w:r/>
      <w:bookmarkEnd w:id="14"/>
      <w:r/>
      <w:bookmarkEnd w:id="15"/>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1.1法人或者其他组织的营业执照等证明文件，自然人的身份证明；</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1.2上一年度的财务报表（成立不满一年不需提供）；</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1.3具备履行合同所必需的设备和专业技术能力的书面声明；</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1.4</w:t>
      </w:r>
      <w:r>
        <w:rPr>
          <w:rFonts w:ascii="宋体" w:hAnsi="宋体" w:cs="宋体"/>
          <w:iCs/>
          <w:color w:val="000000"/>
          <w:sz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4"/>
          <w:szCs w:val="24"/>
        </w:rPr>
        <w:t xml:space="preserve">；</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p>
    <w:p>
      <w:pPr>
        <w:ind w:left="420"/>
        <w:spacing w:line="420" w:lineRule="exact"/>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w:t>
      </w:r>
      <w:r>
        <w:rPr>
          <w:rFonts w:hint="eastAsia" w:ascii="宋体" w:hAnsi="宋体" w:cs="宋体"/>
          <w:color w:val="000000"/>
          <w:sz w:val="24"/>
          <w:szCs w:val="24"/>
        </w:rPr>
        <w:t xml:space="preserve">法律、行政法规规定的其他条件。</w:t>
      </w:r>
      <w:r/>
    </w:p>
    <w:p>
      <w:pPr>
        <w:ind w:firstLine="480"/>
        <w:spacing w:line="520" w:lineRule="exact"/>
        <w:rPr>
          <w:rFonts w:hint="eastAsia" w:ascii="宋体" w:hAnsi="宋体" w:cs="宋体"/>
          <w:sz w:val="24"/>
          <w:szCs w:val="24"/>
        </w:rPr>
      </w:pPr>
      <w:r/>
      <w:bookmarkStart w:id="16" w:name="_Toc28359081"/>
      <w:r/>
      <w:bookmarkStart w:id="17" w:name="_Toc28359004"/>
      <w:r>
        <w:rPr>
          <w:rFonts w:hint="eastAsia" w:ascii="宋体" w:hAnsi="宋体" w:cs="宋体"/>
          <w:sz w:val="24"/>
          <w:szCs w:val="24"/>
        </w:rPr>
        <w:t xml:space="preserve">2.落实政府采购政策需满足的资格要求：</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本项目（是/否）属于专门面向中小企业采购的项目：</w:t>
      </w:r>
      <w:r>
        <w:rPr>
          <w:rFonts w:hint="eastAsia" w:ascii="宋体" w:hAnsi="宋体" w:cs="宋体"/>
          <w:sz w:val="24"/>
          <w:szCs w:val="24"/>
          <w:u w:val="single"/>
        </w:rPr>
        <w:t xml:space="preserve"> 否 </w:t>
      </w:r>
      <w:r>
        <w:rPr>
          <w:rFonts w:hint="eastAsia" w:ascii="宋体" w:hAnsi="宋体" w:cs="宋体"/>
          <w:sz w:val="24"/>
          <w:szCs w:val="24"/>
        </w:rPr>
        <w:t xml:space="preserve">。</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3.本项目的特定资格要求：</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3.1未被“信用中国”网站（www.creditchina.gov.cn）列入失信被执行人、重大税收违法失信主体、政府采购严重失信行为记录名单。</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3.2单位负责人为同一人或者存在直接控股、管理关系的不同供应商，不得参加同一合同项下的政府采购活动。</w:t>
      </w:r>
      <w:r/>
    </w:p>
    <w:p>
      <w:pPr>
        <w:ind w:firstLine="480"/>
        <w:spacing w:line="520" w:lineRule="exact"/>
        <w:rPr>
          <w:sz w:val="24"/>
          <w:szCs w:val="24"/>
        </w:rPr>
      </w:pPr>
      <w:r/>
      <w:bookmarkStart w:id="18" w:name="_Toc35393623"/>
      <w:r/>
      <w:bookmarkStart w:id="19" w:name="_Toc35393792"/>
      <w:r>
        <w:rPr>
          <w:sz w:val="24"/>
          <w:szCs w:val="24"/>
        </w:rPr>
        <w:t xml:space="preserve">三、获取招标文件</w:t>
      </w:r>
      <w:bookmarkEnd w:id="16"/>
      <w:r/>
      <w:bookmarkEnd w:id="17"/>
      <w:r/>
      <w:bookmarkEnd w:id="18"/>
      <w:r/>
      <w:bookmarkEnd w:id="19"/>
      <w:r/>
      <w:bookmarkStart w:id="20" w:name="_Toc28359007"/>
      <w:r/>
      <w:bookmarkStart w:id="21" w:name="_Toc35393794"/>
      <w:r/>
      <w:bookmarkStart w:id="22" w:name="_Toc35393625"/>
      <w:r/>
      <w:bookmarkStart w:id="23" w:name="_Toc28359084"/>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b/>
          <w:bCs/>
          <w:sz w:val="24"/>
          <w:szCs w:val="24"/>
          <w:highlight w:val="none"/>
          <w:u w:val="single"/>
        </w:rPr>
        <w:t xml:space="preserve">2024年1</w:t>
      </w:r>
      <w:r>
        <w:rPr>
          <w:rFonts w:hint="eastAsia" w:ascii="宋体" w:hAnsi="宋体" w:cs="宋体"/>
          <w:b/>
          <w:bCs/>
          <w:sz w:val="24"/>
          <w:szCs w:val="24"/>
          <w:highlight w:val="none"/>
          <w:u w:val="single"/>
          <w:lang w:val="en-US" w:eastAsia="zh-CN"/>
        </w:rPr>
        <w:t xml:space="preserve">2</w:t>
      </w:r>
      <w:r>
        <w:rPr>
          <w:rFonts w:hint="eastAsia" w:ascii="宋体" w:hAnsi="宋体" w:cs="宋体"/>
          <w:b/>
          <w:bCs/>
          <w:sz w:val="24"/>
          <w:szCs w:val="24"/>
          <w:highlight w:val="none"/>
          <w:u w:val="single"/>
        </w:rPr>
        <w:t xml:space="preserve">月</w:t>
      </w:r>
      <w:r>
        <w:rPr>
          <w:rFonts w:hint="eastAsia" w:ascii="宋体" w:hAnsi="宋体" w:cs="宋体"/>
          <w:b/>
          <w:bCs/>
          <w:sz w:val="24"/>
          <w:szCs w:val="24"/>
          <w:highlight w:val="none"/>
          <w:u w:val="single"/>
          <w:lang w:val="en-US" w:eastAsia="zh-CN"/>
        </w:rPr>
        <w:t xml:space="preserve">5</w:t>
      </w:r>
      <w:r>
        <w:rPr>
          <w:rFonts w:hint="eastAsia" w:ascii="宋体" w:hAnsi="宋体" w:cs="宋体"/>
          <w:b/>
          <w:bCs/>
          <w:sz w:val="24"/>
          <w:szCs w:val="24"/>
          <w:highlight w:val="none"/>
          <w:u w:val="single"/>
        </w:rPr>
        <w:t xml:space="preserve">日至2024年1</w:t>
      </w:r>
      <w:r>
        <w:rPr>
          <w:rFonts w:hint="eastAsia" w:ascii="宋体" w:hAnsi="宋体" w:cs="宋体"/>
          <w:b/>
          <w:bCs/>
          <w:sz w:val="24"/>
          <w:szCs w:val="24"/>
          <w:highlight w:val="none"/>
          <w:u w:val="single"/>
          <w:lang w:val="en-US" w:eastAsia="zh-CN"/>
        </w:rPr>
        <w:t xml:space="preserve">2</w:t>
      </w:r>
      <w:r>
        <w:rPr>
          <w:rFonts w:hint="eastAsia" w:ascii="宋体" w:hAnsi="宋体" w:cs="宋体"/>
          <w:b/>
          <w:bCs/>
          <w:sz w:val="24"/>
          <w:szCs w:val="24"/>
          <w:highlight w:val="none"/>
          <w:u w:val="single"/>
        </w:rPr>
        <w:t xml:space="preserve">月</w:t>
      </w:r>
      <w:r>
        <w:rPr>
          <w:rFonts w:hint="eastAsia" w:ascii="宋体" w:hAnsi="宋体" w:cs="宋体"/>
          <w:b/>
          <w:bCs/>
          <w:sz w:val="24"/>
          <w:szCs w:val="24"/>
          <w:highlight w:val="none"/>
          <w:u w:val="single"/>
          <w:lang w:val="en-US" w:eastAsia="zh-CN"/>
        </w:rPr>
        <w:t xml:space="preserve">12</w:t>
      </w:r>
      <w:r>
        <w:rPr>
          <w:rFonts w:hint="eastAsia" w:ascii="宋体" w:hAnsi="宋体" w:cs="宋体"/>
          <w:b/>
          <w:bCs/>
          <w:sz w:val="24"/>
          <w:szCs w:val="24"/>
          <w:highlight w:val="none"/>
          <w:u w:val="single"/>
        </w:rPr>
        <w:t xml:space="preserve">日</w:t>
      </w:r>
      <w:r>
        <w:rPr>
          <w:rFonts w:hint="eastAsia" w:ascii="宋体" w:hAnsi="宋体" w:cs="宋体"/>
          <w:sz w:val="24"/>
          <w:szCs w:val="24"/>
          <w:highlight w:val="none"/>
        </w:rPr>
        <w:t xml:space="preserve">，每</w:t>
      </w:r>
      <w:r>
        <w:rPr>
          <w:rFonts w:hint="eastAsia" w:ascii="宋体" w:hAnsi="宋体" w:cs="宋体"/>
          <w:sz w:val="24"/>
          <w:szCs w:val="24"/>
        </w:rPr>
        <w:t xml:space="preserve">天上午00:00至12:00，下午12:00至23:59（北京时间，法定节假日除外）。</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2.地点：</w:t>
      </w:r>
      <w:r>
        <w:rPr>
          <w:rFonts w:hint="eastAsia" w:ascii="宋体" w:hAnsi="宋体" w:cs="宋体"/>
          <w:sz w:val="24"/>
        </w:rPr>
        <w:t xml:space="preserve">中国政府采购网、江苏政府采购网、盐城市政府采购网</w:t>
      </w:r>
      <w:r>
        <w:rPr>
          <w:rFonts w:hint="eastAsia" w:ascii="宋体" w:hAnsi="宋体" w:cs="宋体"/>
          <w:sz w:val="24"/>
          <w:szCs w:val="24"/>
        </w:rPr>
        <w:t xml:space="preserve">。</w:t>
      </w:r>
      <w:r/>
    </w:p>
    <w:p>
      <w:pPr>
        <w:ind w:firstLine="480"/>
        <w:spacing w:line="520" w:lineRule="exact"/>
        <w:rPr>
          <w:sz w:val="24"/>
          <w:szCs w:val="24"/>
        </w:rPr>
      </w:pPr>
      <w:r>
        <w:rPr>
          <w:rFonts w:hint="eastAsia" w:ascii="宋体" w:hAnsi="宋体" w:cs="宋体"/>
          <w:sz w:val="24"/>
          <w:szCs w:val="24"/>
        </w:rPr>
        <w:t xml:space="preserve">3.方式</w:t>
      </w:r>
      <w:r>
        <w:rPr>
          <w:sz w:val="24"/>
          <w:szCs w:val="24"/>
        </w:rPr>
        <w:t xml:space="preserve">：</w:t>
      </w:r>
      <w:r>
        <w:rPr>
          <w:rFonts w:hint="eastAsia"/>
          <w:sz w:val="24"/>
          <w:szCs w:val="24"/>
        </w:rPr>
        <w:t xml:space="preserve">在“中国政府采购网”、“江苏政府采购网”、“盐城市政府采购网”自行免费下载招标文件。</w:t>
      </w:r>
      <w:r/>
    </w:p>
    <w:p>
      <w:pPr>
        <w:ind w:firstLine="480"/>
        <w:spacing w:line="520" w:lineRule="exact"/>
        <w:rPr>
          <w:sz w:val="24"/>
          <w:szCs w:val="24"/>
        </w:rPr>
      </w:pPr>
      <w:r>
        <w:rPr>
          <w:rFonts w:hint="eastAsia" w:ascii="宋体" w:hAnsi="宋体" w:cs="宋体"/>
          <w:sz w:val="24"/>
          <w:szCs w:val="24"/>
        </w:rPr>
        <w:t xml:space="preserve">4.售价：0元。</w:t>
      </w:r>
      <w:r/>
    </w:p>
    <w:p>
      <w:pPr>
        <w:ind w:firstLine="480"/>
        <w:spacing w:line="520" w:lineRule="exact"/>
        <w:rPr>
          <w:sz w:val="24"/>
          <w:szCs w:val="24"/>
        </w:rPr>
      </w:pPr>
      <w:r>
        <w:rPr>
          <w:rFonts w:hint="eastAsia"/>
          <w:sz w:val="24"/>
          <w:szCs w:val="24"/>
        </w:rPr>
        <w:t xml:space="preserve">四、</w:t>
      </w:r>
      <w:r>
        <w:rPr>
          <w:sz w:val="24"/>
          <w:szCs w:val="24"/>
        </w:rPr>
        <w:t xml:space="preserve">提交投标文件截止时间、开标时间和地点</w:t>
      </w:r>
      <w:r/>
    </w:p>
    <w:p>
      <w:pPr>
        <w:ind w:left="480"/>
        <w:spacing w:line="520" w:lineRule="exact"/>
        <w:rPr>
          <w:rFonts w:hint="eastAsia" w:ascii="宋体" w:hAnsi="宋体" w:cs="宋体"/>
          <w:sz w:val="24"/>
          <w:szCs w:val="24"/>
        </w:rPr>
      </w:pPr>
      <w:r>
        <w:rPr>
          <w:rFonts w:hint="eastAsia" w:ascii="宋体" w:hAnsi="宋体" w:cs="宋体"/>
          <w:sz w:val="24"/>
          <w:szCs w:val="24"/>
        </w:rPr>
        <w:t xml:space="preserve">1.时</w:t>
      </w:r>
      <w:r>
        <w:rPr>
          <w:rFonts w:hint="eastAsia" w:ascii="宋体" w:hAnsi="宋体" w:cs="宋体"/>
          <w:sz w:val="24"/>
          <w:szCs w:val="24"/>
          <w:highlight w:val="none"/>
        </w:rPr>
        <w:t xml:space="preserve">间：</w:t>
      </w:r>
      <w:r>
        <w:rPr>
          <w:rFonts w:hint="eastAsia" w:ascii="宋体" w:hAnsi="宋体" w:cs="宋体"/>
          <w:b/>
          <w:bCs/>
          <w:sz w:val="24"/>
          <w:szCs w:val="24"/>
          <w:highlight w:val="none"/>
          <w:u w:val="single"/>
        </w:rPr>
        <w:t xml:space="preserve">2024年12月</w:t>
      </w:r>
      <w:r>
        <w:rPr>
          <w:rFonts w:hint="eastAsia" w:ascii="宋体" w:hAnsi="宋体" w:cs="宋体"/>
          <w:b/>
          <w:bCs/>
          <w:sz w:val="24"/>
          <w:szCs w:val="24"/>
          <w:highlight w:val="none"/>
          <w:u w:val="single"/>
          <w:lang w:val="en-US" w:eastAsia="zh-CN"/>
        </w:rPr>
        <w:t xml:space="preserve">26</w:t>
      </w:r>
      <w:r>
        <w:rPr>
          <w:rFonts w:hint="eastAsia" w:ascii="宋体" w:hAnsi="宋体" w:cs="宋体"/>
          <w:b/>
          <w:bCs/>
          <w:sz w:val="24"/>
          <w:szCs w:val="24"/>
          <w:highlight w:val="none"/>
          <w:u w:val="single"/>
        </w:rPr>
        <w:t xml:space="preserve">日</w:t>
      </w:r>
      <w:r>
        <w:rPr>
          <w:rFonts w:hint="eastAsia" w:ascii="宋体" w:hAnsi="宋体" w:cs="宋体"/>
          <w:b/>
          <w:bCs/>
          <w:sz w:val="24"/>
          <w:szCs w:val="24"/>
          <w:highlight w:val="none"/>
          <w:u w:val="single"/>
          <w:lang w:val="en-US" w:eastAsia="zh-CN"/>
        </w:rPr>
        <w:t xml:space="preserve">9</w:t>
      </w:r>
      <w:r>
        <w:rPr>
          <w:rFonts w:hint="eastAsia" w:ascii="宋体" w:hAnsi="宋体" w:cs="宋体"/>
          <w:b/>
          <w:bCs/>
          <w:sz w:val="24"/>
          <w:szCs w:val="24"/>
          <w:highlight w:val="none"/>
          <w:u w:val="single"/>
        </w:rPr>
        <w:t xml:space="preserve">点00分00秒</w:t>
      </w:r>
      <w:r>
        <w:rPr>
          <w:rFonts w:hint="eastAsia" w:ascii="宋体" w:hAnsi="宋体" w:cs="宋体"/>
          <w:sz w:val="24"/>
          <w:szCs w:val="24"/>
          <w:highlight w:val="none"/>
        </w:rPr>
        <w:t xml:space="preserve">（北</w:t>
      </w:r>
      <w:r>
        <w:rPr>
          <w:rFonts w:hint="eastAsia" w:ascii="宋体" w:hAnsi="宋体" w:cs="宋体"/>
          <w:sz w:val="24"/>
          <w:szCs w:val="24"/>
        </w:rPr>
        <w:t xml:space="preserve">京时间）。</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p>
    <w:p>
      <w:pPr>
        <w:ind w:firstLine="480"/>
        <w:spacing w:line="520" w:lineRule="exact"/>
        <w:rPr>
          <w:sz w:val="24"/>
          <w:szCs w:val="24"/>
        </w:rPr>
      </w:pPr>
      <w:r>
        <w:rPr>
          <w:rFonts w:hint="eastAsia"/>
          <w:sz w:val="24"/>
          <w:szCs w:val="24"/>
        </w:rPr>
        <w:t xml:space="preserve">五、</w:t>
      </w:r>
      <w:r>
        <w:rPr>
          <w:sz w:val="24"/>
          <w:szCs w:val="24"/>
        </w:rPr>
        <w:t xml:space="preserve">公告期限</w:t>
      </w:r>
      <w:bookmarkEnd w:id="20"/>
      <w:r/>
      <w:bookmarkEnd w:id="21"/>
      <w:r/>
      <w:bookmarkEnd w:id="22"/>
      <w:r/>
      <w:bookmarkEnd w:id="23"/>
      <w:r/>
      <w:r/>
    </w:p>
    <w:p>
      <w:pPr>
        <w:ind w:left="480"/>
        <w:spacing w:line="520" w:lineRule="exact"/>
        <w:rPr>
          <w:sz w:val="24"/>
          <w:szCs w:val="24"/>
        </w:rPr>
      </w:pPr>
      <w:r>
        <w:rPr>
          <w:sz w:val="24"/>
          <w:szCs w:val="24"/>
        </w:rPr>
        <w:t xml:space="preserve">自本公告发布之日起5个工作日。</w:t>
      </w:r>
      <w:r/>
    </w:p>
    <w:p>
      <w:pPr>
        <w:pStyle w:val="949"/>
        <w:ind w:firstLine="720"/>
        <w:jc w:val="left"/>
        <w:spacing w:line="520" w:lineRule="exact"/>
        <w:tabs>
          <w:tab w:val="left" w:pos="0" w:leader="none"/>
          <w:tab w:val="left" w:pos="3165" w:leader="none"/>
          <w:tab w:val="center" w:pos="4153" w:leader="none"/>
        </w:tabs>
        <w:rPr>
          <w:rFonts w:ascii="Times New Roman" w:eastAsia="宋体"/>
          <w:sz w:val="24"/>
          <w:szCs w:val="24"/>
        </w:rPr>
      </w:pPr>
      <w:r/>
      <w:bookmarkStart w:id="24" w:name="_Toc35393626"/>
      <w:r/>
      <w:bookmarkStart w:id="25" w:name="_Toc35393795"/>
      <w:r>
        <w:rPr>
          <w:rFonts w:ascii="Times New Roman" w:eastAsia="宋体"/>
          <w:sz w:val="24"/>
          <w:szCs w:val="24"/>
        </w:rPr>
        <w:t xml:space="preserve">六、其他补充事宜</w:t>
      </w:r>
      <w:bookmarkEnd w:id="24"/>
      <w:r/>
      <w:bookmarkEnd w:id="25"/>
      <w:r/>
      <w:r/>
    </w:p>
    <w:p>
      <w:pPr>
        <w:ind w:firstLine="787"/>
        <w:jc w:val="left"/>
        <w:spacing w:line="52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1.根据省财政厅《关</w:t>
      </w:r>
      <w:r>
        <w:rPr>
          <w:rFonts w:hint="eastAsia" w:ascii="宋体" w:hAnsi="宋体" w:cs="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787"/>
        <w:jc w:val="left"/>
        <w:spacing w:line="520" w:lineRule="exact"/>
        <w:shd w:val="clear" w:color="auto" w:fill="ffffff"/>
        <w:widowControl/>
        <w:rPr>
          <w:rFonts w:hint="eastAsia" w:ascii="宋体" w:hAnsi="宋体" w:cs="宋体"/>
          <w:sz w:val="24"/>
          <w:szCs w:val="24"/>
        </w:rPr>
      </w:pPr>
      <w:r>
        <w:rPr>
          <w:rFonts w:hint="eastAsia" w:ascii="宋体" w:hAnsi="宋体" w:cs="宋体"/>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rPr>
          <w:color w:val="auto"/>
        </w:rPr>
        <w:fldChar w:fldCharType="begin"/>
      </w:r>
      <w:r>
        <w:rPr>
          <w:color w:val="auto"/>
        </w:rPr>
        <w:instrText xml:space="preserve"> HYPERLINK "http://czj.yancheng.gov.cn/art/2023/9/14/art_2407_4057499.html。" </w:instrText>
      </w:r>
      <w:r>
        <w:rPr>
          <w:color w:val="auto"/>
        </w:rPr>
        <w:fldChar w:fldCharType="separate"/>
      </w:r>
      <w:r>
        <w:rPr>
          <w:rStyle w:val="789"/>
          <w:rFonts w:hint="eastAsia" w:ascii="宋体" w:hAnsi="宋体" w:cs="宋体"/>
          <w:color w:val="auto"/>
          <w:sz w:val="24"/>
        </w:rPr>
        <w:t xml:space="preserve">http://czj.yancheng.gov.cn/art/2023/9/14/art_2407_4057499.html。</w:t>
      </w:r>
      <w:r>
        <w:rPr>
          <w:rStyle w:val="789"/>
          <w:rFonts w:hint="eastAsia" w:ascii="宋体" w:hAnsi="宋体" w:cs="宋体"/>
          <w:color w:val="auto"/>
          <w:sz w:val="24"/>
        </w:rPr>
        <w:fldChar w:fldCharType="end"/>
      </w:r>
      <w:r/>
    </w:p>
    <w:p>
      <w:pPr>
        <w:ind w:firstLine="787"/>
        <w:jc w:val="left"/>
        <w:spacing w:line="52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2.有关本次招标的事项若存在变动或修改，敬请及时关注代理机构在“中国政府采购网”、“江苏政府采购网”、“盐城市政府采购网”发布的更正公告。</w:t>
      </w:r>
      <w:r/>
    </w:p>
    <w:p>
      <w:pPr>
        <w:ind w:firstLine="787"/>
        <w:jc w:val="left"/>
        <w:spacing w:line="52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3.因供应商的系统环境、操作等原因导致报名、开评标过程中出现问题由供应商自行承担负责。</w:t>
      </w:r>
      <w:r/>
    </w:p>
    <w:p>
      <w:pPr>
        <w:ind w:firstLine="787"/>
        <w:jc w:val="left"/>
        <w:spacing w:line="52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4.本项目不收取投标保证金，不收取质量保证金。</w:t>
      </w:r>
      <w:r/>
    </w:p>
    <w:p>
      <w:pPr>
        <w:ind w:firstLine="787"/>
        <w:jc w:val="left"/>
        <w:spacing w:line="520" w:lineRule="exact"/>
        <w:shd w:val="clear" w:color="auto" w:fill="ffffff"/>
        <w:widowControl/>
        <w:rPr>
          <w:rFonts w:hint="eastAsia" w:ascii="宋体" w:hAnsi="宋体" w:cs="宋体"/>
          <w:b/>
          <w:bCs/>
          <w:color w:val="0000ff"/>
          <w:sz w:val="24"/>
          <w:szCs w:val="24"/>
          <w:highlight w:val="yellow"/>
        </w:rPr>
      </w:pPr>
      <w:r>
        <w:rPr>
          <w:rFonts w:hint="eastAsia" w:ascii="宋体" w:hAnsi="宋体" w:cs="宋体"/>
          <w:sz w:val="24"/>
          <w:szCs w:val="24"/>
        </w:rPr>
        <w:t xml:space="preserve">5.本项目落实小微型企业扶持政府采购政策（详见招标文件）。</w:t>
      </w:r>
      <w:r/>
    </w:p>
    <w:p>
      <w:pPr>
        <w:pStyle w:val="949"/>
        <w:ind w:firstLine="720"/>
        <w:jc w:val="left"/>
        <w:spacing w:line="520" w:lineRule="exact"/>
        <w:tabs>
          <w:tab w:val="left" w:pos="0" w:leader="none"/>
          <w:tab w:val="left" w:pos="3165" w:leader="none"/>
          <w:tab w:val="center" w:pos="4153" w:leader="none"/>
        </w:tabs>
        <w:rPr>
          <w:rFonts w:ascii="Times New Roman" w:eastAsia="宋体"/>
          <w:sz w:val="24"/>
          <w:szCs w:val="24"/>
        </w:rPr>
      </w:pPr>
      <w:r/>
      <w:bookmarkStart w:id="26" w:name="_Toc35393627"/>
      <w:r/>
      <w:bookmarkStart w:id="27" w:name="_Toc28359008"/>
      <w:r/>
      <w:bookmarkStart w:id="28" w:name="_Toc35393796"/>
      <w:r/>
      <w:bookmarkStart w:id="29" w:name="_Toc28359085"/>
      <w:r>
        <w:rPr>
          <w:rFonts w:ascii="Times New Roman" w:eastAsia="宋体"/>
          <w:sz w:val="24"/>
          <w:szCs w:val="24"/>
        </w:rPr>
        <w:t xml:space="preserve">七、对本次招标提出询问，请按以下方式联系。</w:t>
      </w:r>
      <w:bookmarkEnd w:id="26"/>
      <w:r/>
      <w:bookmarkEnd w:id="27"/>
      <w:r/>
      <w:bookmarkEnd w:id="28"/>
      <w:r/>
      <w:bookmarkEnd w:id="29"/>
      <w:r/>
      <w:r/>
    </w:p>
    <w:p>
      <w:pPr>
        <w:pStyle w:val="950"/>
        <w:ind w:firstLine="720"/>
        <w:jc w:val="both"/>
        <w:spacing w:before="0" w:after="0" w:line="520" w:lineRule="exact"/>
        <w:rPr>
          <w:rFonts w:hint="eastAsia" w:ascii="宋体" w:hAnsi="宋体" w:eastAsia="宋体" w:cs="宋体"/>
          <w:b w:val="0"/>
          <w:sz w:val="24"/>
          <w:szCs w:val="24"/>
        </w:rPr>
      </w:pPr>
      <w:r/>
      <w:bookmarkStart w:id="30" w:name="_Toc28359019"/>
      <w:r/>
      <w:bookmarkStart w:id="31" w:name="_Toc28359096"/>
      <w:r/>
      <w:bookmarkStart w:id="32" w:name="_Toc35393806"/>
      <w:r/>
      <w:bookmarkStart w:id="33" w:name="_Toc35393637"/>
      <w:r>
        <w:rPr>
          <w:rFonts w:hint="eastAsia" w:ascii="宋体" w:hAnsi="宋体" w:eastAsia="宋体" w:cs="宋体"/>
          <w:b w:val="0"/>
          <w:sz w:val="24"/>
          <w:szCs w:val="24"/>
        </w:rPr>
        <w:t xml:space="preserve">1.采购人信息</w:t>
      </w:r>
      <w:bookmarkEnd w:id="30"/>
      <w:r/>
      <w:bookmarkEnd w:id="31"/>
      <w:r/>
      <w:bookmarkEnd w:id="32"/>
      <w:r/>
      <w:bookmarkEnd w:id="33"/>
      <w:r/>
      <w:r/>
    </w:p>
    <w:p>
      <w:pPr>
        <w:ind w:firstLine="720"/>
        <w:jc w:val="left"/>
        <w:spacing w:line="520" w:lineRule="exact"/>
        <w:rPr>
          <w:rFonts w:hint="eastAsia" w:ascii="宋体" w:hAnsi="宋体" w:cs="宋体"/>
          <w:sz w:val="24"/>
          <w:szCs w:val="24"/>
        </w:rPr>
      </w:pPr>
      <w:r>
        <w:rPr>
          <w:rFonts w:hint="eastAsia" w:ascii="宋体" w:hAnsi="宋体" w:cs="宋体"/>
          <w:sz w:val="24"/>
          <w:szCs w:val="24"/>
        </w:rPr>
        <w:t xml:space="preserve">名  称：滨海县住房和城乡建设局</w:t>
      </w:r>
      <w:bookmarkStart w:id="78" w:name="_GoBack"/>
      <w:r/>
      <w:bookmarkEnd w:id="78"/>
      <w:r/>
      <w:r/>
    </w:p>
    <w:p>
      <w:pPr>
        <w:ind w:firstLine="720"/>
        <w:jc w:val="left"/>
        <w:spacing w:line="520" w:lineRule="exact"/>
        <w:rPr>
          <w:rFonts w:hint="eastAsia" w:ascii="宋体" w:hAnsi="宋体" w:cs="宋体"/>
          <w:sz w:val="24"/>
          <w:szCs w:val="24"/>
        </w:rPr>
      </w:pPr>
      <w:r>
        <w:rPr>
          <w:rFonts w:hint="eastAsia" w:ascii="宋体" w:hAnsi="宋体" w:cs="宋体"/>
          <w:sz w:val="24"/>
          <w:szCs w:val="24"/>
        </w:rPr>
        <w:t xml:space="preserve">地  址：滨海县东坎镇迎宾大道9号</w:t>
      </w:r>
      <w:r/>
    </w:p>
    <w:p>
      <w:pPr>
        <w:ind w:firstLine="720"/>
        <w:jc w:val="left"/>
        <w:spacing w:line="520" w:lineRule="exact"/>
        <w:rPr>
          <w:rFonts w:hint="eastAsia" w:ascii="宋体" w:hAnsi="宋体" w:cs="宋体"/>
          <w:sz w:val="24"/>
          <w:szCs w:val="24"/>
        </w:rPr>
      </w:pPr>
      <w:r>
        <w:rPr>
          <w:rFonts w:hint="eastAsia" w:ascii="宋体" w:hAnsi="宋体" w:cs="宋体"/>
          <w:sz w:val="24"/>
          <w:szCs w:val="24"/>
        </w:rPr>
        <w:t xml:space="preserve">联系人：江女士</w:t>
      </w:r>
      <w:r/>
    </w:p>
    <w:p>
      <w:pPr>
        <w:ind w:firstLine="720"/>
        <w:jc w:val="left"/>
        <w:spacing w:line="520" w:lineRule="exact"/>
        <w:rPr>
          <w:rFonts w:hint="eastAsia" w:ascii="宋体" w:hAnsi="宋体" w:cs="宋体"/>
          <w:sz w:val="24"/>
          <w:szCs w:val="24"/>
        </w:rPr>
      </w:pPr>
      <w:r>
        <w:rPr>
          <w:rFonts w:hint="eastAsia" w:ascii="宋体" w:hAnsi="宋体" w:cs="宋体"/>
          <w:sz w:val="24"/>
          <w:szCs w:val="24"/>
        </w:rPr>
        <w:t xml:space="preserve">联系手机号码：15895162184</w:t>
      </w:r>
      <w:r/>
    </w:p>
    <w:p>
      <w:pPr>
        <w:pStyle w:val="950"/>
        <w:ind w:firstLine="720"/>
        <w:jc w:val="both"/>
        <w:spacing w:before="0" w:after="0" w:line="520" w:lineRule="exact"/>
        <w:rPr>
          <w:rFonts w:hint="eastAsia" w:ascii="宋体" w:hAnsi="宋体" w:eastAsia="宋体" w:cs="宋体"/>
          <w:b w:val="0"/>
          <w:sz w:val="24"/>
          <w:szCs w:val="24"/>
        </w:rPr>
      </w:pPr>
      <w:r/>
      <w:bookmarkStart w:id="34" w:name="_Toc28359097"/>
      <w:r/>
      <w:bookmarkStart w:id="35" w:name="_Toc35393638"/>
      <w:r/>
      <w:bookmarkStart w:id="36" w:name="_Toc35393807"/>
      <w:r/>
      <w:bookmarkStart w:id="37" w:name="_Toc28359020"/>
      <w:r>
        <w:rPr>
          <w:rFonts w:hint="eastAsia" w:ascii="宋体" w:hAnsi="宋体" w:eastAsia="宋体" w:cs="宋体"/>
          <w:b w:val="0"/>
          <w:sz w:val="24"/>
          <w:szCs w:val="24"/>
        </w:rPr>
        <w:t xml:space="preserve">2.采购代理机构信息</w:t>
      </w:r>
      <w:bookmarkEnd w:id="34"/>
      <w:r/>
      <w:bookmarkEnd w:id="35"/>
      <w:r/>
      <w:bookmarkEnd w:id="36"/>
      <w:r/>
      <w:bookmarkEnd w:id="37"/>
      <w:r/>
      <w:r/>
    </w:p>
    <w:p>
      <w:pPr>
        <w:ind w:firstLine="720"/>
        <w:spacing w:line="520" w:lineRule="exact"/>
        <w:rPr>
          <w:rFonts w:hint="eastAsia" w:ascii="宋体" w:hAnsi="宋体" w:cs="宋体"/>
          <w:sz w:val="24"/>
          <w:szCs w:val="24"/>
        </w:rPr>
      </w:pPr>
      <w:r>
        <w:rPr>
          <w:rFonts w:hint="eastAsia" w:ascii="宋体" w:hAnsi="宋体" w:cs="宋体"/>
          <w:sz w:val="24"/>
          <w:szCs w:val="24"/>
        </w:rPr>
        <w:t xml:space="preserve">名  称：滨海金点子工程项目管理有限公司</w:t>
      </w:r>
      <w:r/>
    </w:p>
    <w:p>
      <w:pPr>
        <w:ind w:firstLine="720"/>
        <w:spacing w:line="520" w:lineRule="exact"/>
        <w:rPr>
          <w:rFonts w:hint="eastAsia" w:ascii="宋体" w:hAnsi="宋体" w:cs="宋体"/>
          <w:sz w:val="24"/>
          <w:szCs w:val="24"/>
        </w:rPr>
      </w:pPr>
      <w:r>
        <w:rPr>
          <w:rFonts w:hint="eastAsia" w:ascii="宋体" w:hAnsi="宋体" w:cs="宋体"/>
          <w:sz w:val="24"/>
          <w:szCs w:val="24"/>
        </w:rPr>
        <w:t xml:space="preserve">地　址：滨海县东坎镇迎宾大道9号</w:t>
      </w:r>
      <w:r/>
    </w:p>
    <w:p>
      <w:pPr>
        <w:ind w:firstLine="787"/>
        <w:jc w:val="left"/>
        <w:spacing w:line="520" w:lineRule="exact"/>
        <w:rPr>
          <w:rFonts w:hint="eastAsia" w:ascii="宋体" w:hAnsi="宋体" w:cs="宋体"/>
          <w:sz w:val="24"/>
          <w:szCs w:val="24"/>
        </w:rPr>
      </w:pPr>
      <w:r/>
      <w:bookmarkStart w:id="38" w:name="_Toc28359021"/>
      <w:r/>
      <w:bookmarkStart w:id="39" w:name="_Toc28359098"/>
      <w:r/>
      <w:bookmarkStart w:id="40" w:name="_Toc35393639"/>
      <w:r/>
      <w:bookmarkStart w:id="41" w:name="_Toc35393808"/>
      <w:r>
        <w:rPr>
          <w:rFonts w:hint="eastAsia" w:ascii="宋体" w:hAnsi="宋体" w:cs="宋体"/>
          <w:sz w:val="24"/>
          <w:szCs w:val="24"/>
        </w:rPr>
        <w:t xml:space="preserve">联系人：任女士               </w:t>
      </w:r>
      <w:r/>
    </w:p>
    <w:p>
      <w:pPr>
        <w:ind w:firstLine="787"/>
        <w:jc w:val="left"/>
        <w:spacing w:line="520" w:lineRule="exact"/>
        <w:rPr>
          <w:rFonts w:hint="eastAsia" w:ascii="宋体" w:hAnsi="宋体" w:cs="宋体"/>
          <w:sz w:val="24"/>
          <w:szCs w:val="24"/>
        </w:rPr>
      </w:pPr>
      <w:r>
        <w:rPr>
          <w:rFonts w:hint="eastAsia" w:ascii="宋体" w:hAnsi="宋体" w:cs="宋体"/>
          <w:sz w:val="24"/>
          <w:szCs w:val="24"/>
        </w:rPr>
        <w:t xml:space="preserve">联系手机号码：18052980753</w:t>
      </w:r>
      <w:r/>
    </w:p>
    <w:p>
      <w:pPr>
        <w:ind w:firstLine="787"/>
        <w:jc w:val="left"/>
        <w:spacing w:line="520" w:lineRule="exact"/>
        <w:rPr>
          <w:rFonts w:hint="eastAsia" w:ascii="宋体" w:hAnsi="宋体" w:cs="宋体"/>
          <w:sz w:val="24"/>
          <w:szCs w:val="24"/>
        </w:rPr>
      </w:pPr>
      <w:r>
        <w:rPr>
          <w:rFonts w:hint="eastAsia" w:ascii="宋体" w:hAnsi="宋体" w:cs="宋体"/>
          <w:sz w:val="24"/>
          <w:szCs w:val="24"/>
        </w:rPr>
        <w:t xml:space="preserve">联系邮箱：251087110@qq.com</w:t>
      </w:r>
      <w:r/>
    </w:p>
    <w:p>
      <w:pPr>
        <w:pStyle w:val="950"/>
        <w:ind w:firstLine="720"/>
        <w:jc w:val="both"/>
        <w:spacing w:before="0" w:after="0" w:line="520" w:lineRule="exact"/>
        <w:rPr>
          <w:rFonts w:hint="eastAsia" w:ascii="宋体" w:hAnsi="宋体" w:eastAsia="宋体" w:cs="宋体"/>
          <w:b w:val="0"/>
          <w:sz w:val="24"/>
          <w:szCs w:val="24"/>
        </w:rPr>
      </w:pPr>
      <w:r>
        <w:rPr>
          <w:rFonts w:hint="eastAsia" w:ascii="宋体" w:hAnsi="宋体" w:eastAsia="宋体" w:cs="宋体"/>
          <w:b w:val="0"/>
          <w:sz w:val="24"/>
          <w:szCs w:val="24"/>
        </w:rPr>
        <w:t xml:space="preserve">3.项目联系方式</w:t>
      </w:r>
      <w:bookmarkEnd w:id="38"/>
      <w:r/>
      <w:bookmarkEnd w:id="39"/>
      <w:r/>
      <w:bookmarkEnd w:id="40"/>
      <w:r/>
      <w:bookmarkEnd w:id="41"/>
      <w:r/>
      <w:r/>
    </w:p>
    <w:p>
      <w:pPr>
        <w:pStyle w:val="974"/>
        <w:ind w:firstLine="720"/>
        <w:spacing w:line="520" w:lineRule="exact"/>
        <w:rPr>
          <w:rFonts w:hint="eastAsia" w:hAnsi="宋体" w:cs="宋体"/>
          <w:sz w:val="24"/>
          <w:szCs w:val="24"/>
        </w:rPr>
      </w:pPr>
      <w:r>
        <w:rPr>
          <w:rFonts w:hint="eastAsia" w:hAnsi="宋体" w:cs="宋体"/>
          <w:sz w:val="24"/>
          <w:szCs w:val="24"/>
        </w:rPr>
        <w:t xml:space="preserve">项目联系人：任女士</w:t>
      </w:r>
      <w:r/>
    </w:p>
    <w:p>
      <w:pPr>
        <w:ind w:firstLine="720"/>
        <w:spacing w:line="520" w:lineRule="exact"/>
        <w:rPr>
          <w:rFonts w:hint="eastAsia" w:ascii="宋体" w:hAnsi="宋体" w:cs="宋体"/>
          <w:sz w:val="24"/>
          <w:szCs w:val="24"/>
        </w:rPr>
      </w:pPr>
      <w:r>
        <w:rPr>
          <w:rFonts w:hint="eastAsia" w:ascii="宋体" w:hAnsi="宋体" w:cs="宋体"/>
          <w:sz w:val="24"/>
          <w:szCs w:val="24"/>
        </w:rPr>
        <w:t xml:space="preserve">手机号码：18052980753</w:t>
      </w:r>
      <w:r/>
    </w:p>
    <w:p>
      <w:pPr>
        <w:ind w:firstLine="720"/>
        <w:spacing w:line="520" w:lineRule="exact"/>
        <w:rPr>
          <w:rFonts w:hint="eastAsia" w:ascii="宋体" w:hAnsi="宋体" w:cs="宋体"/>
          <w:sz w:val="24"/>
          <w:szCs w:val="24"/>
          <w:highlight w:val="yellow"/>
        </w:rPr>
      </w:pPr>
      <w:r>
        <w:rPr>
          <w:rFonts w:hint="eastAsia" w:ascii="宋体" w:hAnsi="宋体" w:cs="宋体"/>
          <w:sz w:val="24"/>
          <w:szCs w:val="24"/>
          <w:highlight w:val="yellow"/>
        </w:rPr>
      </w:r>
      <w:r/>
    </w:p>
    <w:p>
      <w:pPr>
        <w:ind w:firstLine="480"/>
        <w:spacing w:line="420" w:lineRule="auto"/>
        <w:rPr>
          <w:rFonts w:ascii="黑体"/>
        </w:rPr>
      </w:pPr>
      <w:r>
        <w:rPr>
          <w:rFonts w:ascii="黑体"/>
        </w:rPr>
      </w:r>
      <w:r/>
    </w:p>
    <w:p>
      <w:pPr>
        <w:pStyle w:val="950"/>
        <w:ind w:firstLine="883"/>
        <w:jc w:val="both"/>
        <w:spacing w:line="420" w:lineRule="auto"/>
        <w:rPr>
          <w:rFonts w:ascii="黑体" w:eastAsia="黑体"/>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eastAsia="黑体"/>
        </w:rPr>
        <w:t xml:space="preserve">            </w:t>
      </w:r>
      <w:r/>
    </w:p>
    <w:p>
      <w:pPr>
        <w:pStyle w:val="950"/>
        <w:ind w:firstLine="883"/>
        <w:spacing w:line="420" w:lineRule="auto"/>
        <w:rPr>
          <w:rFonts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6"/>
      <w:r/>
      <w:bookmarkStart w:id="42" w:name="_Toc513029202"/>
      <w:r/>
      <w:bookmarkStart w:id="43" w:name="_Toc20823274"/>
      <w:r/>
      <w:bookmarkStart w:id="44" w:name="_Toc120614213"/>
      <w:r/>
      <w:bookmarkStart w:id="45" w:name="_Toc16938518"/>
      <w:r>
        <w:rPr>
          <w:rFonts w:hint="eastAsia" w:ascii="黑体" w:eastAsia="黑体"/>
        </w:rPr>
        <w:t xml:space="preserve">投标人须知</w:t>
      </w:r>
      <w:bookmarkEnd w:id="42"/>
      <w:r/>
      <w:bookmarkEnd w:id="43"/>
      <w:r/>
      <w:bookmarkEnd w:id="44"/>
      <w:r/>
      <w:bookmarkEnd w:id="45"/>
      <w:r/>
      <w:r/>
    </w:p>
    <w:p>
      <w:pPr>
        <w:pStyle w:val="747"/>
        <w:ind w:firstLine="118"/>
        <w:spacing w:before="0" w:after="0" w:line="440" w:lineRule="exact"/>
        <w:pBdr>
          <w:top w:val="none" w:color="000000" w:sz="0" w:space="0"/>
          <w:left w:val="none" w:color="000000" w:sz="0" w:space="0"/>
          <w:bottom w:val="none" w:color="000000" w:sz="0" w:space="0"/>
          <w:right w:val="none" w:color="000000" w:sz="0" w:space="0"/>
        </w:pBdr>
      </w:pPr>
      <w:r/>
      <w:bookmarkStart w:id="46" w:name="_Toc14577355"/>
      <w:r/>
      <w:bookmarkStart w:id="47" w:name="_Toc49090508"/>
      <w:r>
        <w:rPr>
          <w:rFonts w:ascii="宋体" w:hAnsi="宋体" w:eastAsia="宋体" w:cs="宋体"/>
          <w:b/>
          <w:color w:val="000000"/>
          <w:sz w:val="24"/>
        </w:rPr>
        <w:t xml:space="preserve">一、总则</w:t>
      </w:r>
      <w:r/>
    </w:p>
    <w:p>
      <w:pPr>
        <w:pStyle w:val="748"/>
        <w:ind w:firstLine="361"/>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1、招标方式</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pStyle w:val="748"/>
        <w:ind w:firstLine="361"/>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2、合格的投标人</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2.1满足招标公告中投标人的资格要求的规定。</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满足本文件实质性条款的规定。</w:t>
      </w:r>
      <w:r/>
    </w:p>
    <w:p>
      <w:pPr>
        <w:pStyle w:val="748"/>
        <w:ind w:firstLine="361"/>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3、适用法律</w:t>
      </w:r>
      <w:r/>
    </w:p>
    <w:p>
      <w:pPr>
        <w:ind w:firstLine="42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pStyle w:val="748"/>
        <w:ind w:firstLine="361"/>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4、投标费用</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投标人应自行承担所有与参加投标有关的费用，无论投标过程中的做法和结果如何，采购人在任何情况下均无义务和责任承担这些费用。</w:t>
      </w:r>
      <w:r/>
    </w:p>
    <w:p>
      <w:pPr>
        <w:pStyle w:val="748"/>
        <w:ind w:firstLine="482"/>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5、招标文件的约束力</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投标人一旦参加本项目采购活动，即被认为接受了本招标文件的规定和约束，并且视为自招标公告期限届满之日起知道或应当知道自身权益是否受到了损害。</w:t>
      </w:r>
      <w:r/>
    </w:p>
    <w:p>
      <w:pPr>
        <w:pStyle w:val="748"/>
        <w:ind w:firstLine="482"/>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6、招标文件的解释</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本招标文件由采购人负责解释。</w:t>
      </w:r>
      <w:r/>
    </w:p>
    <w:p>
      <w:pPr>
        <w:pStyle w:val="747"/>
        <w:ind w:firstLine="241"/>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二、招标文件</w:t>
      </w:r>
      <w:r/>
    </w:p>
    <w:p>
      <w:pPr>
        <w:pStyle w:val="748"/>
        <w:ind w:firstLine="361"/>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7、招标文件构成</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招标文件有以下部分组成：</w:t>
      </w:r>
      <w:r/>
    </w:p>
    <w:p>
      <w:pPr>
        <w:ind w:firstLine="36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（1）招标公告</w:t>
      </w:r>
      <w:r/>
    </w:p>
    <w:p>
      <w:pPr>
        <w:ind w:firstLine="36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（3）合同条款及格式</w:t>
      </w:r>
      <w:r/>
    </w:p>
    <w:p>
      <w:pPr>
        <w:ind w:firstLine="36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（4）项目需求</w:t>
      </w:r>
      <w:r/>
    </w:p>
    <w:p>
      <w:pPr>
        <w:ind w:firstLine="36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请仔细检查招标文件是否齐全，如有缺漏请立即与采购人或</w:t>
      </w:r>
      <w:r>
        <w:rPr>
          <w:rFonts w:hint="eastAsia" w:ascii="宋体" w:hAnsi="宋体" w:cs="宋体"/>
          <w:color w:val="000000"/>
          <w:sz w:val="24"/>
        </w:rPr>
        <w:t xml:space="preserve">采购代理</w:t>
      </w:r>
      <w:r>
        <w:rPr>
          <w:rFonts w:ascii="宋体" w:hAnsi="宋体" w:cs="宋体"/>
          <w:color w:val="000000"/>
          <w:sz w:val="24"/>
        </w:rPr>
        <w:t xml:space="preserve">机构联系解决。</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8、招标文件的询问及澄清</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8.1任何要求对招标文件进行询问的投标人，应在投标截止日期10日前按招标公告中的通讯地址，向采购人或者采购代理机构提出。</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澄清或者修改的内容可能影响投标文件编制的，采购人或者采购代理机构应当在投标截止时间至少15日前，以书面形式或在网上发布更正公告通知所有获取招标文件的潜在投标人；不足15日的，采购人或者采购代理机构应当顺延提交投标文件的截止时间。</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8.3针对“苏采云”系统有关的询问，投标人应联系系统开发公司，采购人不负责答复。</w:t>
      </w:r>
      <w:r/>
    </w:p>
    <w:p>
      <w:pPr>
        <w:ind w:firstLine="48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9、招标文件的修改</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在投标截止时间前，采购人或者采购代理机构可以对招标文件进行修改。</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 采购人有权依法推迟投标截止日期和开标日期。</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9.3招标文件的修改将在中国政府采购网、江苏政府采购网、盐城市政府采购网公布，补充文件将作为招标文件的组成部分，并对投标人具有约束力。</w:t>
      </w:r>
      <w:r/>
    </w:p>
    <w:p>
      <w:pPr>
        <w:pStyle w:val="747"/>
        <w:ind w:firstLine="361"/>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三、投标文件的编制</w:t>
      </w:r>
      <w:r/>
    </w:p>
    <w:p>
      <w:pPr>
        <w:pStyle w:val="748"/>
        <w:ind w:firstLine="482"/>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10、投标文件的语言及度量衡单位</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投标人提交的投标文件以及投标人与采购人就有关投标的所有来往通知、函件和文件均应使用简体中文。</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除技术性能另有规定外，投标文件所使用的度量衡单位，均须采用国家法定计量单位。</w:t>
      </w:r>
      <w:r/>
    </w:p>
    <w:p>
      <w:pPr>
        <w:pStyle w:val="748"/>
        <w:ind w:firstLine="482"/>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11、投标文件构成</w:t>
      </w:r>
      <w:r/>
    </w:p>
    <w:p>
      <w:pPr>
        <w:ind w:firstLine="480"/>
        <w:spacing w:line="440" w:lineRule="exact"/>
      </w:pPr>
      <w:r>
        <w:rPr>
          <w:rFonts w:ascii="宋体" w:hAnsi="宋体" w:cs="宋体"/>
          <w:color w:val="000000"/>
          <w:sz w:val="24"/>
        </w:rPr>
        <w:t xml:space="preserve">11.1 投标人编写的投标文件应包括资格证明文件、符合性证明文件、投标分项报价表、技术参数响应及偏离表、商务条款响应及偏离表、投标函、开标一览表</w:t>
      </w:r>
      <w:r>
        <w:rPr>
          <w:rFonts w:hint="eastAsia" w:ascii="宋体" w:hAnsi="宋体" w:cs="宋体"/>
          <w:color w:val="000000"/>
          <w:sz w:val="24"/>
        </w:rPr>
        <w:t xml:space="preserve">、</w:t>
      </w:r>
      <w:r>
        <w:rPr>
          <w:rFonts w:hint="eastAsia" w:ascii="宋体" w:hAnsi="宋体"/>
          <w:bCs/>
          <w:sz w:val="24"/>
        </w:rPr>
        <w:t xml:space="preserve">招标文件第四章项目需求中要求提供的相关材料、综合评分法要求提供供评委打分材料（详见综合评分表中）、</w:t>
      </w:r>
      <w:r>
        <w:rPr>
          <w:rFonts w:ascii="宋体" w:hAnsi="宋体" w:cs="宋体"/>
          <w:color w:val="000000"/>
          <w:sz w:val="24"/>
        </w:rPr>
        <w:t xml:space="preserve">其他证明文件等部分。</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如标书制作工具中格式和内容与“中国政府采购网”、“江苏政府采购网”、“盐城市政府采购网”发布的招标文件不一致，请以“中国政府采购网”、“江苏政府采购网”、“盐城市政府采购网”发布的招标文件为准。</w:t>
      </w:r>
      <w:r/>
    </w:p>
    <w:p>
      <w:pPr>
        <w:pStyle w:val="748"/>
        <w:ind w:firstLine="482"/>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12、证明投标人资格及符合招标文件规定的文件</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12.1投标人应按照招标文件要求提交证明文件，证明其及投标标的符合招标文件规定。</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12.2招标文件对证明文件无明确形式要求的，证明文件可以以文字资料、图纸和数据等形式提交。</w:t>
      </w:r>
      <w:r/>
    </w:p>
    <w:p>
      <w:pPr>
        <w:pStyle w:val="748"/>
        <w:ind w:firstLine="482"/>
        <w:spacing w:before="0" w:after="0" w:line="44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13、投标分项报价表</w:t>
      </w:r>
      <w:bookmarkEnd w:id="46"/>
      <w:bookmarkEnd w:id="47"/>
      <w:r/>
    </w:p>
    <w:p>
      <w:pPr>
        <w:ind w:firstLine="480"/>
        <w:spacing w:line="520" w:lineRule="exact"/>
        <w:rPr>
          <w:rFonts w:hint="eastAsia" w:ascii="宋体" w:hAnsi="宋体" w:cs="宋体"/>
          <w:bCs/>
          <w:sz w:val="24"/>
        </w:rPr>
      </w:pPr>
      <w:r>
        <w:rPr>
          <w:rFonts w:hint="eastAsia" w:ascii="宋体" w:hAnsi="宋体" w:cs="宋体"/>
          <w:bCs/>
          <w:sz w:val="24"/>
        </w:rPr>
        <w:t xml:space="preserve">13.1 投标人应按照招标文件规定格式填报投标分项报价表。</w:t>
      </w:r>
      <w:r/>
    </w:p>
    <w:p>
      <w:pPr>
        <w:ind w:firstLine="480"/>
        <w:spacing w:line="520" w:lineRule="exact"/>
        <w:rPr>
          <w:rFonts w:hint="eastAsia" w:ascii="宋体" w:hAnsi="宋体" w:cs="宋体"/>
          <w:sz w:val="24"/>
        </w:rPr>
      </w:pPr>
      <w:r>
        <w:rPr>
          <w:rFonts w:hint="eastAsia" w:ascii="宋体" w:hAnsi="宋体" w:cs="宋体"/>
          <w:bCs/>
          <w:sz w:val="24"/>
        </w:rPr>
        <w:t xml:space="preserve">13.2</w:t>
      </w:r>
      <w:r>
        <w:rPr>
          <w:rFonts w:hint="eastAsia" w:ascii="宋体" w:hAnsi="宋体" w:cs="宋体"/>
          <w:sz w:val="24"/>
        </w:rPr>
        <w:t xml:space="preserve"> 标的物</w:t>
      </w:r>
      <w:r/>
    </w:p>
    <w:p>
      <w:pPr>
        <w:ind w:firstLine="480"/>
        <w:spacing w:line="520" w:lineRule="exact"/>
        <w:rPr>
          <w:rFonts w:hint="eastAsia" w:ascii="宋体" w:hAnsi="宋体" w:cs="宋体"/>
          <w:bCs/>
          <w:sz w:val="24"/>
        </w:rPr>
      </w:pPr>
      <w:r>
        <w:rPr>
          <w:rFonts w:hint="eastAsia" w:ascii="宋体" w:hAnsi="宋体" w:cs="宋体"/>
          <w:bCs/>
          <w:sz w:val="24"/>
        </w:rPr>
        <w:t xml:space="preserve">采购人的需求。</w:t>
      </w:r>
      <w:r/>
    </w:p>
    <w:p>
      <w:pPr>
        <w:ind w:firstLine="480"/>
        <w:spacing w:line="520" w:lineRule="exact"/>
        <w:rPr>
          <w:rFonts w:hint="eastAsia" w:ascii="宋体" w:hAnsi="宋体" w:cs="宋体"/>
          <w:bCs/>
          <w:sz w:val="24"/>
        </w:rPr>
      </w:pPr>
      <w:r>
        <w:rPr>
          <w:rFonts w:hint="eastAsia" w:ascii="宋体" w:hAnsi="宋体" w:cs="宋体"/>
          <w:sz w:val="24"/>
        </w:rPr>
        <w:t xml:space="preserve">13.3</w:t>
      </w:r>
      <w:r>
        <w:rPr>
          <w:rFonts w:hint="eastAsia" w:ascii="宋体" w:hAnsi="宋体" w:cs="宋体"/>
          <w:bCs/>
          <w:sz w:val="24"/>
        </w:rPr>
        <w:t xml:space="preserve">有关费用处理</w:t>
      </w:r>
      <w:r/>
    </w:p>
    <w:p>
      <w:pPr>
        <w:ind w:firstLine="480"/>
        <w:spacing w:line="440" w:lineRule="exact"/>
        <w:rPr>
          <w:rFonts w:hint="eastAsia" w:ascii="宋体" w:hAnsi="宋体" w:cs="宋体"/>
          <w:sz w:val="24"/>
          <w:szCs w:val="24"/>
        </w:rPr>
      </w:pPr>
      <w:r>
        <w:rPr>
          <w:rFonts w:hint="eastAsia" w:ascii="宋体" w:hAnsi="宋体"/>
          <w:bCs/>
          <w:sz w:val="24"/>
          <w:szCs w:val="20"/>
        </w:rPr>
        <w:t xml:space="preserve">13.3.1投标人根据现场实际情况、招标人提供的采购清单、技术需求、自身实力、结合市场行情报价，此报价应包括为完成招标文件、采购清</w:t>
      </w:r>
      <w:r>
        <w:rPr>
          <w:rFonts w:hint="eastAsia" w:ascii="宋体" w:hAnsi="宋体"/>
          <w:bCs/>
          <w:sz w:val="24"/>
          <w:szCs w:val="20"/>
        </w:rPr>
        <w:t xml:space="preserve">单中确定的所有内容。投标人应充分考虑为完成上述内容所必须的全部软件并进行相关服务所需的所有费用，即主要包括（但不限于）：货物费用（含全套货物、附件、配件、 技术资料等）、直接和间接成本费、劳务费、包装费、采购费、生产费、检测费、运杂费（含运输费）、 装卸费、保险费、保修费、技术（含操作、维护等）培训及售后服务费、税金、利润、风险费、不可预见费及其他一切相关费用等所需的全部费用，凡漏项或少计均视为优惠，招标人不另行增加费用。各类风险和政策性调整等风险已包括在投标报价中，最终结算时除合同约定调整外一律不予调整。</w:t>
      </w:r>
      <w:r/>
    </w:p>
    <w:p>
      <w:pPr>
        <w:ind w:firstLine="480"/>
        <w:spacing w:line="440" w:lineRule="exact"/>
        <w:rPr>
          <w:rFonts w:hint="eastAsia" w:ascii="宋体" w:hAnsi="宋体" w:cs="宋体"/>
          <w:b/>
          <w:color w:val="ff0000"/>
          <w:sz w:val="24"/>
        </w:rPr>
      </w:pPr>
      <w:r>
        <w:rPr>
          <w:rFonts w:hint="eastAsia" w:ascii="宋体" w:hAnsi="宋体"/>
          <w:bCs/>
          <w:sz w:val="24"/>
        </w:rPr>
        <w:t xml:space="preserve">13.3.2本项目报价为</w:t>
      </w:r>
      <w:r>
        <w:rPr>
          <w:rFonts w:hint="eastAsia" w:ascii="宋体" w:hAnsi="宋体"/>
          <w:b/>
          <w:sz w:val="24"/>
        </w:rPr>
        <w:t xml:space="preserve">全费用固定综合单价</w:t>
      </w:r>
      <w:r>
        <w:rPr>
          <w:rFonts w:hint="eastAsia" w:ascii="宋体" w:hAnsi="宋体"/>
          <w:bCs/>
          <w:sz w:val="24"/>
        </w:rPr>
        <w:t xml:space="preserve">（即将所有费用均摊销至各综合单价中），投标人根据招标人提供的清单报全费用综合单价和总价。项目结算时，供货量按实结算；除设计变更或招标人调整项目内容或 合同约定调整外，一律不调整中标全费用综合单价。</w:t>
      </w:r>
      <w:r/>
    </w:p>
    <w:p>
      <w:pPr>
        <w:ind w:firstLine="480"/>
        <w:spacing w:line="440" w:lineRule="exact"/>
        <w:rPr>
          <w:rFonts w:hint="eastAsia" w:ascii="宋体" w:hAnsi="宋体" w:cs="宋体"/>
          <w:sz w:val="24"/>
        </w:rPr>
      </w:pPr>
      <w:r>
        <w:rPr>
          <w:rFonts w:hint="eastAsia" w:ascii="宋体" w:hAnsi="宋体"/>
          <w:bCs/>
          <w:sz w:val="24"/>
        </w:rPr>
        <w:t xml:space="preserve">13.3.3</w:t>
      </w:r>
      <w:r>
        <w:rPr>
          <w:rFonts w:hint="eastAsia" w:ascii="宋体" w:hAnsi="宋体"/>
          <w:bCs/>
          <w:sz w:val="24"/>
          <w:szCs w:val="24"/>
        </w:rPr>
        <w:t xml:space="preserve">本项目设定投标报价的最高限价</w:t>
      </w:r>
      <w:r>
        <w:rPr>
          <w:rFonts w:hint="eastAsia" w:ascii="宋体" w:hAnsi="宋体" w:cs="宋体"/>
          <w:sz w:val="24"/>
          <w:szCs w:val="24"/>
        </w:rPr>
        <w:t xml:space="preserve">为</w:t>
      </w:r>
      <w:r>
        <w:rPr>
          <w:rFonts w:hint="eastAsia" w:ascii="宋体" w:hAnsi="宋体" w:cs="宋体"/>
          <w:b/>
          <w:bCs/>
          <w:color w:val="ff0000"/>
          <w:sz w:val="24"/>
          <w:szCs w:val="24"/>
          <w:u w:val="single"/>
        </w:rPr>
        <w:t xml:space="preserve">人民币</w:t>
      </w:r>
      <w:r>
        <w:rPr>
          <w:rFonts w:hint="eastAsia" w:ascii="宋体" w:hAnsi="宋体" w:cs="宋体"/>
          <w:b/>
          <w:bCs/>
          <w:color w:val="ff0000"/>
          <w:sz w:val="24"/>
          <w:szCs w:val="24"/>
          <w:u w:val="single"/>
          <w:lang w:val="en-US" w:eastAsia="zh-CN"/>
        </w:rPr>
        <w:t xml:space="preserve">1552</w:t>
      </w:r>
      <w:r>
        <w:rPr>
          <w:rFonts w:hint="eastAsia" w:ascii="宋体" w:hAnsi="宋体" w:cs="宋体"/>
          <w:b/>
          <w:bCs/>
          <w:color w:val="ff0000"/>
          <w:sz w:val="24"/>
          <w:szCs w:val="24"/>
          <w:u w:val="single"/>
        </w:rPr>
        <w:t xml:space="preserve">万元</w:t>
      </w:r>
      <w:r>
        <w:rPr>
          <w:rFonts w:hint="eastAsia" w:ascii="宋体" w:hAnsi="宋体"/>
          <w:bCs/>
          <w:color w:val="ff0000"/>
          <w:sz w:val="24"/>
          <w:szCs w:val="24"/>
        </w:rPr>
        <w:t xml:space="preserve">，投标报价高于最高限价的，采购人将不予接受，视为无效标书</w:t>
      </w:r>
      <w:r>
        <w:rPr>
          <w:rFonts w:hint="eastAsia" w:ascii="宋体" w:hAnsi="宋体"/>
          <w:bCs/>
          <w:color w:val="ff0000"/>
          <w:sz w:val="24"/>
        </w:rPr>
        <w:t xml:space="preserve">。</w:t>
      </w:r>
      <w:r/>
    </w:p>
    <w:p>
      <w:pPr>
        <w:ind w:left="239" w:firstLine="240"/>
        <w:spacing w:line="520" w:lineRule="exact"/>
        <w:rPr>
          <w:rFonts w:hint="eastAsia" w:ascii="宋体" w:hAnsi="宋体" w:cs="宋体"/>
          <w:sz w:val="24"/>
        </w:rPr>
      </w:pPr>
      <w:r>
        <w:rPr>
          <w:rFonts w:hint="eastAsia" w:ascii="宋体" w:hAnsi="宋体" w:cs="宋体"/>
          <w:sz w:val="24"/>
        </w:rPr>
        <w:t xml:space="preserve">13.3.4招标人约定由中标人向采购代理机构一次性代为支付采</w:t>
      </w:r>
      <w:r>
        <w:rPr>
          <w:rFonts w:hint="eastAsia" w:ascii="宋体" w:hAnsi="宋体" w:cs="宋体"/>
          <w:sz w:val="24"/>
          <w:highlight w:val="none"/>
        </w:rPr>
        <w:t xml:space="preserve">购代理服务费：</w:t>
      </w:r>
      <w:r>
        <w:rPr>
          <w:rFonts w:hint="eastAsia" w:ascii="宋体" w:hAnsi="宋体" w:cs="宋体"/>
          <w:b/>
          <w:bCs/>
          <w:sz w:val="24"/>
          <w:highlight w:val="none"/>
          <w:u w:val="single"/>
        </w:rPr>
        <w:t xml:space="preserve">人民币8</w:t>
      </w:r>
      <w:r>
        <w:rPr>
          <w:rFonts w:hint="eastAsia" w:ascii="宋体" w:hAnsi="宋体" w:cs="宋体"/>
          <w:b/>
          <w:bCs/>
          <w:sz w:val="24"/>
          <w:highlight w:val="none"/>
          <w:u w:val="single"/>
          <w:lang w:val="en-US" w:eastAsia="zh-CN"/>
        </w:rPr>
        <w:t xml:space="preserve">0</w:t>
      </w:r>
      <w:r>
        <w:rPr>
          <w:rFonts w:hint="eastAsia" w:ascii="宋体" w:hAnsi="宋体" w:cs="宋体"/>
          <w:b/>
          <w:bCs/>
          <w:sz w:val="24"/>
          <w:highlight w:val="none"/>
          <w:u w:val="single"/>
        </w:rPr>
        <w:t xml:space="preserve">000元</w:t>
      </w:r>
      <w:r>
        <w:rPr>
          <w:rFonts w:hint="eastAsia" w:ascii="宋体" w:hAnsi="宋体" w:cs="宋体"/>
          <w:sz w:val="24"/>
          <w:highlight w:val="none"/>
        </w:rPr>
        <w:t xml:space="preserve">，投标人须将此费用纳入投标报价中，招标人不另行支</w:t>
      </w:r>
      <w:r>
        <w:rPr>
          <w:rFonts w:hint="eastAsia" w:ascii="宋体" w:hAnsi="宋体" w:cs="宋体"/>
          <w:sz w:val="24"/>
        </w:rPr>
        <w:t xml:space="preserve">付。</w:t>
      </w:r>
      <w:r/>
    </w:p>
    <w:p>
      <w:pPr>
        <w:ind w:firstLine="480"/>
        <w:spacing w:line="520" w:lineRule="exact"/>
        <w:rPr>
          <w:rFonts w:hint="eastAsia" w:ascii="宋体" w:hAnsi="宋体" w:cs="宋体"/>
          <w:bCs/>
          <w:sz w:val="24"/>
        </w:rPr>
      </w:pPr>
      <w:r>
        <w:rPr>
          <w:rFonts w:hint="eastAsia" w:ascii="宋体" w:hAnsi="宋体" w:cs="宋体"/>
          <w:sz w:val="24"/>
        </w:rPr>
        <w:t xml:space="preserve">13.4</w:t>
      </w:r>
      <w:r>
        <w:rPr>
          <w:rFonts w:hint="eastAsia" w:ascii="宋体" w:hAnsi="宋体" w:cs="宋体"/>
          <w:bCs/>
          <w:sz w:val="24"/>
        </w:rPr>
        <w:t xml:space="preserve">其它费用处理</w:t>
      </w:r>
      <w:r/>
    </w:p>
    <w:p>
      <w:pPr>
        <w:ind w:firstLine="480"/>
        <w:spacing w:line="520" w:lineRule="exact"/>
        <w:rPr>
          <w:rFonts w:hint="eastAsia" w:ascii="宋体" w:hAnsi="宋体" w:cs="宋体"/>
          <w:bCs/>
          <w:sz w:val="24"/>
        </w:rPr>
      </w:pPr>
      <w:r>
        <w:rPr>
          <w:rFonts w:hint="eastAsia" w:ascii="宋体" w:hAnsi="宋体" w:cs="宋体"/>
          <w:bCs/>
          <w:sz w:val="24"/>
        </w:rPr>
        <w:t xml:space="preserve">招标文件未列明，而投标人认为必需的费用也需列入报价。</w:t>
      </w:r>
      <w:r/>
    </w:p>
    <w:p>
      <w:pPr>
        <w:pStyle w:val="953"/>
        <w:ind w:firstLine="480"/>
        <w:spacing w:before="0" w:after="0" w:line="520" w:lineRule="exact"/>
        <w:rPr>
          <w:rFonts w:hint="eastAsia" w:ascii="宋体" w:hAnsi="宋体" w:eastAsia="宋体" w:cs="宋体"/>
          <w:b w:val="0"/>
          <w:sz w:val="24"/>
          <w:szCs w:val="21"/>
        </w:rPr>
      </w:pPr>
      <w:r>
        <w:rPr>
          <w:rFonts w:hint="eastAsia" w:ascii="宋体" w:hAnsi="宋体" w:eastAsia="宋体" w:cs="宋体"/>
          <w:b w:val="0"/>
          <w:sz w:val="24"/>
          <w:szCs w:val="21"/>
        </w:rPr>
        <w:t xml:space="preserve">13.5投标货币</w:t>
      </w:r>
      <w:r/>
    </w:p>
    <w:p>
      <w:pPr>
        <w:ind w:firstLine="480"/>
        <w:spacing w:line="520" w:lineRule="exact"/>
        <w:rPr>
          <w:rFonts w:hint="eastAsia" w:ascii="宋体" w:hAnsi="宋体" w:cs="宋体"/>
          <w:sz w:val="24"/>
          <w:lang w:val="zh-CN"/>
        </w:rPr>
      </w:pPr>
      <w:r>
        <w:rPr>
          <w:rFonts w:hint="eastAsia" w:ascii="宋体" w:hAnsi="宋体" w:cs="宋体"/>
          <w:bCs/>
          <w:sz w:val="24"/>
        </w:rPr>
        <w:t xml:space="preserve">投标文件中的货物单价和总价无特殊规定的采用人民币报价，以元为单位标注。</w:t>
      </w:r>
      <w:r>
        <w:rPr>
          <w:rFonts w:hint="eastAsia" w:ascii="宋体" w:hAnsi="宋体" w:cs="宋体"/>
          <w:sz w:val="24"/>
        </w:rPr>
        <w:t xml:space="preserve">招标文件中另有规定的按规定执行。</w:t>
      </w:r>
      <w:bookmarkStart w:id="48" w:name="_Toc49090510"/>
      <w:r/>
      <w:bookmarkStart w:id="49" w:name="_Toc14577359"/>
      <w:r/>
      <w:bookmarkEnd w:id="48"/>
      <w:bookmarkEnd w:id="49"/>
      <w:r/>
    </w:p>
    <w:p>
      <w:pPr>
        <w:ind w:firstLine="48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14、技术参数响应及偏离表、商务条款响应及偏离表</w:t>
      </w:r>
      <w:r/>
    </w:p>
    <w:p>
      <w:pPr>
        <w:ind w:firstLine="480"/>
        <w:spacing w:line="440" w:lineRule="exact"/>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14.1对招标文件中的技术与商务条款要求逐项作出响应或偏离，并说明原因（如有</w:t>
      </w:r>
      <w:r>
        <w:rPr>
          <w:rFonts w:hint="eastAsia" w:ascii="宋体" w:hAnsi="宋体" w:cs="宋体"/>
          <w:b/>
          <w:bCs/>
          <w:color w:val="000000"/>
          <w:sz w:val="24"/>
        </w:rPr>
        <w:t xml:space="preserve">偏离</w:t>
      </w:r>
      <w:r>
        <w:rPr>
          <w:rFonts w:ascii="宋体" w:hAnsi="宋体" w:cs="宋体"/>
          <w:b/>
          <w:bCs/>
          <w:color w:val="000000"/>
          <w:sz w:val="24"/>
        </w:rPr>
        <w:t xml:space="preserve">）。</w:t>
      </w:r>
      <w:r/>
    </w:p>
    <w:p>
      <w:pPr>
        <w:ind w:firstLine="48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15、投标函和开标一览表</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投标人应按照招标文件中提供的格式完整、正确填写投标函、开标一览表。</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16、投标有效期</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16.1投标有效期为采购中心规定的开标之日后</w:t>
      </w:r>
      <w:r>
        <w:rPr>
          <w:rFonts w:ascii="仿宋" w:hAnsi="仿宋" w:eastAsia="仿宋" w:cs="仿宋"/>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17.投标有效期的延长</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firstLine="480"/>
        <w:spacing w:line="520" w:lineRule="exact"/>
        <w:rPr>
          <w:rFonts w:hint="eastAsia" w:ascii="宋体" w:hAnsi="宋体" w:cs="宋体"/>
          <w:bCs/>
          <w:sz w:val="24"/>
        </w:rPr>
      </w:pPr>
      <w:r>
        <w:rPr>
          <w:rFonts w:hint="eastAsia" w:ascii="宋体" w:hAnsi="宋体" w:cs="宋体"/>
          <w:bCs/>
          <w:sz w:val="24"/>
        </w:rPr>
      </w:r>
      <w:r/>
    </w:p>
    <w:p>
      <w:pPr>
        <w:pStyle w:val="747"/>
        <w:ind w:firstLine="361"/>
        <w:spacing w:before="0" w:after="0" w:line="440" w:lineRule="exact"/>
        <w:pBdr>
          <w:top w:val="none" w:color="000000" w:sz="0" w:space="0"/>
          <w:left w:val="none" w:color="000000" w:sz="0" w:space="0"/>
          <w:bottom w:val="none" w:color="000000" w:sz="0" w:space="0"/>
          <w:right w:val="none" w:color="000000" w:sz="0" w:space="0"/>
        </w:pBdr>
      </w:pPr>
      <w:r/>
      <w:bookmarkStart w:id="50" w:name="_Hlt26954852"/>
      <w:r/>
      <w:bookmarkEnd w:id="50"/>
      <w:r/>
      <w:bookmarkStart w:id="51" w:name="_Hlt26954739"/>
      <w:r/>
      <w:bookmarkEnd w:id="51"/>
      <w:r/>
      <w:bookmarkStart w:id="52" w:name="_Toc513029227"/>
      <w:r/>
      <w:bookmarkStart w:id="53" w:name="_Toc20823299"/>
      <w:r/>
      <w:bookmarkStart w:id="54" w:name="_Toc16938543"/>
      <w:r>
        <w:rPr>
          <w:rFonts w:ascii="宋体" w:hAnsi="宋体" w:eastAsia="宋体" w:cs="宋体"/>
          <w:b/>
          <w:color w:val="000000"/>
          <w:sz w:val="24"/>
        </w:rPr>
        <w:t xml:space="preserve">四、投标文件的递交</w:t>
      </w:r>
      <w:r/>
    </w:p>
    <w:p>
      <w:pPr>
        <w:ind w:firstLine="420"/>
        <w:spacing w:line="44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w:t>
      </w:r>
      <w:r>
        <w:rPr>
          <w:rFonts w:hint="eastAsia" w:ascii="宋体" w:hAnsi="宋体" w:cs="宋体"/>
          <w:b/>
          <w:color w:val="000000"/>
          <w:sz w:val="24"/>
        </w:rPr>
        <w:t xml:space="preserve">8</w:t>
      </w:r>
      <w:r>
        <w:rPr>
          <w:rFonts w:ascii="宋体" w:hAnsi="宋体" w:cs="宋体"/>
          <w:b/>
          <w:color w:val="000000"/>
          <w:sz w:val="24"/>
        </w:rPr>
        <w:t xml:space="preserve">、电子投标文件的递交</w:t>
      </w:r>
      <w:r/>
    </w:p>
    <w:p>
      <w:pPr>
        <w:ind w:right="218" w:firstLine="480"/>
        <w:spacing w:line="44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18.1投标人应当按照《操作手册》规定，在投标截止时间前制作并上传电子投标文件。</w:t>
      </w:r>
      <w:r/>
    </w:p>
    <w:p>
      <w:pPr>
        <w:ind w:firstLine="420"/>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w:t>
      </w:r>
      <w:r>
        <w:rPr>
          <w:rFonts w:hint="eastAsia" w:ascii="宋体" w:hAnsi="宋体" w:cs="宋体"/>
          <w:b/>
          <w:color w:val="000000"/>
          <w:sz w:val="24"/>
        </w:rPr>
        <w:t xml:space="preserve">9</w:t>
      </w:r>
      <w:r>
        <w:rPr>
          <w:rFonts w:ascii="宋体" w:hAnsi="宋体" w:cs="宋体"/>
          <w:b/>
          <w:color w:val="000000"/>
          <w:sz w:val="24"/>
        </w:rPr>
        <w:t xml:space="preserve">、投标截止日期</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1</w:t>
      </w:r>
      <w:r>
        <w:rPr>
          <w:rFonts w:hint="eastAsia" w:ascii="宋体" w:hAnsi="宋体" w:cs="宋体"/>
          <w:i/>
          <w:color w:val="000000"/>
          <w:sz w:val="24"/>
          <w:u w:val="single"/>
        </w:rPr>
        <w:t xml:space="preserve">9</w:t>
      </w:r>
      <w:r>
        <w:rPr>
          <w:rFonts w:ascii="宋体" w:hAnsi="宋体" w:cs="宋体"/>
          <w:i/>
          <w:color w:val="000000"/>
          <w:sz w:val="24"/>
          <w:u w:val="single"/>
        </w:rPr>
        <w:t xml:space="preserve">.1 投标人上传电子投标文件的时间不得迟于招标公告中规定的投标截止时间。</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w:t>
      </w:r>
      <w:r>
        <w:rPr>
          <w:rFonts w:hint="eastAsia" w:ascii="宋体" w:hAnsi="宋体" w:cs="宋体"/>
          <w:color w:val="000000"/>
          <w:sz w:val="24"/>
        </w:rPr>
        <w:t xml:space="preserve">7</w:t>
      </w:r>
      <w:r>
        <w:rPr>
          <w:rFonts w:ascii="宋体" w:hAnsi="宋体" w:cs="宋体"/>
          <w:color w:val="000000"/>
          <w:sz w:val="24"/>
        </w:rPr>
        <w:t xml:space="preserve">.1.2条规定做无效投标处理。</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9</w:t>
      </w:r>
      <w:r>
        <w:rPr>
          <w:rFonts w:ascii="宋体" w:hAnsi="宋体" w:cs="宋体"/>
          <w:color w:val="000000"/>
          <w:sz w:val="24"/>
        </w:rPr>
        <w:t xml:space="preserve">.2 采购人可以按照规定，通过修改招标文件酌情延长投标截止日期，在此情况下，投标人的所有权利和义务以及投标人受制的截止日期均应以延长后新的截止日期为准。</w:t>
      </w:r>
      <w:r/>
    </w:p>
    <w:p>
      <w:pPr>
        <w:ind w:firstLine="420"/>
        <w:spacing w:line="440" w:lineRule="exac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20</w:t>
      </w:r>
      <w:r>
        <w:rPr>
          <w:rFonts w:ascii="宋体" w:hAnsi="宋体" w:cs="宋体"/>
          <w:b/>
          <w:color w:val="000000"/>
          <w:sz w:val="24"/>
        </w:rPr>
        <w:t xml:space="preserve">、投标文件的拒收</w:t>
      </w:r>
      <w:r/>
    </w:p>
    <w:p>
      <w:pPr>
        <w:ind w:firstLine="480"/>
        <w:spacing w:line="44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20</w:t>
      </w:r>
      <w:r>
        <w:rPr>
          <w:rFonts w:ascii="宋体" w:hAnsi="宋体" w:cs="宋体"/>
          <w:color w:val="000000"/>
          <w:sz w:val="24"/>
        </w:rPr>
        <w:t xml:space="preserve">.1 采购人拒绝接收在其规定的投标截止时间后上传的任何投标文件。</w:t>
      </w:r>
      <w:r/>
    </w:p>
    <w:p>
      <w:pPr>
        <w:pStyle w:val="953"/>
        <w:ind w:firstLine="482"/>
        <w:spacing w:before="0" w:after="0" w:line="520" w:lineRule="exact"/>
        <w:rPr>
          <w:rFonts w:hint="eastAsia" w:ascii="宋体" w:hAnsi="宋体" w:eastAsia="宋体" w:cs="宋体"/>
          <w:bCs w:val="0"/>
          <w:color w:val="000000"/>
          <w:sz w:val="24"/>
          <w:szCs w:val="21"/>
        </w:rPr>
      </w:pPr>
      <w:r>
        <w:rPr>
          <w:rFonts w:hint="eastAsia" w:ascii="宋体" w:hAnsi="宋体" w:eastAsia="宋体" w:cs="宋体"/>
          <w:bCs w:val="0"/>
          <w:color w:val="000000"/>
          <w:sz w:val="24"/>
          <w:szCs w:val="21"/>
        </w:rPr>
        <w:t xml:space="preserve">21、投标文件的撤回和修改</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1</w:t>
      </w:r>
      <w:r>
        <w:rPr>
          <w:rFonts w:ascii="宋体" w:hAnsi="宋体" w:cs="宋体"/>
          <w:color w:val="000000"/>
          <w:sz w:val="24"/>
        </w:rPr>
        <w:t xml:space="preserve">.1 投标文件的撤回</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1</w:t>
      </w:r>
      <w:r>
        <w:rPr>
          <w:rFonts w:ascii="宋体" w:hAnsi="宋体" w:cs="宋体"/>
          <w:color w:val="000000"/>
          <w:sz w:val="24"/>
        </w:rPr>
        <w:t xml:space="preserve">.1.1 电子投标文件的撤回</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1</w:t>
      </w:r>
      <w:r>
        <w:rPr>
          <w:rFonts w:ascii="宋体" w:hAnsi="宋体" w:cs="宋体"/>
          <w:color w:val="000000"/>
          <w:sz w:val="24"/>
        </w:rPr>
        <w:t xml:space="preserve">.1.2 投标人撤回电子投标文件，则认为其不再参与本项目投标活动。</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1</w:t>
      </w:r>
      <w:r>
        <w:rPr>
          <w:rFonts w:ascii="宋体" w:hAnsi="宋体" w:cs="宋体"/>
          <w:color w:val="000000"/>
          <w:sz w:val="24"/>
        </w:rPr>
        <w:t xml:space="preserve">.2 投标文件的修改</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1</w:t>
      </w:r>
      <w:r>
        <w:rPr>
          <w:rFonts w:ascii="宋体" w:hAnsi="宋体" w:cs="宋体"/>
          <w:color w:val="000000"/>
          <w:sz w:val="24"/>
        </w:rPr>
        <w:t xml:space="preserve">.2.1投标人可在投标截止时间前，对其电子投标文件进行修改，具体操作方法见《操作手册》。</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1</w:t>
      </w:r>
      <w:r>
        <w:rPr>
          <w:rFonts w:ascii="宋体" w:hAnsi="宋体" w:cs="宋体"/>
          <w:color w:val="000000"/>
          <w:sz w:val="24"/>
        </w:rPr>
        <w:t xml:space="preserve">.2.2 在投标截止时间之后，投标人不得对其电子投标文件作任何修改。</w:t>
      </w:r>
      <w:r/>
    </w:p>
    <w:p>
      <w:pPr>
        <w:ind w:firstLine="480"/>
        <w:spacing w:line="44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1</w:t>
      </w:r>
      <w:r>
        <w:rPr>
          <w:rFonts w:ascii="宋体" w:hAnsi="宋体" w:cs="宋体"/>
          <w:color w:val="000000"/>
          <w:sz w:val="24"/>
        </w:rPr>
        <w:t xml:space="preserve">.3 在投标截止时间至招标文件中规定的投标有效期满之间的这段时间内，投标人不得撤回其投标。</w:t>
      </w:r>
      <w:r/>
    </w:p>
    <w:p>
      <w:pPr>
        <w:ind w:firstLine="482"/>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五、开标与评标</w:t>
      </w:r>
      <w:r/>
    </w:p>
    <w:p>
      <w:pPr>
        <w:ind w:firstLine="420"/>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w:t>
      </w:r>
      <w:r>
        <w:rPr>
          <w:rFonts w:hint="eastAsia" w:ascii="宋体" w:hAnsi="宋体" w:cs="宋体"/>
          <w:b/>
          <w:color w:val="000000"/>
          <w:sz w:val="24"/>
        </w:rPr>
        <w:t xml:space="preserve">2</w:t>
      </w:r>
      <w:r>
        <w:rPr>
          <w:rFonts w:ascii="宋体" w:hAnsi="宋体" w:cs="宋体"/>
          <w:b/>
          <w:color w:val="000000"/>
          <w:sz w:val="24"/>
        </w:rPr>
        <w:t xml:space="preserve">、开标</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2</w:t>
      </w:r>
      <w:r>
        <w:rPr>
          <w:rFonts w:ascii="宋体" w:hAnsi="宋体" w:cs="宋体"/>
          <w:color w:val="000000"/>
          <w:sz w:val="24"/>
        </w:rPr>
        <w:t xml:space="preserve">.1 采购人将在招标公告中规定的时间和地点组织公开开标。投标人应当按照《操作手册》规定，参加开标活动和在</w:t>
      </w:r>
      <w:r>
        <w:rPr>
          <w:rFonts w:ascii="宋体" w:hAnsi="宋体" w:cs="宋体"/>
          <w:color w:val="ff0000"/>
          <w:sz w:val="24"/>
        </w:rPr>
        <w:t xml:space="preserve">苏采云系统</w:t>
      </w:r>
      <w:r>
        <w:rPr>
          <w:rFonts w:ascii="宋体" w:hAnsi="宋体" w:cs="宋体"/>
          <w:color w:val="000000"/>
          <w:sz w:val="24"/>
        </w:rPr>
        <w:t xml:space="preserve">规定的时间内对投标文件进行解密。</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22.2开标仪式由采购人组织。</w:t>
      </w:r>
      <w:r>
        <w:rPr>
          <w:rFonts w:ascii="宋体" w:hAnsi="宋体" w:cs="宋体"/>
          <w:color w:val="ff0000"/>
          <w:sz w:val="24"/>
        </w:rPr>
        <w:t xml:space="preserve">苏采云系统</w:t>
      </w:r>
      <w:r>
        <w:rPr>
          <w:rFonts w:ascii="宋体" w:hAnsi="宋体" w:cs="宋体"/>
          <w:color w:val="000000"/>
          <w:sz w:val="24"/>
        </w:rPr>
        <w:t xml:space="preserve">将自动对项目进行开标，并宣布各投标人名称和投标价格。</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22.3投标人在开标过程中涉及到的投标文件解密、开标结果确认等工作，应按照《操作手册》规定执行。</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22.4投标人如果对开标过程和开标记录有疑义，应当根据《操作手册》规定提出，如 </w:t>
      </w:r>
      <w:r>
        <w:rPr>
          <w:rFonts w:ascii="宋体" w:hAnsi="宋体" w:cs="宋体"/>
          <w:color w:val="ff0000"/>
          <w:sz w:val="24"/>
        </w:rPr>
        <w:t xml:space="preserve">苏采云系统</w:t>
      </w:r>
      <w:r>
        <w:rPr>
          <w:rFonts w:ascii="宋体" w:hAnsi="宋体" w:cs="宋体"/>
          <w:color w:val="000000"/>
          <w:sz w:val="24"/>
        </w:rPr>
        <w:t xml:space="preserve">中《开标记录表》宣布后5分钟内未提出的，视同认可开标结果。</w:t>
      </w:r>
      <w:r/>
    </w:p>
    <w:p>
      <w:pPr>
        <w:ind w:firstLine="420"/>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23、评标委员会</w:t>
      </w:r>
      <w:r/>
    </w:p>
    <w:p>
      <w:pPr>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23.1开标后，采购人将立即组织评标委员会（以下简称评委会）进行评标。</w:t>
      </w:r>
      <w:r/>
    </w:p>
    <w:p>
      <w:pPr>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23.2 评委会由采购人代表和有关技术、经济等方面的专家组成，且人员构成符合政府采购有关规定。</w:t>
      </w:r>
      <w:r/>
    </w:p>
    <w:p>
      <w:pPr>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23.3评委会独立工作，负责评审所有投标文件并确定中标侯选人。</w:t>
      </w:r>
      <w:r/>
    </w:p>
    <w:p>
      <w:pPr>
        <w:ind w:firstLine="420"/>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24、评标过程的保密与公正</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24.1凡是与审查、澄清、评价和比较投标的有关资料以及授标建议等，采购人、评委、采购代理机构均不得向投标人或与评标无关的其他人员透露。</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24.2在评标过程中，投标人不得以任何行为影响评标过程，否则其投标文件将被作为无效投标文件。</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 采购人和评标委员会不向未中标的投标人解释未中标原因，也不公布评标过程中的相关细节。</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 采用综合评分法的项目，未中标的投标人可于中标结果公告期限届满之日起通过</w:t>
      </w:r>
      <w:r>
        <w:rPr>
          <w:rFonts w:ascii="宋体" w:hAnsi="宋体" w:cs="宋体"/>
          <w:color w:val="ff0000"/>
          <w:sz w:val="24"/>
        </w:rPr>
        <w:t xml:space="preserve">苏采云系统</w:t>
      </w:r>
      <w:r>
        <w:rPr>
          <w:rFonts w:ascii="宋体" w:hAnsi="宋体" w:cs="宋体"/>
          <w:color w:val="000000"/>
          <w:sz w:val="24"/>
        </w:rPr>
        <w:t xml:space="preserve">查看自己的评审得分及排序情况。</w:t>
      </w:r>
      <w:r/>
    </w:p>
    <w:p>
      <w:pPr>
        <w:ind w:firstLine="420"/>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25、投标文件的澄清</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25.1评标期间，评委会对投标文件中含义不明确、同类问题表述不一致或者有明显文字和计算错误的内容，有权要求投标人作出必要的澄清、说明或者补正。</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评标委员会并非对每个投标人都做澄清要求。</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25.2需要供应商进行澄清、说明和补正的，评委会将通过</w:t>
      </w:r>
      <w:r>
        <w:rPr>
          <w:rFonts w:ascii="宋体" w:hAnsi="宋体" w:cs="宋体"/>
          <w:color w:val="ff0000"/>
          <w:sz w:val="24"/>
        </w:rPr>
        <w:t xml:space="preserve">苏采云系统</w:t>
      </w:r>
      <w:r>
        <w:rPr>
          <w:rFonts w:ascii="宋体" w:hAnsi="宋体" w:cs="宋体"/>
          <w:color w:val="000000"/>
          <w:sz w:val="24"/>
        </w:rPr>
        <w:t xml:space="preserve">向供应商发出“澄清要求函”，接到“澄清要求函”的投标人应当按照要求在</w:t>
      </w:r>
      <w:r>
        <w:rPr>
          <w:rFonts w:ascii="宋体" w:hAnsi="宋体" w:cs="宋体"/>
          <w:color w:val="ff0000"/>
          <w:sz w:val="24"/>
        </w:rPr>
        <w:t xml:space="preserve">苏采云系统</w:t>
      </w:r>
      <w:r>
        <w:rPr>
          <w:rFonts w:ascii="宋体" w:hAnsi="宋体" w:cs="宋体"/>
          <w:color w:val="000000"/>
          <w:sz w:val="24"/>
        </w:rPr>
        <w:t xml:space="preserve">中提交“澄清响应函”并加盖CA电子公章。澄清、说明和补正的内容作为投标文件的补充部分，具体操作方式见《操作手册》。</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接到评委会澄清、说明和补正要求的投标人如未按规定做出澄清、说明和补正，其风险由投标人自行承担。</w:t>
      </w:r>
      <w:r/>
    </w:p>
    <w:p>
      <w:pPr>
        <w:ind w:firstLine="420"/>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26、对投标文件的初审</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26.1投标文件初审分为资格审查和符合性审查。</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 未通过资格审查或符合性审查的投标人，采购人将在</w:t>
      </w:r>
      <w:r>
        <w:rPr>
          <w:rFonts w:ascii="宋体" w:hAnsi="宋体" w:cs="宋体"/>
          <w:color w:val="ff0000"/>
          <w:sz w:val="24"/>
        </w:rPr>
        <w:t xml:space="preserve">苏采云系统</w:t>
      </w:r>
      <w:r>
        <w:rPr>
          <w:rFonts w:ascii="宋体" w:hAnsi="宋体" w:cs="宋体"/>
          <w:color w:val="000000"/>
          <w:sz w:val="24"/>
        </w:rPr>
        <w:t xml:space="preserve">中告知未通过资格审查或符合性审查的原因，评审结束后，采购人将不再告知未通过资格审查或符合性审查的原因。</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26.4评委会将对确定为实质性响应的投标进行进一步审核，看其是否有计算上或累加上的算术错误，修正错误的原则如下：</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26.5评委会将按上述修正错误的方法调整投标文件中的投标报价，并通过</w:t>
      </w:r>
      <w:r>
        <w:rPr>
          <w:rFonts w:ascii="宋体" w:hAnsi="宋体" w:cs="宋体"/>
          <w:color w:val="ff0000"/>
          <w:sz w:val="24"/>
        </w:rPr>
        <w:t xml:space="preserve">苏采云系统</w:t>
      </w:r>
      <w:r>
        <w:rPr>
          <w:rFonts w:ascii="宋体" w:hAnsi="宋体" w:cs="宋体"/>
          <w:color w:val="000000"/>
          <w:sz w:val="24"/>
        </w:rPr>
        <w:t xml:space="preserve">告知投标人，调整后的价格应对投标人具有约束力。如果投标人不接受修正后的价格，则其投标将被拒绝。</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非单一产品采购项目，招标文件中将载明其中的核心产品。多家投标人提供的核心产品品牌相同的，按前两款规定处理。</w:t>
      </w:r>
      <w:r/>
    </w:p>
    <w:p>
      <w:pPr>
        <w:ind w:firstLine="42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26.7投标人在开、评标全过程中应保持通讯畅通，及时登录</w:t>
      </w:r>
      <w:r>
        <w:rPr>
          <w:rFonts w:ascii="宋体" w:hAnsi="宋体" w:cs="宋体"/>
          <w:color w:val="ff0000"/>
          <w:sz w:val="24"/>
        </w:rPr>
        <w:t xml:space="preserve">苏采云系统</w:t>
      </w:r>
      <w:r>
        <w:rPr>
          <w:rFonts w:ascii="宋体" w:hAnsi="宋体" w:cs="宋体"/>
          <w:color w:val="000000"/>
          <w:sz w:val="24"/>
        </w:rPr>
        <w:t xml:space="preserve">查阅、答复相关信息，并安排专人与采购中心及评标委员会联系。</w:t>
      </w:r>
      <w:r/>
    </w:p>
    <w:p>
      <w:pPr>
        <w:ind w:firstLine="420"/>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27、无效投标条款和废标条款</w:t>
      </w:r>
      <w:r/>
    </w:p>
    <w:p>
      <w:pPr>
        <w:ind w:left="479"/>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27.1无效投标条款</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 投标人在</w:t>
      </w:r>
      <w:r>
        <w:rPr>
          <w:rFonts w:ascii="宋体" w:hAnsi="宋体" w:cs="宋体"/>
          <w:color w:val="ff0000"/>
          <w:sz w:val="24"/>
        </w:rPr>
        <w:t xml:space="preserve">苏采云系统</w:t>
      </w:r>
      <w:r>
        <w:rPr>
          <w:rFonts w:ascii="宋体" w:hAnsi="宋体" w:cs="宋体"/>
          <w:color w:val="000000"/>
          <w:sz w:val="24"/>
        </w:rPr>
        <w:t xml:space="preserve">规定的时间内未成功解密电子投标文件的。</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27.1.2 投标人未按照招标文件要求上传电子投标文件的。</w:t>
      </w:r>
      <w:r/>
    </w:p>
    <w:p>
      <w:pPr>
        <w:ind w:left="479"/>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27.1.3同一投标人提交两个（含两个）以上不同的投标报价的。</w:t>
      </w:r>
      <w:r/>
    </w:p>
    <w:p>
      <w:pPr>
        <w:ind w:left="479"/>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27.1.4投标人不具备招标文件中规定资格要求的。</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27.1.5投标人的报价超过了采购预算或最高限价的。</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27.1.6未通过符合性审查的。</w:t>
      </w:r>
      <w:r/>
    </w:p>
    <w:p>
      <w:pPr>
        <w:ind w:firstLine="36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27.1.7不符合招标文件中规定的实质性要求和条件的。</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27.1.9投标文件含有采购人不能接受的附加条件的。</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27.1.10评标委员会认为投标人的报价明显低于其他通过符合性审查投标人的报价，有可能影响产品质量或者不能诚信履约的，将通过</w:t>
      </w:r>
      <w:r>
        <w:rPr>
          <w:rFonts w:ascii="宋体" w:hAnsi="宋体" w:cs="宋体"/>
          <w:color w:val="ff0000"/>
          <w:sz w:val="24"/>
        </w:rPr>
        <w:t xml:space="preserve">苏采云系统</w:t>
      </w:r>
      <w:r>
        <w:rPr>
          <w:rFonts w:ascii="宋体" w:hAnsi="宋体" w:cs="宋体"/>
          <w:color w:val="000000"/>
          <w:sz w:val="24"/>
        </w:rPr>
        <w:t xml:space="preserve">要求其在合理的时间内提供说明，必要时提交相关证明材料；投标人不能证明其报价合理性的，评标委员会应当将其作为无效投标处理。</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27.1.12 投标文件未按照招标文件要求加盖CA电子公章的。</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27.1.13其他法律、法规及本招标文件规定的属无效投标的情形。</w:t>
      </w:r>
      <w:r/>
    </w:p>
    <w:p>
      <w:pPr>
        <w:ind w:left="479"/>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27.2废标条款</w:t>
      </w:r>
      <w:r/>
    </w:p>
    <w:p>
      <w:pPr>
        <w:ind w:left="479"/>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27.2.1符合专业条件的供应商或者对招标文件作实质响应的供应商不足三家的。</w:t>
      </w:r>
      <w:r/>
    </w:p>
    <w:p>
      <w:pPr>
        <w:ind w:left="479"/>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27.2.2出现影响采购公正的违法、违规行为的。</w:t>
      </w:r>
      <w:r/>
    </w:p>
    <w:p>
      <w:pPr>
        <w:ind w:left="479"/>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27.2.3因重大变故，采购任务取消的。</w:t>
      </w:r>
      <w:r/>
    </w:p>
    <w:p>
      <w:pPr>
        <w:ind w:left="479"/>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27.2.4评标委员会认定招标文件存在歧义、重大缺陷导致评审工作无法进行。</w:t>
      </w:r>
      <w:r/>
    </w:p>
    <w:p>
      <w:pPr>
        <w:ind w:left="479"/>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27.2.5 因</w:t>
      </w:r>
      <w:r>
        <w:rPr>
          <w:rFonts w:ascii="宋体" w:hAnsi="宋体" w:cs="宋体"/>
          <w:color w:val="ff0000"/>
          <w:sz w:val="24"/>
        </w:rPr>
        <w:t xml:space="preserve">苏采云系统</w:t>
      </w:r>
      <w:r>
        <w:rPr>
          <w:rFonts w:ascii="宋体" w:hAnsi="宋体" w:cs="宋体"/>
          <w:color w:val="000000"/>
          <w:sz w:val="24"/>
        </w:rPr>
        <w:t xml:space="preserve">系统故障原因造成开标不成功的。</w:t>
      </w:r>
      <w:r/>
    </w:p>
    <w:p>
      <w:pPr>
        <w:ind w:left="479"/>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 投标截止时间结束后参加投标的供应商不足三家的处理：</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27.3.1如出现投标截止时间结束后参加投标的供应商或者在评标期间对招标文件做出实质响应的供应商不足三家情况，按政府采购相关规定执行。</w:t>
      </w:r>
      <w:r/>
    </w:p>
    <w:p>
      <w:pPr>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ind w:firstLine="420"/>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28、确定中标单位</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28.1中标候选人的选取原则和数量见招标文件第五章规定。 </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 采购人应根据评委会推荐的中标候选人确定中标人。</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 采购人将在“中国政府采购网”、“江苏政府采购网”、“盐城市政府采购网</w:t>
      </w:r>
      <w:r>
        <w:rPr>
          <w:rFonts w:ascii="仿宋" w:hAnsi="仿宋" w:eastAsia="仿宋" w:cs="仿宋"/>
          <w:color w:val="333333"/>
          <w:sz w:val="28"/>
          <w:highlight w:val="white"/>
        </w:rPr>
        <w:t xml:space="preserve">”</w:t>
      </w:r>
      <w:r>
        <w:rPr>
          <w:rFonts w:ascii="宋体" w:hAnsi="宋体" w:cs="宋体"/>
          <w:color w:val="000000"/>
          <w:sz w:val="24"/>
        </w:rPr>
        <w:t xml:space="preserve">发布中标公告，公告期限为1个工作日。</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28.4若有充分证据证明，中标人出现下列情况之一的，一经查实，将被取消中标资格：</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28.4.1提供虚假材料谋取中标的。</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28.4.2向采购人、采购代理机构行贿或者提供其他不正当利益的。</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28.4.3属于本文件规定的无效条件，但在评标过程中又未被评委会发现的。</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28.4.4与采购人或者其他供应商恶意串通的。</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28.4.5采取不正当手段诋毁、排挤其他供应商的。</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w:t>
      </w:r>
      <w:r>
        <w:rPr>
          <w:rFonts w:eastAsia="Times New Roman"/>
          <w:color w:val="000000"/>
        </w:rPr>
        <w:t xml:space="preserve"> </w:t>
      </w:r>
      <w:r>
        <w:rPr>
          <w:rFonts w:ascii="宋体" w:hAnsi="宋体" w:cs="宋体"/>
          <w:color w:val="000000"/>
          <w:sz w:val="24"/>
        </w:rPr>
        <w:t xml:space="preserve">有下列情形之一的，视为投标人串通投标，投标无效：</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28.5.1不同投标人的投标文件由同一单位或者个人编制；</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28.5.2不同投标人委托同一单位或者个人办理投标事宜；</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28.5.3 不同投标人的投标文件载明的项目管理成员或者联系人员为同一人；</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28.5.4不同投标人的投标文件异常一致或者投标报价呈规律性差异；</w:t>
      </w:r>
      <w:r/>
    </w:p>
    <w:p>
      <w:pPr>
        <w:ind w:firstLine="420"/>
        <w:spacing w:line="44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29、质疑处理</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29.1 提出质疑的供应商应当是参与所质疑项目采购活动的供应商。潜在供应商依法获取其可质疑的采购文件的，可以对采购文件提出质疑。</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513"/>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29.2.1对可以质疑的采购文件提出质疑的，为采购文件公告期限届满之日；</w:t>
      </w:r>
      <w:r>
        <w:rPr>
          <w:rFonts w:ascii="宋体" w:hAnsi="宋体" w:cs="宋体"/>
          <w:color w:val="000000"/>
          <w:sz w:val="24"/>
        </w:rPr>
        <w:br/>
      </w:r>
      <w:r>
        <w:rPr>
          <w:rFonts w:eastAsia="Times New Roman"/>
          <w:color w:val="000000"/>
          <w:sz w:val="24"/>
        </w:rPr>
        <w:t xml:space="preserve">  </w:t>
      </w:r>
      <w:r>
        <w:rPr>
          <w:rFonts w:hint="eastAsia"/>
          <w:color w:val="000000"/>
          <w:sz w:val="24"/>
        </w:rPr>
        <w:t xml:space="preserve"> </w:t>
      </w:r>
      <w:r>
        <w:rPr>
          <w:rFonts w:ascii="宋体" w:hAnsi="宋体" w:cs="宋体"/>
          <w:color w:val="000000"/>
          <w:sz w:val="24"/>
        </w:rPr>
        <w:t xml:space="preserve">29.2.2对采购过程提出质疑的，为各采购程序环节结束之日；</w:t>
      </w:r>
      <w:r>
        <w:rPr>
          <w:rFonts w:ascii="宋体" w:hAnsi="宋体" w:cs="宋体"/>
          <w:color w:val="000000"/>
          <w:sz w:val="24"/>
        </w:rPr>
        <w:br/>
      </w:r>
      <w:r>
        <w:rPr>
          <w:rFonts w:eastAsia="Times New Roman"/>
          <w:color w:val="000000"/>
          <w:sz w:val="24"/>
        </w:rPr>
        <w:t xml:space="preserve">   </w:t>
      </w:r>
      <w:r>
        <w:rPr>
          <w:rFonts w:ascii="宋体" w:hAnsi="宋体" w:cs="宋体"/>
          <w:color w:val="000000"/>
          <w:sz w:val="24"/>
        </w:rPr>
        <w:t xml:space="preserve">29.2.3对中标或者成交结果提出质疑的，为中标或者成交结果公告期限届满之日。</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29.4 供应商（含潜在供应商）对采购方式、招标文件中采购需求、供应商资格条件、评标方法和评标标准、合同文本及资格审查结果的询问、质疑请向采购人提出，由采购人负责答复。</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采购人及采购代理机构只接收以纸质原件形式送达的质疑,采购人和采购代理机构不接受未填写快递运单的快件。</w:t>
      </w:r>
      <w:r>
        <w:rPr>
          <w:rFonts w:hint="eastAsia"/>
          <w:sz w:val="24"/>
          <w:szCs w:val="24"/>
        </w:rPr>
        <w:t xml:space="preserve">      </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 以下情形的质疑不予受理</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29.5.1 内容不符合《政府采购质疑和投诉办法》第十二条规定的质疑。</w:t>
      </w:r>
      <w:r/>
    </w:p>
    <w:p>
      <w:pPr>
        <w:ind w:firstLine="480"/>
        <w:spacing w:line="44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29.5.2 超出政府采购法定期限的质疑。</w:t>
      </w:r>
      <w:r/>
    </w:p>
    <w:p>
      <w:pPr>
        <w:ind w:firstLine="480"/>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29.5.3 以传真、电子邮件等方式递交的非原件形式的质疑。</w:t>
      </w:r>
      <w:r/>
    </w:p>
    <w:p>
      <w:pPr>
        <w:ind w:firstLine="480"/>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29.5.4 未参加投标活动的供应商或在投标活动中自身权益未受到损害的供应商所提出的质疑。</w:t>
      </w:r>
      <w:r/>
    </w:p>
    <w:p>
      <w:pPr>
        <w:ind w:firstLine="480"/>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29.5.5供应商组成联合体参加投标，联合体中任何一方或多方未按要求签字、盖章、加盖公章的质疑。</w:t>
      </w:r>
      <w:r/>
    </w:p>
    <w:p>
      <w:pPr>
        <w:ind w:firstLine="468"/>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30、中标通知书</w:t>
      </w:r>
      <w:r/>
    </w:p>
    <w:p>
      <w:pPr>
        <w:ind w:firstLine="600"/>
        <w:spacing w:line="44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30.l中标结果确定后，采购人将向中标人发出中标通知书。</w:t>
      </w:r>
      <w:r/>
    </w:p>
    <w:p>
      <w:pPr>
        <w:ind w:firstLine="600"/>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30.2中标通知书将是合同的一个组成部分。对采购人和中标供应商均具有法律效力。</w:t>
      </w:r>
      <w:r/>
    </w:p>
    <w:p>
      <w:pPr>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七、授予合同</w:t>
      </w:r>
      <w:r/>
    </w:p>
    <w:p>
      <w:pPr>
        <w:ind w:firstLine="482"/>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31、签订合同</w:t>
      </w:r>
      <w:r/>
    </w:p>
    <w:p>
      <w:pPr>
        <w:ind w:firstLine="480"/>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31.l中标人应当在中标通知书发出之日起三十日内，按照招标文件确定的事项与采购人签订政府采购合同。</w:t>
      </w:r>
      <w:r/>
    </w:p>
    <w:p>
      <w:pPr>
        <w:ind w:firstLine="480"/>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31.2招标文件、中标人的投标文件及招标过程中有关澄清、承诺文件均应作为合同附件。</w:t>
      </w:r>
      <w:r/>
    </w:p>
    <w:p>
      <w:pPr>
        <w:ind w:firstLine="480"/>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31.3 签订合同后，</w:t>
      </w:r>
      <w:r>
        <w:rPr>
          <w:rFonts w:hint="eastAsia" w:ascii="宋体" w:hAnsi="宋体" w:cs="宋体"/>
          <w:i/>
          <w:color w:val="000000"/>
          <w:sz w:val="24"/>
          <w:u w:val="single"/>
        </w:rPr>
        <w:t xml:space="preserve">中标人不得将合同标的进行转包</w:t>
      </w:r>
      <w:r>
        <w:rPr>
          <w:rFonts w:hint="eastAsia" w:ascii="宋体" w:hAnsi="宋体" w:cs="宋体"/>
          <w:color w:val="000000"/>
          <w:sz w:val="24"/>
        </w:rPr>
        <w:t xml:space="preserve">。未经采购人同意，中标人也不得采用分包的形式履行合同，否则采购人有权终止合同。转包或分包造成采购人损失的，中标人应承担相应赔偿责任。</w:t>
      </w:r>
      <w:r/>
    </w:p>
    <w:p>
      <w:pPr>
        <w:ind w:firstLine="482"/>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32、货物（包含与货物相关的服务）的追加</w:t>
      </w:r>
      <w:r/>
    </w:p>
    <w:p>
      <w:pPr>
        <w:ind w:firstLine="480"/>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460" w:lineRule="exact"/>
        <w:rPr>
          <w:rFonts w:hint="eastAsia" w:ascii="宋体" w:hAnsi="宋体" w:cs="宋体"/>
          <w:b/>
        </w:rPr>
      </w:pPr>
      <w:r>
        <w:rPr>
          <w:rFonts w:hint="eastAsia" w:ascii="宋体" w:hAnsi="宋体" w:cs="宋体"/>
          <w:b/>
          <w:color w:val="000000"/>
          <w:sz w:val="24"/>
        </w:rPr>
        <w:t xml:space="preserve">33、</w:t>
      </w:r>
      <w:r>
        <w:rPr>
          <w:rFonts w:hint="eastAsia"/>
          <w:b/>
          <w:sz w:val="24"/>
          <w:szCs w:val="24"/>
        </w:rPr>
        <w:t xml:space="preserve">政府采购履约资金扶持政策</w:t>
      </w:r>
      <w:r/>
    </w:p>
    <w:p>
      <w:pPr>
        <w:ind w:firstLine="480"/>
        <w:spacing w:line="440" w:lineRule="exact"/>
        <w:rPr>
          <w:rFonts w:hint="eastAsia" w:ascii="宋体" w:hAnsi="宋体" w:cs="宋体"/>
          <w:sz w:val="24"/>
          <w:szCs w:val="24"/>
        </w:rPr>
      </w:pPr>
      <w:r>
        <w:rPr>
          <w:rFonts w:hint="eastAsia" w:ascii="宋体" w:hAnsi="宋体" w:cs="宋体"/>
          <w:color w:val="000000"/>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firstLine="482"/>
        <w:spacing w:line="460" w:lineRule="exact"/>
        <w:rPr>
          <w:rFonts w:hint="eastAsia" w:ascii="宋体" w:hAnsi="宋体" w:cs="宋体"/>
          <w:b/>
          <w:color w:val="000000"/>
          <w:sz w:val="24"/>
        </w:rPr>
      </w:pPr>
      <w:r>
        <w:rPr>
          <w:rFonts w:hint="eastAsia" w:ascii="宋体" w:hAnsi="宋体" w:cs="宋体"/>
          <w:b/>
          <w:color w:val="000000"/>
          <w:sz w:val="24"/>
        </w:rPr>
        <w:t xml:space="preserve">34、招标项目需满足的政府采购政策目标和具体支持对象</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34.1政府采购促进中小企业发展，参加投标企业提供《中小企业声明函》（“中小企业划型标准”详见《关于印发中小企业划型标准规定的通知》(工信部联企业〔2011〕300号)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34.2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34.3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34.4强制采购节能产品、信息安全产品，优先采购环境标志产品。依据《财政部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34.5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34.6政府采购落实“政采贷”政策，依据《关于深入推进政府采购线上合同信用融资工作的通知》（苏财购﹝2021﹞82号）。</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34.7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34.8政府采购落实（苏财购﹝2022﹞51号）。</w:t>
      </w:r>
      <w:r/>
    </w:p>
    <w:p>
      <w:pPr>
        <w:ind w:firstLine="480"/>
        <w:spacing w:line="440" w:lineRule="exact"/>
        <w:rPr>
          <w:rFonts w:hint="eastAsia" w:ascii="宋体" w:hAnsi="宋体" w:cs="宋体"/>
        </w:rPr>
      </w:pPr>
      <w:r>
        <w:rPr>
          <w:rFonts w:hint="eastAsia" w:ascii="宋体" w:hAnsi="宋体" w:cs="宋体"/>
          <w:sz w:val="24"/>
          <w:szCs w:val="24"/>
        </w:rPr>
        <w:t xml:space="preserve">34.9政府采购落实《关于进一步优化政府采购营商环境的通知》。</w:t>
      </w:r>
      <w:r>
        <w:rPr>
          <w:rFonts w:hint="eastAsia" w:ascii="宋体" w:hAnsi="宋体" w:cs="宋体"/>
          <w:color w:val="000000"/>
          <w:sz w:val="24"/>
        </w:rPr>
        <w:t xml:space="preserve"> </w:t>
      </w:r>
      <w:r/>
    </w:p>
    <w:p>
      <w:pPr>
        <w:ind w:firstLine="420"/>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35、其他</w:t>
      </w:r>
      <w:r/>
    </w:p>
    <w:p>
      <w:pPr>
        <w:ind w:firstLine="480"/>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35.1供应商对于投标产品的商品包装、快递包装应按照《关于印发《商品包装政府采购需求标准（试行）》、《快递包装政府采购需求标准（试行）》的通知》（财办库〔2020〕123号）执行。</w:t>
      </w:r>
      <w:r/>
    </w:p>
    <w:p>
      <w:pPr>
        <w:ind w:firstLine="480"/>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35.2本文件中若涉及到数据中心采购，应按照《&lt;绿色数据中心政府采购需求标准（试行）&gt;的通知》（财库〔2023〕7号）执行。</w:t>
      </w:r>
      <w:r/>
    </w:p>
    <w:p>
      <w:pPr>
        <w:ind w:firstLine="480"/>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35.3 本项目落实预付款制度，预付款比例为</w:t>
      </w:r>
      <w:r>
        <w:rPr>
          <w:rFonts w:hint="eastAsia" w:ascii="宋体" w:hAnsi="宋体" w:cs="宋体"/>
          <w:b/>
          <w:color w:val="ff0000"/>
          <w:sz w:val="24"/>
          <w:u w:val="single"/>
        </w:rPr>
        <w:t xml:space="preserve">30%</w:t>
      </w:r>
      <w:r>
        <w:rPr>
          <w:rFonts w:hint="eastAsia" w:ascii="宋体" w:hAnsi="宋体" w:cs="宋体"/>
          <w:b/>
          <w:color w:val="000000"/>
          <w:sz w:val="24"/>
        </w:rPr>
        <w:t xml:space="preserve">。在签订合同时，中标、成交供应商明确书面表示无需预付款或者主动要求降低预付款比例的，采购人可就预付款比例作相应调整。</w:t>
      </w:r>
      <w:r/>
    </w:p>
    <w:p>
      <w:pPr>
        <w:ind w:firstLine="480"/>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35.4 确需收取履约保证金的，履约保证金的缴纳形式：</w:t>
      </w:r>
      <w:r/>
    </w:p>
    <w:p>
      <w:pPr>
        <w:ind w:firstLine="480"/>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4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如以履约保函（保险）形式缴纳履约保证金，供应商可通过政府采购电子履约保函（保险）平台（www.jsdzbh.com）在线申请履约保函（保险）。</w:t>
      </w:r>
      <w:r/>
    </w:p>
    <w:p>
      <w:pPr>
        <w:ind w:firstLine="480"/>
        <w:spacing w:line="44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r/>
      <w:r/>
    </w:p>
    <w:p>
      <w:r/>
      <w:r/>
    </w:p>
    <w:p>
      <w:r/>
      <w:r/>
    </w:p>
    <w:p>
      <w:r/>
      <w:r/>
    </w:p>
    <w:p>
      <w:r/>
      <w:r/>
    </w:p>
    <w:p>
      <w:r/>
      <w:r/>
    </w:p>
    <w:p>
      <w:r/>
      <w:r/>
    </w:p>
    <w:p>
      <w:r/>
      <w:r/>
    </w:p>
    <w:p>
      <w:r/>
      <w:bookmarkEnd w:id="52"/>
      <w:bookmarkEnd w:id="53"/>
      <w:bookmarkEnd w:id="54"/>
      <w:r/>
    </w:p>
    <w:p>
      <w:pPr>
        <w:pStyle w:val="949"/>
        <w:jc w:val="both"/>
        <w:keepNext w:val="0"/>
        <w:spacing w:line="420" w:lineRule="auto"/>
        <w:rPr>
          <w:rFonts w:ascii="黑体" w:eastAsia="黑体"/>
          <w:bCs/>
          <w:sz w:val="44"/>
        </w:rPr>
      </w:pPr>
      <w:r/>
      <w:bookmarkStart w:id="55" w:name="_Toc16938558"/>
      <w:r/>
      <w:bookmarkStart w:id="56" w:name="_Toc120614221"/>
      <w:r/>
      <w:bookmarkStart w:id="57" w:name="_Toc20823314"/>
      <w:r/>
      <w:bookmarkStart w:id="58" w:name="_Toc513029242"/>
      <w:r/>
      <w:bookmarkStart w:id="59" w:name="_Toc479757207"/>
      <w:r/>
      <w:r/>
    </w:p>
    <w:p>
      <w:pPr>
        <w:pStyle w:val="949"/>
        <w:ind w:firstLine="880"/>
        <w:jc w:val="both"/>
        <w:spacing w:line="420" w:lineRule="auto"/>
        <w:rPr>
          <w:rFonts w:ascii="黑体" w:eastAsia="黑体"/>
          <w:bCs/>
          <w:sz w:val="44"/>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sz w:val="44"/>
        </w:rPr>
      </w:r>
      <w:r/>
    </w:p>
    <w:p>
      <w:pPr>
        <w:pStyle w:val="949"/>
        <w:ind w:firstLine="880"/>
        <w:spacing w:line="420" w:lineRule="auto"/>
        <w:rPr>
          <w:rFonts w:hint="eastAsia" w:ascii="宋体" w:hAnsi="宋体"/>
          <w:sz w:val="24"/>
        </w:rPr>
      </w:pPr>
      <w:r>
        <w:rPr>
          <w:rFonts w:hint="eastAsia" w:ascii="黑体" w:eastAsia="黑体"/>
          <w:bCs/>
          <w:sz w:val="44"/>
        </w:rPr>
        <w:t xml:space="preserve">第三章  合同条款</w:t>
      </w:r>
      <w:bookmarkEnd w:id="55"/>
      <w:r/>
      <w:bookmarkEnd w:id="56"/>
      <w:r/>
      <w:bookmarkEnd w:id="57"/>
      <w:r/>
      <w:bookmarkEnd w:id="58"/>
      <w:r/>
      <w:bookmarkEnd w:id="59"/>
      <w:r/>
      <w:bookmarkStart w:id="60" w:name="_Hlt16619369"/>
      <w:r/>
      <w:bookmarkEnd w:id="60"/>
      <w:r/>
      <w:bookmarkStart w:id="61" w:name="_Toc16938590"/>
      <w:r/>
      <w:bookmarkStart w:id="62" w:name="_Hlt16619350"/>
      <w:r/>
      <w:bookmarkStart w:id="63" w:name="_Toc20823346"/>
      <w:r/>
      <w:bookmarkStart w:id="64" w:name="_Toc120614244"/>
      <w:r/>
      <w:bookmarkStart w:id="65" w:name="_Toc479757211"/>
      <w:r/>
      <w:bookmarkStart w:id="66" w:name="_Toc462564139"/>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甲方：（买方）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乙方：（卖方）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甲、乙双方根据</w:t>
      </w:r>
      <w:r>
        <w:rPr>
          <w:rFonts w:hint="eastAsia" w:ascii="宋体" w:hAnsi="宋体" w:cs="宋体"/>
          <w:sz w:val="24"/>
          <w:szCs w:val="24"/>
          <w:u w:val="single"/>
        </w:rPr>
        <w:t xml:space="preserve">                  </w:t>
      </w:r>
      <w:r>
        <w:rPr>
          <w:rFonts w:hint="eastAsia" w:ascii="宋体" w:hAnsi="宋体" w:cs="宋体"/>
          <w:color w:val="000000"/>
          <w:sz w:val="24"/>
          <w:szCs w:val="24"/>
          <w:u w:val="single"/>
        </w:rPr>
        <w:t xml:space="preserve">（项目名称）</w:t>
      </w:r>
      <w:r>
        <w:rPr>
          <w:rFonts w:hint="eastAsia" w:ascii="宋体" w:hAnsi="宋体" w:cs="宋体"/>
          <w:sz w:val="24"/>
          <w:szCs w:val="24"/>
        </w:rPr>
        <w:t xml:space="preserve">公开招标的结果，签署本合同。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一、货物内容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1.1 货物名称：详见投标清单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1.2 型号规格：详见投标清单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1.3 数量（单位）：详见投标清单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二、合同金额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2.1 本合同金额为人民币（大写）：</w:t>
      </w:r>
      <w:r>
        <w:rPr>
          <w:rFonts w:hint="eastAsia" w:ascii="宋体" w:hAnsi="宋体" w:cs="宋体"/>
          <w:b/>
          <w:bCs/>
          <w:sz w:val="24"/>
          <w:szCs w:val="24"/>
          <w:u w:val="single"/>
        </w:rPr>
        <w:t xml:space="preserve">       </w:t>
      </w:r>
      <w:r>
        <w:rPr>
          <w:rFonts w:hint="eastAsia" w:ascii="宋体" w:hAnsi="宋体" w:cs="宋体"/>
          <w:sz w:val="24"/>
          <w:szCs w:val="24"/>
          <w:u w:val="single"/>
        </w:rPr>
        <w:t xml:space="preserve">（ 小写￥        元）</w:t>
      </w:r>
      <w:r>
        <w:rPr>
          <w:rFonts w:hint="eastAsia" w:ascii="宋体" w:hAnsi="宋体" w:cs="宋体"/>
          <w:sz w:val="24"/>
          <w:szCs w:val="24"/>
        </w:rPr>
        <w:t xml:space="preserve">。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三、技术资料</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  3.1 乙方应按招标文件规定的时间向甲方提供使用货物的有关技术资料。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3.2 没有甲方事先书面同意，乙方不得将由甲方提供的有关合同或任何合同条文、规格、 计划、图纸、样品或资料提供给与履行本合同无关的任何其他人。即使向履行本合同有关的 人员提供，也应注意保密并限于履行合同的必需范围。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四、知识产权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4.1 乙方应保证甲方在使用、接受本合同货物和服务或其任何一部分时不受第三方提出 侵犯其专利权、版权、商标权和工业设计权等知识产权的起诉。一旦出现侵权，由乙方负全 部责任。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五、产权担保 </w:t>
      </w:r>
      <w:r/>
    </w:p>
    <w:p>
      <w:pPr>
        <w:ind w:left="718"/>
        <w:jc w:val="left"/>
        <w:spacing w:line="500" w:lineRule="exact"/>
        <w:widowControl/>
        <w:rPr>
          <w:rFonts w:hint="eastAsia" w:ascii="宋体" w:hAnsi="宋体" w:cs="宋体"/>
          <w:sz w:val="24"/>
          <w:szCs w:val="24"/>
        </w:rPr>
      </w:pPr>
      <w:r>
        <w:rPr>
          <w:rFonts w:hint="eastAsia" w:ascii="宋体" w:hAnsi="宋体" w:cs="宋体"/>
          <w:sz w:val="24"/>
          <w:szCs w:val="24"/>
        </w:rPr>
        <w:t xml:space="preserve">5.1 乙方保证所交付的货物的所有权完全属于乙方且无任何抵押、查封等产权瑕疵。 六、履约保证金 </w:t>
      </w:r>
      <w:r/>
    </w:p>
    <w:p>
      <w:pPr>
        <w:ind w:left="718"/>
        <w:jc w:val="left"/>
        <w:spacing w:line="500" w:lineRule="exact"/>
        <w:widowControl/>
        <w:rPr>
          <w:rFonts w:hint="eastAsia" w:ascii="宋体" w:hAnsi="宋体" w:cs="宋体"/>
          <w:sz w:val="24"/>
          <w:szCs w:val="24"/>
        </w:rPr>
      </w:pPr>
      <w:r>
        <w:rPr>
          <w:rFonts w:hint="eastAsia" w:ascii="宋体" w:hAnsi="宋体" w:cs="宋体"/>
          <w:sz w:val="24"/>
          <w:szCs w:val="24"/>
        </w:rPr>
        <w:t xml:space="preserve">6.1 乙方交纳人民币</w:t>
      </w:r>
      <w:r>
        <w:rPr>
          <w:rFonts w:hint="eastAsia" w:ascii="宋体" w:hAnsi="宋体" w:cs="宋体"/>
          <w:sz w:val="24"/>
          <w:szCs w:val="24"/>
          <w:u w:val="single"/>
        </w:rPr>
        <w:t xml:space="preserve">     </w:t>
      </w:r>
      <w:r>
        <w:rPr>
          <w:rFonts w:hint="eastAsia" w:ascii="宋体" w:hAnsi="宋体" w:cs="宋体"/>
          <w:b/>
          <w:bCs/>
          <w:sz w:val="24"/>
          <w:szCs w:val="24"/>
          <w:u w:val="single"/>
        </w:rPr>
        <w:t xml:space="preserve"> </w:t>
      </w:r>
      <w:r>
        <w:rPr>
          <w:rFonts w:hint="eastAsia" w:ascii="宋体" w:hAnsi="宋体" w:cs="宋体"/>
          <w:sz w:val="24"/>
          <w:szCs w:val="24"/>
        </w:rPr>
        <w:t xml:space="preserve">作为本合同的履约保证金（不超过合同金额的 10%）。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七、转包或分包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7.1 本合同范围的货物，应由乙方直接供应，不得转让他人供应；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7.2 除非得到甲方的书面同意，乙方不得部分分包给他人供应。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7.3 如有转让和未经甲方同意的分包行为，甲方有权给予终止合同。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八、免费质保期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8.1 免费质保期</w:t>
      </w:r>
      <w:r>
        <w:rPr>
          <w:rFonts w:hint="eastAsia" w:ascii="宋体" w:hAnsi="宋体" w:cs="宋体"/>
          <w:sz w:val="24"/>
          <w:szCs w:val="24"/>
          <w:u w:val="single"/>
        </w:rPr>
        <w:t xml:space="preserve"> 2 </w:t>
      </w:r>
      <w:r>
        <w:rPr>
          <w:rFonts w:hint="eastAsia" w:ascii="宋体" w:hAnsi="宋体" w:cs="宋体"/>
          <w:sz w:val="24"/>
          <w:szCs w:val="24"/>
        </w:rPr>
        <w:t xml:space="preserve">年。因产品瑕疵造成的财产损失、质量问题等全部由乙方负责。（自供货验收合格之日起计）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九、供货期、供货方式及供货地点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9.1 供货期：30日历天（合同签订后30个日历天内完成设备供货及安装调试）。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9.2 供货方式：现场交付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9.3 供货地点：招标人指定地点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十、货款支付 </w:t>
      </w:r>
      <w:r/>
    </w:p>
    <w:p>
      <w:pPr>
        <w:ind w:firstLine="723"/>
        <w:jc w:val="left"/>
        <w:spacing w:line="500" w:lineRule="exact"/>
        <w:widowControl/>
        <w:rPr>
          <w:rFonts w:hint="eastAsia" w:ascii="宋体" w:hAnsi="宋体" w:cs="宋体"/>
          <w:color w:val="ff0000"/>
          <w:sz w:val="28"/>
          <w:szCs w:val="28"/>
        </w:rPr>
      </w:pPr>
      <w:r>
        <w:rPr>
          <w:rFonts w:hint="eastAsia" w:ascii="宋体" w:hAnsi="宋体" w:cs="宋体"/>
          <w:b/>
          <w:bCs/>
          <w:sz w:val="24"/>
          <w:szCs w:val="24"/>
        </w:rPr>
        <w:t xml:space="preserve">10.1 付款方式：</w:t>
      </w:r>
      <w:r>
        <w:rPr>
          <w:rFonts w:hint="eastAsia" w:ascii="Calibri" w:hAnsi="宋体" w:cs="宋体"/>
          <w:sz w:val="24"/>
          <w:szCs w:val="24"/>
          <w:lang w:bidi="ar"/>
        </w:rPr>
        <w:t xml:space="preserve">合同签订后，预</w:t>
      </w:r>
      <w:r>
        <w:rPr>
          <w:rFonts w:hint="eastAsia" w:ascii="Calibri" w:hAnsi="宋体" w:cs="宋体"/>
          <w:color w:val="auto"/>
          <w:sz w:val="24"/>
          <w:szCs w:val="24"/>
          <w:lang w:bidi="ar"/>
        </w:rPr>
        <w:t xml:space="preserve">付款30%；</w:t>
      </w:r>
      <w:r>
        <w:rPr>
          <w:rFonts w:hint="eastAsia" w:ascii="Calibri" w:hAnsi="宋体"/>
          <w:bCs/>
          <w:color w:val="auto"/>
          <w:sz w:val="24"/>
          <w:szCs w:val="24"/>
        </w:rPr>
        <w:t xml:space="preserve">中标</w:t>
      </w:r>
      <w:r>
        <w:rPr>
          <w:rFonts w:hint="eastAsia" w:ascii="Calibri" w:hAnsi="宋体"/>
          <w:bCs/>
          <w:sz w:val="24"/>
          <w:szCs w:val="24"/>
        </w:rPr>
        <w:t xml:space="preserve">人按招标人要求将货物送到指定地点且经招标人验收全部合格后支付至货款总额度的70%；验收合格满一年支付至货款总额度的90%；余款在验收合格满两年且无质量、服务问题按审计价结清（无息，结算时须提供增值税发票）。</w:t>
      </w:r>
      <w:r>
        <w:rPr>
          <w:rFonts w:hint="eastAsia" w:ascii="宋体" w:hAnsi="宋体" w:cs="宋体"/>
          <w:b/>
          <w:bCs/>
          <w:sz w:val="24"/>
          <w:szCs w:val="24"/>
        </w:rPr>
        <w:t xml:space="preserve">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10.2 当采购数量与实际使用数量不一致时，乙方应根据实际使用量供货，合同的最终结算金额按实际使用量乘以成交单价进行计算。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十一.税费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11.1 本合同执行中相关的一切税费均由乙方负担。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十二、质量保证及售后服务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12.1 乙方应按招标文件规定的货物性能、技术要求、质量标准向甲方提供未经使用的全 新产品。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12.2 如在使用过程中发生质量问题，乙方在接到甲方通知后在</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小时内到达甲方现 场。 </w:t>
      </w:r>
      <w:r/>
    </w:p>
    <w:p>
      <w:pPr>
        <w:ind w:firstLine="720"/>
        <w:jc w:val="left"/>
        <w:spacing w:line="500" w:lineRule="exact"/>
        <w:widowControl/>
        <w:rPr>
          <w:rFonts w:hint="eastAsia" w:ascii="宋体" w:hAnsi="宋体" w:cs="宋体"/>
          <w:sz w:val="24"/>
          <w:szCs w:val="24"/>
        </w:rPr>
      </w:pPr>
      <w:r>
        <w:rPr>
          <w:rFonts w:hint="eastAsia" w:ascii="宋体" w:hAnsi="宋体" w:cs="宋体"/>
          <w:sz w:val="24"/>
          <w:szCs w:val="24"/>
        </w:rPr>
        <w:t xml:space="preserve">12.3 在质保期内，乙方应对货物出现的质量及安全问题负责处理解决并承担一切费用。 </w:t>
      </w:r>
      <w:r/>
    </w:p>
    <w:p>
      <w:pPr>
        <w:ind w:left="239"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12.4 上述的货物免费保修期为</w:t>
      </w:r>
      <w:r>
        <w:rPr>
          <w:rFonts w:hint="eastAsia" w:ascii="宋体" w:hAnsi="宋体" w:cs="宋体"/>
          <w:sz w:val="24"/>
          <w:szCs w:val="24"/>
          <w:u w:val="single"/>
        </w:rPr>
        <w:t xml:space="preserve"> 2 </w:t>
      </w:r>
      <w:r>
        <w:rPr>
          <w:rFonts w:hint="eastAsia" w:ascii="宋体" w:hAnsi="宋体" w:cs="宋体"/>
          <w:sz w:val="24"/>
          <w:szCs w:val="24"/>
        </w:rPr>
        <w:t xml:space="preserve">年，因人为因素出现的故障不在免费保修范围内。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十三、调试和验收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13.1 甲方对乙方提交的货物依据招标文件上的技术规格要求和国家有关质量标准进行 现场初步验收，外观、说明书符合招标文件技术要求的，给予签收，初步验收不合格的不予 签收。货到后，甲方需在五个工作日内验收。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13.2 乙方供货前应对产品作出全面检查和对验收文件进行整理，并列出清单，作为甲方 收货验收和使用的技术条件依据，检验的结果应随货物交甲方。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13.3 甲方对乙方提供的货物在使用前进行调试时，乙方需负责安装并培训甲方的使用操 作人员，并协助甲方一起调试，直到符合技术要求，甲方才做最终验收。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13.4 对技术复杂的货物，甲方可请国家认可的专业检测机构参与初步验收及最终验收， 并由其出具质量检测报告。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13.5 验收时乙方必须在现场，验收完毕后作出验收结果报告；验收费用由甲乙双方协商 解决。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十四、货物包装、发运及运输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14.1 乙方应在货物发运前对其进行满足运输距离、防潮、防震、防锈和防破损装卸等要 求包装，以保证货物安全运达甲方指定地点。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14.2 使用说明书、质量检验证明书、随配附件和工具以及清单一并附于货物内。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14.3 乙方在货物发运手续办理完毕后 24 小时内或货到甲方 48 小时前通知甲方，以准备 接货。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14.4 货物在交付甲方前发生的风险均由乙方负责。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14.5 货物在规定的交付期限内由乙方送达甲方指定的地点视为交付，乙方同时需通知甲 方货物已送达。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十五、违约责任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15.1 甲方无正当理由拒收货物的，甲方向乙方偿付拒收货款总值的百分之五违约金。</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15.2 甲方无故逾期验收和办理货款支付手续的,甲方应按逾期付款总额每日万分之五向 乙方支付违约金。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15.3 乙方逾期交付货物的，乙方应按逾期供货总额每日千分之六向甲方支付违约金，由 甲方从待付货款中扣除。逾期超过约定日期 10 个工作日不能供货的，甲方可解除本合同。乙 方因逾期供货或因其他违约行为导致甲方解除合同的，乙方应向甲方支付合同总值 5%的违约金，如造成甲方损失超过违约金的，超出部分由乙方继续承担赔偿责任。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15.4 乙方所交的货物品种、型号、规格、技术参数、质量不符合合同规定及招标文件规</w:t>
      </w:r>
      <w:r/>
    </w:p>
    <w:p>
      <w:pPr>
        <w:jc w:val="left"/>
        <w:spacing w:line="500" w:lineRule="exact"/>
        <w:widowControl/>
        <w:rPr>
          <w:rFonts w:hint="eastAsia" w:ascii="宋体" w:hAnsi="宋体" w:cs="宋体"/>
          <w:sz w:val="24"/>
          <w:szCs w:val="24"/>
        </w:rPr>
      </w:pPr>
      <w:r>
        <w:rPr>
          <w:rFonts w:hint="eastAsia" w:ascii="宋体" w:hAnsi="宋体" w:cs="宋体"/>
          <w:sz w:val="24"/>
          <w:szCs w:val="24"/>
        </w:rPr>
        <w:t xml:space="preserve">定标准的，甲方有权拒收该货物，乙方愿意更换货物但逾期供货的，按乙方逾期供货处理。 乙方拒绝更换货物的，甲方可单方面解除合同。 </w:t>
      </w:r>
      <w:r/>
    </w:p>
    <w:p>
      <w:pPr>
        <w:jc w:val="left"/>
        <w:spacing w:line="500" w:lineRule="exact"/>
        <w:widowControl/>
        <w:rPr>
          <w:rFonts w:hint="eastAsia" w:ascii="宋体" w:hAnsi="宋体" w:cs="宋体"/>
          <w:sz w:val="24"/>
          <w:szCs w:val="24"/>
        </w:rPr>
      </w:pPr>
      <w:r>
        <w:rPr>
          <w:rFonts w:hint="eastAsia" w:ascii="宋体" w:hAnsi="宋体" w:cs="宋体"/>
          <w:sz w:val="24"/>
          <w:szCs w:val="24"/>
        </w:rPr>
        <w:t xml:space="preserve">十六、不可抗力事件处理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16.1 在合同有效期内，任何一方因不可抗力事件导致不能履行合同，则合同履行期可延 长，其延长期与不可抗力影响期相同。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16.2 不可抗力事件发生后，应立即通知对方，并寄送有关权威机构出具的证明。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16.3 不可抗力事件延续 120 天以上，双方应通过友好协商，确定是否继续履行合同。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十七、诉讼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17.1 双方在执行合同中所发生的一切争议，应通过协商解决。如协商不成，可向合同签 订地法院起诉，合同签订地在此约定为盐城市。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十八、合同生效及其它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18.1 合同经双方法定代表人或授权委托代表人签字并加盖单位公章后生效。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18.2 招标文件、投标文件作为合同的组成部分，本合同未尽事宜，遵照《合同法》有关 条文执行。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18.3 合同生效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合同订立时间： 年 月 日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合同订立地点：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本合同双方约定： 双方签字盖章后生效。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双方约定合同份数：本合同共 页，壹式 份，甲方 份，乙方 份。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甲方：                         乙方：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地址：                         地址：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法定代表人或授权代表：        法定代表人或授权代表： </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联系电话：                    联系电话：</w:t>
      </w:r>
      <w:r/>
    </w:p>
    <w:p>
      <w:pPr>
        <w:pStyle w:val="769"/>
        <w:spacing w:line="360" w:lineRule="auto"/>
        <w:rPr>
          <w:rFonts w:hint="eastAsia" w:hAnsi="宋体" w:cs="宋体"/>
          <w:szCs w:val="24"/>
        </w:rPr>
      </w:pPr>
      <w:r>
        <w:rPr>
          <w:rFonts w:ascii="黑体" w:eastAsia="黑体"/>
          <w:bCs/>
          <w:sz w:val="44"/>
        </w:rPr>
        <w:br w:type="page" w:clear="all"/>
      </w:r>
      <w:r/>
    </w:p>
    <w:p>
      <w:pPr>
        <w:pStyle w:val="949"/>
        <w:ind w:firstLine="880"/>
        <w:jc w:val="both"/>
        <w:spacing w:line="420" w:lineRule="auto"/>
        <w:rPr>
          <w:rFonts w:ascii="黑体" w:eastAsia="黑体"/>
          <w:bCs/>
          <w:sz w:val="44"/>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sz w:val="44"/>
        </w:rPr>
      </w:r>
      <w:bookmarkEnd w:id="61"/>
      <w:bookmarkEnd w:id="62"/>
      <w:bookmarkEnd w:id="63"/>
      <w:bookmarkEnd w:id="64"/>
      <w:r/>
    </w:p>
    <w:p>
      <w:pPr>
        <w:pStyle w:val="949"/>
        <w:ind w:firstLine="880"/>
        <w:spacing w:line="420" w:lineRule="auto"/>
        <w:rPr>
          <w:rFonts w:hint="eastAsia" w:ascii="宋体" w:hAnsi="宋体" w:eastAsia="黑体"/>
          <w:sz w:val="24"/>
          <w:szCs w:val="24"/>
        </w:rPr>
      </w:pPr>
      <w:r/>
      <w:bookmarkStart w:id="67" w:name="_Toc49090575"/>
      <w:r/>
      <w:bookmarkStart w:id="68" w:name="_Toc120614281"/>
      <w:r/>
      <w:bookmarkStart w:id="69" w:name="_Toc26554093"/>
      <w:r>
        <w:rPr>
          <w:rFonts w:hint="eastAsia" w:ascii="黑体" w:eastAsia="黑体"/>
          <w:bCs/>
          <w:sz w:val="44"/>
        </w:rPr>
        <w:t xml:space="preserve">第四章  项目需求</w:t>
      </w:r>
      <w:r/>
    </w:p>
    <w:tbl>
      <w:tblPr>
        <w:tblStyle w:val="755"/>
        <w:tblW w:w="9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5"/>
        <w:gridCol w:w="5926"/>
        <w:gridCol w:w="682"/>
        <w:gridCol w:w="900"/>
        <w:gridCol w:w="8"/>
      </w:tblGrid>
      <w:tr>
        <w:trPr>
          <w:gridAfter w:val="1"/>
          <w:trHeight w:val="397"/>
          <w:tblHeader/>
        </w:trPr>
        <w:tc>
          <w:tcPr>
            <w:shd w:val="clear" w:color="auto" w:fill="auto"/>
            <w:tcW w:w="704" w:type="dxa"/>
            <w:vAlign w:val="center"/>
            <w:textDirection w:val="lrTb"/>
            <w:noWrap/>
          </w:tcPr>
          <w:p>
            <w:pPr>
              <w:jc w:val="center"/>
              <w:widowControl/>
              <w:rPr>
                <w:b/>
                <w:bCs/>
              </w:rPr>
            </w:pPr>
            <w:r>
              <w:rPr>
                <w:b/>
                <w:bCs/>
              </w:rPr>
              <w:t xml:space="preserve">序号</w:t>
            </w:r>
            <w:r/>
          </w:p>
        </w:tc>
        <w:tc>
          <w:tcPr>
            <w:shd w:val="clear" w:color="auto" w:fill="auto"/>
            <w:tcW w:w="1275" w:type="dxa"/>
            <w:vAlign w:val="center"/>
            <w:textDirection w:val="lrTb"/>
            <w:noWrap/>
          </w:tcPr>
          <w:p>
            <w:pPr>
              <w:jc w:val="center"/>
              <w:widowControl/>
              <w:rPr>
                <w:b/>
                <w:bCs/>
              </w:rPr>
            </w:pPr>
            <w:r>
              <w:rPr>
                <w:b/>
                <w:bCs/>
              </w:rPr>
              <w:t xml:space="preserve">货物名称</w:t>
            </w:r>
            <w:r/>
          </w:p>
        </w:tc>
        <w:tc>
          <w:tcPr>
            <w:shd w:val="clear" w:color="auto" w:fill="auto"/>
            <w:tcW w:w="5926" w:type="dxa"/>
            <w:vAlign w:val="center"/>
            <w:textDirection w:val="lrTb"/>
            <w:noWrap/>
          </w:tcPr>
          <w:p>
            <w:pPr>
              <w:jc w:val="center"/>
              <w:widowControl/>
              <w:rPr>
                <w:b/>
                <w:bCs/>
              </w:rPr>
            </w:pPr>
            <w:r>
              <w:rPr>
                <w:b/>
                <w:bCs/>
              </w:rPr>
              <w:t xml:space="preserve">技术参数及要求</w:t>
            </w:r>
            <w:r/>
          </w:p>
        </w:tc>
        <w:tc>
          <w:tcPr>
            <w:shd w:val="clear" w:color="auto" w:fill="auto"/>
            <w:tcW w:w="682" w:type="dxa"/>
            <w:vAlign w:val="center"/>
            <w:textDirection w:val="lrTb"/>
            <w:noWrap/>
          </w:tcPr>
          <w:p>
            <w:pPr>
              <w:jc w:val="center"/>
              <w:widowControl/>
              <w:rPr>
                <w:b/>
                <w:bCs/>
              </w:rPr>
            </w:pPr>
            <w:r>
              <w:rPr>
                <w:b/>
                <w:bCs/>
              </w:rPr>
              <w:t xml:space="preserve">单位</w:t>
            </w:r>
            <w:r/>
          </w:p>
        </w:tc>
        <w:tc>
          <w:tcPr>
            <w:shd w:val="clear" w:color="auto" w:fill="auto"/>
            <w:tcW w:w="900" w:type="dxa"/>
            <w:vAlign w:val="center"/>
            <w:textDirection w:val="lrTb"/>
            <w:noWrap/>
          </w:tcPr>
          <w:p>
            <w:pPr>
              <w:jc w:val="center"/>
              <w:widowControl/>
              <w:rPr>
                <w:b/>
                <w:bCs/>
              </w:rPr>
            </w:pPr>
            <w:r>
              <w:rPr>
                <w:b/>
                <w:bCs/>
              </w:rPr>
              <w:t xml:space="preserve">数量</w:t>
            </w:r>
            <w:r/>
          </w:p>
        </w:tc>
      </w:tr>
      <w:tr>
        <w:trPr>
          <w:trHeight w:val="270"/>
        </w:trPr>
        <w:tc>
          <w:tcPr>
            <w:gridSpan w:val="6"/>
            <w:shd w:val="clear" w:color="auto" w:fill="auto"/>
            <w:tcW w:w="9495" w:type="dxa"/>
            <w:vAlign w:val="center"/>
            <w:textDirection w:val="lrTb"/>
            <w:noWrap/>
          </w:tcPr>
          <w:p>
            <w:pPr>
              <w:jc w:val="left"/>
              <w:widowControl/>
              <w:rPr>
                <w:b/>
                <w:bCs/>
              </w:rPr>
            </w:pPr>
            <w:r>
              <w:rPr>
                <w:b/>
                <w:bCs/>
              </w:rPr>
              <w:t xml:space="preserve">一、</w:t>
            </w:r>
            <w:bookmarkStart w:id="70" w:name="_Hlk170303203"/>
            <w:r>
              <w:rPr>
                <w:b/>
                <w:bCs/>
              </w:rPr>
              <w:t xml:space="preserve">杆件及灯头、灯具</w:t>
            </w:r>
            <w:bookmarkEnd w:id="70"/>
            <w:r/>
            <w:r/>
          </w:p>
        </w:tc>
      </w:tr>
      <w:tr>
        <w:trPr>
          <w:gridAfter w:val="1"/>
          <w:trHeight w:val="270"/>
        </w:trPr>
        <w:tc>
          <w:tcPr>
            <w:shd w:val="clear" w:color="auto" w:fill="auto"/>
            <w:tcW w:w="704" w:type="dxa"/>
            <w:vAlign w:val="center"/>
            <w:textDirection w:val="lrTb"/>
            <w:noWrap/>
          </w:tcPr>
          <w:p>
            <w:pPr>
              <w:jc w:val="center"/>
              <w:widowControl/>
            </w:pPr>
            <w:r>
              <w:t xml:space="preserve">1</w:t>
            </w:r>
            <w:r/>
          </w:p>
        </w:tc>
        <w:tc>
          <w:tcPr>
            <w:shd w:val="clear" w:color="auto" w:fill="auto"/>
            <w:tcW w:w="1275" w:type="dxa"/>
            <w:vAlign w:val="center"/>
            <w:textDirection w:val="lrTb"/>
            <w:noWrap/>
          </w:tcPr>
          <w:p>
            <w:pPr>
              <w:jc w:val="center"/>
              <w:widowControl/>
            </w:pPr>
            <w:r>
              <w:t xml:space="preserve">基础型智慧灯杆1</w:t>
            </w:r>
            <w:r/>
          </w:p>
        </w:tc>
        <w:tc>
          <w:tcPr>
            <w:shd w:val="clear" w:color="auto" w:fill="auto"/>
            <w:tcW w:w="5926" w:type="dxa"/>
            <w:vAlign w:val="center"/>
            <w:textDirection w:val="lrTb"/>
            <w:noWrap/>
          </w:tcPr>
          <w:p>
            <w:pPr>
              <w:jc w:val="left"/>
              <w:widowControl/>
            </w:pPr>
            <w:r>
              <w:t xml:space="preserve">技术参数：</w:t>
            </w:r>
            <w:r/>
          </w:p>
          <w:p>
            <w:pPr>
              <w:pStyle w:val="810"/>
              <w:numPr>
                <w:ilvl w:val="0"/>
                <w:numId w:val="5"/>
              </w:numPr>
              <w:ind w:left="315" w:hanging="315"/>
              <w:jc w:val="left"/>
              <w:widowControl/>
            </w:pPr>
            <w:r>
              <w:t xml:space="preserve">灯杆下主杆材质Q235，采用δ5板材卷杆制作，上口径</w:t>
            </w:r>
            <w:r>
              <w:rPr>
                <w:rFonts w:ascii="Cambria Math" w:hAnsi="Cambria Math" w:cs="Cambria Math"/>
              </w:rPr>
              <w:t xml:space="preserve">∅</w:t>
            </w:r>
            <w:r>
              <w:t xml:space="preserve">260，下口径</w:t>
            </w:r>
            <w:r>
              <w:rPr>
                <w:rFonts w:ascii="Cambria Math" w:hAnsi="Cambria Math" w:cs="Cambria Math"/>
              </w:rPr>
              <w:t xml:space="preserve">∅</w:t>
            </w:r>
            <w:r>
              <w:t xml:space="preserve">320，H=7.2m；2200位置向上每隔450中间开M20圆孔，四面安装3.6m长4×20×68 C型滑槽，下主杆6100位置开</w:t>
            </w:r>
            <w:r>
              <w:rPr>
                <w:rFonts w:ascii="Cambria Math" w:hAnsi="Cambria Math" w:cs="Cambria Math"/>
              </w:rPr>
              <w:t xml:space="preserve">∅</w:t>
            </w:r>
            <w:r>
              <w:t xml:space="preserve">89孔，做监控挑臂预留</w:t>
            </w:r>
            <w:r>
              <w:rPr>
                <w:rFonts w:ascii="Cambria Math" w:hAnsi="Cambria Math" w:cs="Cambria Math"/>
              </w:rPr>
              <w:t xml:space="preserve">∅</w:t>
            </w:r>
            <w:r>
              <w:t xml:space="preserve">200对接法兰。</w:t>
            </w:r>
            <w:r/>
          </w:p>
          <w:p>
            <w:pPr>
              <w:pStyle w:val="810"/>
              <w:numPr>
                <w:ilvl w:val="0"/>
                <w:numId w:val="5"/>
              </w:numPr>
              <w:ind w:left="315" w:hanging="315"/>
              <w:jc w:val="left"/>
              <w:widowControl/>
            </w:pPr>
            <w:r>
              <w:t xml:space="preserve">上主杆材质镀锌钢管，采用</w:t>
            </w:r>
            <w:r>
              <w:rPr>
                <w:rFonts w:ascii="Cambria Math" w:hAnsi="Cambria Math" w:cs="Cambria Math"/>
              </w:rPr>
              <w:t xml:space="preserve">∅</w:t>
            </w:r>
            <w:r>
              <w:t xml:space="preserve">165×4，H=3.2m镀锌钢管制作，打磨后，切口及打磨处采用环氧富锌底漆防锈处理。</w:t>
            </w:r>
            <w:r/>
          </w:p>
          <w:p>
            <w:pPr>
              <w:pStyle w:val="810"/>
              <w:numPr>
                <w:ilvl w:val="0"/>
                <w:numId w:val="5"/>
              </w:numPr>
              <w:ind w:left="315" w:hanging="315"/>
              <w:jc w:val="left"/>
              <w:widowControl/>
            </w:pPr>
            <w:r>
              <w:t xml:space="preserve">灯头支臂、美化罩均采用δ1.5、201不锈钢板材激光切割，拼焊而成，部分位置采用压铸结构件支撑，灯头边缘部分采用点焊凹槽工艺，表面无焊点和折痕。</w:t>
            </w:r>
            <w:r/>
          </w:p>
          <w:p>
            <w:pPr>
              <w:pStyle w:val="810"/>
              <w:numPr>
                <w:ilvl w:val="0"/>
                <w:numId w:val="5"/>
              </w:numPr>
              <w:ind w:left="315" w:hanging="315"/>
              <w:jc w:val="left"/>
              <w:widowControl/>
            </w:pPr>
            <w:r>
              <w:t xml:space="preserve">顶部装饰罩做激光切割美化孔，预留5G支架接口法兰。</w:t>
            </w:r>
            <w:r/>
          </w:p>
          <w:p>
            <w:pPr>
              <w:pStyle w:val="810"/>
              <w:numPr>
                <w:ilvl w:val="0"/>
                <w:numId w:val="5"/>
              </w:numPr>
              <w:ind w:left="315" w:hanging="315"/>
              <w:jc w:val="left"/>
              <w:widowControl/>
            </w:pPr>
            <w:r>
              <w:t xml:space="preserve">法兰尺寸为</w:t>
            </w:r>
            <w:r>
              <w:rPr>
                <w:rFonts w:ascii="Cambria Math" w:hAnsi="Cambria Math" w:cs="Cambria Math"/>
              </w:rPr>
              <w:t xml:space="preserve">∅</w:t>
            </w:r>
            <w:r>
              <w:t xml:space="preserve">600，厚度为δ25，安装孔对角距</w:t>
            </w:r>
            <w:r>
              <w:rPr>
                <w:rFonts w:ascii="Cambria Math" w:hAnsi="Cambria Math" w:cs="Cambria Math"/>
              </w:rPr>
              <w:t xml:space="preserve">∅</w:t>
            </w:r>
            <w:r>
              <w:t xml:space="preserve">500，安装孔为6-30×60，角筋δ12×（20+130）×（20+250）×8块。</w:t>
            </w:r>
            <w:r/>
          </w:p>
          <w:p>
            <w:pPr>
              <w:pStyle w:val="810"/>
              <w:numPr>
                <w:ilvl w:val="0"/>
                <w:numId w:val="5"/>
              </w:numPr>
              <w:ind w:left="315" w:hanging="315"/>
              <w:jc w:val="left"/>
              <w:widowControl/>
            </w:pPr>
            <w:r>
              <w:t xml:space="preserve">LED光源2×300W，配电源线RVV3×1.5。</w:t>
            </w:r>
            <w:r/>
          </w:p>
          <w:p>
            <w:pPr>
              <w:pStyle w:val="810"/>
              <w:numPr>
                <w:ilvl w:val="0"/>
                <w:numId w:val="5"/>
              </w:numPr>
              <w:ind w:left="315" w:hanging="315"/>
              <w:jc w:val="left"/>
              <w:widowControl/>
            </w:pPr>
            <w:r>
              <w:t xml:space="preserve">灯杆除去顶部灯头、美化罩、装饰罩等部件外，前期均采用多元气体共振处理，再采用热镀锌、打磨，静电喷塑处理，喷塑颜色由业主确认。</w:t>
            </w:r>
            <w:r/>
          </w:p>
          <w:p>
            <w:pPr>
              <w:pStyle w:val="810"/>
              <w:numPr>
                <w:ilvl w:val="0"/>
                <w:numId w:val="5"/>
              </w:numPr>
              <w:ind w:left="315" w:hanging="315"/>
              <w:jc w:val="left"/>
              <w:widowControl/>
            </w:pPr>
            <w:r>
              <w:t xml:space="preserve">部分尺</w:t>
            </w:r>
            <w:r>
              <w:rPr>
                <w:highlight w:val="none"/>
              </w:rPr>
              <w:t xml:space="preserve">寸如图所示。</w:t>
            </w:r>
            <w:r/>
          </w:p>
          <w:p>
            <w:pPr>
              <w:pStyle w:val="810"/>
              <w:numPr>
                <w:ilvl w:val="0"/>
                <w:numId w:val="5"/>
              </w:numPr>
              <w:ind w:left="315" w:hanging="315"/>
              <w:jc w:val="left"/>
              <w:widowControl/>
            </w:pPr>
            <w:r>
              <w:t xml:space="preserve">接地电阻小于4欧姆。</w:t>
            </w:r>
            <w:r/>
          </w:p>
          <w:p>
            <w:pPr>
              <w:pStyle w:val="810"/>
              <w:numPr>
                <w:ilvl w:val="0"/>
                <w:numId w:val="5"/>
              </w:numPr>
              <w:ind w:left="315" w:hanging="315"/>
              <w:jc w:val="left"/>
              <w:widowControl/>
            </w:pPr>
            <w:r>
              <w:t xml:space="preserve">未写明单位的尺寸单位为（mm）。</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42</w:t>
            </w:r>
            <w:r/>
          </w:p>
        </w:tc>
      </w:tr>
      <w:tr>
        <w:trPr>
          <w:gridAfter w:val="1"/>
          <w:trHeight w:val="270"/>
        </w:trPr>
        <w:tc>
          <w:tcPr>
            <w:shd w:val="clear" w:color="auto" w:fill="auto"/>
            <w:tcW w:w="704" w:type="dxa"/>
            <w:vAlign w:val="center"/>
            <w:textDirection w:val="lrTb"/>
            <w:noWrap/>
          </w:tcPr>
          <w:p>
            <w:pPr>
              <w:jc w:val="center"/>
              <w:widowControl/>
            </w:pPr>
            <w:r>
              <w:t xml:space="preserve">2</w:t>
            </w:r>
            <w:r/>
          </w:p>
        </w:tc>
        <w:tc>
          <w:tcPr>
            <w:shd w:val="clear" w:color="auto" w:fill="auto"/>
            <w:tcW w:w="1275" w:type="dxa"/>
            <w:vAlign w:val="center"/>
            <w:textDirection w:val="lrTb"/>
            <w:noWrap/>
          </w:tcPr>
          <w:p>
            <w:pPr>
              <w:jc w:val="center"/>
              <w:widowControl/>
            </w:pPr>
            <w:r>
              <w:t xml:space="preserve">基础型智慧灯杆2</w:t>
            </w:r>
            <w:r/>
          </w:p>
        </w:tc>
        <w:tc>
          <w:tcPr>
            <w:shd w:val="clear" w:color="auto" w:fill="auto"/>
            <w:tcW w:w="5926" w:type="dxa"/>
            <w:vAlign w:val="center"/>
            <w:textDirection w:val="lrTb"/>
            <w:noWrap/>
          </w:tcPr>
          <w:p>
            <w:pPr>
              <w:jc w:val="left"/>
              <w:widowControl/>
            </w:pPr>
            <w:r>
              <w:t xml:space="preserve">技术参数：</w:t>
            </w:r>
            <w:r/>
          </w:p>
          <w:p>
            <w:pPr>
              <w:pStyle w:val="810"/>
              <w:numPr>
                <w:ilvl w:val="0"/>
                <w:numId w:val="6"/>
              </w:numPr>
              <w:ind w:left="292" w:hanging="292"/>
              <w:jc w:val="left"/>
              <w:widowControl/>
            </w:pPr>
            <w:r>
              <w:t xml:space="preserve">灯杆下主杆材质Q235，采用δ5板材卷杆制作，上口径</w:t>
            </w:r>
            <w:r>
              <w:rPr>
                <w:rFonts w:ascii="Cambria Math" w:hAnsi="Cambria Math" w:cs="Cambria Math"/>
              </w:rPr>
              <w:t xml:space="preserve">∅</w:t>
            </w:r>
            <w:r>
              <w:t xml:space="preserve">260，下口径</w:t>
            </w:r>
            <w:r>
              <w:rPr>
                <w:rFonts w:ascii="Cambria Math" w:hAnsi="Cambria Math" w:cs="Cambria Math"/>
              </w:rPr>
              <w:t xml:space="preserve">∅</w:t>
            </w:r>
            <w:r>
              <w:t xml:space="preserve">320，H=7.2m；2200位置向上每隔450中间开M20圆孔，四面安装3.6m长4×20×68 C型滑槽，下主杆6100位置开</w:t>
            </w:r>
            <w:r>
              <w:rPr>
                <w:rFonts w:ascii="Cambria Math" w:hAnsi="Cambria Math" w:cs="Cambria Math"/>
              </w:rPr>
              <w:t xml:space="preserve">∅</w:t>
            </w:r>
            <w:r>
              <w:t xml:space="preserve">89孔，做监控挑臂预留</w:t>
            </w:r>
            <w:r>
              <w:rPr>
                <w:rFonts w:ascii="Cambria Math" w:hAnsi="Cambria Math" w:cs="Cambria Math"/>
              </w:rPr>
              <w:t xml:space="preserve">∅</w:t>
            </w:r>
            <w:r>
              <w:t xml:space="preserve">200对接法兰。</w:t>
            </w:r>
            <w:r/>
          </w:p>
          <w:p>
            <w:pPr>
              <w:pStyle w:val="810"/>
              <w:numPr>
                <w:ilvl w:val="0"/>
                <w:numId w:val="6"/>
              </w:numPr>
              <w:ind w:left="292" w:hanging="292"/>
              <w:jc w:val="left"/>
              <w:widowControl/>
            </w:pPr>
            <w:r>
              <w:t xml:space="preserve">上主杆材质镀锌钢管，采用</w:t>
            </w:r>
            <w:r>
              <w:rPr>
                <w:rFonts w:ascii="Cambria Math" w:hAnsi="Cambria Math" w:cs="Cambria Math"/>
              </w:rPr>
              <w:t xml:space="preserve">∅</w:t>
            </w:r>
            <w:r>
              <w:t xml:space="preserve">165×4，H=0.2m镀锌钢管制作，打磨后，切口及打磨处采用环氧富锌底漆防锈处理。</w:t>
            </w:r>
            <w:r/>
          </w:p>
          <w:p>
            <w:pPr>
              <w:pStyle w:val="810"/>
              <w:numPr>
                <w:ilvl w:val="0"/>
                <w:numId w:val="6"/>
              </w:numPr>
              <w:ind w:left="292" w:hanging="292"/>
              <w:jc w:val="left"/>
              <w:widowControl/>
            </w:pPr>
            <w:r>
              <w:t xml:space="preserve">灯头支臂、美化罩均采用δ1.5、201不锈钢板材激光切割，拼焊而成，部分位置采用压铸结构件支撑，灯头边缘部分采用点焊凹槽工艺，表面无焊点和折痕。</w:t>
            </w:r>
            <w:r/>
          </w:p>
          <w:p>
            <w:pPr>
              <w:pStyle w:val="810"/>
              <w:numPr>
                <w:ilvl w:val="0"/>
                <w:numId w:val="6"/>
              </w:numPr>
              <w:ind w:left="292" w:hanging="292"/>
              <w:jc w:val="left"/>
              <w:widowControl/>
            </w:pPr>
            <w:r>
              <w:t xml:space="preserve">顶部装饰罩做激光切割美化孔，预留5G支架接口法兰。</w:t>
            </w:r>
            <w:r/>
          </w:p>
          <w:p>
            <w:pPr>
              <w:pStyle w:val="810"/>
              <w:numPr>
                <w:ilvl w:val="0"/>
                <w:numId w:val="6"/>
              </w:numPr>
              <w:ind w:left="292" w:hanging="292"/>
              <w:jc w:val="left"/>
              <w:widowControl/>
            </w:pPr>
            <w:r>
              <w:t xml:space="preserve">法兰尺寸为</w:t>
            </w:r>
            <w:r>
              <w:rPr>
                <w:rFonts w:ascii="Cambria Math" w:hAnsi="Cambria Math" w:cs="Cambria Math"/>
              </w:rPr>
              <w:t xml:space="preserve">∅</w:t>
            </w:r>
            <w:r>
              <w:t xml:space="preserve">600，厚度为δ25，安装孔对角距</w:t>
            </w:r>
            <w:r>
              <w:rPr>
                <w:rFonts w:ascii="Cambria Math" w:hAnsi="Cambria Math" w:cs="Cambria Math"/>
              </w:rPr>
              <w:t xml:space="preserve">∅</w:t>
            </w:r>
            <w:r>
              <w:t xml:space="preserve">500，安装孔为6-30×60，角筋δ12×（20+130）×（20+250）×8块。</w:t>
            </w:r>
            <w:r/>
          </w:p>
          <w:p>
            <w:pPr>
              <w:pStyle w:val="810"/>
              <w:numPr>
                <w:ilvl w:val="0"/>
                <w:numId w:val="6"/>
              </w:numPr>
              <w:ind w:left="292" w:hanging="292"/>
              <w:jc w:val="left"/>
              <w:widowControl/>
            </w:pPr>
            <w:r>
              <w:t xml:space="preserve">LED光源2×300W，配电源线RVV3×1.5。</w:t>
            </w:r>
            <w:r/>
          </w:p>
          <w:p>
            <w:pPr>
              <w:pStyle w:val="810"/>
              <w:numPr>
                <w:ilvl w:val="0"/>
                <w:numId w:val="6"/>
              </w:numPr>
              <w:ind w:left="292" w:hanging="292"/>
              <w:jc w:val="left"/>
              <w:widowControl/>
            </w:pPr>
            <w:r>
              <w:t xml:space="preserve">灯杆除去顶部灯头、美化罩、装饰罩等部件外，前期均采用多元气体共振处理，再采用热镀锌、打磨，静电喷塑处理，喷塑颜色由业主确认。</w:t>
            </w:r>
            <w:r/>
          </w:p>
          <w:p>
            <w:pPr>
              <w:pStyle w:val="810"/>
              <w:numPr>
                <w:ilvl w:val="0"/>
                <w:numId w:val="6"/>
              </w:numPr>
              <w:ind w:left="292" w:hanging="292"/>
              <w:jc w:val="left"/>
              <w:widowControl/>
            </w:pPr>
            <w:r>
              <w:t xml:space="preserve">部分尺寸如图所示。</w:t>
            </w:r>
            <w:r/>
          </w:p>
          <w:p>
            <w:pPr>
              <w:pStyle w:val="810"/>
              <w:numPr>
                <w:ilvl w:val="0"/>
                <w:numId w:val="6"/>
              </w:numPr>
              <w:ind w:left="292" w:hanging="292"/>
              <w:jc w:val="left"/>
              <w:widowControl/>
            </w:pPr>
            <w:r>
              <w:t xml:space="preserve">接地电阻小于4欧姆。</w:t>
            </w:r>
            <w:r/>
          </w:p>
          <w:p>
            <w:pPr>
              <w:pStyle w:val="810"/>
              <w:numPr>
                <w:ilvl w:val="0"/>
                <w:numId w:val="6"/>
              </w:numPr>
              <w:ind w:left="292" w:hanging="292"/>
              <w:jc w:val="left"/>
              <w:widowControl/>
            </w:pPr>
            <w:r>
              <w:t xml:space="preserve">未写明单位的尺寸单位为（mm）。</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4</w:t>
            </w:r>
            <w:r/>
          </w:p>
        </w:tc>
      </w:tr>
      <w:tr>
        <w:trPr>
          <w:gridAfter w:val="1"/>
          <w:trHeight w:val="270"/>
        </w:trPr>
        <w:tc>
          <w:tcPr>
            <w:shd w:val="clear" w:color="auto" w:fill="auto"/>
            <w:tcW w:w="704" w:type="dxa"/>
            <w:vAlign w:val="center"/>
            <w:textDirection w:val="lrTb"/>
            <w:noWrap/>
          </w:tcPr>
          <w:p>
            <w:pPr>
              <w:jc w:val="center"/>
              <w:widowControl/>
            </w:pPr>
            <w:r>
              <w:t xml:space="preserve">3</w:t>
            </w:r>
            <w:r/>
          </w:p>
        </w:tc>
        <w:tc>
          <w:tcPr>
            <w:shd w:val="clear" w:color="auto" w:fill="auto"/>
            <w:tcW w:w="1275" w:type="dxa"/>
            <w:vAlign w:val="center"/>
            <w:textDirection w:val="lrTb"/>
            <w:noWrap/>
          </w:tcPr>
          <w:p>
            <w:pPr>
              <w:jc w:val="center"/>
              <w:widowControl/>
            </w:pPr>
            <w:r>
              <w:t xml:space="preserve">增强型智慧灯杆</w:t>
            </w:r>
            <w:r/>
          </w:p>
        </w:tc>
        <w:tc>
          <w:tcPr>
            <w:shd w:val="clear" w:color="auto" w:fill="auto"/>
            <w:tcW w:w="5926" w:type="dxa"/>
            <w:vAlign w:val="center"/>
            <w:textDirection w:val="lrTb"/>
            <w:noWrap/>
          </w:tcPr>
          <w:p>
            <w:pPr>
              <w:jc w:val="left"/>
              <w:widowControl/>
            </w:pPr>
            <w:r>
              <w:t xml:space="preserve">技术参数：</w:t>
            </w:r>
            <w:r/>
          </w:p>
          <w:p>
            <w:pPr>
              <w:pStyle w:val="810"/>
              <w:numPr>
                <w:ilvl w:val="0"/>
                <w:numId w:val="7"/>
              </w:numPr>
              <w:ind w:left="292" w:hanging="292"/>
              <w:jc w:val="left"/>
              <w:widowControl/>
            </w:pPr>
            <w:r>
              <w:t xml:space="preserve">灯杆下主杆材质Q235，采用δ5板材卷杆制作，上口径</w:t>
            </w:r>
            <w:r>
              <w:rPr>
                <w:rFonts w:ascii="Cambria Math" w:hAnsi="Cambria Math" w:cs="Cambria Math"/>
              </w:rPr>
              <w:t xml:space="preserve">∅</w:t>
            </w:r>
            <w:r>
              <w:t xml:space="preserve">260，下口径</w:t>
            </w:r>
            <w:r>
              <w:rPr>
                <w:rFonts w:ascii="Cambria Math" w:hAnsi="Cambria Math" w:cs="Cambria Math"/>
              </w:rPr>
              <w:t xml:space="preserve">∅</w:t>
            </w:r>
            <w:r>
              <w:t xml:space="preserve">320，H=7.2m；2200位置向上每隔450中间开M20圆孔，四面安装3.6m长4×20×68 C型滑槽，下主杆6100位置开</w:t>
            </w:r>
            <w:r>
              <w:rPr>
                <w:rFonts w:ascii="Cambria Math" w:hAnsi="Cambria Math" w:cs="Cambria Math"/>
              </w:rPr>
              <w:t xml:space="preserve">∅</w:t>
            </w:r>
            <w:r>
              <w:t xml:space="preserve">89孔，做监控挑臂预留</w:t>
            </w:r>
            <w:r>
              <w:rPr>
                <w:rFonts w:ascii="Cambria Math" w:hAnsi="Cambria Math" w:cs="Cambria Math"/>
              </w:rPr>
              <w:t xml:space="preserve">∅</w:t>
            </w:r>
            <w:r>
              <w:t xml:space="preserve">200对接法兰。</w:t>
            </w:r>
            <w:r/>
          </w:p>
          <w:p>
            <w:pPr>
              <w:pStyle w:val="810"/>
              <w:numPr>
                <w:ilvl w:val="0"/>
                <w:numId w:val="7"/>
              </w:numPr>
              <w:ind w:left="292" w:hanging="292"/>
              <w:jc w:val="left"/>
              <w:widowControl/>
            </w:pPr>
            <w:r>
              <w:t xml:space="preserve">上主杆材质镀锌钢管，采用</w:t>
            </w:r>
            <w:r>
              <w:rPr>
                <w:rFonts w:ascii="Cambria Math" w:hAnsi="Cambria Math" w:cs="Cambria Math"/>
              </w:rPr>
              <w:t xml:space="preserve">∅</w:t>
            </w:r>
            <w:r>
              <w:t xml:space="preserve">165×4，H=3.2m镀锌钢管制作，打磨后，切口及打磨处采用环氧富锌底漆防锈处理。</w:t>
            </w:r>
            <w:r/>
          </w:p>
          <w:p>
            <w:pPr>
              <w:pStyle w:val="810"/>
              <w:numPr>
                <w:ilvl w:val="0"/>
                <w:numId w:val="7"/>
              </w:numPr>
              <w:ind w:left="292" w:hanging="292"/>
              <w:jc w:val="left"/>
              <w:widowControl/>
            </w:pPr>
            <w:r>
              <w:t xml:space="preserve">灯头支臂、美化罩均采用δ1.5、201不锈钢板材激光切割，焊接而成，部分位置采用压铸结构件支撑，灯头边缘部分采用点焊凹槽工艺，表面无焊点和折痕。</w:t>
            </w:r>
            <w:r/>
          </w:p>
          <w:p>
            <w:pPr>
              <w:pStyle w:val="810"/>
              <w:numPr>
                <w:ilvl w:val="0"/>
                <w:numId w:val="7"/>
              </w:numPr>
              <w:ind w:left="292" w:hanging="292"/>
              <w:jc w:val="left"/>
              <w:widowControl/>
            </w:pPr>
            <w:r>
              <w:t xml:space="preserve">顶部装饰罩做激光切割美化孔，预留5G支架接口法兰；显示屏安装支架，材质201不锈钢，激光切割后拼焊制作。</w:t>
            </w:r>
            <w:r/>
          </w:p>
          <w:p>
            <w:pPr>
              <w:pStyle w:val="810"/>
              <w:numPr>
                <w:ilvl w:val="0"/>
                <w:numId w:val="7"/>
              </w:numPr>
              <w:ind w:left="292" w:hanging="292"/>
              <w:jc w:val="left"/>
              <w:widowControl/>
            </w:pPr>
            <w:r>
              <w:t xml:space="preserve">法兰尺寸为</w:t>
            </w:r>
            <w:r>
              <w:rPr>
                <w:rFonts w:ascii="Cambria Math" w:hAnsi="Cambria Math" w:cs="Cambria Math"/>
              </w:rPr>
              <w:t xml:space="preserve">∅</w:t>
            </w:r>
            <w:r>
              <w:t xml:space="preserve">600，厚度为δ25，安装孔对角距</w:t>
            </w:r>
            <w:r>
              <w:rPr>
                <w:rFonts w:ascii="Cambria Math" w:hAnsi="Cambria Math" w:cs="Cambria Math"/>
              </w:rPr>
              <w:t xml:space="preserve">∅</w:t>
            </w:r>
            <w:r>
              <w:t xml:space="preserve">500，安装孔为6-30×60，角筋δ12×（20+130）×（20+250）×8块。</w:t>
            </w:r>
            <w:r/>
          </w:p>
          <w:p>
            <w:pPr>
              <w:pStyle w:val="810"/>
              <w:numPr>
                <w:ilvl w:val="0"/>
                <w:numId w:val="7"/>
              </w:numPr>
              <w:ind w:left="292" w:hanging="292"/>
              <w:jc w:val="left"/>
              <w:widowControl/>
            </w:pPr>
            <w:r>
              <w:t xml:space="preserve">LED光源2×300W，配电源线RVV3×1.5。</w:t>
            </w:r>
            <w:r/>
          </w:p>
          <w:p>
            <w:pPr>
              <w:pStyle w:val="810"/>
              <w:numPr>
                <w:ilvl w:val="0"/>
                <w:numId w:val="7"/>
              </w:numPr>
              <w:ind w:left="292" w:hanging="292"/>
              <w:jc w:val="left"/>
              <w:widowControl/>
            </w:pPr>
            <w:r>
              <w:t xml:space="preserve">灯杆除去顶部灯头、美化罩、装饰罩等部件外，前期均采用多元气体共振防腐处理，再采用热镀锌、打磨，静电喷塑处理，喷塑颜色由业主确认。</w:t>
            </w:r>
            <w:r/>
          </w:p>
          <w:p>
            <w:pPr>
              <w:pStyle w:val="810"/>
              <w:numPr>
                <w:ilvl w:val="0"/>
                <w:numId w:val="7"/>
              </w:numPr>
              <w:ind w:left="292" w:hanging="292"/>
              <w:jc w:val="left"/>
              <w:widowControl/>
            </w:pPr>
            <w:r>
              <w:t xml:space="preserve">部分尺寸如图所示。</w:t>
            </w:r>
            <w:r/>
          </w:p>
          <w:p>
            <w:pPr>
              <w:pStyle w:val="810"/>
              <w:numPr>
                <w:ilvl w:val="0"/>
                <w:numId w:val="7"/>
              </w:numPr>
              <w:ind w:left="292" w:hanging="292"/>
              <w:jc w:val="left"/>
              <w:widowControl/>
            </w:pPr>
            <w:r>
              <w:t xml:space="preserve">接地电阻小于4欧姆。</w:t>
            </w:r>
            <w:r/>
          </w:p>
          <w:p>
            <w:pPr>
              <w:pStyle w:val="810"/>
              <w:numPr>
                <w:ilvl w:val="0"/>
                <w:numId w:val="7"/>
              </w:numPr>
              <w:ind w:left="292" w:hanging="292"/>
              <w:jc w:val="left"/>
              <w:widowControl/>
            </w:pPr>
            <w:r>
              <w:t xml:space="preserve">未写明单位的尺寸单位为（mm）。</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22</w:t>
            </w:r>
            <w:r/>
          </w:p>
        </w:tc>
      </w:tr>
      <w:tr>
        <w:trPr>
          <w:gridAfter w:val="1"/>
          <w:trHeight w:val="270"/>
        </w:trPr>
        <w:tc>
          <w:tcPr>
            <w:shd w:val="clear" w:color="auto" w:fill="auto"/>
            <w:tcW w:w="704" w:type="dxa"/>
            <w:vAlign w:val="center"/>
            <w:textDirection w:val="lrTb"/>
            <w:noWrap/>
          </w:tcPr>
          <w:p>
            <w:pPr>
              <w:jc w:val="center"/>
              <w:widowControl/>
            </w:pPr>
            <w:r>
              <w:t xml:space="preserve">4</w:t>
            </w:r>
            <w:r/>
          </w:p>
        </w:tc>
        <w:tc>
          <w:tcPr>
            <w:shd w:val="clear" w:color="auto" w:fill="auto"/>
            <w:tcW w:w="1275" w:type="dxa"/>
            <w:vAlign w:val="center"/>
            <w:textDirection w:val="lrTb"/>
            <w:noWrap/>
          </w:tcPr>
          <w:p>
            <w:pPr>
              <w:jc w:val="center"/>
              <w:widowControl/>
            </w:pPr>
            <w:r>
              <w:t xml:space="preserve">综合杆-信号灯合杆</w:t>
            </w:r>
            <w:r/>
          </w:p>
        </w:tc>
        <w:tc>
          <w:tcPr>
            <w:shd w:val="clear" w:color="auto" w:fill="auto"/>
            <w:tcW w:w="5926" w:type="dxa"/>
            <w:vAlign w:val="center"/>
            <w:textDirection w:val="lrTb"/>
            <w:noWrap/>
          </w:tcPr>
          <w:p>
            <w:pPr>
              <w:jc w:val="left"/>
              <w:widowControl/>
            </w:pPr>
            <w:r>
              <w:t xml:space="preserve">技术参数：</w:t>
            </w:r>
            <w:r/>
          </w:p>
          <w:p>
            <w:pPr>
              <w:pStyle w:val="810"/>
              <w:numPr>
                <w:ilvl w:val="0"/>
                <w:numId w:val="8"/>
              </w:numPr>
              <w:ind w:left="292" w:hanging="292"/>
              <w:jc w:val="left"/>
              <w:widowControl/>
            </w:pPr>
            <w:r>
              <w:t xml:space="preserve">灯杆下主杆材质Q235，采用δ8板材卷杆制作，上口径</w:t>
            </w:r>
            <w:r>
              <w:rPr>
                <w:rFonts w:ascii="Cambria Math" w:hAnsi="Cambria Math" w:cs="Cambria Math"/>
              </w:rPr>
              <w:t xml:space="preserve">∅</w:t>
            </w:r>
            <w:r>
              <w:t xml:space="preserve">260，下口径</w:t>
            </w:r>
            <w:r>
              <w:rPr>
                <w:rFonts w:ascii="Cambria Math" w:hAnsi="Cambria Math" w:cs="Cambria Math"/>
              </w:rPr>
              <w:t xml:space="preserve">∅</w:t>
            </w:r>
            <w:r>
              <w:t xml:space="preserve">320，H=7.5m，2200位置向上每隔450中间开M20圆孔，四面安装3.6m长4×20×68 C型滑槽，下主杆5600位置开</w:t>
            </w:r>
            <w:r>
              <w:rPr>
                <w:rFonts w:ascii="Cambria Math" w:hAnsi="Cambria Math" w:cs="Cambria Math"/>
              </w:rPr>
              <w:t xml:space="preserve">∅</w:t>
            </w:r>
            <w:r>
              <w:t xml:space="preserve">89孔，做监控挑臂预留法兰</w:t>
            </w:r>
            <w:r>
              <w:rPr>
                <w:rFonts w:ascii="Cambria Math" w:hAnsi="Cambria Math" w:cs="Cambria Math"/>
              </w:rPr>
              <w:t xml:space="preserve">∅</w:t>
            </w:r>
            <w:r>
              <w:t xml:space="preserve">200。</w:t>
            </w:r>
            <w:r/>
          </w:p>
          <w:p>
            <w:pPr>
              <w:pStyle w:val="810"/>
              <w:numPr>
                <w:ilvl w:val="0"/>
                <w:numId w:val="8"/>
              </w:numPr>
              <w:ind w:left="292" w:hanging="292"/>
              <w:jc w:val="left"/>
              <w:widowControl/>
            </w:pPr>
            <w:r>
              <w:t xml:space="preserve">上主杆材质镀锌钢管，采用</w:t>
            </w:r>
            <w:r>
              <w:rPr>
                <w:rFonts w:ascii="Cambria Math" w:hAnsi="Cambria Math" w:cs="Cambria Math"/>
              </w:rPr>
              <w:t xml:space="preserve">∅</w:t>
            </w:r>
            <w:r>
              <w:t xml:space="preserve">165×4，H=2.9m镀锌钢管制作，打磨后，切口及打磨处采用环氧富锌底漆防锈处理。</w:t>
            </w:r>
            <w:r/>
          </w:p>
          <w:p>
            <w:pPr>
              <w:pStyle w:val="810"/>
              <w:numPr>
                <w:ilvl w:val="0"/>
                <w:numId w:val="8"/>
              </w:numPr>
              <w:ind w:left="292" w:hanging="292"/>
              <w:jc w:val="left"/>
              <w:widowControl/>
            </w:pPr>
            <w:r>
              <w:t xml:space="preserve">灯头支臂、美化罩均采用δ1.5、201不锈钢板材激光切割，焊接而成，部分位置需要压铸结构件支撑，灯头边缘部分采用点焊凹槽工艺，表面无焊点和折痕。</w:t>
            </w:r>
            <w:r/>
          </w:p>
          <w:p>
            <w:pPr>
              <w:pStyle w:val="810"/>
              <w:numPr>
                <w:ilvl w:val="0"/>
                <w:numId w:val="8"/>
              </w:numPr>
              <w:ind w:left="292" w:hanging="292"/>
              <w:jc w:val="left"/>
              <w:widowControl/>
            </w:pPr>
            <w:r>
              <w:t xml:space="preserve">顶部装饰罩做激光切割美化孔，预留5G支架接口法兰。</w:t>
            </w:r>
            <w:r/>
          </w:p>
          <w:p>
            <w:pPr>
              <w:pStyle w:val="810"/>
              <w:numPr>
                <w:ilvl w:val="0"/>
                <w:numId w:val="8"/>
              </w:numPr>
              <w:ind w:left="292" w:hanging="292"/>
              <w:jc w:val="left"/>
              <w:widowControl/>
            </w:pPr>
            <w:r>
              <w:t xml:space="preserve">挑臂材质Q235，采用</w:t>
            </w:r>
            <w:r>
              <w:rPr>
                <w:rFonts w:ascii="Cambria Math" w:hAnsi="Cambria Math" w:cs="Cambria Math"/>
              </w:rPr>
              <w:t xml:space="preserve">∅</w:t>
            </w:r>
            <w:r>
              <w:t xml:space="preserve">140×5，L=8m钢管和120×120×5，L=8m方钢管制作而成，中间承档采用</w:t>
            </w:r>
            <w:r>
              <w:rPr>
                <w:rFonts w:ascii="Cambria Math" w:hAnsi="Cambria Math" w:cs="Cambria Math"/>
              </w:rPr>
              <w:t xml:space="preserve">∅</w:t>
            </w:r>
            <w:r>
              <w:t xml:space="preserve">76×3长度0.65m钢管制作，每个承档对应方管的下方开</w:t>
            </w:r>
            <w:r>
              <w:rPr>
                <w:rFonts w:ascii="Cambria Math" w:hAnsi="Cambria Math" w:cs="Cambria Math"/>
              </w:rPr>
              <w:t xml:space="preserve">∅</w:t>
            </w:r>
            <w:r>
              <w:t xml:space="preserve">30穿线孔。</w:t>
            </w:r>
            <w:r/>
          </w:p>
          <w:p>
            <w:pPr>
              <w:pStyle w:val="810"/>
              <w:numPr>
                <w:ilvl w:val="0"/>
                <w:numId w:val="8"/>
              </w:numPr>
              <w:ind w:left="292" w:hanging="292"/>
              <w:jc w:val="left"/>
              <w:widowControl/>
            </w:pPr>
            <w:r>
              <w:t xml:space="preserve">法兰尺寸为</w:t>
            </w:r>
            <w:r>
              <w:rPr>
                <w:rFonts w:ascii="Cambria Math" w:hAnsi="Cambria Math" w:cs="Cambria Math"/>
              </w:rPr>
              <w:t xml:space="preserve">∅</w:t>
            </w:r>
            <w:r>
              <w:t xml:space="preserve">800，厚度为δ25，安装孔对角距</w:t>
            </w:r>
            <w:r>
              <w:rPr>
                <w:rFonts w:ascii="Cambria Math" w:hAnsi="Cambria Math" w:cs="Cambria Math"/>
              </w:rPr>
              <w:t xml:space="preserve">∅</w:t>
            </w:r>
            <w:r>
              <w:t xml:space="preserve">690，安装孔为12-30×60，角筋δ12×（20+130）×（20+250）×8块；对接法兰δ20×420×420×4块，安装孔对边距340×340，安装孔为7-</w:t>
            </w:r>
            <w:r>
              <w:rPr>
                <w:rFonts w:ascii="Cambria Math" w:hAnsi="Cambria Math" w:cs="Cambria Math"/>
              </w:rPr>
              <w:t xml:space="preserve">∅</w:t>
            </w:r>
            <w:r>
              <w:t xml:space="preserve">28，杆肋δ12×320×400×4块，臂肋δ10×410×70×4块，角筋δ10×（20+95）×（20+200）×8块。</w:t>
            </w:r>
            <w:r/>
          </w:p>
          <w:p>
            <w:pPr>
              <w:pStyle w:val="810"/>
              <w:numPr>
                <w:ilvl w:val="0"/>
                <w:numId w:val="8"/>
              </w:numPr>
              <w:ind w:left="292" w:hanging="292"/>
              <w:jc w:val="left"/>
              <w:widowControl/>
            </w:pPr>
            <w:r>
              <w:t xml:space="preserve">LED光源2×300W，配电源线RVV3×1.5。</w:t>
            </w:r>
            <w:r/>
          </w:p>
          <w:p>
            <w:pPr>
              <w:pStyle w:val="810"/>
              <w:numPr>
                <w:ilvl w:val="0"/>
                <w:numId w:val="8"/>
              </w:numPr>
              <w:ind w:left="292" w:hanging="292"/>
              <w:jc w:val="left"/>
              <w:widowControl/>
            </w:pPr>
            <w:r>
              <w:t xml:space="preserve">灯杆除去顶部灯头、美化罩、装饰罩等部件外，前期均采用多元气体共振处理，再采用热镀锌、静电喷塑处理，喷塑颜色可由业主自行确认。</w:t>
            </w:r>
            <w:r/>
          </w:p>
          <w:p>
            <w:pPr>
              <w:pStyle w:val="810"/>
              <w:numPr>
                <w:ilvl w:val="0"/>
                <w:numId w:val="8"/>
              </w:numPr>
              <w:ind w:left="292" w:hanging="292"/>
              <w:jc w:val="left"/>
              <w:widowControl/>
            </w:pPr>
            <w:r>
              <w:t xml:space="preserve">部分尺寸如图所示。</w:t>
            </w:r>
            <w:r/>
          </w:p>
          <w:p>
            <w:pPr>
              <w:pStyle w:val="810"/>
              <w:numPr>
                <w:ilvl w:val="0"/>
                <w:numId w:val="8"/>
              </w:numPr>
              <w:ind w:left="292" w:hanging="292"/>
              <w:jc w:val="left"/>
              <w:widowControl/>
            </w:pPr>
            <w:r>
              <w:t xml:space="preserve">接地电阻小于4欧姆。</w:t>
            </w:r>
            <w:r/>
          </w:p>
          <w:p>
            <w:pPr>
              <w:pStyle w:val="810"/>
              <w:numPr>
                <w:ilvl w:val="0"/>
                <w:numId w:val="8"/>
              </w:numPr>
              <w:ind w:left="292" w:hanging="292"/>
              <w:jc w:val="left"/>
              <w:widowControl/>
            </w:pPr>
            <w:r>
              <w:t xml:space="preserve">未写明单位的尺寸单位为（mm）。</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7</w:t>
            </w:r>
            <w:r/>
          </w:p>
        </w:tc>
      </w:tr>
      <w:tr>
        <w:trPr>
          <w:gridAfter w:val="1"/>
          <w:trHeight w:val="270"/>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pPr>
            <w: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widowControl/>
            </w:pPr>
            <w:r>
              <w:t xml:space="preserve">综合杆-电子警察合杆1</w:t>
            </w:r>
            <w:r/>
          </w:p>
        </w:tc>
        <w:tc>
          <w:tcPr>
            <w:shd w:val="clear" w:color="auto" w:fill="auto"/>
            <w:tcBorders>
              <w:top w:val="single" w:color="auto" w:sz="4" w:space="0"/>
              <w:left w:val="single" w:color="auto" w:sz="4" w:space="0"/>
              <w:bottom w:val="single" w:color="auto" w:sz="4" w:space="0"/>
              <w:right w:val="single" w:color="auto" w:sz="4" w:space="0"/>
            </w:tcBorders>
            <w:tcW w:w="5926" w:type="dxa"/>
            <w:vAlign w:val="center"/>
            <w:textDirection w:val="lrTb"/>
            <w:noWrap/>
          </w:tcPr>
          <w:p>
            <w:pPr>
              <w:jc w:val="left"/>
              <w:widowControl/>
            </w:pPr>
            <w:r>
              <w:t xml:space="preserve">技术参数：</w:t>
            </w:r>
            <w:r/>
          </w:p>
          <w:p>
            <w:pPr>
              <w:pStyle w:val="810"/>
              <w:numPr>
                <w:ilvl w:val="0"/>
                <w:numId w:val="9"/>
              </w:numPr>
              <w:ind w:left="292" w:hanging="292"/>
              <w:jc w:val="left"/>
              <w:widowControl/>
            </w:pPr>
            <w:r>
              <w:t xml:space="preserve">灯杆下主杆材质Q235，采用δ8板材卷杆制作，上口径</w:t>
            </w:r>
            <w:r>
              <w:rPr>
                <w:rFonts w:ascii="Cambria Math" w:hAnsi="Cambria Math" w:cs="Cambria Math"/>
              </w:rPr>
              <w:t xml:space="preserve">∅</w:t>
            </w:r>
            <w:r>
              <w:t xml:space="preserve">260，下口径</w:t>
            </w:r>
            <w:r>
              <w:rPr>
                <w:rFonts w:ascii="Cambria Math" w:hAnsi="Cambria Math" w:cs="Cambria Math"/>
              </w:rPr>
              <w:t xml:space="preserve">∅</w:t>
            </w:r>
            <w:r>
              <w:t xml:space="preserve">320，H=7.2m，2200位置向上每隔450中间开M20圆孔，四面安装3.6m长4×20×68 C型滑槽，下主杆6100位置开</w:t>
            </w:r>
            <w:r>
              <w:rPr>
                <w:rFonts w:ascii="Cambria Math" w:hAnsi="Cambria Math" w:cs="Cambria Math"/>
              </w:rPr>
              <w:t xml:space="preserve">∅</w:t>
            </w:r>
            <w:r>
              <w:t xml:space="preserve">89孔，做监控挑臂预留</w:t>
            </w:r>
            <w:r>
              <w:rPr>
                <w:rFonts w:ascii="Cambria Math" w:hAnsi="Cambria Math" w:cs="Cambria Math"/>
              </w:rPr>
              <w:t xml:space="preserve">∅</w:t>
            </w:r>
            <w:r>
              <w:t xml:space="preserve">200对接法兰。</w:t>
            </w:r>
            <w:r/>
          </w:p>
          <w:p>
            <w:pPr>
              <w:pStyle w:val="810"/>
              <w:numPr>
                <w:ilvl w:val="0"/>
                <w:numId w:val="9"/>
              </w:numPr>
              <w:ind w:left="292" w:hanging="292"/>
              <w:jc w:val="left"/>
              <w:widowControl/>
            </w:pPr>
            <w:r>
              <w:t xml:space="preserve">上主杆材质镀锌钢管，采用</w:t>
            </w:r>
            <w:r>
              <w:rPr>
                <w:rFonts w:ascii="Cambria Math" w:hAnsi="Cambria Math" w:cs="Cambria Math"/>
              </w:rPr>
              <w:t xml:space="preserve">∅</w:t>
            </w:r>
            <w:r>
              <w:t xml:space="preserve">165×4，H=3.2m镀锌钢管制作，打磨后，切口及打磨处采用环氧富锌底漆防锈处理。</w:t>
            </w:r>
            <w:r/>
          </w:p>
          <w:p>
            <w:pPr>
              <w:pStyle w:val="810"/>
              <w:numPr>
                <w:ilvl w:val="0"/>
                <w:numId w:val="9"/>
              </w:numPr>
              <w:ind w:left="292" w:hanging="292"/>
              <w:jc w:val="left"/>
              <w:widowControl/>
            </w:pPr>
            <w:r>
              <w:t xml:space="preserve">灯头支臂、美化罩均采用δ1.5、201不锈钢板材激光切割，焊接而成，部分位置采用压铸结构件支撑，灯头边缘部分采用点焊凹槽工艺，表面无焊点和折痕。</w:t>
            </w:r>
            <w:r/>
          </w:p>
          <w:p>
            <w:pPr>
              <w:pStyle w:val="810"/>
              <w:numPr>
                <w:ilvl w:val="0"/>
                <w:numId w:val="9"/>
              </w:numPr>
              <w:ind w:left="292" w:hanging="292"/>
              <w:jc w:val="left"/>
              <w:widowControl/>
            </w:pPr>
            <w:r>
              <w:t xml:space="preserve">顶部装饰罩做激光切割美化孔，预留5G支架接口法兰。</w:t>
            </w:r>
            <w:r/>
          </w:p>
          <w:p>
            <w:pPr>
              <w:pStyle w:val="810"/>
              <w:numPr>
                <w:ilvl w:val="0"/>
                <w:numId w:val="9"/>
              </w:numPr>
              <w:ind w:left="292" w:hanging="292"/>
              <w:jc w:val="left"/>
              <w:widowControl/>
            </w:pPr>
            <w:r>
              <w:t xml:space="preserve">挑臂材质Q235，L=12m，采用δ4.5板材卷杆制作，上口径</w:t>
            </w:r>
            <w:r>
              <w:rPr>
                <w:rFonts w:ascii="Cambria Math" w:hAnsi="Cambria Math" w:cs="Cambria Math"/>
              </w:rPr>
              <w:t xml:space="preserve">∅</w:t>
            </w:r>
            <w:r>
              <w:t xml:space="preserve">120，下口径</w:t>
            </w:r>
            <w:r>
              <w:rPr>
                <w:rFonts w:ascii="Cambria Math" w:hAnsi="Cambria Math" w:cs="Cambria Math"/>
              </w:rPr>
              <w:t xml:space="preserve">∅</w:t>
            </w:r>
            <w:r>
              <w:t xml:space="preserve">237，挑臂上每300位置焊1.2m长的δ4×40×63角钢，共6根，每根导轨两边及中间开</w:t>
            </w:r>
            <w:r>
              <w:rPr>
                <w:rFonts w:ascii="Cambria Math" w:hAnsi="Cambria Math" w:cs="Cambria Math"/>
              </w:rPr>
              <w:t xml:space="preserve">∅</w:t>
            </w:r>
            <w:r>
              <w:t xml:space="preserve">30孔，顶部焊接</w:t>
            </w:r>
            <w:r>
              <w:rPr>
                <w:rFonts w:ascii="Cambria Math" w:hAnsi="Cambria Math" w:cs="Cambria Math"/>
              </w:rPr>
              <w:t xml:space="preserve">∅</w:t>
            </w:r>
            <w:r>
              <w:t xml:space="preserve">60钢管长100，内装内牙套，预留球机安装孔位。</w:t>
            </w:r>
            <w:r/>
          </w:p>
          <w:p>
            <w:pPr>
              <w:pStyle w:val="810"/>
              <w:numPr>
                <w:ilvl w:val="0"/>
                <w:numId w:val="9"/>
              </w:numPr>
              <w:ind w:left="292" w:hanging="292"/>
              <w:jc w:val="left"/>
              <w:widowControl/>
            </w:pPr>
            <w:r>
              <w:t xml:space="preserve">离地6.1m位置安装辅道监控杆，材质Q235，采用</w:t>
            </w:r>
            <w:r>
              <w:rPr>
                <w:rFonts w:ascii="Cambria Math" w:hAnsi="Cambria Math" w:cs="Cambria Math"/>
              </w:rPr>
              <w:t xml:space="preserve">∅</w:t>
            </w:r>
            <w:r>
              <w:t xml:space="preserve">89×3.5长度3m钢管制作而成，在钢管上焊接两个枪机支架，相同位置</w:t>
            </w:r>
            <w:r>
              <w:rPr>
                <w:rFonts w:ascii="Cambria Math" w:hAnsi="Cambria Math" w:cs="Cambria Math"/>
              </w:rPr>
              <w:t xml:space="preserve">∅</w:t>
            </w:r>
            <w:r>
              <w:t xml:space="preserve">89下方开</w:t>
            </w:r>
            <w:r>
              <w:rPr>
                <w:rFonts w:ascii="Cambria Math" w:hAnsi="Cambria Math" w:cs="Cambria Math"/>
              </w:rPr>
              <w:t xml:space="preserve">∅</w:t>
            </w:r>
            <w:r>
              <w:t xml:space="preserve">30穿线孔，顶部焊接</w:t>
            </w:r>
            <w:r>
              <w:rPr>
                <w:rFonts w:ascii="Cambria Math" w:hAnsi="Cambria Math" w:cs="Cambria Math"/>
              </w:rPr>
              <w:t xml:space="preserve">∅</w:t>
            </w:r>
            <w:r>
              <w:t xml:space="preserve">60钢管长100，内装内牙套，预留球机安装孔位。</w:t>
            </w:r>
            <w:r/>
          </w:p>
          <w:p>
            <w:pPr>
              <w:pStyle w:val="810"/>
              <w:numPr>
                <w:ilvl w:val="0"/>
                <w:numId w:val="9"/>
              </w:numPr>
              <w:ind w:left="292" w:hanging="292"/>
              <w:jc w:val="left"/>
              <w:widowControl/>
            </w:pPr>
            <w:r>
              <w:t xml:space="preserve">法兰尺寸为</w:t>
            </w:r>
            <w:r>
              <w:rPr>
                <w:rFonts w:ascii="Cambria Math" w:hAnsi="Cambria Math" w:cs="Cambria Math"/>
              </w:rPr>
              <w:t xml:space="preserve">∅</w:t>
            </w:r>
            <w:r>
              <w:t xml:space="preserve">800，厚度为δ25，安装孔对角距</w:t>
            </w:r>
            <w:r>
              <w:rPr>
                <w:rFonts w:ascii="Cambria Math" w:hAnsi="Cambria Math" w:cs="Cambria Math"/>
              </w:rPr>
              <w:t xml:space="preserve">∅</w:t>
            </w:r>
            <w:r>
              <w:t xml:space="preserve">690，安装孔为12-30×60，角筋δ12×（20+130）×（20+250）×8块；对接法兰δ20×450×450×2块，安装孔对边距370×370，安装孔为7-</w:t>
            </w:r>
            <w:r>
              <w:rPr>
                <w:rFonts w:ascii="Cambria Math" w:hAnsi="Cambria Math" w:cs="Cambria Math"/>
              </w:rPr>
              <w:t xml:space="preserve">∅</w:t>
            </w:r>
            <w:r>
              <w:t xml:space="preserve">28，杆肋δ12×320×430×2块，臂肋δ10×440×78×2块，角筋δ10×（20+95）×（20+200）×8块。</w:t>
            </w:r>
            <w:r/>
          </w:p>
          <w:p>
            <w:pPr>
              <w:pStyle w:val="810"/>
              <w:numPr>
                <w:ilvl w:val="0"/>
                <w:numId w:val="9"/>
              </w:numPr>
              <w:ind w:left="292" w:hanging="292"/>
              <w:jc w:val="left"/>
              <w:widowControl/>
            </w:pPr>
            <w:r>
              <w:t xml:space="preserve">LED光源2×300W，配电源线RVV3×1.5。</w:t>
            </w:r>
            <w:r/>
          </w:p>
          <w:p>
            <w:pPr>
              <w:pStyle w:val="810"/>
              <w:numPr>
                <w:ilvl w:val="0"/>
                <w:numId w:val="9"/>
              </w:numPr>
              <w:ind w:left="292" w:hanging="292"/>
              <w:jc w:val="left"/>
              <w:widowControl/>
            </w:pPr>
            <w:r>
              <w:t xml:space="preserve">灯杆除灯头支臂、美化罩、装饰罩等部件，前期均采用多元气体共振防腐处理，再采用热镀锌、喷塑处理，喷塑颜色可由业主自行确认。</w:t>
            </w:r>
            <w:r/>
          </w:p>
          <w:p>
            <w:pPr>
              <w:pStyle w:val="810"/>
              <w:numPr>
                <w:ilvl w:val="0"/>
                <w:numId w:val="9"/>
              </w:numPr>
              <w:ind w:left="292" w:hanging="292"/>
              <w:jc w:val="left"/>
              <w:widowControl/>
            </w:pPr>
            <w:r>
              <w:t xml:space="preserve">部分尺寸如图所示。</w:t>
            </w:r>
            <w:r/>
          </w:p>
          <w:p>
            <w:pPr>
              <w:pStyle w:val="810"/>
              <w:numPr>
                <w:ilvl w:val="0"/>
                <w:numId w:val="9"/>
              </w:numPr>
              <w:ind w:left="292" w:hanging="292"/>
              <w:jc w:val="left"/>
              <w:widowControl/>
            </w:pPr>
            <w:r>
              <w:t xml:space="preserve">接地电阻小于4欧姆。</w:t>
            </w:r>
            <w:r/>
          </w:p>
          <w:p>
            <w:pPr>
              <w:pStyle w:val="810"/>
              <w:numPr>
                <w:ilvl w:val="0"/>
                <w:numId w:val="9"/>
              </w:numPr>
              <w:ind w:left="292" w:hanging="292"/>
              <w:jc w:val="left"/>
              <w:widowControl/>
            </w:pPr>
            <w:r>
              <w:t xml:space="preserve">未写明单位的尺寸单位为（mm）。</w:t>
            </w:r>
            <w:r/>
          </w:p>
        </w:tc>
        <w:tc>
          <w:tcPr>
            <w:shd w:val="clear" w:color="auto" w:fill="auto"/>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widowControl/>
            </w:pPr>
            <w: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pPr>
            <w:r>
              <w:t xml:space="preserve">4</w:t>
            </w:r>
            <w:r/>
          </w:p>
        </w:tc>
      </w:tr>
      <w:tr>
        <w:trPr>
          <w:gridAfter w:val="1"/>
          <w:trHeight w:val="270"/>
        </w:trPr>
        <w:tc>
          <w:tcPr>
            <w:shd w:val="clear" w:color="auto" w:fill="auto"/>
            <w:tcW w:w="704" w:type="dxa"/>
            <w:vAlign w:val="center"/>
            <w:textDirection w:val="lrTb"/>
            <w:noWrap/>
          </w:tcPr>
          <w:p>
            <w:pPr>
              <w:jc w:val="center"/>
              <w:widowControl/>
            </w:pPr>
            <w:r/>
            <w:bookmarkStart w:id="71" w:name="_Hlk181968302"/>
            <w:r>
              <w:t xml:space="preserve">6</w:t>
            </w:r>
            <w:r/>
          </w:p>
        </w:tc>
        <w:tc>
          <w:tcPr>
            <w:shd w:val="clear" w:color="auto" w:fill="auto"/>
            <w:tcW w:w="1275" w:type="dxa"/>
            <w:vAlign w:val="center"/>
            <w:textDirection w:val="lrTb"/>
            <w:noWrap/>
          </w:tcPr>
          <w:p>
            <w:pPr>
              <w:jc w:val="center"/>
              <w:widowControl/>
            </w:pPr>
            <w:r>
              <w:t xml:space="preserve">综合杆-电子警察合杆2</w:t>
            </w:r>
            <w:r/>
          </w:p>
        </w:tc>
        <w:tc>
          <w:tcPr>
            <w:shd w:val="clear" w:color="auto" w:fill="auto"/>
            <w:tcW w:w="5926" w:type="dxa"/>
            <w:vAlign w:val="center"/>
            <w:textDirection w:val="lrTb"/>
            <w:noWrap/>
          </w:tcPr>
          <w:p>
            <w:pPr>
              <w:jc w:val="left"/>
              <w:widowControl/>
            </w:pPr>
            <w:r>
              <w:t xml:space="preserve">技术参数：</w:t>
            </w:r>
            <w:r/>
          </w:p>
          <w:p>
            <w:pPr>
              <w:pStyle w:val="810"/>
              <w:numPr>
                <w:ilvl w:val="0"/>
                <w:numId w:val="10"/>
              </w:numPr>
              <w:ind w:left="292" w:hanging="292"/>
              <w:jc w:val="left"/>
              <w:widowControl/>
            </w:pPr>
            <w:r>
              <w:t xml:space="preserve">灯杆下主杆材质Q235，采用δ8板材卷杆制作，上口径</w:t>
            </w:r>
            <w:r>
              <w:rPr>
                <w:rFonts w:ascii="Cambria Math" w:hAnsi="Cambria Math" w:cs="Cambria Math"/>
              </w:rPr>
              <w:t xml:space="preserve">∅</w:t>
            </w:r>
            <w:r>
              <w:t xml:space="preserve">260，下口径</w:t>
            </w:r>
            <w:r>
              <w:rPr>
                <w:rFonts w:ascii="Cambria Math" w:hAnsi="Cambria Math" w:cs="Cambria Math"/>
              </w:rPr>
              <w:t xml:space="preserve">∅</w:t>
            </w:r>
            <w:r>
              <w:t xml:space="preserve">320，H=7.2m，2200位置向上每隔450中间开M20圆孔，四面安装3.6m长4×20×68 C型滑槽，下主杆6100位置开</w:t>
            </w:r>
            <w:r>
              <w:rPr>
                <w:rFonts w:ascii="Cambria Math" w:hAnsi="Cambria Math" w:cs="Cambria Math"/>
              </w:rPr>
              <w:t xml:space="preserve">∅</w:t>
            </w:r>
            <w:r>
              <w:t xml:space="preserve">89孔，做监控挑臂预留</w:t>
            </w:r>
            <w:r>
              <w:rPr>
                <w:rFonts w:ascii="Cambria Math" w:hAnsi="Cambria Math" w:cs="Cambria Math"/>
              </w:rPr>
              <w:t xml:space="preserve">∅</w:t>
            </w:r>
            <w:r>
              <w:t xml:space="preserve">200对接法兰。</w:t>
            </w:r>
            <w:r/>
          </w:p>
          <w:p>
            <w:pPr>
              <w:pStyle w:val="810"/>
              <w:numPr>
                <w:ilvl w:val="0"/>
                <w:numId w:val="10"/>
              </w:numPr>
              <w:ind w:left="292" w:hanging="292"/>
              <w:jc w:val="left"/>
              <w:widowControl/>
            </w:pPr>
            <w:r>
              <w:t xml:space="preserve">上主杆材质镀锌钢管，采用</w:t>
            </w:r>
            <w:r>
              <w:rPr>
                <w:rFonts w:ascii="Cambria Math" w:hAnsi="Cambria Math" w:cs="Cambria Math"/>
              </w:rPr>
              <w:t xml:space="preserve">∅</w:t>
            </w:r>
            <w:r>
              <w:t xml:space="preserve">165×4，H=3.2m镀锌钢管制作，打磨后，切口及打磨处采用环氧富锌底漆防锈处理。</w:t>
            </w:r>
            <w:r/>
          </w:p>
          <w:p>
            <w:pPr>
              <w:pStyle w:val="810"/>
              <w:numPr>
                <w:ilvl w:val="0"/>
                <w:numId w:val="10"/>
              </w:numPr>
              <w:ind w:left="292" w:hanging="292"/>
              <w:jc w:val="left"/>
              <w:widowControl/>
            </w:pPr>
            <w:r>
              <w:t xml:space="preserve">灯头支臂、美化罩均采用δ1.5、201不锈钢板材激光切割，焊接而成，部分位置采用压铸结构件支撑，灯头边缘部分采用点焊凹槽工艺，表面无焊点和折痕。</w:t>
            </w:r>
            <w:r/>
          </w:p>
          <w:p>
            <w:pPr>
              <w:pStyle w:val="810"/>
              <w:numPr>
                <w:ilvl w:val="0"/>
                <w:numId w:val="10"/>
              </w:numPr>
              <w:ind w:left="292" w:hanging="292"/>
              <w:jc w:val="left"/>
              <w:widowControl/>
            </w:pPr>
            <w:r>
              <w:t xml:space="preserve">顶部装饰罩做激光切割美化孔，预留5G支架接口法兰。</w:t>
            </w:r>
            <w:r/>
          </w:p>
          <w:p>
            <w:pPr>
              <w:pStyle w:val="810"/>
              <w:numPr>
                <w:ilvl w:val="0"/>
                <w:numId w:val="10"/>
              </w:numPr>
              <w:ind w:left="292" w:hanging="292"/>
              <w:jc w:val="left"/>
              <w:widowControl/>
            </w:pPr>
            <w:r>
              <w:t xml:space="preserve">挑臂材质Q235，L=12m，采用δ4.5板材卷杆制作，上口径</w:t>
            </w:r>
            <w:r>
              <w:rPr>
                <w:rFonts w:ascii="Cambria Math" w:hAnsi="Cambria Math" w:cs="Cambria Math"/>
              </w:rPr>
              <w:t xml:space="preserve">∅</w:t>
            </w:r>
            <w:r>
              <w:t xml:space="preserve">120，下口径</w:t>
            </w:r>
            <w:r>
              <w:rPr>
                <w:rFonts w:ascii="Cambria Math" w:hAnsi="Cambria Math" w:cs="Cambria Math"/>
              </w:rPr>
              <w:t xml:space="preserve">∅</w:t>
            </w:r>
            <w:r>
              <w:t xml:space="preserve">237，挑臂上每300位置焊1.2m长的δ4×40×63角钢，共6根，每根导轨两边及中间开</w:t>
            </w:r>
            <w:r>
              <w:rPr>
                <w:rFonts w:ascii="Cambria Math" w:hAnsi="Cambria Math" w:cs="Cambria Math"/>
              </w:rPr>
              <w:t xml:space="preserve">∅</w:t>
            </w:r>
            <w:r>
              <w:t xml:space="preserve">30孔，顶部焊接</w:t>
            </w:r>
            <w:r>
              <w:rPr>
                <w:rFonts w:ascii="Cambria Math" w:hAnsi="Cambria Math" w:cs="Cambria Math"/>
              </w:rPr>
              <w:t xml:space="preserve">∅</w:t>
            </w:r>
            <w:r>
              <w:t xml:space="preserve">60钢管长100，内装内牙套，预留球机安装孔位。</w:t>
            </w:r>
            <w:r/>
          </w:p>
          <w:p>
            <w:pPr>
              <w:pStyle w:val="810"/>
              <w:numPr>
                <w:ilvl w:val="0"/>
                <w:numId w:val="10"/>
              </w:numPr>
              <w:ind w:left="292" w:hanging="292"/>
              <w:jc w:val="left"/>
              <w:widowControl/>
            </w:pPr>
            <w:r>
              <w:t xml:space="preserve">离地6.1m位置安装辅道监控杆，材质Q235，采用</w:t>
            </w:r>
            <w:r>
              <w:rPr>
                <w:rFonts w:ascii="Cambria Math" w:hAnsi="Cambria Math" w:cs="Cambria Math"/>
              </w:rPr>
              <w:t xml:space="preserve">∅</w:t>
            </w:r>
            <w:r>
              <w:t xml:space="preserve">89×3.5长度3m钢管制作而成，在钢管上焊接两个枪机支架，相同位置</w:t>
            </w:r>
            <w:r>
              <w:rPr>
                <w:rFonts w:ascii="Cambria Math" w:hAnsi="Cambria Math" w:cs="Cambria Math"/>
              </w:rPr>
              <w:t xml:space="preserve">∅</w:t>
            </w:r>
            <w:r>
              <w:t xml:space="preserve">89下方开</w:t>
            </w:r>
            <w:r>
              <w:rPr>
                <w:rFonts w:ascii="Cambria Math" w:hAnsi="Cambria Math" w:cs="Cambria Math"/>
              </w:rPr>
              <w:t xml:space="preserve">∅</w:t>
            </w:r>
            <w:r>
              <w:t xml:space="preserve">30穿线孔，顶部焊接</w:t>
            </w:r>
            <w:r>
              <w:rPr>
                <w:rFonts w:ascii="Cambria Math" w:hAnsi="Cambria Math" w:cs="Cambria Math"/>
              </w:rPr>
              <w:t xml:space="preserve">∅</w:t>
            </w:r>
            <w:r>
              <w:t xml:space="preserve">60钢管长100，内装内牙套，预留球机安装孔位。</w:t>
            </w:r>
            <w:r/>
          </w:p>
          <w:p>
            <w:pPr>
              <w:pStyle w:val="810"/>
              <w:numPr>
                <w:ilvl w:val="0"/>
                <w:numId w:val="10"/>
              </w:numPr>
              <w:ind w:left="292" w:hanging="292"/>
              <w:jc w:val="left"/>
              <w:widowControl/>
            </w:pPr>
            <w:r>
              <w:t xml:space="preserve">法兰尺寸为</w:t>
            </w:r>
            <w:r>
              <w:rPr>
                <w:rFonts w:ascii="Cambria Math" w:hAnsi="Cambria Math" w:cs="Cambria Math"/>
              </w:rPr>
              <w:t xml:space="preserve">∅</w:t>
            </w:r>
            <w:r>
              <w:t xml:space="preserve">800，厚度为δ25，安装孔对角距</w:t>
            </w:r>
            <w:r>
              <w:rPr>
                <w:rFonts w:ascii="Cambria Math" w:hAnsi="Cambria Math" w:cs="Cambria Math"/>
              </w:rPr>
              <w:t xml:space="preserve">∅</w:t>
            </w:r>
            <w:r>
              <w:t xml:space="preserve">690，安装孔为12-30×60，角筋δ12×（20+130）×（20+250）×8块；对接法兰δ20×450×450×2块，安装孔对边距370×370，安装孔为7-</w:t>
            </w:r>
            <w:r>
              <w:rPr>
                <w:rFonts w:ascii="Cambria Math" w:hAnsi="Cambria Math" w:cs="Cambria Math"/>
              </w:rPr>
              <w:t xml:space="preserve">∅</w:t>
            </w:r>
            <w:r>
              <w:t xml:space="preserve">28，杆肋δ12×320×430×2块，臂肋δ10×440×78×2块，角筋δ10×（20+95）×（20+200）×8块。</w:t>
            </w:r>
            <w:r/>
          </w:p>
          <w:p>
            <w:pPr>
              <w:pStyle w:val="810"/>
              <w:numPr>
                <w:ilvl w:val="0"/>
                <w:numId w:val="10"/>
              </w:numPr>
              <w:ind w:left="292" w:hanging="292"/>
              <w:jc w:val="left"/>
              <w:widowControl/>
            </w:pPr>
            <w:r>
              <w:t xml:space="preserve">LED光源1×300W（单灯头），配电源线RVV3×1.5。</w:t>
            </w:r>
            <w:r/>
          </w:p>
          <w:p>
            <w:pPr>
              <w:pStyle w:val="810"/>
              <w:numPr>
                <w:ilvl w:val="0"/>
                <w:numId w:val="10"/>
              </w:numPr>
              <w:ind w:left="292" w:hanging="292"/>
              <w:jc w:val="left"/>
              <w:widowControl/>
            </w:pPr>
            <w:r>
              <w:t xml:space="preserve">灯杆除灯头支臂、美化罩、装饰罩等部件，前期均采用多元气体共振防腐处理，再采用热镀锌、喷塑处理，喷塑颜色可由业主自行确认。</w:t>
            </w:r>
            <w:r/>
          </w:p>
          <w:p>
            <w:pPr>
              <w:pStyle w:val="810"/>
              <w:numPr>
                <w:ilvl w:val="0"/>
                <w:numId w:val="10"/>
              </w:numPr>
              <w:ind w:left="292" w:hanging="292"/>
              <w:jc w:val="left"/>
              <w:widowControl/>
            </w:pPr>
            <w:r>
              <w:t xml:space="preserve">部分尺寸如图所示。</w:t>
            </w:r>
            <w:r/>
          </w:p>
          <w:p>
            <w:pPr>
              <w:pStyle w:val="810"/>
              <w:numPr>
                <w:ilvl w:val="0"/>
                <w:numId w:val="10"/>
              </w:numPr>
              <w:ind w:left="292" w:hanging="292"/>
              <w:jc w:val="left"/>
              <w:widowControl/>
            </w:pPr>
            <w:r>
              <w:t xml:space="preserve">接地电阻小于4欧姆。</w:t>
            </w:r>
            <w:r/>
          </w:p>
          <w:p>
            <w:pPr>
              <w:pStyle w:val="810"/>
              <w:numPr>
                <w:ilvl w:val="0"/>
                <w:numId w:val="10"/>
              </w:numPr>
              <w:ind w:left="292" w:hanging="292"/>
              <w:jc w:val="left"/>
              <w:widowControl/>
            </w:pPr>
            <w:r>
              <w:t xml:space="preserve">未写明单位的尺寸单位为（mm）。</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2</w:t>
            </w:r>
            <w:bookmarkEnd w:id="71"/>
            <w:r/>
          </w:p>
        </w:tc>
      </w:tr>
      <w:tr>
        <w:trPr>
          <w:gridAfter w:val="1"/>
          <w:trHeight w:val="270"/>
        </w:trPr>
        <w:tc>
          <w:tcPr>
            <w:shd w:val="clear" w:color="auto" w:fill="auto"/>
            <w:tcW w:w="704" w:type="dxa"/>
            <w:vAlign w:val="center"/>
            <w:textDirection w:val="lrTb"/>
            <w:noWrap/>
          </w:tcPr>
          <w:p>
            <w:pPr>
              <w:jc w:val="center"/>
              <w:widowControl/>
            </w:pPr>
            <w:r>
              <w:t xml:space="preserve">7</w:t>
            </w:r>
            <w:r/>
          </w:p>
        </w:tc>
        <w:tc>
          <w:tcPr>
            <w:shd w:val="clear" w:color="auto" w:fill="auto"/>
            <w:tcW w:w="1275" w:type="dxa"/>
            <w:vAlign w:val="center"/>
            <w:textDirection w:val="lrTb"/>
            <w:noWrap/>
          </w:tcPr>
          <w:p>
            <w:pPr>
              <w:jc w:val="center"/>
              <w:widowControl/>
            </w:pPr>
            <w:r>
              <w:t xml:space="preserve">综合杆-分道牌合杆</w:t>
            </w:r>
            <w:r/>
          </w:p>
        </w:tc>
        <w:tc>
          <w:tcPr>
            <w:shd w:val="clear" w:color="auto" w:fill="auto"/>
            <w:tcW w:w="5926" w:type="dxa"/>
            <w:vAlign w:val="center"/>
            <w:textDirection w:val="lrTb"/>
            <w:noWrap/>
          </w:tcPr>
          <w:p>
            <w:pPr>
              <w:jc w:val="left"/>
              <w:widowControl/>
            </w:pPr>
            <w:r>
              <w:t xml:space="preserve">技术参数：</w:t>
            </w:r>
            <w:r/>
          </w:p>
          <w:p>
            <w:pPr>
              <w:pStyle w:val="810"/>
              <w:numPr>
                <w:ilvl w:val="0"/>
                <w:numId w:val="11"/>
              </w:numPr>
              <w:ind w:left="292" w:hanging="292"/>
              <w:jc w:val="left"/>
              <w:widowControl/>
            </w:pPr>
            <w:r>
              <w:t xml:space="preserve">灯杆下主杆材质Q235，采用δ8板材卷杆制作，上口径</w:t>
            </w:r>
            <w:r>
              <w:rPr>
                <w:rFonts w:ascii="Cambria Math" w:hAnsi="Cambria Math" w:cs="Cambria Math"/>
              </w:rPr>
              <w:t xml:space="preserve">∅</w:t>
            </w:r>
            <w:r>
              <w:t xml:space="preserve">260，下口径</w:t>
            </w:r>
            <w:r>
              <w:rPr>
                <w:rFonts w:ascii="Cambria Math" w:hAnsi="Cambria Math" w:cs="Cambria Math"/>
              </w:rPr>
              <w:t xml:space="preserve">∅</w:t>
            </w:r>
            <w:r>
              <w:t xml:space="preserve">320，H=7.9m，2200位置向上每隔450中间开M20圆孔，四面安装3.6m长4×20×68 C型滑槽，下主杆6000位置开</w:t>
            </w:r>
            <w:r>
              <w:rPr>
                <w:rFonts w:ascii="Cambria Math" w:hAnsi="Cambria Math" w:cs="Cambria Math"/>
              </w:rPr>
              <w:t xml:space="preserve">∅</w:t>
            </w:r>
            <w:r>
              <w:t xml:space="preserve">89孔，做监控挑臂预留法兰</w:t>
            </w:r>
            <w:r>
              <w:rPr>
                <w:rFonts w:ascii="Cambria Math" w:hAnsi="Cambria Math" w:cs="Cambria Math"/>
              </w:rPr>
              <w:t xml:space="preserve">∅</w:t>
            </w:r>
            <w:r>
              <w:t xml:space="preserve">200。</w:t>
            </w:r>
            <w:r/>
          </w:p>
          <w:p>
            <w:pPr>
              <w:pStyle w:val="810"/>
              <w:numPr>
                <w:ilvl w:val="0"/>
                <w:numId w:val="11"/>
              </w:numPr>
              <w:ind w:left="292" w:hanging="292"/>
              <w:jc w:val="left"/>
              <w:widowControl/>
            </w:pPr>
            <w:r>
              <w:t xml:space="preserve">上主杆材质镀锌钢管，采用</w:t>
            </w:r>
            <w:r>
              <w:rPr>
                <w:rFonts w:ascii="Cambria Math" w:hAnsi="Cambria Math" w:cs="Cambria Math"/>
              </w:rPr>
              <w:t xml:space="preserve">∅</w:t>
            </w:r>
            <w:r>
              <w:t xml:space="preserve">165×4，H=2.5m镀锌钢管制作打磨后，切口及打磨处采用环氧富锌底漆防锈处理。</w:t>
            </w:r>
            <w:r/>
          </w:p>
          <w:p>
            <w:pPr>
              <w:pStyle w:val="810"/>
              <w:numPr>
                <w:ilvl w:val="0"/>
                <w:numId w:val="11"/>
              </w:numPr>
              <w:ind w:left="292" w:hanging="292"/>
              <w:jc w:val="left"/>
              <w:widowControl/>
            </w:pPr>
            <w:r>
              <w:t xml:space="preserve">灯头支臂、美化罩均采用δ1.5、201不锈钢板材激光切割，焊接而成，部分位置采用压铸结构件支撑，灯头边缘部分采用点焊凹槽工艺，表面无焊点和折痕。</w:t>
            </w:r>
            <w:r/>
          </w:p>
          <w:p>
            <w:pPr>
              <w:pStyle w:val="810"/>
              <w:numPr>
                <w:ilvl w:val="0"/>
                <w:numId w:val="11"/>
              </w:numPr>
              <w:ind w:left="292" w:hanging="292"/>
              <w:jc w:val="left"/>
              <w:widowControl/>
            </w:pPr>
            <w:r>
              <w:t xml:space="preserve">顶部装饰罩做激光切割美化孔，预留5G支架接口法兰。</w:t>
            </w:r>
            <w:r/>
          </w:p>
          <w:p>
            <w:pPr>
              <w:pStyle w:val="810"/>
              <w:numPr>
                <w:ilvl w:val="0"/>
                <w:numId w:val="11"/>
              </w:numPr>
              <w:ind w:left="292" w:hanging="292"/>
              <w:jc w:val="left"/>
              <w:widowControl/>
            </w:pPr>
            <w:r>
              <w:t xml:space="preserve">挑臂材质Q235，采用2根</w:t>
            </w:r>
            <w:r>
              <w:rPr>
                <w:rFonts w:ascii="Cambria Math" w:hAnsi="Cambria Math" w:cs="Cambria Math"/>
              </w:rPr>
              <w:t xml:space="preserve">∅</w:t>
            </w:r>
            <w:r>
              <w:t xml:space="preserve">159×6，L=6m钢管制作。</w:t>
            </w:r>
            <w:r/>
          </w:p>
          <w:p>
            <w:pPr>
              <w:pStyle w:val="810"/>
              <w:numPr>
                <w:ilvl w:val="0"/>
                <w:numId w:val="11"/>
              </w:numPr>
              <w:ind w:left="292" w:hanging="292"/>
              <w:jc w:val="left"/>
              <w:widowControl/>
            </w:pPr>
            <w:r>
              <w:t xml:space="preserve">法兰尺寸为</w:t>
            </w:r>
            <w:r>
              <w:rPr>
                <w:rFonts w:ascii="Cambria Math" w:hAnsi="Cambria Math" w:cs="Cambria Math"/>
              </w:rPr>
              <w:t xml:space="preserve">∅</w:t>
            </w:r>
            <w:r>
              <w:t xml:space="preserve">800，厚度为δ25，安装孔对角距</w:t>
            </w:r>
            <w:r>
              <w:rPr>
                <w:rFonts w:ascii="Cambria Math" w:hAnsi="Cambria Math" w:cs="Cambria Math"/>
              </w:rPr>
              <w:t xml:space="preserve">∅</w:t>
            </w:r>
            <w:r>
              <w:t xml:space="preserve">690，安装孔为12-30×60，角筋δ12×（20+130）×（20+250）×8块；对接法兰δ20×420×420×4块，安装孔对边距340×340，安装孔为7-</w:t>
            </w:r>
            <w:r>
              <w:rPr>
                <w:rFonts w:ascii="Cambria Math" w:hAnsi="Cambria Math" w:cs="Cambria Math"/>
              </w:rPr>
              <w:t xml:space="preserve">∅</w:t>
            </w:r>
            <w:r>
              <w:t xml:space="preserve">28，杆肋δ12×320×400×4块，臂肋δ10×410×70×4块，角筋δ10×（20+95）×（20+200）×16块。</w:t>
            </w:r>
            <w:r/>
          </w:p>
          <w:p>
            <w:pPr>
              <w:pStyle w:val="810"/>
              <w:numPr>
                <w:ilvl w:val="0"/>
                <w:numId w:val="11"/>
              </w:numPr>
              <w:ind w:left="292" w:hanging="292"/>
              <w:jc w:val="left"/>
              <w:widowControl/>
            </w:pPr>
            <w:r>
              <w:t xml:space="preserve">LED光源2×300W，配电源线RVV3×1.5。</w:t>
            </w:r>
            <w:r/>
          </w:p>
          <w:p>
            <w:pPr>
              <w:pStyle w:val="810"/>
              <w:numPr>
                <w:ilvl w:val="0"/>
                <w:numId w:val="11"/>
              </w:numPr>
              <w:ind w:left="292" w:hanging="292"/>
              <w:jc w:val="left"/>
              <w:widowControl/>
            </w:pPr>
            <w:r>
              <w:t xml:space="preserve">灯杆除去顶部灯头、美化罩、装饰罩等部件外，前期均采用多元气体共振处理，再采用热镀锌、喷塑处理，喷塑颜色可由业主自行确认。</w:t>
            </w:r>
            <w:r/>
          </w:p>
          <w:p>
            <w:pPr>
              <w:pStyle w:val="810"/>
              <w:numPr>
                <w:ilvl w:val="0"/>
                <w:numId w:val="11"/>
              </w:numPr>
              <w:ind w:left="292" w:hanging="292"/>
              <w:jc w:val="left"/>
              <w:widowControl/>
            </w:pPr>
            <w:r>
              <w:t xml:space="preserve">部分尺寸如图所示。</w:t>
            </w:r>
            <w:r/>
          </w:p>
          <w:p>
            <w:pPr>
              <w:pStyle w:val="810"/>
              <w:numPr>
                <w:ilvl w:val="0"/>
                <w:numId w:val="11"/>
              </w:numPr>
              <w:ind w:left="292" w:hanging="292"/>
              <w:jc w:val="left"/>
              <w:widowControl/>
            </w:pPr>
            <w:r>
              <w:t xml:space="preserve">接地电阻小于4欧姆。</w:t>
            </w:r>
            <w:r/>
          </w:p>
          <w:p>
            <w:pPr>
              <w:pStyle w:val="810"/>
              <w:numPr>
                <w:ilvl w:val="0"/>
                <w:numId w:val="11"/>
              </w:numPr>
              <w:ind w:left="292" w:hanging="292"/>
              <w:jc w:val="left"/>
              <w:widowControl/>
            </w:pPr>
            <w:r>
              <w:t xml:space="preserve">未写明单位的尺寸单位为（mm）。</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2</w:t>
            </w:r>
            <w:r/>
          </w:p>
        </w:tc>
      </w:tr>
      <w:tr>
        <w:trPr>
          <w:gridAfter w:val="1"/>
          <w:trHeight w:val="270"/>
        </w:trPr>
        <w:tc>
          <w:tcPr>
            <w:shd w:val="clear" w:color="auto" w:fill="auto"/>
            <w:tcW w:w="704" w:type="dxa"/>
            <w:vAlign w:val="center"/>
            <w:textDirection w:val="lrTb"/>
            <w:noWrap/>
          </w:tcPr>
          <w:p>
            <w:pPr>
              <w:jc w:val="center"/>
              <w:widowControl/>
            </w:pPr>
            <w:r>
              <w:t xml:space="preserve">8</w:t>
            </w:r>
            <w:r/>
          </w:p>
        </w:tc>
        <w:tc>
          <w:tcPr>
            <w:shd w:val="clear" w:color="auto" w:fill="auto"/>
            <w:tcW w:w="1275" w:type="dxa"/>
            <w:vAlign w:val="center"/>
            <w:textDirection w:val="lrTb"/>
            <w:noWrap/>
          </w:tcPr>
          <w:p>
            <w:pPr>
              <w:jc w:val="center"/>
              <w:widowControl/>
            </w:pPr>
            <w:r>
              <w:t xml:space="preserve">综合杆-指路牌合杆</w:t>
            </w:r>
            <w:r/>
          </w:p>
        </w:tc>
        <w:tc>
          <w:tcPr>
            <w:shd w:val="clear" w:color="auto" w:fill="auto"/>
            <w:tcW w:w="5926" w:type="dxa"/>
            <w:vAlign w:val="center"/>
            <w:textDirection w:val="lrTb"/>
            <w:noWrap/>
          </w:tcPr>
          <w:p>
            <w:pPr>
              <w:jc w:val="left"/>
              <w:widowControl/>
            </w:pPr>
            <w:r>
              <w:t xml:space="preserve">技术参数：</w:t>
            </w:r>
            <w:r/>
          </w:p>
          <w:p>
            <w:pPr>
              <w:pStyle w:val="810"/>
              <w:numPr>
                <w:ilvl w:val="0"/>
                <w:numId w:val="12"/>
              </w:numPr>
              <w:ind w:left="292" w:hanging="292"/>
              <w:jc w:val="left"/>
              <w:widowControl/>
            </w:pPr>
            <w:r>
              <w:t xml:space="preserve">灯杆下主杆材质Q235，采用δ8板材卷杆制作，上口径</w:t>
            </w:r>
            <w:r>
              <w:rPr>
                <w:rFonts w:ascii="Cambria Math" w:hAnsi="Cambria Math" w:cs="Cambria Math"/>
              </w:rPr>
              <w:t xml:space="preserve">∅</w:t>
            </w:r>
            <w:r>
              <w:t xml:space="preserve">260，下口径</w:t>
            </w:r>
            <w:r>
              <w:rPr>
                <w:rFonts w:ascii="Cambria Math" w:hAnsi="Cambria Math" w:cs="Cambria Math"/>
              </w:rPr>
              <w:t xml:space="preserve">∅</w:t>
            </w:r>
            <w:r>
              <w:t xml:space="preserve">320，H=8.65m，2200位置向上每隔450中间开M20圆孔，四面安装3.6m长4×20×68 C型滑槽，下主杆6000位置开</w:t>
            </w:r>
            <w:r>
              <w:rPr>
                <w:rFonts w:ascii="Cambria Math" w:hAnsi="Cambria Math" w:cs="Cambria Math"/>
              </w:rPr>
              <w:t xml:space="preserve">∅</w:t>
            </w:r>
            <w:r>
              <w:t xml:space="preserve">89孔，做监控挑臂预留法兰。</w:t>
            </w:r>
            <w:r/>
          </w:p>
          <w:p>
            <w:pPr>
              <w:pStyle w:val="810"/>
              <w:numPr>
                <w:ilvl w:val="0"/>
                <w:numId w:val="12"/>
              </w:numPr>
              <w:ind w:left="292" w:hanging="292"/>
              <w:jc w:val="left"/>
              <w:widowControl/>
            </w:pPr>
            <w:r>
              <w:t xml:space="preserve">上主杆材质镀锌钢管，采用</w:t>
            </w:r>
            <w:r>
              <w:rPr>
                <w:rFonts w:ascii="Cambria Math" w:hAnsi="Cambria Math" w:cs="Cambria Math"/>
              </w:rPr>
              <w:t xml:space="preserve">∅</w:t>
            </w:r>
            <w:r>
              <w:t xml:space="preserve">165×4，H=1.75m镀锌钢管制作，打磨后，切口及打磨处采用环氧富锌底漆防锈处理。</w:t>
            </w:r>
            <w:r/>
          </w:p>
          <w:p>
            <w:pPr>
              <w:pStyle w:val="810"/>
              <w:numPr>
                <w:ilvl w:val="0"/>
                <w:numId w:val="12"/>
              </w:numPr>
              <w:ind w:left="292" w:hanging="292"/>
              <w:jc w:val="left"/>
              <w:widowControl/>
            </w:pPr>
            <w:r>
              <w:t xml:space="preserve">灯头支臂、美化罩均采用δ1.5、201不锈钢板材激光切割，焊接而成，部分位置采用压铸结构件支撑，灯头边缘部分采用点焊凹槽工艺，表面无焊点和折痕。</w:t>
            </w:r>
            <w:r/>
          </w:p>
          <w:p>
            <w:pPr>
              <w:pStyle w:val="810"/>
              <w:numPr>
                <w:ilvl w:val="0"/>
                <w:numId w:val="12"/>
              </w:numPr>
              <w:ind w:left="292" w:hanging="292"/>
              <w:jc w:val="left"/>
              <w:widowControl/>
            </w:pPr>
            <w:r>
              <w:t xml:space="preserve">顶部装饰罩做激光切割美化孔，预留5G支架接口法兰。</w:t>
            </w:r>
            <w:r/>
          </w:p>
          <w:p>
            <w:pPr>
              <w:pStyle w:val="810"/>
              <w:numPr>
                <w:ilvl w:val="0"/>
                <w:numId w:val="12"/>
              </w:numPr>
              <w:ind w:left="292" w:hanging="292"/>
              <w:jc w:val="left"/>
              <w:widowControl/>
            </w:pPr>
            <w:r>
              <w:t xml:space="preserve">挑臂材质Q235，采用3根</w:t>
            </w:r>
            <w:r>
              <w:rPr>
                <w:rFonts w:ascii="Cambria Math" w:hAnsi="Cambria Math" w:cs="Cambria Math"/>
              </w:rPr>
              <w:t xml:space="preserve">∅</w:t>
            </w:r>
            <w:r>
              <w:t xml:space="preserve">159×6，L=7m钢管制作。</w:t>
            </w:r>
            <w:r/>
          </w:p>
          <w:p>
            <w:pPr>
              <w:pStyle w:val="810"/>
              <w:numPr>
                <w:ilvl w:val="0"/>
                <w:numId w:val="12"/>
              </w:numPr>
              <w:ind w:left="292" w:hanging="292"/>
              <w:jc w:val="left"/>
              <w:widowControl/>
            </w:pPr>
            <w:r>
              <w:t xml:space="preserve">法兰尺寸为</w:t>
            </w:r>
            <w:r>
              <w:rPr>
                <w:rFonts w:ascii="Cambria Math" w:hAnsi="Cambria Math" w:cs="Cambria Math"/>
              </w:rPr>
              <w:t xml:space="preserve">∅</w:t>
            </w:r>
            <w:r>
              <w:t xml:space="preserve">800，厚度为δ25，安装孔对角距</w:t>
            </w:r>
            <w:r>
              <w:rPr>
                <w:rFonts w:ascii="Cambria Math" w:hAnsi="Cambria Math" w:cs="Cambria Math"/>
              </w:rPr>
              <w:t xml:space="preserve">∅</w:t>
            </w:r>
            <w:r>
              <w:t xml:space="preserve">690，安装孔为12-30×60，角筋δ12×（20+130）×（20+250）×8块；对接法兰δ20×420×420×6块，安装孔对边距340×340，安装孔为7-</w:t>
            </w:r>
            <w:r>
              <w:rPr>
                <w:rFonts w:ascii="Cambria Math" w:hAnsi="Cambria Math" w:cs="Cambria Math"/>
              </w:rPr>
              <w:t xml:space="preserve">∅</w:t>
            </w:r>
            <w:r>
              <w:t xml:space="preserve">28，杆肋δ12×320×400×6块，臂肋δ10×410×70×6块，角筋δ10×（20+95）×（20+200）×24块。</w:t>
            </w:r>
            <w:r/>
          </w:p>
          <w:p>
            <w:pPr>
              <w:pStyle w:val="810"/>
              <w:numPr>
                <w:ilvl w:val="0"/>
                <w:numId w:val="12"/>
              </w:numPr>
              <w:ind w:left="292" w:hanging="292"/>
              <w:jc w:val="left"/>
              <w:widowControl/>
            </w:pPr>
            <w:r>
              <w:t xml:space="preserve">LED光源2×300W，配电源线RVV3×1.5。</w:t>
            </w:r>
            <w:r/>
          </w:p>
          <w:p>
            <w:pPr>
              <w:pStyle w:val="810"/>
              <w:numPr>
                <w:ilvl w:val="0"/>
                <w:numId w:val="12"/>
              </w:numPr>
              <w:ind w:left="292" w:hanging="292"/>
              <w:jc w:val="left"/>
              <w:widowControl/>
            </w:pPr>
            <w:r>
              <w:t xml:space="preserve">灯杆除去顶部灯头、美化罩、装饰罩等部件外，前期均采用多元气体共振处理，再采用热镀锌、静电喷塑处理，喷塑颜色可由业主自行确认。</w:t>
            </w:r>
            <w:r/>
          </w:p>
          <w:p>
            <w:pPr>
              <w:pStyle w:val="810"/>
              <w:numPr>
                <w:ilvl w:val="0"/>
                <w:numId w:val="12"/>
              </w:numPr>
              <w:ind w:left="292" w:hanging="292"/>
              <w:jc w:val="left"/>
              <w:widowControl/>
            </w:pPr>
            <w:r>
              <w:t xml:space="preserve">部分尺寸如图所示。</w:t>
            </w:r>
            <w:r/>
          </w:p>
          <w:p>
            <w:pPr>
              <w:pStyle w:val="810"/>
              <w:numPr>
                <w:ilvl w:val="0"/>
                <w:numId w:val="12"/>
              </w:numPr>
              <w:ind w:left="292" w:hanging="292"/>
              <w:jc w:val="left"/>
              <w:widowControl/>
            </w:pPr>
            <w:r>
              <w:t xml:space="preserve">接地电阻小于4欧姆。</w:t>
            </w:r>
            <w:r/>
          </w:p>
          <w:p>
            <w:pPr>
              <w:pStyle w:val="810"/>
              <w:numPr>
                <w:ilvl w:val="0"/>
                <w:numId w:val="12"/>
              </w:numPr>
              <w:ind w:left="292" w:hanging="292"/>
              <w:jc w:val="left"/>
              <w:widowControl/>
            </w:pPr>
            <w:r>
              <w:t xml:space="preserve">未写明单位的尺寸单位为（mm）。</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2</w:t>
            </w:r>
            <w:r/>
          </w:p>
        </w:tc>
      </w:tr>
      <w:tr>
        <w:trPr>
          <w:gridAfter w:val="1"/>
          <w:trHeight w:val="270"/>
        </w:trPr>
        <w:tc>
          <w:tcPr>
            <w:shd w:val="clear" w:color="auto" w:fill="auto"/>
            <w:tcW w:w="704" w:type="dxa"/>
            <w:vAlign w:val="center"/>
            <w:textDirection w:val="lrTb"/>
            <w:noWrap/>
          </w:tcPr>
          <w:p>
            <w:pPr>
              <w:jc w:val="center"/>
              <w:widowControl/>
            </w:pPr>
            <w:r>
              <w:t xml:space="preserve">9</w:t>
            </w:r>
            <w:r/>
          </w:p>
        </w:tc>
        <w:tc>
          <w:tcPr>
            <w:shd w:val="clear" w:color="auto" w:fill="auto"/>
            <w:tcW w:w="1275" w:type="dxa"/>
            <w:vAlign w:val="center"/>
            <w:textDirection w:val="lrTb"/>
            <w:noWrap/>
          </w:tcPr>
          <w:p>
            <w:pPr>
              <w:jc w:val="center"/>
              <w:widowControl/>
            </w:pPr>
            <w:r>
              <w:t xml:space="preserve">综合杆-组合禁令合杆</w:t>
            </w:r>
            <w:r/>
          </w:p>
        </w:tc>
        <w:tc>
          <w:tcPr>
            <w:shd w:val="clear" w:color="auto" w:fill="auto"/>
            <w:tcW w:w="5926" w:type="dxa"/>
            <w:vAlign w:val="center"/>
            <w:textDirection w:val="lrTb"/>
            <w:noWrap/>
          </w:tcPr>
          <w:p>
            <w:pPr>
              <w:jc w:val="left"/>
              <w:widowControl/>
            </w:pPr>
            <w:r>
              <w:t xml:space="preserve">技术参数：</w:t>
            </w:r>
            <w:r/>
          </w:p>
          <w:p>
            <w:pPr>
              <w:pStyle w:val="810"/>
              <w:numPr>
                <w:ilvl w:val="0"/>
                <w:numId w:val="13"/>
              </w:numPr>
              <w:ind w:left="292" w:hanging="292"/>
              <w:jc w:val="left"/>
              <w:widowControl/>
            </w:pPr>
            <w:r>
              <w:t xml:space="preserve">灯杆下主杆材质Q235，采用δ8板材卷杆制作，上口径</w:t>
            </w:r>
            <w:r>
              <w:rPr>
                <w:rFonts w:ascii="Cambria Math" w:hAnsi="Cambria Math" w:cs="Cambria Math"/>
              </w:rPr>
              <w:t xml:space="preserve">∅</w:t>
            </w:r>
            <w:r>
              <w:t xml:space="preserve">260，下口径</w:t>
            </w:r>
            <w:r>
              <w:rPr>
                <w:rFonts w:ascii="Cambria Math" w:hAnsi="Cambria Math" w:cs="Cambria Math"/>
              </w:rPr>
              <w:t xml:space="preserve">∅</w:t>
            </w:r>
            <w:r>
              <w:t xml:space="preserve">320，H=7.5m；2200位置向上每隔450中间开M20圆孔，四面安装3.6m长4×20×68 C型滑槽，下主杆5600位置开</w:t>
            </w:r>
            <w:r>
              <w:rPr>
                <w:rFonts w:ascii="Cambria Math" w:hAnsi="Cambria Math" w:cs="Cambria Math"/>
              </w:rPr>
              <w:t xml:space="preserve">∅</w:t>
            </w:r>
            <w:r>
              <w:t xml:space="preserve">89孔，做监控挑臂</w:t>
            </w:r>
            <w:r>
              <w:rPr>
                <w:rFonts w:ascii="Cambria Math" w:hAnsi="Cambria Math" w:cs="Cambria Math"/>
              </w:rPr>
              <w:t xml:space="preserve">∅</w:t>
            </w:r>
            <w:r>
              <w:t xml:space="preserve">200预留法兰。</w:t>
            </w:r>
            <w:r/>
          </w:p>
          <w:p>
            <w:pPr>
              <w:pStyle w:val="810"/>
              <w:numPr>
                <w:ilvl w:val="0"/>
                <w:numId w:val="13"/>
              </w:numPr>
              <w:ind w:left="292" w:hanging="292"/>
              <w:jc w:val="left"/>
              <w:widowControl/>
            </w:pPr>
            <w:r>
              <w:t xml:space="preserve">上主杆材质镀锌钢管，采用</w:t>
            </w:r>
            <w:r>
              <w:rPr>
                <w:rFonts w:ascii="Cambria Math" w:hAnsi="Cambria Math" w:cs="Cambria Math"/>
              </w:rPr>
              <w:t xml:space="preserve">∅</w:t>
            </w:r>
            <w:r>
              <w:t xml:space="preserve">165×4，H=2.9m镀锌钢管制作，打磨后，切口及打磨处采用环氧富锌底漆防锈处理。</w:t>
            </w:r>
            <w:r/>
          </w:p>
          <w:p>
            <w:pPr>
              <w:pStyle w:val="810"/>
              <w:numPr>
                <w:ilvl w:val="0"/>
                <w:numId w:val="13"/>
              </w:numPr>
              <w:ind w:left="292" w:hanging="292"/>
              <w:jc w:val="left"/>
              <w:widowControl/>
            </w:pPr>
            <w:r>
              <w:t xml:space="preserve">灯头支臂、美化罩均采用δ1.5、201不锈钢板材激光切割，焊接而成，部分位置采用压铸结构件支撑，灯头边缘部分采用点焊凹槽工艺，表面无焊点和折痕。</w:t>
            </w:r>
            <w:r/>
          </w:p>
          <w:p>
            <w:pPr>
              <w:pStyle w:val="810"/>
              <w:numPr>
                <w:ilvl w:val="0"/>
                <w:numId w:val="13"/>
              </w:numPr>
              <w:ind w:left="292" w:hanging="292"/>
              <w:jc w:val="left"/>
              <w:widowControl/>
            </w:pPr>
            <w:r>
              <w:t xml:space="preserve">顶部装饰罩做激光切割美化孔，预留5G支架接口法兰。</w:t>
            </w:r>
            <w:r/>
          </w:p>
          <w:p>
            <w:pPr>
              <w:pStyle w:val="810"/>
              <w:numPr>
                <w:ilvl w:val="0"/>
                <w:numId w:val="13"/>
              </w:numPr>
              <w:ind w:left="292" w:hanging="292"/>
              <w:jc w:val="left"/>
              <w:widowControl/>
            </w:pPr>
            <w:r>
              <w:t xml:space="preserve">挑臂材质Q235，采用2根</w:t>
            </w:r>
            <w:r>
              <w:rPr>
                <w:rFonts w:ascii="Cambria Math" w:hAnsi="Cambria Math" w:cs="Cambria Math"/>
              </w:rPr>
              <w:t xml:space="preserve">∅</w:t>
            </w:r>
            <w:r>
              <w:t xml:space="preserve">89×5，L=4.8m钢管制作，中间承档采用</w:t>
            </w:r>
            <w:r>
              <w:rPr>
                <w:rFonts w:ascii="Cambria Math" w:hAnsi="Cambria Math" w:cs="Cambria Math"/>
              </w:rPr>
              <w:t xml:space="preserve">∅</w:t>
            </w:r>
            <w:r>
              <w:t xml:space="preserve">89×5，L=0.75m钢管制作。</w:t>
            </w:r>
            <w:r/>
          </w:p>
          <w:p>
            <w:pPr>
              <w:pStyle w:val="810"/>
              <w:numPr>
                <w:ilvl w:val="0"/>
                <w:numId w:val="13"/>
              </w:numPr>
              <w:ind w:left="292" w:hanging="292"/>
              <w:jc w:val="left"/>
              <w:widowControl/>
            </w:pPr>
            <w:r>
              <w:t xml:space="preserve">法兰尺寸为</w:t>
            </w:r>
            <w:r>
              <w:rPr>
                <w:rFonts w:ascii="Cambria Math" w:hAnsi="Cambria Math" w:cs="Cambria Math"/>
              </w:rPr>
              <w:t xml:space="preserve">∅</w:t>
            </w:r>
            <w:r>
              <w:t xml:space="preserve">800，厚度为δ25，安装孔对角距</w:t>
            </w:r>
            <w:r>
              <w:rPr>
                <w:rFonts w:ascii="Cambria Math" w:hAnsi="Cambria Math" w:cs="Cambria Math"/>
              </w:rPr>
              <w:t xml:space="preserve">∅</w:t>
            </w:r>
            <w:r>
              <w:t xml:space="preserve">690，安装孔为12-30×60，角筋δ12×（20+130）×（20+250）×8块；对接法兰δ20×420×420×4块，安装孔对边距340×340，安装孔为7-</w:t>
            </w:r>
            <w:r>
              <w:rPr>
                <w:rFonts w:ascii="Cambria Math" w:hAnsi="Cambria Math" w:cs="Cambria Math"/>
              </w:rPr>
              <w:t xml:space="preserve">∅</w:t>
            </w:r>
            <w:r>
              <w:t xml:space="preserve">28，杆肋δ12×320×400×4块，臂肋δ10×410×70×4块，角筋δ10×（20+95）×（20+200）×8块。</w:t>
            </w:r>
            <w:r/>
          </w:p>
          <w:p>
            <w:pPr>
              <w:pStyle w:val="810"/>
              <w:numPr>
                <w:ilvl w:val="0"/>
                <w:numId w:val="13"/>
              </w:numPr>
              <w:ind w:left="292" w:hanging="292"/>
              <w:jc w:val="left"/>
              <w:widowControl/>
            </w:pPr>
            <w:r>
              <w:t xml:space="preserve">LED光源1×300W（单灯头），配电源线RVV3×1.5。</w:t>
            </w:r>
            <w:r/>
          </w:p>
          <w:p>
            <w:pPr>
              <w:pStyle w:val="810"/>
              <w:numPr>
                <w:ilvl w:val="0"/>
                <w:numId w:val="13"/>
              </w:numPr>
              <w:ind w:left="292" w:hanging="292"/>
              <w:jc w:val="left"/>
              <w:widowControl/>
            </w:pPr>
            <w:r>
              <w:t xml:space="preserve">灯杆除去顶部灯头、美化罩、装饰罩等部件外，前期均采用多元气体共振处理，再采用热镀锌、打磨，静电喷塑处理，喷塑颜色可由客户自行确认。</w:t>
            </w:r>
            <w:r/>
          </w:p>
          <w:p>
            <w:pPr>
              <w:pStyle w:val="810"/>
              <w:numPr>
                <w:ilvl w:val="0"/>
                <w:numId w:val="13"/>
              </w:numPr>
              <w:ind w:left="292" w:hanging="292"/>
              <w:jc w:val="left"/>
              <w:widowControl/>
            </w:pPr>
            <w:r>
              <w:t xml:space="preserve">部分尺寸如图所示。</w:t>
            </w:r>
            <w:r/>
          </w:p>
          <w:p>
            <w:pPr>
              <w:pStyle w:val="810"/>
              <w:numPr>
                <w:ilvl w:val="0"/>
                <w:numId w:val="13"/>
              </w:numPr>
              <w:ind w:left="292" w:hanging="292"/>
              <w:jc w:val="left"/>
              <w:widowControl/>
            </w:pPr>
            <w:r>
              <w:t xml:space="preserve">接地电阻小于4欧姆。</w:t>
            </w:r>
            <w:r/>
          </w:p>
          <w:p>
            <w:pPr>
              <w:pStyle w:val="810"/>
              <w:numPr>
                <w:ilvl w:val="0"/>
                <w:numId w:val="13"/>
              </w:numPr>
              <w:ind w:left="292" w:hanging="292"/>
              <w:jc w:val="left"/>
              <w:widowControl/>
            </w:pPr>
            <w:r>
              <w:t xml:space="preserve">未写明单位的尺寸单位为（mm）。</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2</w:t>
            </w:r>
            <w:r/>
          </w:p>
        </w:tc>
      </w:tr>
      <w:tr>
        <w:trPr>
          <w:gridAfter w:val="1"/>
          <w:trHeight w:val="270"/>
        </w:trPr>
        <w:tc>
          <w:tcPr>
            <w:shd w:val="clear" w:color="auto" w:fill="auto"/>
            <w:tcW w:w="704" w:type="dxa"/>
            <w:vAlign w:val="center"/>
            <w:textDirection w:val="lrTb"/>
            <w:noWrap/>
          </w:tcPr>
          <w:p>
            <w:pPr>
              <w:jc w:val="center"/>
              <w:widowControl/>
            </w:pPr>
            <w:r>
              <w:t xml:space="preserve">10</w:t>
            </w:r>
            <w:r/>
          </w:p>
        </w:tc>
        <w:tc>
          <w:tcPr>
            <w:shd w:val="clear" w:color="auto" w:fill="auto"/>
            <w:tcW w:w="1275" w:type="dxa"/>
            <w:vAlign w:val="center"/>
            <w:textDirection w:val="lrTb"/>
            <w:noWrap/>
          </w:tcPr>
          <w:p>
            <w:pPr>
              <w:jc w:val="center"/>
              <w:widowControl/>
            </w:pPr>
            <w:r>
              <w:t xml:space="preserve">中杆灯-信号灯1</w:t>
            </w:r>
            <w:r/>
          </w:p>
        </w:tc>
        <w:tc>
          <w:tcPr>
            <w:shd w:val="clear" w:color="auto" w:fill="auto"/>
            <w:tcW w:w="5926" w:type="dxa"/>
            <w:vAlign w:val="center"/>
            <w:textDirection w:val="lrTb"/>
            <w:noWrap/>
          </w:tcPr>
          <w:p>
            <w:pPr>
              <w:jc w:val="left"/>
              <w:widowControl/>
            </w:pPr>
            <w:r>
              <w:t xml:space="preserve">技术参数：</w:t>
            </w:r>
            <w:r/>
          </w:p>
          <w:p>
            <w:pPr>
              <w:pStyle w:val="810"/>
              <w:numPr>
                <w:ilvl w:val="0"/>
                <w:numId w:val="14"/>
              </w:numPr>
              <w:ind w:left="292" w:hanging="292"/>
              <w:jc w:val="left"/>
              <w:widowControl/>
            </w:pPr>
            <w:r>
              <w:t xml:space="preserve">灯杆下主杆材质Q235，采用δ10板材卷杆制作，上口径</w:t>
            </w:r>
            <w:r>
              <w:rPr>
                <w:rFonts w:ascii="Cambria Math" w:hAnsi="Cambria Math" w:cs="Cambria Math"/>
              </w:rPr>
              <w:t xml:space="preserve">∅</w:t>
            </w:r>
            <w:r>
              <w:t xml:space="preserve">260，下口径</w:t>
            </w:r>
            <w:r>
              <w:rPr>
                <w:rFonts w:ascii="Cambria Math" w:hAnsi="Cambria Math" w:cs="Cambria Math"/>
              </w:rPr>
              <w:t xml:space="preserve">∅</w:t>
            </w:r>
            <w:r>
              <w:t xml:space="preserve">390，H=8.65m，2500位置向上每隔450中间开M20圆孔，四面安装3.6m长4×20×68 C型滑槽。</w:t>
            </w:r>
            <w:r/>
          </w:p>
          <w:p>
            <w:pPr>
              <w:pStyle w:val="810"/>
              <w:numPr>
                <w:ilvl w:val="0"/>
                <w:numId w:val="14"/>
              </w:numPr>
              <w:ind w:left="292" w:hanging="292"/>
              <w:jc w:val="left"/>
              <w:widowControl/>
            </w:pPr>
            <w:r>
              <w:t xml:space="preserve">上主杆材质镀锌钢管，采用</w:t>
            </w:r>
            <w:r>
              <w:rPr>
                <w:rFonts w:ascii="Cambria Math" w:hAnsi="Cambria Math" w:cs="Cambria Math"/>
              </w:rPr>
              <w:t xml:space="preserve">∅</w:t>
            </w:r>
            <w:r>
              <w:t xml:space="preserve">165×4，H=6.35m镀锌钢管制作，打磨后，切口及打磨处采用环氧富锌底漆防锈处理。</w:t>
            </w:r>
            <w:r/>
          </w:p>
          <w:p>
            <w:pPr>
              <w:pStyle w:val="810"/>
              <w:numPr>
                <w:ilvl w:val="0"/>
                <w:numId w:val="14"/>
              </w:numPr>
              <w:ind w:left="292" w:hanging="292"/>
              <w:jc w:val="left"/>
              <w:widowControl/>
            </w:pPr>
            <w:r>
              <w:t xml:space="preserve">美化罩采用δ1.5、201不锈钢板材激光切割，焊接而成，边缘部分采用点焊凹槽工艺，表面无焊点和折痕。</w:t>
            </w:r>
            <w:r/>
          </w:p>
          <w:p>
            <w:pPr>
              <w:pStyle w:val="810"/>
              <w:numPr>
                <w:ilvl w:val="0"/>
                <w:numId w:val="14"/>
              </w:numPr>
              <w:ind w:left="292" w:hanging="292"/>
              <w:jc w:val="left"/>
              <w:widowControl/>
            </w:pPr>
            <w:r>
              <w:t xml:space="preserve">挑臂材质Q235，采用</w:t>
            </w:r>
            <w:r>
              <w:rPr>
                <w:rFonts w:ascii="Cambria Math" w:hAnsi="Cambria Math" w:cs="Cambria Math"/>
              </w:rPr>
              <w:t xml:space="preserve">∅</w:t>
            </w:r>
            <w:r>
              <w:t xml:space="preserve">140×5，L=8m钢管和120×120×5，L=8m方钢管制作而成，中间承档采用</w:t>
            </w:r>
            <w:r>
              <w:rPr>
                <w:rFonts w:ascii="Cambria Math" w:hAnsi="Cambria Math" w:cs="Cambria Math"/>
              </w:rPr>
              <w:t xml:space="preserve">∅</w:t>
            </w:r>
            <w:r>
              <w:t xml:space="preserve">76×3，L=0.65m钢管制作，每个承档对应位置方管的下方开</w:t>
            </w:r>
            <w:r>
              <w:rPr>
                <w:rFonts w:ascii="Cambria Math" w:hAnsi="Cambria Math" w:cs="Cambria Math"/>
              </w:rPr>
              <w:t xml:space="preserve">∅</w:t>
            </w:r>
            <w:r>
              <w:t xml:space="preserve">30孔。</w:t>
            </w:r>
            <w:r/>
          </w:p>
          <w:p>
            <w:pPr>
              <w:pStyle w:val="810"/>
              <w:numPr>
                <w:ilvl w:val="0"/>
                <w:numId w:val="14"/>
              </w:numPr>
              <w:ind w:left="292" w:hanging="292"/>
              <w:jc w:val="left"/>
              <w:widowControl/>
            </w:pPr>
            <w:r>
              <w:t xml:space="preserve">法兰尺寸为</w:t>
            </w:r>
            <w:r>
              <w:rPr>
                <w:rFonts w:ascii="Cambria Math" w:hAnsi="Cambria Math" w:cs="Cambria Math"/>
              </w:rPr>
              <w:t xml:space="preserve">∅</w:t>
            </w:r>
            <w:r>
              <w:t xml:space="preserve">800，厚度为δ25，安装孔对角距</w:t>
            </w:r>
            <w:r>
              <w:rPr>
                <w:rFonts w:ascii="Cambria Math" w:hAnsi="Cambria Math" w:cs="Cambria Math"/>
              </w:rPr>
              <w:t xml:space="preserve">∅</w:t>
            </w:r>
            <w:r>
              <w:t xml:space="preserve">690，安装孔为12-30×60，角筋δ12×（20+130）×（20+250）×8块；对接法兰δ20×420×420×4块，安装孔对边距340×340，安装孔为7-</w:t>
            </w:r>
            <w:r>
              <w:rPr>
                <w:rFonts w:ascii="Cambria Math" w:hAnsi="Cambria Math" w:cs="Cambria Math"/>
              </w:rPr>
              <w:t xml:space="preserve">∅</w:t>
            </w:r>
            <w:r>
              <w:t xml:space="preserve">28，杆肋δ12×320×400×4块，臂肋δ10×410×70×4块，角筋δ10×（20+95）×（20+200）×8块。</w:t>
            </w:r>
            <w:r/>
          </w:p>
          <w:p>
            <w:pPr>
              <w:pStyle w:val="810"/>
              <w:numPr>
                <w:ilvl w:val="0"/>
                <w:numId w:val="14"/>
              </w:numPr>
              <w:ind w:left="292" w:hanging="292"/>
              <w:jc w:val="left"/>
              <w:widowControl/>
            </w:pPr>
            <w:r>
              <w:t xml:space="preserve">投光灯LED光源3×300W，配电源线RVV3×1.5。</w:t>
            </w:r>
            <w:r/>
          </w:p>
          <w:p>
            <w:pPr>
              <w:pStyle w:val="810"/>
              <w:numPr>
                <w:ilvl w:val="0"/>
                <w:numId w:val="14"/>
              </w:numPr>
              <w:ind w:left="292" w:hanging="292"/>
              <w:jc w:val="left"/>
              <w:widowControl/>
            </w:pPr>
            <w:r>
              <w:t xml:space="preserve">灯杆除去美化罩等部件外，前期均采用多元气体共振处理，再采用热镀锌、打磨，静电喷塑处理，喷塑颜色可由业主自行确认。</w:t>
            </w:r>
            <w:r/>
          </w:p>
          <w:p>
            <w:pPr>
              <w:pStyle w:val="810"/>
              <w:numPr>
                <w:ilvl w:val="0"/>
                <w:numId w:val="14"/>
              </w:numPr>
              <w:ind w:left="292" w:hanging="292"/>
              <w:jc w:val="left"/>
              <w:widowControl/>
            </w:pPr>
            <w:r>
              <w:t xml:space="preserve">部分尺寸如图所示。</w:t>
            </w:r>
            <w:r/>
          </w:p>
          <w:p>
            <w:pPr>
              <w:pStyle w:val="810"/>
              <w:numPr>
                <w:ilvl w:val="0"/>
                <w:numId w:val="14"/>
              </w:numPr>
              <w:ind w:left="292" w:hanging="292"/>
              <w:jc w:val="left"/>
              <w:widowControl/>
            </w:pPr>
            <w:r>
              <w:t xml:space="preserve">接地电阻小于4欧姆。</w:t>
            </w:r>
            <w:r/>
          </w:p>
          <w:p>
            <w:pPr>
              <w:pStyle w:val="810"/>
              <w:numPr>
                <w:ilvl w:val="0"/>
                <w:numId w:val="14"/>
              </w:numPr>
              <w:ind w:left="292" w:hanging="292"/>
              <w:jc w:val="left"/>
              <w:widowControl/>
            </w:pPr>
            <w:r>
              <w:t xml:space="preserve">未写明单位的尺寸单位为（mm）。</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2</w:t>
            </w:r>
            <w:r/>
          </w:p>
        </w:tc>
      </w:tr>
      <w:tr>
        <w:trPr>
          <w:gridAfter w:val="1"/>
          <w:trHeight w:val="270"/>
        </w:trPr>
        <w:tc>
          <w:tcPr>
            <w:shd w:val="clear" w:color="auto" w:fill="auto"/>
            <w:tcW w:w="704" w:type="dxa"/>
            <w:vAlign w:val="center"/>
            <w:textDirection w:val="lrTb"/>
            <w:noWrap/>
          </w:tcPr>
          <w:p>
            <w:pPr>
              <w:jc w:val="center"/>
              <w:widowControl/>
            </w:pPr>
            <w:r>
              <w:t xml:space="preserve">11</w:t>
            </w:r>
            <w:r/>
          </w:p>
        </w:tc>
        <w:tc>
          <w:tcPr>
            <w:shd w:val="clear" w:color="auto" w:fill="auto"/>
            <w:tcW w:w="1275" w:type="dxa"/>
            <w:vAlign w:val="center"/>
            <w:textDirection w:val="lrTb"/>
            <w:noWrap/>
          </w:tcPr>
          <w:p>
            <w:pPr>
              <w:jc w:val="center"/>
              <w:widowControl/>
            </w:pPr>
            <w:r>
              <w:t xml:space="preserve">中杆灯-信号灯2</w:t>
            </w:r>
            <w:r/>
          </w:p>
        </w:tc>
        <w:tc>
          <w:tcPr>
            <w:shd w:val="clear" w:color="auto" w:fill="auto"/>
            <w:tcW w:w="5926" w:type="dxa"/>
            <w:vAlign w:val="center"/>
            <w:textDirection w:val="lrTb"/>
            <w:noWrap/>
          </w:tcPr>
          <w:p>
            <w:pPr>
              <w:jc w:val="left"/>
              <w:widowControl/>
            </w:pPr>
            <w:r>
              <w:t xml:space="preserve">技术参数：</w:t>
            </w:r>
            <w:r/>
          </w:p>
          <w:p>
            <w:pPr>
              <w:pStyle w:val="810"/>
              <w:numPr>
                <w:ilvl w:val="0"/>
                <w:numId w:val="15"/>
              </w:numPr>
              <w:ind w:left="292" w:hanging="292"/>
              <w:jc w:val="left"/>
              <w:widowControl/>
            </w:pPr>
            <w:r>
              <w:t xml:space="preserve">灯杆下主杆材质Q235，采用δ10板材卷杆制作，上口径</w:t>
            </w:r>
            <w:r>
              <w:rPr>
                <w:rFonts w:ascii="Cambria Math" w:hAnsi="Cambria Math" w:cs="Cambria Math"/>
              </w:rPr>
              <w:t xml:space="preserve">∅</w:t>
            </w:r>
            <w:r>
              <w:t xml:space="preserve">260，下口径</w:t>
            </w:r>
            <w:r>
              <w:rPr>
                <w:rFonts w:ascii="Cambria Math" w:hAnsi="Cambria Math" w:cs="Cambria Math"/>
              </w:rPr>
              <w:t xml:space="preserve">∅</w:t>
            </w:r>
            <w:r>
              <w:t xml:space="preserve">390，H=8.65m，2500位置向上每隔450中间开M20圆孔，四面安装3.6m长4×20×68 C型滑槽。</w:t>
            </w:r>
            <w:r/>
          </w:p>
          <w:p>
            <w:pPr>
              <w:pStyle w:val="810"/>
              <w:numPr>
                <w:ilvl w:val="0"/>
                <w:numId w:val="15"/>
              </w:numPr>
              <w:ind w:left="292" w:hanging="292"/>
              <w:jc w:val="left"/>
              <w:widowControl/>
            </w:pPr>
            <w:r>
              <w:t xml:space="preserve">上主杆材质镀锌钢管，采用</w:t>
            </w:r>
            <w:r>
              <w:rPr>
                <w:rFonts w:ascii="Cambria Math" w:hAnsi="Cambria Math" w:cs="Cambria Math"/>
              </w:rPr>
              <w:t xml:space="preserve">∅</w:t>
            </w:r>
            <w:r>
              <w:t xml:space="preserve">165×4，H=6.35m镀锌钢管制作，打磨后，切口及打磨处采用环氧富锌底漆防锈处理。</w:t>
            </w:r>
            <w:r/>
          </w:p>
          <w:p>
            <w:pPr>
              <w:pStyle w:val="810"/>
              <w:numPr>
                <w:ilvl w:val="0"/>
                <w:numId w:val="15"/>
              </w:numPr>
              <w:ind w:left="292" w:hanging="292"/>
              <w:jc w:val="left"/>
              <w:widowControl/>
            </w:pPr>
            <w:r>
              <w:t xml:space="preserve">美化罩采用δ1.5、201不锈钢板材激光切割，焊接而成，边缘部分采用点焊凹槽工艺，表面无焊点和折痕。</w:t>
            </w:r>
            <w:r/>
          </w:p>
          <w:p>
            <w:pPr>
              <w:pStyle w:val="810"/>
              <w:numPr>
                <w:ilvl w:val="0"/>
                <w:numId w:val="15"/>
              </w:numPr>
              <w:ind w:left="292" w:hanging="292"/>
              <w:jc w:val="left"/>
              <w:widowControl/>
            </w:pPr>
            <w:r>
              <w:t xml:space="preserve">挑臂材质Q235，采用</w:t>
            </w:r>
            <w:r>
              <w:rPr>
                <w:rFonts w:ascii="Cambria Math" w:hAnsi="Cambria Math" w:cs="Cambria Math"/>
              </w:rPr>
              <w:t xml:space="preserve">∅</w:t>
            </w:r>
            <w:r>
              <w:t xml:space="preserve">140×5，L=12m钢管和120×120×5，L=12m方钢管制作而成，中间承档采用</w:t>
            </w:r>
            <w:r>
              <w:rPr>
                <w:rFonts w:ascii="Cambria Math" w:hAnsi="Cambria Math" w:cs="Cambria Math"/>
              </w:rPr>
              <w:t xml:space="preserve">∅</w:t>
            </w:r>
            <w:r>
              <w:t xml:space="preserve">76×3，L=0.65m钢管制作，每个承档对应位置方管的下方开</w:t>
            </w:r>
            <w:r>
              <w:rPr>
                <w:rFonts w:ascii="Cambria Math" w:hAnsi="Cambria Math" w:cs="Cambria Math"/>
              </w:rPr>
              <w:t xml:space="preserve">∅</w:t>
            </w:r>
            <w:r>
              <w:t xml:space="preserve">30孔。</w:t>
            </w:r>
            <w:r/>
          </w:p>
          <w:p>
            <w:pPr>
              <w:pStyle w:val="810"/>
              <w:numPr>
                <w:ilvl w:val="0"/>
                <w:numId w:val="15"/>
              </w:numPr>
              <w:ind w:left="292" w:hanging="292"/>
              <w:jc w:val="left"/>
              <w:widowControl/>
            </w:pPr>
            <w:r>
              <w:t xml:space="preserve">法兰尺寸为</w:t>
            </w:r>
            <w:r>
              <w:rPr>
                <w:rFonts w:ascii="Cambria Math" w:hAnsi="Cambria Math" w:cs="Cambria Math"/>
              </w:rPr>
              <w:t xml:space="preserve">∅</w:t>
            </w:r>
            <w:r>
              <w:t xml:space="preserve">800，厚度为δ25，安装孔对角距</w:t>
            </w:r>
            <w:r>
              <w:rPr>
                <w:rFonts w:ascii="Cambria Math" w:hAnsi="Cambria Math" w:cs="Cambria Math"/>
              </w:rPr>
              <w:t xml:space="preserve">∅</w:t>
            </w:r>
            <w:r>
              <w:t xml:space="preserve">690，安装孔为12-30×60，角筋δ12×（20+130）×（20+250）×8块；对接法兰δ20×420×420×4块，安装孔对边距340×340，安装孔为7-</w:t>
            </w:r>
            <w:r>
              <w:rPr>
                <w:rFonts w:ascii="Cambria Math" w:hAnsi="Cambria Math" w:cs="Cambria Math"/>
              </w:rPr>
              <w:t xml:space="preserve">∅</w:t>
            </w:r>
            <w:r>
              <w:t xml:space="preserve">28，杆肋δ12×320×400×4块，臂肋δ10×410×70×4块，角筋δ10×（20+95）×（20+200）×8块。</w:t>
            </w:r>
            <w:r/>
          </w:p>
          <w:p>
            <w:pPr>
              <w:pStyle w:val="810"/>
              <w:numPr>
                <w:ilvl w:val="0"/>
                <w:numId w:val="15"/>
              </w:numPr>
              <w:ind w:left="292" w:hanging="292"/>
              <w:jc w:val="left"/>
              <w:widowControl/>
            </w:pPr>
            <w:r>
              <w:t xml:space="preserve">投光灯LED光源3×300W，配电源线RVV3×1.5。</w:t>
            </w:r>
            <w:r/>
          </w:p>
          <w:p>
            <w:pPr>
              <w:pStyle w:val="810"/>
              <w:numPr>
                <w:ilvl w:val="0"/>
                <w:numId w:val="15"/>
              </w:numPr>
              <w:ind w:left="292" w:hanging="292"/>
              <w:jc w:val="left"/>
              <w:widowControl/>
            </w:pPr>
            <w:r>
              <w:t xml:space="preserve">灯杆除去美化罩等部件外，前期均采用多元气体共振处理，再采用热镀锌、打磨，静电喷塑处理，喷塑颜色可由业主自行确认。</w:t>
            </w:r>
            <w:r/>
          </w:p>
          <w:p>
            <w:pPr>
              <w:pStyle w:val="810"/>
              <w:numPr>
                <w:ilvl w:val="0"/>
                <w:numId w:val="15"/>
              </w:numPr>
              <w:ind w:left="292" w:hanging="292"/>
              <w:jc w:val="left"/>
              <w:widowControl/>
            </w:pPr>
            <w:r>
              <w:t xml:space="preserve">部分尺寸如图所示。</w:t>
            </w:r>
            <w:r/>
          </w:p>
          <w:p>
            <w:pPr>
              <w:pStyle w:val="810"/>
              <w:numPr>
                <w:ilvl w:val="0"/>
                <w:numId w:val="15"/>
              </w:numPr>
              <w:ind w:left="292" w:hanging="292"/>
              <w:jc w:val="left"/>
              <w:widowControl/>
            </w:pPr>
            <w:r>
              <w:t xml:space="preserve">接地电阻小于4欧姆。</w:t>
            </w:r>
            <w:r/>
          </w:p>
          <w:p>
            <w:pPr>
              <w:pStyle w:val="810"/>
              <w:numPr>
                <w:ilvl w:val="0"/>
                <w:numId w:val="15"/>
              </w:numPr>
              <w:ind w:left="292" w:hanging="292"/>
              <w:jc w:val="left"/>
              <w:widowControl/>
            </w:pPr>
            <w:r>
              <w:t xml:space="preserve">未写明单位的尺寸单位为（mm）。</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2</w:t>
            </w:r>
            <w:r/>
          </w:p>
        </w:tc>
      </w:tr>
      <w:tr>
        <w:trPr>
          <w:gridAfter w:val="1"/>
          <w:trHeight w:val="270"/>
        </w:trPr>
        <w:tc>
          <w:tcPr>
            <w:shd w:val="clear" w:color="auto" w:fill="auto"/>
            <w:tcW w:w="704" w:type="dxa"/>
            <w:vAlign w:val="center"/>
            <w:textDirection w:val="lrTb"/>
            <w:noWrap/>
          </w:tcPr>
          <w:p>
            <w:pPr>
              <w:jc w:val="center"/>
              <w:widowControl/>
            </w:pPr>
            <w:r>
              <w:t xml:space="preserve">12</w:t>
            </w:r>
            <w:r/>
          </w:p>
        </w:tc>
        <w:tc>
          <w:tcPr>
            <w:shd w:val="clear" w:color="auto" w:fill="auto"/>
            <w:tcW w:w="1275" w:type="dxa"/>
            <w:vAlign w:val="center"/>
            <w:textDirection w:val="lrTb"/>
            <w:noWrap/>
          </w:tcPr>
          <w:p>
            <w:pPr>
              <w:jc w:val="center"/>
              <w:widowControl/>
            </w:pPr>
            <w:r>
              <w:t xml:space="preserve">中杆灯</w:t>
            </w:r>
            <w:r/>
          </w:p>
        </w:tc>
        <w:tc>
          <w:tcPr>
            <w:shd w:val="clear" w:color="auto" w:fill="auto"/>
            <w:tcW w:w="5926" w:type="dxa"/>
            <w:vAlign w:val="center"/>
            <w:textDirection w:val="lrTb"/>
            <w:noWrap/>
          </w:tcPr>
          <w:p>
            <w:pPr>
              <w:jc w:val="left"/>
              <w:widowControl/>
            </w:pPr>
            <w:r>
              <w:t xml:space="preserve">技术参数：</w:t>
            </w:r>
            <w:r/>
          </w:p>
          <w:p>
            <w:pPr>
              <w:pStyle w:val="810"/>
              <w:numPr>
                <w:ilvl w:val="0"/>
                <w:numId w:val="16"/>
              </w:numPr>
              <w:ind w:left="292" w:hanging="292"/>
              <w:jc w:val="left"/>
              <w:widowControl/>
            </w:pPr>
            <w:r>
              <w:t xml:space="preserve">灯杆主杆材质Q235，采用δ5板材卷杆制作，上口径</w:t>
            </w:r>
            <w:r>
              <w:rPr>
                <w:rFonts w:ascii="Cambria Math" w:hAnsi="Cambria Math" w:cs="Cambria Math"/>
              </w:rPr>
              <w:t xml:space="preserve">∅</w:t>
            </w:r>
            <w:r>
              <w:t xml:space="preserve">105，下口径</w:t>
            </w:r>
            <w:r>
              <w:rPr>
                <w:rFonts w:ascii="Cambria Math" w:hAnsi="Cambria Math" w:cs="Cambria Math"/>
              </w:rPr>
              <w:t xml:space="preserve">∅</w:t>
            </w:r>
            <w:r>
              <w:t xml:space="preserve">280，H=15m，2500位置向上每隔450中间开M20圆孔，四面安装3.6m长4×20×68 C型滑槽。</w:t>
            </w:r>
            <w:r/>
          </w:p>
          <w:p>
            <w:pPr>
              <w:pStyle w:val="810"/>
              <w:numPr>
                <w:ilvl w:val="0"/>
                <w:numId w:val="16"/>
              </w:numPr>
              <w:ind w:left="292" w:hanging="292"/>
              <w:jc w:val="left"/>
              <w:widowControl/>
            </w:pPr>
            <w:r>
              <w:t xml:space="preserve">法兰尺寸为</w:t>
            </w:r>
            <w:r>
              <w:rPr>
                <w:rFonts w:ascii="Cambria Math" w:hAnsi="Cambria Math" w:cs="Cambria Math"/>
              </w:rPr>
              <w:t xml:space="preserve">∅</w:t>
            </w:r>
            <w:r>
              <w:t xml:space="preserve">800，厚度为δ25，安装孔对角距</w:t>
            </w:r>
            <w:r>
              <w:rPr>
                <w:rFonts w:ascii="Cambria Math" w:hAnsi="Cambria Math" w:cs="Cambria Math"/>
              </w:rPr>
              <w:t xml:space="preserve">∅</w:t>
            </w:r>
            <w:r>
              <w:t xml:space="preserve">690，安装孔为12-30×60，角筋δ12×（20+130）×（20+250）×8块。</w:t>
            </w:r>
            <w:r/>
          </w:p>
          <w:p>
            <w:pPr>
              <w:pStyle w:val="810"/>
              <w:numPr>
                <w:ilvl w:val="0"/>
                <w:numId w:val="16"/>
              </w:numPr>
              <w:ind w:left="292" w:hanging="292"/>
              <w:jc w:val="left"/>
              <w:widowControl/>
            </w:pPr>
            <w:r>
              <w:t xml:space="preserve">投光灯LED光源3×300W，配电源线RVV3×1.5。</w:t>
            </w:r>
            <w:r/>
          </w:p>
          <w:p>
            <w:pPr>
              <w:pStyle w:val="810"/>
              <w:numPr>
                <w:ilvl w:val="0"/>
                <w:numId w:val="16"/>
              </w:numPr>
              <w:ind w:left="292" w:hanging="292"/>
              <w:jc w:val="left"/>
              <w:widowControl/>
            </w:pPr>
            <w:r>
              <w:t xml:space="preserve">灯杆前期均采用多元气体共振处理，再采用热镀锌、打磨，静电喷塑处理，喷塑颜色可由业主自行确认。</w:t>
            </w:r>
            <w:r/>
          </w:p>
          <w:p>
            <w:pPr>
              <w:pStyle w:val="810"/>
              <w:numPr>
                <w:ilvl w:val="0"/>
                <w:numId w:val="16"/>
              </w:numPr>
              <w:ind w:left="292" w:hanging="292"/>
              <w:jc w:val="left"/>
              <w:widowControl/>
            </w:pPr>
            <w:r>
              <w:t xml:space="preserve">部分尺寸如图所示。</w:t>
            </w:r>
            <w:r/>
          </w:p>
          <w:p>
            <w:pPr>
              <w:pStyle w:val="810"/>
              <w:numPr>
                <w:ilvl w:val="0"/>
                <w:numId w:val="16"/>
              </w:numPr>
              <w:ind w:left="292" w:hanging="292"/>
              <w:jc w:val="left"/>
              <w:widowControl/>
            </w:pPr>
            <w:r>
              <w:t xml:space="preserve">接地电阻小于4欧姆。</w:t>
            </w:r>
            <w:r/>
          </w:p>
          <w:p>
            <w:pPr>
              <w:pStyle w:val="810"/>
              <w:numPr>
                <w:ilvl w:val="0"/>
                <w:numId w:val="16"/>
              </w:numPr>
              <w:ind w:left="292" w:hanging="292"/>
              <w:jc w:val="left"/>
              <w:widowControl/>
            </w:pPr>
            <w:r>
              <w:t xml:space="preserve">未写明单位的尺寸单位为（mm）。</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10</w:t>
            </w:r>
            <w:r/>
          </w:p>
        </w:tc>
      </w:tr>
      <w:tr>
        <w:trPr>
          <w:gridAfter w:val="1"/>
          <w:trHeight w:val="270"/>
        </w:trPr>
        <w:tc>
          <w:tcPr>
            <w:shd w:val="clear" w:color="auto" w:fill="auto"/>
            <w:tcW w:w="704" w:type="dxa"/>
            <w:vAlign w:val="center"/>
            <w:textDirection w:val="lrTb"/>
            <w:noWrap/>
          </w:tcPr>
          <w:p>
            <w:pPr>
              <w:jc w:val="center"/>
              <w:widowControl/>
            </w:pPr>
            <w:r>
              <w:t xml:space="preserve">13</w:t>
            </w:r>
            <w:r/>
          </w:p>
        </w:tc>
        <w:tc>
          <w:tcPr>
            <w:shd w:val="clear" w:color="auto" w:fill="auto"/>
            <w:tcW w:w="1275" w:type="dxa"/>
            <w:vAlign w:val="center"/>
            <w:textDirection w:val="lrTb"/>
            <w:noWrap/>
          </w:tcPr>
          <w:p>
            <w:pPr>
              <w:jc w:val="center"/>
              <w:widowControl/>
            </w:pPr>
            <w:r>
              <w:t xml:space="preserve">综合杆-悬臂杆1</w:t>
            </w:r>
            <w:r/>
          </w:p>
        </w:tc>
        <w:tc>
          <w:tcPr>
            <w:shd w:val="clear" w:color="auto" w:fill="auto"/>
            <w:tcW w:w="5926" w:type="dxa"/>
            <w:vAlign w:val="center"/>
            <w:textDirection w:val="lrTb"/>
            <w:noWrap/>
          </w:tcPr>
          <w:p>
            <w:pPr>
              <w:jc w:val="left"/>
              <w:widowControl/>
            </w:pPr>
            <w:r>
              <w:t xml:space="preserve">技术参数：</w:t>
            </w:r>
            <w:r/>
          </w:p>
          <w:p>
            <w:pPr>
              <w:pStyle w:val="810"/>
              <w:numPr>
                <w:ilvl w:val="0"/>
                <w:numId w:val="17"/>
              </w:numPr>
              <w:ind w:left="292" w:hanging="292"/>
              <w:jc w:val="left"/>
              <w:widowControl/>
            </w:pPr>
            <w:r>
              <w:t xml:space="preserve">杆体截面为八角型焊管，材质为Q235，上口径</w:t>
            </w:r>
            <w:r>
              <w:rPr>
                <w:rFonts w:ascii="Cambria Math" w:hAnsi="Cambria Math" w:cs="Cambria Math"/>
              </w:rPr>
              <w:t xml:space="preserve">∅</w:t>
            </w:r>
            <w:r>
              <w:t xml:space="preserve">270，下口径</w:t>
            </w:r>
            <w:r>
              <w:rPr>
                <w:rFonts w:ascii="Cambria Math" w:hAnsi="Cambria Math" w:cs="Cambria Math"/>
              </w:rPr>
              <w:t xml:space="preserve">∅</w:t>
            </w:r>
            <w:r>
              <w:t xml:space="preserve">320，H=6.2m，厚度为δ6.0。</w:t>
            </w:r>
            <w:r/>
          </w:p>
          <w:p>
            <w:pPr>
              <w:pStyle w:val="810"/>
              <w:numPr>
                <w:ilvl w:val="0"/>
                <w:numId w:val="17"/>
              </w:numPr>
              <w:ind w:left="292" w:hanging="292"/>
              <w:jc w:val="left"/>
              <w:widowControl/>
            </w:pPr>
            <w:r>
              <w:t xml:space="preserve">挑臂材质Q235，L=4m，采用δ4.0板材卷杆制作，上口径</w:t>
            </w:r>
            <w:r>
              <w:rPr>
                <w:rFonts w:ascii="Cambria Math" w:hAnsi="Cambria Math" w:cs="Cambria Math"/>
              </w:rPr>
              <w:t xml:space="preserve">∅</w:t>
            </w:r>
            <w:r>
              <w:t xml:space="preserve">110，下口径</w:t>
            </w:r>
            <w:r>
              <w:rPr>
                <w:rFonts w:ascii="Cambria Math" w:hAnsi="Cambria Math" w:cs="Cambria Math"/>
              </w:rPr>
              <w:t xml:space="preserve">∅</w:t>
            </w:r>
            <w:r>
              <w:t xml:space="preserve">180。</w:t>
            </w:r>
            <w:r/>
          </w:p>
          <w:p>
            <w:pPr>
              <w:pStyle w:val="810"/>
              <w:numPr>
                <w:ilvl w:val="0"/>
                <w:numId w:val="17"/>
              </w:numPr>
              <w:ind w:left="292" w:hanging="292"/>
              <w:jc w:val="left"/>
              <w:widowControl/>
            </w:pPr>
            <w:r>
              <w:t xml:space="preserve">法兰尺寸为</w:t>
            </w:r>
            <w:r>
              <w:rPr>
                <w:rFonts w:ascii="Cambria Math" w:hAnsi="Cambria Math" w:cs="Cambria Math"/>
              </w:rPr>
              <w:t xml:space="preserve">∅</w:t>
            </w:r>
            <w:r>
              <w:t xml:space="preserve">550，厚度为δ20；对接法兰尺寸为</w:t>
            </w:r>
            <w:r>
              <w:rPr>
                <w:rFonts w:ascii="Cambria Math" w:hAnsi="Cambria Math" w:cs="Cambria Math"/>
              </w:rPr>
              <w:t xml:space="preserve">∅</w:t>
            </w:r>
            <w:r>
              <w:t xml:space="preserve">350，厚度为δ20。</w:t>
            </w:r>
            <w:r/>
          </w:p>
          <w:p>
            <w:pPr>
              <w:pStyle w:val="810"/>
              <w:numPr>
                <w:ilvl w:val="0"/>
                <w:numId w:val="17"/>
              </w:numPr>
              <w:ind w:left="292" w:hanging="292"/>
              <w:jc w:val="left"/>
              <w:widowControl/>
            </w:pPr>
            <w:r>
              <w:t xml:space="preserve">杆体表面均采用多元气体共振处理，再采用热镀锌、静电喷塑处理，喷塑颜色可由业主自行确认。</w:t>
            </w:r>
            <w:r/>
          </w:p>
          <w:p>
            <w:pPr>
              <w:pStyle w:val="810"/>
              <w:numPr>
                <w:ilvl w:val="0"/>
                <w:numId w:val="17"/>
              </w:numPr>
              <w:ind w:left="292" w:hanging="292"/>
              <w:jc w:val="left"/>
              <w:widowControl/>
            </w:pPr>
            <w:r>
              <w:t xml:space="preserve">含杆体基础。</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20</w:t>
            </w:r>
            <w:r/>
          </w:p>
        </w:tc>
      </w:tr>
      <w:tr>
        <w:trPr>
          <w:gridAfter w:val="1"/>
          <w:trHeight w:val="270"/>
        </w:trPr>
        <w:tc>
          <w:tcPr>
            <w:shd w:val="clear" w:color="auto" w:fill="auto"/>
            <w:tcW w:w="704" w:type="dxa"/>
            <w:vAlign w:val="center"/>
            <w:textDirection w:val="lrTb"/>
            <w:noWrap/>
          </w:tcPr>
          <w:p>
            <w:pPr>
              <w:jc w:val="center"/>
              <w:widowControl/>
            </w:pPr>
            <w:r>
              <w:t xml:space="preserve">14</w:t>
            </w:r>
            <w:r/>
          </w:p>
        </w:tc>
        <w:tc>
          <w:tcPr>
            <w:shd w:val="clear" w:color="auto" w:fill="auto"/>
            <w:tcW w:w="1275" w:type="dxa"/>
            <w:vAlign w:val="center"/>
            <w:textDirection w:val="lrTb"/>
            <w:noWrap/>
          </w:tcPr>
          <w:p>
            <w:pPr>
              <w:jc w:val="center"/>
              <w:widowControl/>
            </w:pPr>
            <w:r>
              <w:t xml:space="preserve">综合杆-悬臂杆2</w:t>
            </w:r>
            <w:r/>
          </w:p>
        </w:tc>
        <w:tc>
          <w:tcPr>
            <w:shd w:val="clear" w:color="auto" w:fill="auto"/>
            <w:tcW w:w="5926" w:type="dxa"/>
            <w:vAlign w:val="center"/>
            <w:textDirection w:val="lrTb"/>
            <w:noWrap/>
          </w:tcPr>
          <w:p>
            <w:pPr>
              <w:jc w:val="left"/>
              <w:widowControl/>
            </w:pPr>
            <w:r>
              <w:t xml:space="preserve">技术参数：</w:t>
            </w:r>
            <w:r/>
          </w:p>
          <w:p>
            <w:pPr>
              <w:pStyle w:val="810"/>
              <w:numPr>
                <w:ilvl w:val="0"/>
                <w:numId w:val="18"/>
              </w:numPr>
              <w:ind w:left="292" w:hanging="292"/>
              <w:jc w:val="left"/>
              <w:widowControl/>
            </w:pPr>
            <w:r>
              <w:t xml:space="preserve">杆体截面为八角型焊管，材质为Q235，上口径</w:t>
            </w:r>
            <w:r>
              <w:rPr>
                <w:rFonts w:ascii="Cambria Math" w:hAnsi="Cambria Math" w:cs="Cambria Math"/>
              </w:rPr>
              <w:t xml:space="preserve">∅</w:t>
            </w:r>
            <w:r>
              <w:t xml:space="preserve">270，下口径</w:t>
            </w:r>
            <w:r>
              <w:rPr>
                <w:rFonts w:ascii="Cambria Math" w:hAnsi="Cambria Math" w:cs="Cambria Math"/>
              </w:rPr>
              <w:t xml:space="preserve">∅</w:t>
            </w:r>
            <w:r>
              <w:t xml:space="preserve">320，H=6.7m，厚度为δ6.0。</w:t>
            </w:r>
            <w:r/>
          </w:p>
          <w:p>
            <w:pPr>
              <w:pStyle w:val="810"/>
              <w:numPr>
                <w:ilvl w:val="0"/>
                <w:numId w:val="18"/>
              </w:numPr>
              <w:ind w:left="292" w:hanging="292"/>
              <w:jc w:val="left"/>
              <w:widowControl/>
            </w:pPr>
            <w:r>
              <w:t xml:space="preserve">挑臂材质Q235，L=6m，采用δ4.0板材卷杆制作，上口径</w:t>
            </w:r>
            <w:r>
              <w:rPr>
                <w:rFonts w:ascii="Cambria Math" w:hAnsi="Cambria Math" w:cs="Cambria Math"/>
              </w:rPr>
              <w:t xml:space="preserve">∅</w:t>
            </w:r>
            <w:r>
              <w:t xml:space="preserve">110，下口径</w:t>
            </w:r>
            <w:r>
              <w:rPr>
                <w:rFonts w:ascii="Cambria Math" w:hAnsi="Cambria Math" w:cs="Cambria Math"/>
              </w:rPr>
              <w:t xml:space="preserve">∅</w:t>
            </w:r>
            <w:r>
              <w:t xml:space="preserve">180。</w:t>
            </w:r>
            <w:r/>
          </w:p>
          <w:p>
            <w:pPr>
              <w:pStyle w:val="810"/>
              <w:numPr>
                <w:ilvl w:val="0"/>
                <w:numId w:val="18"/>
              </w:numPr>
              <w:ind w:left="292" w:hanging="292"/>
              <w:jc w:val="left"/>
              <w:widowControl/>
            </w:pPr>
            <w:r>
              <w:t xml:space="preserve">法兰尺寸为</w:t>
            </w:r>
            <w:r>
              <w:rPr>
                <w:rFonts w:ascii="Cambria Math" w:hAnsi="Cambria Math" w:cs="Cambria Math"/>
              </w:rPr>
              <w:t xml:space="preserve">∅</w:t>
            </w:r>
            <w:r>
              <w:t xml:space="preserve">550，厚度为δ20；对接法兰尺寸为</w:t>
            </w:r>
            <w:r>
              <w:rPr>
                <w:rFonts w:ascii="Cambria Math" w:hAnsi="Cambria Math" w:cs="Cambria Math"/>
              </w:rPr>
              <w:t xml:space="preserve">∅</w:t>
            </w:r>
            <w:r>
              <w:t xml:space="preserve">350，厚度为δ20。</w:t>
            </w:r>
            <w:r/>
          </w:p>
          <w:p>
            <w:pPr>
              <w:pStyle w:val="810"/>
              <w:numPr>
                <w:ilvl w:val="0"/>
                <w:numId w:val="18"/>
              </w:numPr>
              <w:ind w:left="292" w:hanging="292"/>
              <w:jc w:val="left"/>
              <w:widowControl/>
            </w:pPr>
            <w:r>
              <w:t xml:space="preserve">杆体表面均采用多元气体共振处理，再采用热镀锌、静电喷塑处理，喷塑颜色可由业主自行确认。</w:t>
            </w:r>
            <w:r/>
          </w:p>
          <w:p>
            <w:pPr>
              <w:pStyle w:val="810"/>
              <w:numPr>
                <w:ilvl w:val="0"/>
                <w:numId w:val="18"/>
              </w:numPr>
              <w:ind w:left="292" w:hanging="292"/>
              <w:jc w:val="left"/>
              <w:widowControl/>
            </w:pPr>
            <w:r>
              <w:t xml:space="preserve">含杆体基础。</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2</w:t>
            </w:r>
            <w:r/>
          </w:p>
        </w:tc>
      </w:tr>
      <w:tr>
        <w:trPr>
          <w:gridAfter w:val="1"/>
          <w:trHeight w:val="270"/>
        </w:trPr>
        <w:tc>
          <w:tcPr>
            <w:shd w:val="clear" w:color="auto" w:fill="auto"/>
            <w:tcW w:w="704" w:type="dxa"/>
            <w:vAlign w:val="center"/>
            <w:textDirection w:val="lrTb"/>
            <w:noWrap/>
          </w:tcPr>
          <w:p>
            <w:pPr>
              <w:jc w:val="center"/>
              <w:widowControl/>
            </w:pPr>
            <w:r/>
            <w:r/>
          </w:p>
        </w:tc>
        <w:tc>
          <w:tcPr>
            <w:shd w:val="clear" w:color="auto" w:fill="auto"/>
            <w:tcW w:w="1275" w:type="dxa"/>
            <w:vAlign w:val="center"/>
            <w:textDirection w:val="lrTb"/>
            <w:noWrap/>
          </w:tcPr>
          <w:p>
            <w:pPr>
              <w:jc w:val="center"/>
              <w:widowControl/>
            </w:pPr>
            <w:r/>
            <w:r/>
          </w:p>
        </w:tc>
        <w:tc>
          <w:tcPr>
            <w:shd w:val="clear" w:color="auto" w:fill="auto"/>
            <w:tcW w:w="5926" w:type="dxa"/>
            <w:vAlign w:val="center"/>
            <w:textDirection w:val="lrTb"/>
            <w:noWrap/>
          </w:tcPr>
          <w:p>
            <w:r>
              <w:t xml:space="preserve">以上1~14项关于灯具的通用要求：</w:t>
            </w:r>
            <w:r/>
          </w:p>
          <w:p>
            <w:pPr>
              <w:pStyle w:val="810"/>
              <w:numPr>
                <w:ilvl w:val="0"/>
                <w:numId w:val="19"/>
              </w:numPr>
              <w:ind w:left="292" w:hanging="291"/>
              <w:jc w:val="left"/>
              <w:widowControl/>
            </w:pPr>
            <w:r>
              <w:t xml:space="preserve">灯具功率：见上述清单要求。考虑到产品通用性以及灯具功率标注差异性问题，灯具功率在上表要求的前提下允许正负10%偏差。</w:t>
            </w:r>
            <w:r/>
          </w:p>
          <w:p>
            <w:pPr>
              <w:pStyle w:val="810"/>
              <w:numPr>
                <w:ilvl w:val="0"/>
                <w:numId w:val="19"/>
              </w:numPr>
              <w:ind w:left="292" w:hanging="291"/>
              <w:jc w:val="left"/>
            </w:pPr>
            <w:r>
              <w:rPr>
                <w:rFonts w:ascii="Segoe UI Symbol" w:hAnsi="Segoe UI Symbol" w:cs="Segoe UI Symbol"/>
              </w:rPr>
              <w:t xml:space="preserve">★</w:t>
            </w:r>
            <w:r>
              <w:t xml:space="preserve">灯具光源：LED模组（LED模块）</w:t>
            </w:r>
            <w:r>
              <w:rPr>
                <w:b/>
                <w:bCs/>
                <w:color w:val="000000" w:themeColor="text1"/>
                <w14:textFill>
                  <w14:solidFill>
                    <w14:schemeClr w14:val="tx1"/>
                  </w14:solidFill>
                </w14:textFill>
              </w:rPr>
              <w:t xml:space="preserve">（</w:t>
            </w:r>
            <w:r>
              <w:rPr>
                <w:rFonts w:hint="eastAsia"/>
                <w:b/>
                <w:bCs/>
              </w:rPr>
              <w:t xml:space="preserve">投标时</w:t>
            </w:r>
            <w:r>
              <w:rPr>
                <w:rFonts w:hint="eastAsia"/>
                <w:b/>
                <w:bCs/>
                <w:color w:val="000000" w:themeColor="text1"/>
                <w14:textFill>
                  <w14:solidFill>
                    <w14:schemeClr w14:val="tx1"/>
                  </w14:solidFill>
                </w14:textFill>
              </w:rPr>
              <w:t xml:space="preserve">须</w:t>
            </w:r>
            <w:r>
              <w:rPr>
                <w:b/>
                <w:bCs/>
                <w:color w:val="000000" w:themeColor="text1"/>
                <w14:textFill>
                  <w14:solidFill>
                    <w14:schemeClr w14:val="tx1"/>
                  </w14:solidFill>
                </w14:textFill>
              </w:rPr>
              <w:t xml:space="preserve">提供产品原厂针对本项目的原厂授权书及质保承诺书扫描件并加盖原厂公章</w:t>
            </w:r>
            <w:r>
              <w:rPr>
                <w:rFonts w:hint="eastAsia"/>
                <w:b/>
                <w:bCs/>
                <w:color w:val="000000" w:themeColor="text1"/>
                <w14:textFill>
                  <w14:solidFill>
                    <w14:schemeClr w14:val="tx1"/>
                  </w14:solidFill>
                </w14:textFill>
              </w:rPr>
              <w:t xml:space="preserve">，</w:t>
            </w:r>
            <w:r>
              <w:rPr>
                <w:b/>
                <w:bCs/>
                <w:color w:val="000000" w:themeColor="text1"/>
                <w14:textFill>
                  <w14:solidFill>
                    <w14:schemeClr w14:val="tx1"/>
                  </w14:solidFill>
                </w14:textFill>
              </w:rPr>
              <w:t xml:space="preserve">所投产品技术参数证明材料与原厂授权书品牌须保持一致）</w:t>
            </w:r>
            <w:r>
              <w:t xml:space="preserve">。</w:t>
            </w:r>
            <w:r/>
          </w:p>
          <w:p>
            <w:pPr>
              <w:pStyle w:val="810"/>
              <w:numPr>
                <w:ilvl w:val="0"/>
                <w:numId w:val="19"/>
              </w:numPr>
              <w:ind w:left="292" w:hanging="291"/>
              <w:jc w:val="left"/>
              <w:rPr>
                <w:b/>
                <w:bCs/>
                <w:highlight w:val="none"/>
              </w:rPr>
            </w:pPr>
            <w:r>
              <w:rPr>
                <w:rFonts w:ascii="Segoe UI Symbol" w:hAnsi="Segoe UI Symbol" w:cs="Segoe UI Symbol"/>
              </w:rPr>
              <w:t xml:space="preserve">★</w:t>
            </w:r>
            <w:r>
              <w:t xml:space="preserve">光学性能：同一型号LED模组（LED模块）需满足色温4000K±100K，显色指数＞70，色容差＜4，光效＞160lm/W</w:t>
            </w:r>
            <w:r>
              <w:rPr>
                <w:b/>
                <w:bCs/>
              </w:rPr>
              <w:t xml:space="preserve">（</w:t>
            </w:r>
            <w:r>
              <w:rPr>
                <w:rFonts w:hint="eastAsia"/>
                <w:b/>
                <w:bCs/>
              </w:rPr>
              <w:t xml:space="preserve">投标时</w:t>
            </w:r>
            <w:r>
              <w:rPr>
                <w:rFonts w:hint="eastAsia"/>
                <w:b/>
                <w:bCs/>
                <w:color w:val="000000" w:themeColor="text1"/>
                <w14:textFill>
                  <w14:solidFill>
                    <w14:schemeClr w14:val="tx1"/>
                  </w14:solidFill>
                </w14:textFill>
              </w:rPr>
              <w:t xml:space="preserve">须</w:t>
            </w:r>
            <w:r>
              <w:rPr>
                <w:b/>
                <w:bCs/>
              </w:rPr>
              <w:t xml:space="preserve">提供国家灯具质量检验检测中心或国家电光源质量监督检验中心出具的检测报告扫描</w:t>
            </w:r>
            <w:r>
              <w:rPr>
                <w:b/>
                <w:bCs/>
                <w:highlight w:val="none"/>
              </w:rPr>
              <w:t xml:space="preserve">件并加盖原厂公章）。</w:t>
            </w:r>
            <w:r/>
          </w:p>
          <w:p>
            <w:pPr>
              <w:pStyle w:val="810"/>
              <w:numPr>
                <w:ilvl w:val="0"/>
                <w:numId w:val="19"/>
              </w:numPr>
              <w:ind w:left="292" w:hanging="291"/>
              <w:jc w:val="left"/>
              <w:rPr>
                <w:b/>
                <w:bCs/>
              </w:rPr>
            </w:pPr>
            <w:r>
              <w:rPr>
                <w:rFonts w:ascii="Segoe UI Symbol" w:hAnsi="Segoe UI Symbol" w:cs="Segoe UI Symbol"/>
              </w:rPr>
              <w:t xml:space="preserve">★</w:t>
            </w:r>
            <w:r>
              <w:t xml:space="preserve">盐雾测试：LED模组（LED模块）通过GB/T 2423.17-2008测试标准的盐雾试验，测试时间≥1000小时，且测试后的LED模组（LED模块）的光通量维持率≥90%，色漂移≤0.01，光效＞160lm/W</w:t>
            </w:r>
            <w:r>
              <w:rPr>
                <w:b/>
                <w:bCs/>
              </w:rPr>
              <w:t xml:space="preserve">（</w:t>
            </w:r>
            <w:r>
              <w:rPr>
                <w:rFonts w:hint="eastAsia"/>
                <w:b/>
                <w:bCs/>
              </w:rPr>
              <w:t xml:space="preserve">投标时</w:t>
            </w:r>
            <w:r>
              <w:rPr>
                <w:rFonts w:hint="eastAsia"/>
                <w:b/>
                <w:bCs/>
                <w:color w:val="000000" w:themeColor="text1"/>
                <w14:textFill>
                  <w14:solidFill>
                    <w14:schemeClr w14:val="tx1"/>
                  </w14:solidFill>
                </w14:textFill>
              </w:rPr>
              <w:t xml:space="preserve">须</w:t>
            </w:r>
            <w:r>
              <w:rPr>
                <w:b/>
                <w:bCs/>
              </w:rPr>
              <w:t xml:space="preserve">提供国家灯具质量检验检测中心或国家电光源质量监督检验中心出具的检测报告扫描件并加盖原厂公章）。</w:t>
            </w:r>
            <w:r/>
          </w:p>
          <w:p>
            <w:pPr>
              <w:pStyle w:val="810"/>
              <w:numPr>
                <w:ilvl w:val="0"/>
                <w:numId w:val="19"/>
              </w:numPr>
              <w:ind w:left="292" w:hanging="291"/>
              <w:jc w:val="left"/>
              <w:rPr>
                <w:b/>
                <w:bCs/>
              </w:rPr>
            </w:pPr>
            <w:r>
              <w:rPr>
                <w:rFonts w:ascii="Segoe UI Symbol" w:hAnsi="Segoe UI Symbol" w:cs="Segoe UI Symbol"/>
              </w:rPr>
              <w:t xml:space="preserve">★</w:t>
            </w:r>
            <w:r>
              <w:t xml:space="preserve">LED模组（LED模块）符合测试标准GB/T 35269-2017对LED模组（LED模块）尺寸和电子连接器配合端尺寸要求</w:t>
            </w:r>
            <w:r>
              <w:rPr>
                <w:b/>
                <w:bCs/>
              </w:rPr>
              <w:t xml:space="preserve">（</w:t>
            </w:r>
            <w:r>
              <w:rPr>
                <w:rFonts w:hint="eastAsia"/>
                <w:b/>
                <w:bCs/>
              </w:rPr>
              <w:t xml:space="preserve">投标时</w:t>
            </w:r>
            <w:r>
              <w:rPr>
                <w:rFonts w:hint="eastAsia"/>
                <w:b/>
                <w:bCs/>
                <w:color w:val="000000" w:themeColor="text1"/>
                <w14:textFill>
                  <w14:solidFill>
                    <w14:schemeClr w14:val="tx1"/>
                  </w14:solidFill>
                </w14:textFill>
              </w:rPr>
              <w:t xml:space="preserve">须</w:t>
            </w:r>
            <w:r>
              <w:rPr>
                <w:b/>
                <w:bCs/>
              </w:rPr>
              <w:t xml:space="preserve">提供国家灯具质量监督检验中心或国家电光源质量监督检验中心出具的检测报告扫描件并加盖原厂公章）。</w:t>
            </w:r>
            <w:r/>
          </w:p>
          <w:p>
            <w:pPr>
              <w:pStyle w:val="810"/>
              <w:numPr>
                <w:ilvl w:val="0"/>
                <w:numId w:val="19"/>
              </w:numPr>
              <w:ind w:left="292" w:hanging="291"/>
              <w:jc w:val="left"/>
            </w:pPr>
            <w:r>
              <w:rPr>
                <w:rFonts w:ascii="Segoe UI Symbol" w:hAnsi="Segoe UI Symbol" w:cs="Segoe UI Symbol"/>
              </w:rPr>
              <w:t xml:space="preserve">★</w:t>
            </w:r>
            <w:r>
              <w:t xml:space="preserve">LED模组（LED模块）通过（GB 19510.1-2009、GB 24819-2009、GB 7000.1-2015）IP等级（IP68，水深3米）与气密性试验，经过1000小时测试后，LED模块内部无水进入，同时电气强度试验500V无闪络或击穿</w:t>
            </w:r>
            <w:r>
              <w:rPr>
                <w:b/>
                <w:bCs/>
              </w:rPr>
              <w:t xml:space="preserve">（</w:t>
            </w:r>
            <w:r>
              <w:rPr>
                <w:rFonts w:hint="eastAsia"/>
                <w:b/>
                <w:bCs/>
              </w:rPr>
              <w:t xml:space="preserve">投标时</w:t>
            </w:r>
            <w:r>
              <w:rPr>
                <w:rFonts w:hint="eastAsia"/>
                <w:b/>
                <w:bCs/>
                <w:color w:val="000000" w:themeColor="text1"/>
                <w14:textFill>
                  <w14:solidFill>
                    <w14:schemeClr w14:val="tx1"/>
                  </w14:solidFill>
                </w14:textFill>
              </w:rPr>
              <w:t xml:space="preserve">须</w:t>
            </w:r>
            <w:r>
              <w:rPr>
                <w:b/>
                <w:bCs/>
              </w:rPr>
              <w:t xml:space="preserve">提供国家灯具质量检验检测中心或国家电光源质量监督检验中心出具的检测报告扫描件并加盖原厂公章）</w:t>
            </w:r>
            <w:r>
              <w:t xml:space="preserve">。</w:t>
            </w:r>
            <w:r/>
          </w:p>
          <w:p>
            <w:pPr>
              <w:pStyle w:val="810"/>
              <w:numPr>
                <w:ilvl w:val="0"/>
                <w:numId w:val="19"/>
              </w:numPr>
              <w:ind w:left="292" w:hanging="291"/>
              <w:jc w:val="left"/>
            </w:pPr>
            <w:r>
              <w:rPr>
                <w:rFonts w:ascii="Segoe UI Symbol" w:hAnsi="Segoe UI Symbol" w:cs="Segoe UI Symbol"/>
              </w:rPr>
              <w:t xml:space="preserve">★</w:t>
            </w:r>
            <w:r>
              <w:t xml:space="preserve">耐湿性：LED模组（LED模块）通过GB/T 13893-2008的耐湿性（连续冷凝法）试验，测试时间≥1000小时，且测试后的LED模组（LED模块）漆膜不起泡、不生锈、不开裂、不剥落</w:t>
            </w:r>
            <w:r>
              <w:rPr>
                <w:b/>
                <w:bCs/>
              </w:rPr>
              <w:t xml:space="preserve">（</w:t>
            </w:r>
            <w:r>
              <w:rPr>
                <w:rFonts w:hint="eastAsia"/>
                <w:b/>
                <w:bCs/>
              </w:rPr>
              <w:t xml:space="preserve">投标时须</w:t>
            </w:r>
            <w:r>
              <w:rPr>
                <w:b/>
                <w:bCs/>
              </w:rPr>
              <w:t xml:space="preserve">提供国家建筑材料及装饰装修材料质量检验检测中心检测报告扫描件并加盖原厂公章）</w:t>
            </w:r>
            <w:r>
              <w:t xml:space="preserve">。</w:t>
            </w:r>
            <w:r/>
          </w:p>
          <w:p>
            <w:pPr>
              <w:pStyle w:val="810"/>
              <w:numPr>
                <w:ilvl w:val="0"/>
                <w:numId w:val="19"/>
              </w:numPr>
              <w:ind w:left="292" w:hanging="291"/>
              <w:jc w:val="left"/>
            </w:pPr>
            <w:r>
              <w:rPr>
                <w:rFonts w:ascii="Segoe UI Symbol" w:hAnsi="Segoe UI Symbol" w:cs="Segoe UI Symbol"/>
              </w:rPr>
              <w:t xml:space="preserve">★</w:t>
            </w:r>
            <w:r>
              <w:t xml:space="preserve">LED模组（LED模块）按照标准GB/T 16422.2-2022、GB/T 2423.37-2006、GB 7000.1-2015、GB/T9468-2008、GB/T 24827-2015、GB/T 4208-2017、CJJ 45-2015.IES LM-79-19，获得配光、防护性能分级认证整体星级六星级证书</w:t>
            </w:r>
            <w:r>
              <w:rPr>
                <w:b/>
                <w:bCs/>
              </w:rPr>
              <w:t xml:space="preserve">（</w:t>
            </w:r>
            <w:r>
              <w:rPr>
                <w:rFonts w:hint="eastAsia"/>
                <w:b/>
                <w:bCs/>
              </w:rPr>
              <w:t xml:space="preserve">投标时须</w:t>
            </w:r>
            <w:r>
              <w:rPr>
                <w:b/>
                <w:bCs/>
              </w:rPr>
              <w:t xml:space="preserve">提供相关资料扫描件并加盖原厂公章）</w:t>
            </w:r>
            <w:r>
              <w:t xml:space="preserve">。</w:t>
            </w:r>
            <w:r/>
          </w:p>
          <w:p>
            <w:pPr>
              <w:pStyle w:val="810"/>
              <w:numPr>
                <w:ilvl w:val="0"/>
                <w:numId w:val="19"/>
              </w:numPr>
              <w:ind w:left="292" w:hanging="291"/>
              <w:jc w:val="left"/>
              <w:widowControl/>
            </w:pPr>
            <w:r>
              <w:t xml:space="preserve">驱动电源（0-10V电压调光）满足输出稳定的要求，具有防止过电压、过电流、过热、反向电压等综合自保护措施。</w:t>
            </w:r>
            <w:r/>
          </w:p>
          <w:p>
            <w:pPr>
              <w:pStyle w:val="810"/>
              <w:numPr>
                <w:ilvl w:val="0"/>
                <w:numId w:val="19"/>
              </w:numPr>
              <w:ind w:left="292" w:hanging="291"/>
              <w:jc w:val="left"/>
              <w:widowControl/>
            </w:pPr>
            <w:r>
              <w:t xml:space="preserve">采用内部接线形式，内部导线要求采用耐高温导线。</w:t>
            </w:r>
            <w:r/>
          </w:p>
          <w:p>
            <w:pPr>
              <w:pStyle w:val="810"/>
              <w:numPr>
                <w:ilvl w:val="0"/>
                <w:numId w:val="19"/>
              </w:numPr>
              <w:ind w:left="292" w:hanging="291"/>
              <w:jc w:val="left"/>
              <w:widowControl/>
            </w:pPr>
            <w:r>
              <w:t xml:space="preserve">灯具技术参数实际测量值与标称值误差率应小于±5%。</w:t>
            </w:r>
            <w:r/>
          </w:p>
        </w:tc>
        <w:tc>
          <w:tcPr>
            <w:shd w:val="clear" w:color="auto" w:fill="auto"/>
            <w:tcW w:w="682" w:type="dxa"/>
            <w:vAlign w:val="center"/>
            <w:textDirection w:val="lrTb"/>
            <w:noWrap/>
          </w:tcPr>
          <w:p>
            <w:pPr>
              <w:jc w:val="center"/>
              <w:widowControl/>
            </w:pPr>
            <w:r/>
            <w:r/>
          </w:p>
        </w:tc>
        <w:tc>
          <w:tcPr>
            <w:shd w:val="clear" w:color="auto" w:fill="auto"/>
            <w:tcW w:w="900" w:type="dxa"/>
            <w:vAlign w:val="center"/>
            <w:textDirection w:val="lrTb"/>
            <w:noWrap/>
          </w:tcPr>
          <w:p>
            <w:pPr>
              <w:jc w:val="center"/>
              <w:widowControl/>
            </w:pPr>
            <w:r/>
            <w:r/>
          </w:p>
        </w:tc>
      </w:tr>
      <w:tr>
        <w:trPr>
          <w:trHeight w:val="270"/>
        </w:trPr>
        <w:tc>
          <w:tcPr>
            <w:gridSpan w:val="6"/>
            <w:shd w:val="clear" w:color="auto" w:fill="auto"/>
            <w:tcW w:w="9495" w:type="dxa"/>
            <w:vAlign w:val="center"/>
            <w:textDirection w:val="lrTb"/>
            <w:noWrap/>
          </w:tcPr>
          <w:p>
            <w:pPr>
              <w:jc w:val="left"/>
              <w:widowControl/>
              <w:rPr>
                <w:b/>
                <w:bCs/>
              </w:rPr>
            </w:pPr>
            <w:r>
              <w:rPr>
                <w:b/>
                <w:bCs/>
              </w:rPr>
              <w:t xml:space="preserve">二、智能化平台设备</w:t>
            </w:r>
            <w:r/>
          </w:p>
        </w:tc>
      </w:tr>
      <w:tr>
        <w:trPr>
          <w:gridAfter w:val="1"/>
          <w:trHeight w:val="270"/>
        </w:trPr>
        <w:tc>
          <w:tcPr>
            <w:shd w:val="clear" w:color="auto" w:fill="auto"/>
            <w:tcW w:w="704" w:type="dxa"/>
            <w:vAlign w:val="center"/>
            <w:textDirection w:val="lrTb"/>
            <w:noWrap/>
          </w:tcPr>
          <w:p>
            <w:pPr>
              <w:jc w:val="center"/>
              <w:widowControl/>
            </w:pPr>
            <w:r>
              <w:t xml:space="preserve">1</w:t>
            </w:r>
            <w:r/>
          </w:p>
        </w:tc>
        <w:tc>
          <w:tcPr>
            <w:shd w:val="clear" w:color="auto" w:fill="auto"/>
            <w:tcW w:w="1275" w:type="dxa"/>
            <w:vAlign w:val="center"/>
            <w:textDirection w:val="lrTb"/>
            <w:noWrap/>
          </w:tcPr>
          <w:p>
            <w:pPr>
              <w:jc w:val="center"/>
              <w:widowControl/>
            </w:pPr>
            <w:r>
              <w:t xml:space="preserve">AI单</w:t>
            </w:r>
            <w:r>
              <w:rPr>
                <w:rFonts w:hint="eastAsia"/>
              </w:rPr>
              <w:t xml:space="preserve">灯传感控制系统</w:t>
            </w:r>
            <w:r/>
          </w:p>
        </w:tc>
        <w:tc>
          <w:tcPr>
            <w:shd w:val="clear" w:color="auto" w:fill="auto"/>
            <w:tcW w:w="5926" w:type="dxa"/>
            <w:vAlign w:val="center"/>
            <w:textDirection w:val="lrTb"/>
            <w:noWrap/>
          </w:tcPr>
          <w:p>
            <w:pPr>
              <w:pStyle w:val="810"/>
              <w:numPr>
                <w:ilvl w:val="0"/>
                <w:numId w:val="20"/>
              </w:numPr>
              <w:ind w:left="292" w:hanging="291"/>
            </w:pPr>
            <w:r>
              <w:t xml:space="preserve">控制系统采用双模网络架构。单灯</w:t>
            </w:r>
            <w:r>
              <w:rPr>
                <w:rFonts w:hint="eastAsia"/>
              </w:rPr>
              <w:t xml:space="preserve">传感控制系统</w:t>
            </w:r>
            <w:r>
              <w:t xml:space="preserve">可以通过“4G-Cat1通信方式”和“微功率无线”方式与云服务器通信。</w:t>
            </w:r>
            <w:r/>
          </w:p>
          <w:p>
            <w:pPr>
              <w:pStyle w:val="810"/>
              <w:numPr>
                <w:ilvl w:val="0"/>
                <w:numId w:val="20"/>
              </w:numPr>
              <w:ind w:left="292" w:hanging="291"/>
            </w:pPr>
            <w:r>
              <w:t xml:space="preserve">微功率无线通信技术指标（无线电发射功率，频谱特性等），需符合《中华人民共和国工业和信息化部公告（2019年第52号）》中，关于微功率无线电发射设备的技术规范及要求。</w:t>
            </w:r>
            <w:r/>
          </w:p>
          <w:p>
            <w:pPr>
              <w:pStyle w:val="810"/>
              <w:numPr>
                <w:ilvl w:val="0"/>
                <w:numId w:val="20"/>
              </w:numPr>
              <w:ind w:left="292" w:hanging="291"/>
            </w:pPr>
            <w:r>
              <w:t xml:space="preserve">单灯</w:t>
            </w:r>
            <w:r>
              <w:rPr>
                <w:rFonts w:hint="eastAsia"/>
              </w:rPr>
              <w:t xml:space="preserve">传感控制系统</w:t>
            </w:r>
            <w:r>
              <w:t xml:space="preserve">无线通信天线（4G-Cat1/射频微功率）应为设备内置集成，减小现场安装工作量，同时提升后期使用稳定性。</w:t>
            </w:r>
            <w:r/>
          </w:p>
          <w:p>
            <w:pPr>
              <w:pStyle w:val="810"/>
              <w:numPr>
                <w:ilvl w:val="0"/>
                <w:numId w:val="20"/>
              </w:numPr>
              <w:ind w:left="292" w:hanging="291"/>
            </w:pPr>
            <w:r>
              <w:t xml:space="preserve">单灯</w:t>
            </w:r>
            <w:r>
              <w:rPr>
                <w:rFonts w:hint="eastAsia"/>
              </w:rPr>
              <w:t xml:space="preserve">传感控制系统</w:t>
            </w:r>
            <w:r>
              <w:t xml:space="preserve">支持国际通用的0-10V调光接口，配合路灯驱动电源可在灯具额定功率的10%-100%之间无级调整灯具功率。</w:t>
            </w:r>
            <w:r/>
          </w:p>
          <w:p>
            <w:pPr>
              <w:pStyle w:val="810"/>
              <w:numPr>
                <w:ilvl w:val="0"/>
                <w:numId w:val="20"/>
              </w:numPr>
              <w:ind w:left="292" w:hanging="291"/>
            </w:pPr>
            <w:r>
              <w:t xml:space="preserve">单灯</w:t>
            </w:r>
            <w:r>
              <w:rPr>
                <w:rFonts w:hint="eastAsia"/>
              </w:rPr>
              <w:t xml:space="preserve">传感控制系统</w:t>
            </w:r>
            <w:r>
              <w:t xml:space="preserve">具有数据采集功能，需集成独立的数字式电能采集模块。可实时采集灯具运行状态信息：电压、电流、功率、功率因数等参数。电压遥测相对精度±1VAC，电流遥测相对精度±0.1A。</w:t>
            </w:r>
            <w:r/>
          </w:p>
          <w:p>
            <w:pPr>
              <w:pStyle w:val="810"/>
              <w:numPr>
                <w:ilvl w:val="0"/>
                <w:numId w:val="20"/>
              </w:numPr>
              <w:ind w:left="292" w:hanging="291"/>
            </w:pPr>
            <w:r>
              <w:rPr>
                <w:rFonts w:ascii="Segoe UI Symbol" w:hAnsi="Segoe UI Symbol" w:cs="Segoe UI Symbol"/>
                <w:szCs w:val="21"/>
              </w:rPr>
              <w:t xml:space="preserve">★</w:t>
            </w:r>
            <w:r>
              <w:rPr>
                <w:rFonts w:hint="eastAsia"/>
              </w:rPr>
              <w:t xml:space="preserve">单灯传感控制系统</w:t>
            </w:r>
            <w:r>
              <w:t xml:space="preserve">内集成可更换的过流保护器件，确保用电安全；此过流保护器件需做到方便可更换，即如发过流熔断，可在不拆解控制器主体的情况下完成更换，以提升后期维护的便利性。</w:t>
            </w:r>
            <w:r/>
          </w:p>
          <w:p>
            <w:pPr>
              <w:pStyle w:val="810"/>
              <w:numPr>
                <w:ilvl w:val="0"/>
                <w:numId w:val="20"/>
              </w:numPr>
              <w:ind w:left="292" w:hanging="291"/>
            </w:pPr>
            <w:r>
              <w:t xml:space="preserve">单灯</w:t>
            </w:r>
            <w:r>
              <w:rPr>
                <w:rFonts w:hint="eastAsia"/>
              </w:rPr>
              <w:t xml:space="preserve">传感控制系统</w:t>
            </w:r>
            <w:r>
              <w:t xml:space="preserve">输入电压范围90~380VAC，在线路高低压故障的工况下可持续稳定工作，并及时报警。</w:t>
            </w:r>
            <w:r/>
          </w:p>
          <w:p>
            <w:pPr>
              <w:pStyle w:val="810"/>
              <w:numPr>
                <w:ilvl w:val="0"/>
                <w:numId w:val="20"/>
              </w:numPr>
              <w:ind w:left="292" w:hanging="291"/>
            </w:pPr>
            <w:r>
              <w:rPr>
                <w:rFonts w:ascii="Segoe UI Symbol" w:hAnsi="Segoe UI Symbol" w:cs="Segoe UI Symbol"/>
                <w:szCs w:val="21"/>
              </w:rPr>
              <w:t xml:space="preserve">★</w:t>
            </w:r>
            <w:r>
              <w:t xml:space="preserve">单灯</w:t>
            </w:r>
            <w:r>
              <w:rPr>
                <w:rFonts w:hint="eastAsia"/>
              </w:rPr>
              <w:t xml:space="preserve">传感控制系统</w:t>
            </w:r>
            <w:r>
              <w:t xml:space="preserve">需具备直观可视的工作状态指示灯，维修人员在不拆卸灯具及控制器的条件下，可以通过指示灯察看和判断控制器基本运行状态，以提高现场巡查和维修的便利性。</w:t>
            </w:r>
            <w:r/>
          </w:p>
          <w:p>
            <w:pPr>
              <w:pStyle w:val="810"/>
              <w:numPr>
                <w:ilvl w:val="0"/>
                <w:numId w:val="20"/>
              </w:numPr>
              <w:ind w:left="292" w:hanging="291"/>
            </w:pPr>
            <w:r>
              <w:rPr>
                <w:rFonts w:ascii="Segoe UI Symbol" w:hAnsi="Segoe UI Symbol" w:cs="Segoe UI Symbol"/>
                <w:szCs w:val="21"/>
              </w:rPr>
              <w:t xml:space="preserve">★</w:t>
            </w:r>
            <w:r>
              <w:t xml:space="preserve">单灯</w:t>
            </w:r>
            <w:r>
              <w:rPr>
                <w:rFonts w:hint="eastAsia"/>
              </w:rPr>
              <w:t xml:space="preserve">传感控制系统</w:t>
            </w:r>
            <w:r>
              <w:t xml:space="preserve">需具备现场无线调试接口，同时单灯控制器供应方可提供用于现场调试使用的无线手持设备，以方便维修维护人员通过无线方式对单灯控制器实施现场调试及检修。为保证现场维修维护人员使用的便利性和灵活性，现场无线可调试距离应不小于100米。</w:t>
            </w:r>
            <w:r/>
          </w:p>
          <w:p>
            <w:pPr>
              <w:pStyle w:val="810"/>
              <w:numPr>
                <w:ilvl w:val="0"/>
                <w:numId w:val="20"/>
              </w:numPr>
              <w:ind w:left="292" w:hanging="291"/>
            </w:pPr>
            <w:r>
              <w:rPr>
                <w:rFonts w:ascii="Segoe UI Symbol" w:hAnsi="Segoe UI Symbol" w:cs="Segoe UI Symbol"/>
                <w:szCs w:val="21"/>
              </w:rPr>
              <w:t xml:space="preserve">★</w:t>
            </w:r>
            <w:r>
              <w:t xml:space="preserve">单灯</w:t>
            </w:r>
            <w:r>
              <w:rPr>
                <w:rFonts w:hint="eastAsia"/>
              </w:rPr>
              <w:t xml:space="preserve">传感控制系统</w:t>
            </w:r>
            <w:r>
              <w:t xml:space="preserve">集成“动态视觉传感器（摄像头）”，可以实时检测路面运动车辆及行人（可按需检测，即通过算法参数设置，过滤不需要检测的移动目标或其他干扰目标，以避免灯具“误触发”点亮）。车辆行驶速度80km/h情况下，可以有效识别车辆及其行驶方向；在灯杆高度为8~12米的情况下，传感范围可以有效覆盖2~4个标准车行道宽度。</w:t>
            </w:r>
            <w:r/>
          </w:p>
          <w:p>
            <w:pPr>
              <w:pStyle w:val="810"/>
              <w:numPr>
                <w:ilvl w:val="0"/>
                <w:numId w:val="20"/>
              </w:numPr>
              <w:ind w:left="292" w:hanging="291"/>
            </w:pPr>
            <w:r>
              <w:rPr>
                <w:rFonts w:ascii="Segoe UI Symbol" w:hAnsi="Segoe UI Symbol" w:cs="Segoe UI Symbol"/>
                <w:szCs w:val="21"/>
              </w:rPr>
              <w:t xml:space="preserve">★</w:t>
            </w:r>
            <w:r>
              <w:t xml:space="preserve">单灯</w:t>
            </w:r>
            <w:r>
              <w:rPr>
                <w:rFonts w:hint="eastAsia"/>
              </w:rPr>
              <w:t xml:space="preserve">传感控制系统</w:t>
            </w:r>
            <w:r>
              <w:t xml:space="preserve">在有效识别车辆及行人的基础上，在车辆进入“传感亮灯”区域后，可实现按照行进方向提前亮灯（由暗调亮），提前亮灯盏数不少于10盏，以满足驾驶员观察远方路况需要；传感识别及提前预亮灯的实时性，要在1秒之内，以保证“预亮灯”的及时有效。</w:t>
            </w:r>
            <w:r/>
          </w:p>
          <w:p>
            <w:pPr>
              <w:pStyle w:val="810"/>
              <w:numPr>
                <w:ilvl w:val="0"/>
                <w:numId w:val="20"/>
              </w:numPr>
              <w:ind w:left="292" w:hanging="291"/>
            </w:pPr>
            <w:r>
              <w:rPr>
                <w:rFonts w:ascii="Segoe UI Symbol" w:hAnsi="Segoe UI Symbol" w:cs="Segoe UI Symbol"/>
                <w:szCs w:val="21"/>
              </w:rPr>
              <w:t xml:space="preserve">★</w:t>
            </w:r>
            <w:r>
              <w:t xml:space="preserve">单灯</w:t>
            </w:r>
            <w:r>
              <w:rPr>
                <w:rFonts w:hint="eastAsia"/>
              </w:rPr>
              <w:t xml:space="preserve">传感控制系统</w:t>
            </w:r>
            <w:r>
              <w:t xml:space="preserve">可以有效判断移动目标方向，并可以通过软件，远程灵活设置基于行进方向的亮灯模式，以满足不同道路、不同灯杆布局的需求。例如，可以设置“单向触发亮灯”、“双向触发亮灯”、“路口各方向联动亮灯”等。</w:t>
            </w:r>
            <w:r/>
          </w:p>
          <w:p>
            <w:pPr>
              <w:pStyle w:val="810"/>
              <w:numPr>
                <w:ilvl w:val="0"/>
                <w:numId w:val="20"/>
              </w:numPr>
              <w:ind w:left="292" w:hanging="291"/>
            </w:pPr>
            <w:r>
              <w:rPr>
                <w:rFonts w:ascii="Segoe UI Symbol" w:hAnsi="Segoe UI Symbol" w:cs="Segoe UI Symbol"/>
                <w:szCs w:val="21"/>
              </w:rPr>
              <w:t xml:space="preserve">★</w:t>
            </w:r>
            <w:r>
              <w:t xml:space="preserve">单灯</w:t>
            </w:r>
            <w:r>
              <w:rPr>
                <w:rFonts w:hint="eastAsia"/>
              </w:rPr>
              <w:t xml:space="preserve">传感控制系统</w:t>
            </w:r>
            <w:r>
              <w:t xml:space="preserve">内可预设存储预亮灯盏数及传感亮灯时长，并可以通过远程管理软件灵活设置和修改，以适应不同道路场景。</w:t>
            </w:r>
            <w:r/>
          </w:p>
          <w:p>
            <w:pPr>
              <w:pStyle w:val="810"/>
              <w:numPr>
                <w:ilvl w:val="0"/>
                <w:numId w:val="20"/>
              </w:numPr>
              <w:ind w:left="292" w:hanging="291"/>
            </w:pPr>
            <w:r>
              <w:t xml:space="preserve">“传感亮灯”系统应为“免布线”设计，即在灯具以外无需加装其他传感及控制设备，无需布线。</w:t>
            </w:r>
            <w:r/>
          </w:p>
          <w:p>
            <w:pPr>
              <w:pStyle w:val="810"/>
              <w:numPr>
                <w:ilvl w:val="0"/>
                <w:numId w:val="20"/>
              </w:numPr>
              <w:ind w:left="292" w:hanging="291"/>
            </w:pPr>
            <w:r>
              <w:rPr>
                <w:rFonts w:ascii="Segoe UI Symbol" w:hAnsi="Segoe UI Symbol" w:cs="Segoe UI Symbol"/>
                <w:szCs w:val="21"/>
              </w:rPr>
              <w:t xml:space="preserve">★</w:t>
            </w:r>
            <w:r>
              <w:t xml:space="preserve">单灯</w:t>
            </w:r>
            <w:r>
              <w:rPr>
                <w:rFonts w:hint="eastAsia"/>
              </w:rPr>
              <w:t xml:space="preserve">传感控制系统</w:t>
            </w:r>
            <w:r>
              <w:t xml:space="preserve">支持定时上报所在路段的车流量信息，例如“每五分钟的通行车辆数量”。</w:t>
            </w:r>
            <w:r/>
          </w:p>
          <w:p>
            <w:pPr>
              <w:pStyle w:val="810"/>
              <w:numPr>
                <w:ilvl w:val="0"/>
                <w:numId w:val="20"/>
              </w:numPr>
              <w:ind w:left="292" w:hanging="291"/>
              <w:jc w:val="left"/>
              <w:widowControl/>
            </w:pPr>
            <w:r>
              <w:t xml:space="preserve">单灯</w:t>
            </w:r>
            <w:r>
              <w:rPr>
                <w:rFonts w:hint="eastAsia"/>
              </w:rPr>
              <w:t xml:space="preserve">传感控制系统</w:t>
            </w:r>
            <w:r>
              <w:t xml:space="preserve">具备“路面亮度”传感功能，可根据路面亮度变化实现灯具的自动开启和关闭（单灯控制器需常供电）。</w:t>
            </w:r>
            <w:r/>
          </w:p>
          <w:p>
            <w:pPr>
              <w:pStyle w:val="810"/>
              <w:numPr>
                <w:ilvl w:val="0"/>
                <w:numId w:val="0"/>
              </w:numPr>
              <w:jc w:val="left"/>
              <w:widowControl/>
              <w:rPr>
                <w:highlight w:val="none"/>
              </w:rPr>
            </w:pPr>
            <w:r>
              <w:rPr>
                <w:rFonts w:hint="eastAsia"/>
                <w:b/>
                <w:bCs/>
                <w:color w:val="ff0000"/>
                <w:highlight w:val="none"/>
                <w:lang w:val="en-US" w:eastAsia="zh-CN"/>
              </w:rPr>
              <w:t xml:space="preserve">注：AI单灯传感控制系统中的</w:t>
            </w:r>
            <w:r>
              <w:rPr>
                <w:rFonts w:ascii="Segoe UI Symbol" w:hAnsi="Segoe UI Symbol" w:cs="Segoe UI Symbol"/>
                <w:color w:val="ff0000"/>
                <w:szCs w:val="21"/>
                <w:highlight w:val="none"/>
              </w:rPr>
              <w:t xml:space="preserve">★</w:t>
            </w:r>
            <w:r>
              <w:rPr>
                <w:rFonts w:hint="eastAsia"/>
                <w:b/>
                <w:bCs/>
                <w:color w:val="ff0000"/>
                <w:highlight w:val="none"/>
                <w:lang w:val="en-US" w:eastAsia="zh-CN"/>
              </w:rPr>
              <w:t xml:space="preserve">项为演示单项，有一项未体现或体现不全的视为负偏离。演示方式：上传视频演示。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pStyle w:val="810"/>
              <w:numPr>
                <w:ilvl w:val="0"/>
                <w:numId w:val="0"/>
              </w:numPr>
              <w:jc w:val="left"/>
              <w:widowControl/>
            </w:pPr>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170</w:t>
            </w:r>
            <w:r/>
          </w:p>
        </w:tc>
      </w:tr>
      <w:tr>
        <w:trPr>
          <w:gridAfter w:val="1"/>
          <w:trHeight w:val="270"/>
        </w:trPr>
        <w:tc>
          <w:tcPr>
            <w:shd w:val="clear" w:color="auto" w:fill="auto"/>
            <w:tcW w:w="704" w:type="dxa"/>
            <w:vAlign w:val="center"/>
            <w:textDirection w:val="lrTb"/>
            <w:noWrap/>
          </w:tcPr>
          <w:p>
            <w:pPr>
              <w:jc w:val="center"/>
              <w:widowControl/>
            </w:pPr>
            <w:r>
              <w:t xml:space="preserve">2</w:t>
            </w:r>
            <w:r/>
          </w:p>
        </w:tc>
        <w:tc>
          <w:tcPr>
            <w:shd w:val="clear" w:color="auto" w:fill="auto"/>
            <w:tcW w:w="1275" w:type="dxa"/>
            <w:vAlign w:val="center"/>
            <w:textDirection w:val="lrTb"/>
            <w:noWrap/>
          </w:tcPr>
          <w:p>
            <w:pPr>
              <w:jc w:val="center"/>
              <w:widowControl/>
            </w:pPr>
            <w:r>
              <w:t xml:space="preserve">远程监控终端设备</w:t>
            </w:r>
            <w:r/>
          </w:p>
        </w:tc>
        <w:tc>
          <w:tcPr>
            <w:shd w:val="clear" w:color="auto" w:fill="auto"/>
            <w:tcW w:w="5926" w:type="dxa"/>
            <w:vAlign w:val="center"/>
            <w:textDirection w:val="lrTb"/>
            <w:noWrap/>
          </w:tcPr>
          <w:p>
            <w:pPr>
              <w:numPr>
                <w:ilvl w:val="0"/>
                <w:numId w:val="21"/>
              </w:numPr>
              <w:ind w:left="292" w:hanging="291"/>
              <w:jc w:val="left"/>
              <w:widowControl/>
            </w:pPr>
            <w:r>
              <w:t xml:space="preserve">远程监控终端设备可实现回路实时开关控制、定时策略开关等功能。</w:t>
            </w:r>
            <w:r/>
          </w:p>
          <w:p>
            <w:pPr>
              <w:numPr>
                <w:ilvl w:val="0"/>
                <w:numId w:val="21"/>
              </w:numPr>
              <w:ind w:left="292" w:hanging="291"/>
              <w:jc w:val="left"/>
              <w:widowControl/>
            </w:pPr>
            <w:r>
              <w:t xml:space="preserve">支持按照日期，星期，节假日等模式，全年自动管理开关灯时间。</w:t>
            </w:r>
            <w:r/>
          </w:p>
          <w:p>
            <w:pPr>
              <w:numPr>
                <w:ilvl w:val="0"/>
                <w:numId w:val="21"/>
              </w:numPr>
              <w:ind w:left="292" w:hanging="291"/>
              <w:jc w:val="left"/>
              <w:widowControl/>
            </w:pPr>
            <w:r>
              <w:rPr>
                <w:rFonts w:ascii="Segoe UI Symbol" w:hAnsi="Segoe UI Symbol" w:cs="Segoe UI Symbol"/>
              </w:rPr>
              <w:t xml:space="preserve">★</w:t>
            </w:r>
            <w:r>
              <w:t xml:space="preserve">现场设备的面板上配有清晰易懂的“手动/自动”两种模式切换按钮及指示灯，方便现场维修及临时手动控制</w:t>
            </w:r>
            <w:r>
              <w:rPr>
                <w:b/>
                <w:bCs/>
              </w:rPr>
              <w:t xml:space="preserve">（</w:t>
            </w:r>
            <w:r>
              <w:rPr>
                <w:rFonts w:hint="eastAsia"/>
                <w:b/>
                <w:bCs/>
              </w:rPr>
              <w:t xml:space="preserve">投标时须</w:t>
            </w:r>
            <w:r>
              <w:rPr>
                <w:b/>
                <w:bCs/>
              </w:rPr>
              <w:t xml:space="preserve">提供第三方检测机构出具的检测报告扫描件并加盖原厂公章）</w:t>
            </w:r>
            <w:r>
              <w:t xml:space="preserve">。</w:t>
            </w:r>
            <w:r/>
          </w:p>
          <w:p>
            <w:pPr>
              <w:numPr>
                <w:ilvl w:val="0"/>
                <w:numId w:val="21"/>
              </w:numPr>
              <w:ind w:left="292" w:hanging="291"/>
              <w:jc w:val="left"/>
              <w:widowControl/>
            </w:pPr>
            <w:r>
              <w:rPr>
                <w:rFonts w:ascii="Segoe UI Symbol" w:hAnsi="Segoe UI Symbol" w:cs="Segoe UI Symbol"/>
              </w:rPr>
              <w:t xml:space="preserve">★</w:t>
            </w:r>
            <w:r>
              <w:t xml:space="preserve">具备光学测距式开箱报警功能。</w:t>
            </w:r>
            <w:r>
              <w:rPr>
                <w:b/>
                <w:bCs/>
              </w:rPr>
              <w:t xml:space="preserve">（</w:t>
            </w:r>
            <w:r>
              <w:rPr>
                <w:rFonts w:hint="eastAsia"/>
                <w:b/>
                <w:bCs/>
              </w:rPr>
              <w:t xml:space="preserve">投标时须</w:t>
            </w:r>
            <w:r>
              <w:rPr>
                <w:b/>
                <w:bCs/>
              </w:rPr>
              <w:t xml:space="preserve">提供第三方检测机构出具的检测报告扫描件并加盖原厂公章）</w:t>
            </w:r>
            <w:r>
              <w:t xml:space="preserve">。</w:t>
            </w:r>
            <w:r/>
          </w:p>
          <w:p>
            <w:pPr>
              <w:numPr>
                <w:ilvl w:val="0"/>
                <w:numId w:val="21"/>
              </w:numPr>
              <w:ind w:left="292" w:hanging="291"/>
              <w:jc w:val="left"/>
              <w:widowControl/>
              <w:rPr>
                <w:highlight w:val="none"/>
              </w:rPr>
            </w:pPr>
            <w:r>
              <w:rPr>
                <w:rFonts w:ascii="Segoe UI Symbol" w:hAnsi="Segoe UI Symbol" w:cs="Segoe UI Symbol"/>
                <w:highlight w:val="none"/>
              </w:rPr>
              <w:t xml:space="preserve">★</w:t>
            </w:r>
            <w:r>
              <w:rPr>
                <w:highlight w:val="none"/>
              </w:rPr>
              <w:t xml:space="preserve">具备断电报警功能，要求设备断电后，能够1分钟内上报断电故障</w:t>
            </w:r>
            <w:r>
              <w:rPr>
                <w:b/>
                <w:bCs/>
                <w:highlight w:val="none"/>
              </w:rPr>
              <w:t xml:space="preserve">（</w:t>
            </w:r>
            <w:r>
              <w:rPr>
                <w:rFonts w:hint="eastAsia"/>
                <w:b/>
                <w:bCs/>
                <w:highlight w:val="none"/>
              </w:rPr>
              <w:t xml:space="preserve">投标时须</w:t>
            </w:r>
            <w:r>
              <w:rPr>
                <w:b/>
                <w:bCs/>
                <w:highlight w:val="none"/>
              </w:rPr>
              <w:t xml:space="preserve">提供第三方检测机构出具的检测报告扫描件并加盖原厂公章）</w:t>
            </w:r>
            <w:r>
              <w:rPr>
                <w:highlight w:val="none"/>
              </w:rPr>
              <w:t xml:space="preserve">。</w:t>
            </w:r>
            <w:r/>
          </w:p>
          <w:p>
            <w:pPr>
              <w:numPr>
                <w:ilvl w:val="0"/>
                <w:numId w:val="21"/>
              </w:numPr>
              <w:ind w:left="292" w:hanging="291"/>
              <w:jc w:val="left"/>
              <w:widowControl/>
            </w:pPr>
            <w:r>
              <w:rPr>
                <w:rFonts w:ascii="Segoe UI Symbol" w:hAnsi="Segoe UI Symbol" w:cs="Segoe UI Symbol"/>
              </w:rPr>
              <w:t xml:space="preserve">★</w:t>
            </w:r>
            <w:r>
              <w:t xml:space="preserve">可选配接入符合国标DLT645-2007协议电表，实现功能扩展</w:t>
            </w:r>
            <w:r>
              <w:rPr>
                <w:b/>
                <w:bCs/>
              </w:rPr>
              <w:t xml:space="preserve">（</w:t>
            </w:r>
            <w:r>
              <w:rPr>
                <w:rFonts w:hint="eastAsia"/>
                <w:b/>
                <w:bCs/>
              </w:rPr>
              <w:t xml:space="preserve">投标时须</w:t>
            </w:r>
            <w:r>
              <w:rPr>
                <w:b/>
                <w:bCs/>
              </w:rPr>
              <w:t xml:space="preserve">提供第三方检测机构出具的检测报告扫描件并加盖原厂公章）</w:t>
            </w:r>
            <w:r>
              <w:t xml:space="preserve">。</w:t>
            </w:r>
            <w:r/>
          </w:p>
          <w:p>
            <w:pPr>
              <w:numPr>
                <w:ilvl w:val="0"/>
                <w:numId w:val="21"/>
              </w:numPr>
              <w:ind w:left="292" w:hanging="291"/>
              <w:jc w:val="left"/>
              <w:widowControl/>
            </w:pPr>
            <w:r>
              <w:t xml:space="preserve">设备支持远程固件升级。</w:t>
            </w:r>
            <w:r/>
          </w:p>
          <w:p>
            <w:pPr>
              <w:numPr>
                <w:ilvl w:val="0"/>
                <w:numId w:val="21"/>
              </w:numPr>
              <w:ind w:left="292" w:hanging="291"/>
              <w:jc w:val="left"/>
              <w:widowControl/>
            </w:pPr>
            <w:r>
              <w:rPr>
                <w:rFonts w:ascii="Segoe UI Symbol" w:hAnsi="Segoe UI Symbol" w:cs="Segoe UI Symbol"/>
              </w:rPr>
              <w:t xml:space="preserve">★</w:t>
            </w:r>
            <w:r>
              <w:t xml:space="preserve">支持检测交流接触器动作状态，若动作状态不正常立即产生告警</w:t>
            </w:r>
            <w:r>
              <w:rPr>
                <w:b/>
                <w:bCs/>
              </w:rPr>
              <w:t xml:space="preserve">（</w:t>
            </w:r>
            <w:r>
              <w:rPr>
                <w:rFonts w:hint="eastAsia"/>
                <w:b/>
                <w:bCs/>
              </w:rPr>
              <w:t xml:space="preserve">投标时须</w:t>
            </w:r>
            <w:r>
              <w:rPr>
                <w:b/>
                <w:bCs/>
              </w:rPr>
              <w:t xml:space="preserve">提供第三方检测机构出具的检测报告扫描件并加盖原厂公章）</w:t>
            </w:r>
            <w:r>
              <w:t xml:space="preserve">。</w:t>
            </w:r>
            <w:r/>
          </w:p>
          <w:p>
            <w:pPr>
              <w:numPr>
                <w:ilvl w:val="0"/>
                <w:numId w:val="21"/>
              </w:numPr>
              <w:ind w:left="292" w:hanging="291"/>
              <w:jc w:val="left"/>
              <w:widowControl/>
            </w:pPr>
            <w:r>
              <w:t xml:space="preserve">回路断电后，要求单灯控制器，在回路手动上电后，可以立即执行常亮灯状态，以保证单灯控制系统任一环节出现故障，不影响现场回路控制开灯，确保道路照明安全。</w:t>
            </w:r>
            <w:r/>
          </w:p>
          <w:p>
            <w:pPr>
              <w:numPr>
                <w:ilvl w:val="0"/>
                <w:numId w:val="21"/>
              </w:numPr>
              <w:ind w:left="292" w:hanging="291"/>
              <w:jc w:val="left"/>
              <w:widowControl/>
            </w:pPr>
            <w:r>
              <w:t xml:space="preserve">远程控制实时性要求：通过远程管理软件（或手机APP）实施开关灯命令，现场灯具要在1秒钟内执行。通过远程管理软件（或手机APP）实施运行状态遥测（例如电压、电流或功率查询），要求在1分钟内遥测数据可有效上报。</w:t>
            </w:r>
            <w:r/>
          </w:p>
          <w:p>
            <w:pPr>
              <w:pStyle w:val="810"/>
              <w:numPr>
                <w:ilvl w:val="0"/>
                <w:numId w:val="21"/>
              </w:numPr>
              <w:ind w:left="292" w:hanging="291"/>
              <w:jc w:val="left"/>
              <w:widowControl/>
            </w:pPr>
            <w:r>
              <w:t xml:space="preserve">为了保证现场控制的实时性和一致性，系统安装调试完毕后，在公共移动通信网络（2G、3G、4G或5G）服务稳定的情况下，系统上线率应达到98%或以上。即路灯管理平台下发命令后（数据下行），组内有98%或以上的单灯控制器在1秒之内做出响应。</w:t>
            </w:r>
            <w:r/>
          </w:p>
          <w:p>
            <w:pPr>
              <w:pStyle w:val="810"/>
              <w:numPr>
                <w:ilvl w:val="0"/>
                <w:numId w:val="0"/>
              </w:numPr>
              <w:ind w:firstLine="422"/>
              <w:jc w:val="left"/>
              <w:widowControl/>
            </w:pPr>
            <w:r>
              <w:rPr>
                <w:rFonts w:hint="eastAsia"/>
                <w:b/>
                <w:bCs/>
                <w:color w:val="ff0000"/>
              </w:rPr>
              <w:t xml:space="preserve">注：</w:t>
            </w:r>
            <w:r>
              <w:rPr>
                <w:rFonts w:ascii="Segoe UI Symbol" w:hAnsi="Segoe UI Symbol" w:cs="Segoe UI Symbol"/>
                <w:b/>
                <w:bCs/>
                <w:color w:val="ff0000"/>
              </w:rPr>
              <w:t xml:space="preserve">★</w:t>
            </w:r>
            <w:r>
              <w:rPr>
                <w:b/>
                <w:bCs/>
                <w:color w:val="ff0000"/>
              </w:rPr>
              <w:t xml:space="preserve">远程监控终端设备</w:t>
            </w:r>
            <w:r>
              <w:rPr>
                <w:rFonts w:hint="eastAsia"/>
                <w:b/>
                <w:bCs/>
                <w:color w:val="ff0000"/>
              </w:rPr>
              <w:t xml:space="preserve">投标时须</w:t>
            </w:r>
            <w:r>
              <w:rPr>
                <w:b/>
                <w:bCs/>
                <w:color w:val="ff0000"/>
              </w:rPr>
              <w:t xml:space="preserve">提供产品原厂针对本项目的原厂授权书及质保承诺书扫描件并加盖原厂公章</w:t>
            </w:r>
            <w:r>
              <w:rPr>
                <w:rFonts w:hint="eastAsia"/>
                <w:b/>
                <w:bCs/>
                <w:color w:val="ff0000"/>
              </w:rPr>
              <w:t xml:space="preserve">，</w:t>
            </w:r>
            <w:r>
              <w:rPr>
                <w:b/>
                <w:bCs/>
                <w:color w:val="ff0000"/>
              </w:rPr>
              <w:t xml:space="preserve">所投产品技术参数证明材料与原厂授权书品牌须保持一致</w:t>
            </w:r>
            <w:r>
              <w:rPr>
                <w:rFonts w:hint="eastAsia"/>
                <w:b/>
                <w:bCs/>
                <w:color w:val="ff0000"/>
              </w:rPr>
              <w:t xml:space="preserve">。</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2</w:t>
            </w:r>
            <w:r/>
          </w:p>
        </w:tc>
      </w:tr>
      <w:tr>
        <w:trPr>
          <w:gridAfter w:val="1"/>
          <w:trHeight w:val="270"/>
        </w:trPr>
        <w:tc>
          <w:tcPr>
            <w:shd w:val="clear" w:color="auto" w:fill="auto"/>
            <w:tcW w:w="704" w:type="dxa"/>
            <w:vAlign w:val="center"/>
            <w:textDirection w:val="lrTb"/>
            <w:noWrap/>
          </w:tcPr>
          <w:p>
            <w:pPr>
              <w:jc w:val="center"/>
              <w:widowControl/>
            </w:pPr>
            <w:r>
              <w:t xml:space="preserve">3</w:t>
            </w:r>
            <w:r/>
          </w:p>
        </w:tc>
        <w:tc>
          <w:tcPr>
            <w:shd w:val="clear" w:color="auto" w:fill="auto"/>
            <w:tcW w:w="1275" w:type="dxa"/>
            <w:vAlign w:val="center"/>
            <w:textDirection w:val="lrTb"/>
            <w:noWrap/>
          </w:tcPr>
          <w:p>
            <w:pPr>
              <w:jc w:val="center"/>
              <w:widowControl/>
            </w:pPr>
            <w:r>
              <w:t xml:space="preserve">4G物联网卡</w:t>
            </w:r>
            <w:r/>
          </w:p>
        </w:tc>
        <w:tc>
          <w:tcPr>
            <w:shd w:val="clear" w:color="auto" w:fill="auto"/>
            <w:tcW w:w="5926" w:type="dxa"/>
            <w:vAlign w:val="center"/>
            <w:textDirection w:val="lrTb"/>
            <w:noWrap/>
          </w:tcPr>
          <w:p>
            <w:pPr>
              <w:jc w:val="left"/>
              <w:widowControl/>
            </w:pPr>
            <w:r>
              <w:t xml:space="preserve">集中控制器通信费</w:t>
            </w:r>
            <w:r/>
          </w:p>
        </w:tc>
        <w:tc>
          <w:tcPr>
            <w:shd w:val="clear" w:color="auto" w:fill="auto"/>
            <w:tcW w:w="682" w:type="dxa"/>
            <w:vAlign w:val="center"/>
            <w:textDirection w:val="lrTb"/>
            <w:noWrap/>
          </w:tcPr>
          <w:p>
            <w:pPr>
              <w:jc w:val="center"/>
              <w:widowControl/>
            </w:pPr>
            <w:r>
              <w:t xml:space="preserve">张</w:t>
            </w:r>
            <w:r/>
          </w:p>
        </w:tc>
        <w:tc>
          <w:tcPr>
            <w:shd w:val="clear" w:color="auto" w:fill="auto"/>
            <w:tcW w:w="900" w:type="dxa"/>
            <w:vAlign w:val="center"/>
            <w:textDirection w:val="lrTb"/>
            <w:noWrap/>
          </w:tcPr>
          <w:p>
            <w:pPr>
              <w:jc w:val="center"/>
              <w:widowControl/>
            </w:pPr>
            <w:r>
              <w:t xml:space="preserve">2</w:t>
            </w:r>
            <w:r/>
          </w:p>
        </w:tc>
      </w:tr>
      <w:tr>
        <w:trPr>
          <w:gridAfter w:val="1"/>
          <w:trHeight w:val="270"/>
        </w:trPr>
        <w:tc>
          <w:tcPr>
            <w:shd w:val="clear" w:color="auto" w:fill="auto"/>
            <w:tcW w:w="704" w:type="dxa"/>
            <w:vAlign w:val="center"/>
            <w:textDirection w:val="lrTb"/>
            <w:noWrap/>
          </w:tcPr>
          <w:p>
            <w:pPr>
              <w:jc w:val="center"/>
              <w:widowControl/>
            </w:pPr>
            <w:r>
              <w:t xml:space="preserve">4</w:t>
            </w:r>
            <w:r/>
          </w:p>
        </w:tc>
        <w:tc>
          <w:tcPr>
            <w:shd w:val="clear" w:color="auto" w:fill="auto"/>
            <w:tcW w:w="1275" w:type="dxa"/>
            <w:vAlign w:val="center"/>
            <w:textDirection w:val="lrTb"/>
            <w:noWrap/>
          </w:tcPr>
          <w:p>
            <w:pPr>
              <w:jc w:val="center"/>
              <w:widowControl/>
            </w:pPr>
            <w:r>
              <w:t xml:space="preserve">固定件</w:t>
            </w:r>
            <w:r/>
          </w:p>
        </w:tc>
        <w:tc>
          <w:tcPr>
            <w:shd w:val="clear" w:color="auto" w:fill="auto"/>
            <w:tcW w:w="5926" w:type="dxa"/>
            <w:vAlign w:val="center"/>
            <w:textDirection w:val="lrTb"/>
            <w:noWrap/>
          </w:tcPr>
          <w:p>
            <w:pPr>
              <w:jc w:val="left"/>
              <w:widowControl/>
            </w:pPr>
            <w:r>
              <w:t xml:space="preserve">根据设备需要定制</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170</w:t>
            </w:r>
            <w:r/>
          </w:p>
        </w:tc>
      </w:tr>
      <w:tr>
        <w:trPr>
          <w:gridAfter w:val="1"/>
          <w:trHeight w:val="270"/>
        </w:trPr>
        <w:tc>
          <w:tcPr>
            <w:shd w:val="clear" w:color="auto" w:fill="auto"/>
            <w:tcW w:w="704" w:type="dxa"/>
            <w:vAlign w:val="center"/>
            <w:textDirection w:val="lrTb"/>
            <w:noWrap/>
          </w:tcPr>
          <w:p>
            <w:pPr>
              <w:jc w:val="center"/>
              <w:widowControl/>
            </w:pPr>
            <w:r>
              <w:t xml:space="preserve">5</w:t>
            </w:r>
            <w:r/>
          </w:p>
        </w:tc>
        <w:tc>
          <w:tcPr>
            <w:shd w:val="clear" w:color="auto" w:fill="auto"/>
            <w:tcW w:w="1275" w:type="dxa"/>
            <w:vAlign w:val="center"/>
            <w:textDirection w:val="lrTb"/>
            <w:noWrap/>
          </w:tcPr>
          <w:p>
            <w:pPr>
              <w:jc w:val="center"/>
              <w:widowControl/>
            </w:pPr>
            <w:r>
              <w:t xml:space="preserve">视频监控</w:t>
            </w:r>
            <w:r/>
          </w:p>
        </w:tc>
        <w:tc>
          <w:tcPr>
            <w:shd w:val="clear" w:color="auto" w:fill="auto"/>
            <w:tcW w:w="5926" w:type="dxa"/>
            <w:vAlign w:val="center"/>
            <w:textDirection w:val="lrTb"/>
            <w:noWrap/>
          </w:tcPr>
          <w:p>
            <w:pPr>
              <w:jc w:val="left"/>
              <w:widowControl/>
            </w:pPr>
            <w:r>
              <w:t xml:space="preserve">400万像素7寸混合补光网络高清智能球机</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22</w:t>
            </w:r>
            <w:r/>
          </w:p>
        </w:tc>
      </w:tr>
      <w:tr>
        <w:trPr>
          <w:gridAfter w:val="1"/>
          <w:trHeight w:val="270"/>
        </w:trPr>
        <w:tc>
          <w:tcPr>
            <w:shd w:val="clear" w:color="auto" w:fill="auto"/>
            <w:tcW w:w="704" w:type="dxa"/>
            <w:vAlign w:val="center"/>
            <w:textDirection w:val="lrTb"/>
            <w:noWrap/>
          </w:tcPr>
          <w:p>
            <w:pPr>
              <w:jc w:val="center"/>
              <w:widowControl/>
            </w:pPr>
            <w:r>
              <w:t xml:space="preserve">6</w:t>
            </w:r>
            <w:r/>
          </w:p>
        </w:tc>
        <w:tc>
          <w:tcPr>
            <w:shd w:val="clear" w:color="auto" w:fill="auto"/>
            <w:tcW w:w="1275" w:type="dxa"/>
            <w:vAlign w:val="center"/>
            <w:textDirection w:val="lrTb"/>
            <w:noWrap/>
          </w:tcPr>
          <w:p>
            <w:pPr>
              <w:jc w:val="center"/>
              <w:widowControl/>
            </w:pPr>
            <w:r>
              <w:t xml:space="preserve">LED信息显示屏</w:t>
            </w:r>
            <w:r/>
          </w:p>
        </w:tc>
        <w:tc>
          <w:tcPr>
            <w:shd w:val="clear" w:color="auto" w:fill="auto"/>
            <w:tcW w:w="5926" w:type="dxa"/>
            <w:vAlign w:val="center"/>
            <w:textDirection w:val="lrTb"/>
            <w:noWrap/>
          </w:tcPr>
          <w:p>
            <w:pPr>
              <w:pStyle w:val="810"/>
              <w:numPr>
                <w:ilvl w:val="0"/>
                <w:numId w:val="22"/>
              </w:numPr>
              <w:ind w:left="292" w:hanging="291"/>
              <w:jc w:val="left"/>
              <w:widowControl/>
            </w:pPr>
            <w:r>
              <w:t xml:space="preserve">单面，显示尺寸：宽768mm×高1536mm，整屏外型尺寸：828mm×1650mm×100mm。Y20板卡。</w:t>
            </w:r>
            <w:r/>
          </w:p>
          <w:p>
            <w:pPr>
              <w:pStyle w:val="810"/>
              <w:numPr>
                <w:ilvl w:val="0"/>
                <w:numId w:val="22"/>
              </w:numPr>
              <w:ind w:left="292" w:hanging="291"/>
              <w:jc w:val="left"/>
              <w:widowControl/>
            </w:pPr>
            <w:r>
              <w:rPr>
                <w:rFonts w:ascii="Segoe UI Symbol" w:hAnsi="Segoe UI Symbol" w:cs="Segoe UI Symbol"/>
              </w:rPr>
              <w:t xml:space="preserve">★</w:t>
            </w:r>
            <w:r>
              <w:t xml:space="preserve">LED显示屏像素点间距4mm</w:t>
            </w:r>
            <w:r>
              <w:rPr>
                <w:rFonts w:hint="eastAsia"/>
              </w:rPr>
              <w:t xml:space="preserve">，</w:t>
            </w:r>
            <w:r>
              <w:t xml:space="preserve">亮度≥7500cd/㎡</w:t>
            </w:r>
            <w:r>
              <w:rPr>
                <w:b/>
                <w:bCs/>
              </w:rPr>
              <w:t xml:space="preserve">（</w:t>
            </w:r>
            <w:r>
              <w:rPr>
                <w:rFonts w:hint="eastAsia"/>
                <w:b/>
                <w:bCs/>
              </w:rPr>
              <w:t xml:space="preserve">投标时须</w:t>
            </w:r>
            <w:r>
              <w:rPr>
                <w:b/>
                <w:bCs/>
              </w:rPr>
              <w:t xml:space="preserve">提供第三方检测机构出具的检测报告扫描件并加盖原厂公章）</w:t>
            </w:r>
            <w:r>
              <w:t xml:space="preserve">。</w:t>
            </w:r>
            <w:r/>
          </w:p>
          <w:p>
            <w:pPr>
              <w:pStyle w:val="810"/>
              <w:numPr>
                <w:ilvl w:val="0"/>
                <w:numId w:val="22"/>
              </w:numPr>
              <w:ind w:left="292" w:hanging="291"/>
              <w:jc w:val="left"/>
              <w:widowControl/>
            </w:pPr>
            <w:r>
              <w:t xml:space="preserve">防护等级：IP65。</w:t>
            </w:r>
            <w:r/>
          </w:p>
          <w:p>
            <w:pPr>
              <w:pStyle w:val="810"/>
              <w:numPr>
                <w:ilvl w:val="0"/>
                <w:numId w:val="22"/>
              </w:numPr>
              <w:ind w:left="292" w:hanging="291"/>
              <w:jc w:val="left"/>
              <w:widowControl/>
            </w:pPr>
            <w:r>
              <w:t xml:space="preserve">箱体材质：钣金。</w:t>
            </w:r>
            <w:r/>
          </w:p>
          <w:p>
            <w:pPr>
              <w:pStyle w:val="810"/>
              <w:numPr>
                <w:ilvl w:val="0"/>
                <w:numId w:val="22"/>
              </w:numPr>
              <w:ind w:left="292" w:hanging="291"/>
              <w:jc w:val="left"/>
              <w:widowControl/>
            </w:pPr>
            <w:r>
              <w:t xml:space="preserve">像素点寿命：&gt;100000小时。</w:t>
            </w:r>
            <w:r/>
          </w:p>
          <w:p>
            <w:pPr>
              <w:pStyle w:val="810"/>
              <w:numPr>
                <w:ilvl w:val="0"/>
                <w:numId w:val="22"/>
              </w:numPr>
              <w:ind w:left="292" w:hanging="291"/>
              <w:jc w:val="left"/>
              <w:widowControl/>
            </w:pPr>
            <w:r>
              <w:t xml:space="preserve">工作电压：交流220V±10%，50HZ±5%。</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22</w:t>
            </w:r>
            <w:r/>
          </w:p>
        </w:tc>
      </w:tr>
      <w:tr>
        <w:trPr>
          <w:gridAfter w:val="1"/>
          <w:trHeight w:val="270"/>
        </w:trPr>
        <w:tc>
          <w:tcPr>
            <w:shd w:val="clear" w:color="auto" w:fill="auto"/>
            <w:tcW w:w="704" w:type="dxa"/>
            <w:vAlign w:val="center"/>
            <w:textDirection w:val="lrTb"/>
            <w:noWrap/>
          </w:tcPr>
          <w:p>
            <w:pPr>
              <w:jc w:val="center"/>
              <w:widowControl/>
            </w:pPr>
            <w:r>
              <w:t xml:space="preserve">7</w:t>
            </w:r>
            <w:r/>
          </w:p>
        </w:tc>
        <w:tc>
          <w:tcPr>
            <w:shd w:val="clear" w:color="auto" w:fill="auto"/>
            <w:tcW w:w="1275" w:type="dxa"/>
            <w:vAlign w:val="center"/>
            <w:textDirection w:val="lrTb"/>
            <w:noWrap/>
          </w:tcPr>
          <w:p>
            <w:pPr>
              <w:jc w:val="center"/>
              <w:widowControl/>
            </w:pPr>
            <w:r>
              <w:t xml:space="preserve">IP音柱</w:t>
            </w:r>
            <w:r/>
          </w:p>
        </w:tc>
        <w:tc>
          <w:tcPr>
            <w:shd w:val="clear" w:color="auto" w:fill="auto"/>
            <w:tcW w:w="5926" w:type="dxa"/>
            <w:vAlign w:val="center"/>
            <w:textDirection w:val="lrTb"/>
            <w:noWrap/>
          </w:tcPr>
          <w:p>
            <w:pPr>
              <w:jc w:val="left"/>
              <w:widowControl/>
            </w:pPr>
            <w:r>
              <w:t xml:space="preserve">范围：80Hz-16kHz；灵敏度：91dB；最大声压级：107dB；额定功率：20-40W。</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22</w:t>
            </w:r>
            <w:r/>
          </w:p>
        </w:tc>
      </w:tr>
      <w:tr>
        <w:trPr>
          <w:gridAfter w:val="1"/>
          <w:trHeight w:val="270"/>
        </w:trPr>
        <w:tc>
          <w:tcPr>
            <w:shd w:val="clear" w:color="auto" w:fill="auto"/>
            <w:tcW w:w="704" w:type="dxa"/>
            <w:vAlign w:val="center"/>
            <w:textDirection w:val="lrTb"/>
            <w:noWrap/>
          </w:tcPr>
          <w:p>
            <w:pPr>
              <w:jc w:val="center"/>
              <w:widowControl/>
            </w:pPr>
            <w:r>
              <w:t xml:space="preserve">8</w:t>
            </w:r>
            <w:r/>
          </w:p>
        </w:tc>
        <w:tc>
          <w:tcPr>
            <w:shd w:val="clear" w:color="auto" w:fill="auto"/>
            <w:tcW w:w="1275" w:type="dxa"/>
            <w:vAlign w:val="center"/>
            <w:textDirection w:val="lrTb"/>
            <w:noWrap/>
          </w:tcPr>
          <w:p>
            <w:pPr>
              <w:jc w:val="center"/>
              <w:widowControl/>
            </w:pPr>
            <w:r>
              <w:t xml:space="preserve">户外AP</w:t>
            </w:r>
            <w:r/>
          </w:p>
        </w:tc>
        <w:tc>
          <w:tcPr>
            <w:shd w:val="clear" w:color="auto" w:fill="auto"/>
            <w:tcW w:w="5926" w:type="dxa"/>
            <w:vAlign w:val="center"/>
            <w:textDirection w:val="lrTb"/>
            <w:noWrap/>
          </w:tcPr>
          <w:p>
            <w:pPr>
              <w:jc w:val="left"/>
              <w:widowControl/>
            </w:pPr>
            <w:r>
              <w:t xml:space="preserve">工作频率：2.4G/5.8GHz；标准功率：500MW；传输速率：300Mbps；覆盖范围：30m；接入数量：80点；天线接口：支持2个N口天线接口。</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22</w:t>
            </w:r>
            <w:r/>
          </w:p>
        </w:tc>
      </w:tr>
      <w:tr>
        <w:trPr>
          <w:trHeight w:val="270"/>
        </w:trPr>
        <w:tc>
          <w:tcPr>
            <w:gridSpan w:val="6"/>
            <w:shd w:val="clear" w:color="auto" w:fill="auto"/>
            <w:tcW w:w="9495" w:type="dxa"/>
            <w:vAlign w:val="center"/>
            <w:textDirection w:val="lrTb"/>
            <w:noWrap/>
          </w:tcPr>
          <w:p>
            <w:pPr>
              <w:jc w:val="left"/>
              <w:widowControl/>
              <w:rPr>
                <w:b/>
                <w:bCs/>
              </w:rPr>
            </w:pPr>
            <w:r>
              <w:rPr>
                <w:b/>
                <w:bCs/>
              </w:rPr>
              <w:t xml:space="preserve">三、施工及配套设备、辅材</w:t>
            </w:r>
            <w:r/>
          </w:p>
        </w:tc>
      </w:tr>
      <w:tr>
        <w:trPr>
          <w:gridAfter w:val="1"/>
          <w:trHeight w:val="270"/>
        </w:trPr>
        <w:tc>
          <w:tcPr>
            <w:shd w:val="clear" w:color="auto" w:fill="auto"/>
            <w:tcW w:w="704" w:type="dxa"/>
            <w:vAlign w:val="center"/>
            <w:textDirection w:val="lrTb"/>
            <w:noWrap/>
          </w:tcPr>
          <w:p>
            <w:pPr>
              <w:jc w:val="center"/>
              <w:widowControl/>
            </w:pPr>
            <w:r>
              <w:t xml:space="preserve">1</w:t>
            </w:r>
            <w:r/>
          </w:p>
        </w:tc>
        <w:tc>
          <w:tcPr>
            <w:shd w:val="clear" w:color="auto" w:fill="auto"/>
            <w:tcW w:w="1275" w:type="dxa"/>
            <w:vAlign w:val="center"/>
            <w:textDirection w:val="lrTb"/>
            <w:noWrap/>
          </w:tcPr>
          <w:p>
            <w:pPr>
              <w:jc w:val="center"/>
              <w:widowControl/>
            </w:pPr>
            <w:r>
              <w:t xml:space="preserve">组合型成套箱式变电站</w:t>
            </w:r>
            <w:r/>
          </w:p>
        </w:tc>
        <w:tc>
          <w:tcPr>
            <w:shd w:val="clear" w:color="auto" w:fill="auto"/>
            <w:tcW w:w="5926" w:type="dxa"/>
            <w:vAlign w:val="center"/>
            <w:textDirection w:val="lrTb"/>
            <w:noWrap/>
          </w:tcPr>
          <w:p>
            <w:r>
              <w:t xml:space="preserve">容量（KVA）：160KVA</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6</w:t>
            </w:r>
            <w:r/>
          </w:p>
        </w:tc>
      </w:tr>
      <w:tr>
        <w:trPr>
          <w:gridAfter w:val="1"/>
          <w:trHeight w:val="270"/>
        </w:trPr>
        <w:tc>
          <w:tcPr>
            <w:shd w:val="clear" w:color="auto" w:fill="auto"/>
            <w:tcW w:w="704" w:type="dxa"/>
            <w:vAlign w:val="center"/>
            <w:textDirection w:val="lrTb"/>
            <w:noWrap/>
          </w:tcPr>
          <w:p>
            <w:pPr>
              <w:jc w:val="center"/>
              <w:widowControl/>
            </w:pPr>
            <w:r>
              <w:t xml:space="preserve">2</w:t>
            </w:r>
            <w:r/>
          </w:p>
        </w:tc>
        <w:tc>
          <w:tcPr>
            <w:shd w:val="clear" w:color="auto" w:fill="auto"/>
            <w:tcW w:w="1275" w:type="dxa"/>
            <w:vAlign w:val="center"/>
            <w:textDirection w:val="lrTb"/>
            <w:noWrap/>
          </w:tcPr>
          <w:p>
            <w:pPr>
              <w:jc w:val="center"/>
              <w:widowControl/>
            </w:pPr>
            <w:r>
              <w:t xml:space="preserve">箱变基础</w:t>
            </w:r>
            <w:r/>
          </w:p>
        </w:tc>
        <w:tc>
          <w:tcPr>
            <w:shd w:val="clear" w:color="auto" w:fill="auto"/>
            <w:tcW w:w="5926" w:type="dxa"/>
            <w:vAlign w:val="center"/>
            <w:textDirection w:val="lrTb"/>
            <w:noWrap/>
          </w:tcPr>
          <w:p>
            <w:pPr>
              <w:jc w:val="left"/>
              <w:widowControl/>
              <w:rPr>
                <w:b/>
                <w:bCs/>
              </w:rPr>
            </w:pPr>
            <w:r>
              <w:t xml:space="preserve">1.土方开挖及回填、弃土外运和垫层铺筑；2.模板制作、安装、拆除；3.混凝土拌和、运输、浇筑、养护；4.盖板安装；5.预埋钢板、角钢安装；6.钢筋制作与绑扎</w:t>
            </w:r>
            <w:r>
              <w:rPr>
                <w:rFonts w:hint="eastAsia"/>
              </w:rPr>
              <w:t xml:space="preserve">。</w:t>
            </w:r>
            <w:r/>
          </w:p>
        </w:tc>
        <w:tc>
          <w:tcPr>
            <w:shd w:val="clear" w:color="auto" w:fill="auto"/>
            <w:tcW w:w="682" w:type="dxa"/>
            <w:vAlign w:val="center"/>
            <w:textDirection w:val="lrTb"/>
            <w:noWrap/>
          </w:tcPr>
          <w:p>
            <w:pPr>
              <w:jc w:val="center"/>
              <w:widowControl/>
            </w:pPr>
            <w:r>
              <w:t xml:space="preserve">座</w:t>
            </w:r>
            <w:r/>
          </w:p>
        </w:tc>
        <w:tc>
          <w:tcPr>
            <w:shd w:val="clear" w:color="auto" w:fill="auto"/>
            <w:tcW w:w="900" w:type="dxa"/>
            <w:vAlign w:val="center"/>
            <w:textDirection w:val="lrTb"/>
            <w:noWrap/>
          </w:tcPr>
          <w:p>
            <w:pPr>
              <w:jc w:val="center"/>
              <w:widowControl/>
            </w:pPr>
            <w:r>
              <w:t xml:space="preserve">6</w:t>
            </w:r>
            <w:r/>
          </w:p>
        </w:tc>
      </w:tr>
      <w:tr>
        <w:trPr>
          <w:gridAfter w:val="1"/>
          <w:trHeight w:val="270"/>
        </w:trPr>
        <w:tc>
          <w:tcPr>
            <w:shd w:val="clear" w:color="auto" w:fill="auto"/>
            <w:tcW w:w="704" w:type="dxa"/>
            <w:vAlign w:val="center"/>
            <w:textDirection w:val="lrTb"/>
            <w:noWrap/>
          </w:tcPr>
          <w:p>
            <w:pPr>
              <w:jc w:val="center"/>
              <w:widowControl/>
            </w:pPr>
            <w:r>
              <w:t xml:space="preserve">3</w:t>
            </w:r>
            <w:r/>
          </w:p>
        </w:tc>
        <w:tc>
          <w:tcPr>
            <w:shd w:val="clear" w:color="auto" w:fill="auto"/>
            <w:tcW w:w="1275" w:type="dxa"/>
            <w:vAlign w:val="center"/>
            <w:textDirection w:val="lrTb"/>
            <w:noWrap/>
          </w:tcPr>
          <w:p>
            <w:pPr>
              <w:jc w:val="center"/>
              <w:widowControl/>
            </w:pPr>
            <w:r>
              <w:t xml:space="preserve">智能真空断路器</w:t>
            </w:r>
            <w:r/>
          </w:p>
        </w:tc>
        <w:tc>
          <w:tcPr>
            <w:shd w:val="clear" w:color="auto" w:fill="auto"/>
            <w:tcW w:w="5926" w:type="dxa"/>
            <w:vAlign w:val="center"/>
            <w:textDirection w:val="lrTb"/>
            <w:noWrap/>
          </w:tcPr>
          <w:p>
            <w:pPr>
              <w:jc w:val="left"/>
              <w:widowControl/>
            </w:pPr>
            <w:r>
              <w:t xml:space="preserve">电压等级（kV）：10</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6</w:t>
            </w:r>
            <w:r/>
          </w:p>
        </w:tc>
      </w:tr>
      <w:tr>
        <w:trPr>
          <w:gridAfter w:val="1"/>
          <w:trHeight w:val="270"/>
        </w:trPr>
        <w:tc>
          <w:tcPr>
            <w:shd w:val="clear" w:color="auto" w:fill="auto"/>
            <w:tcW w:w="704" w:type="dxa"/>
            <w:vAlign w:val="center"/>
            <w:textDirection w:val="lrTb"/>
            <w:noWrap/>
          </w:tcPr>
          <w:p>
            <w:pPr>
              <w:jc w:val="center"/>
              <w:widowControl/>
            </w:pPr>
            <w:r>
              <w:t xml:space="preserve">4</w:t>
            </w:r>
            <w:r/>
          </w:p>
        </w:tc>
        <w:tc>
          <w:tcPr>
            <w:shd w:val="clear" w:color="auto" w:fill="auto"/>
            <w:tcW w:w="1275" w:type="dxa"/>
            <w:vAlign w:val="center"/>
            <w:textDirection w:val="lrTb"/>
            <w:noWrap/>
          </w:tcPr>
          <w:p>
            <w:pPr>
              <w:jc w:val="center"/>
              <w:widowControl/>
            </w:pPr>
            <w:r>
              <w:t xml:space="preserve">电力变压器系统</w:t>
            </w:r>
            <w:r/>
          </w:p>
        </w:tc>
        <w:tc>
          <w:tcPr>
            <w:shd w:val="clear" w:color="auto" w:fill="auto"/>
            <w:tcW w:w="5926" w:type="dxa"/>
            <w:vAlign w:val="center"/>
            <w:textDirection w:val="lrTb"/>
            <w:noWrap/>
          </w:tcPr>
          <w:p>
            <w:pPr>
              <w:jc w:val="left"/>
              <w:widowControl/>
            </w:pPr>
            <w:r>
              <w:t xml:space="preserve">1.名称：电力变压器系统调试（箱变系统）</w:t>
            </w:r>
            <w:r/>
          </w:p>
          <w:p>
            <w:pPr>
              <w:jc w:val="left"/>
              <w:widowControl/>
            </w:pPr>
            <w:r>
              <w:t xml:space="preserve">2.容量（kV·A）：10KV</w:t>
            </w:r>
            <w:r/>
          </w:p>
          <w:p>
            <w:pPr>
              <w:jc w:val="left"/>
              <w:widowControl/>
            </w:pPr>
            <w:r>
              <w:t xml:space="preserve">3.备注：包括箱变变系统相关的所有调试，最终结算时需出具相关试验报告</w:t>
            </w:r>
            <w:r/>
          </w:p>
        </w:tc>
        <w:tc>
          <w:tcPr>
            <w:shd w:val="clear" w:color="auto" w:fill="auto"/>
            <w:tcW w:w="682" w:type="dxa"/>
            <w:vAlign w:val="center"/>
            <w:textDirection w:val="lrTb"/>
            <w:noWrap/>
          </w:tcPr>
          <w:p>
            <w:pPr>
              <w:jc w:val="center"/>
              <w:widowControl/>
            </w:pPr>
            <w:r>
              <w:t xml:space="preserve">系统</w:t>
            </w:r>
            <w:r/>
          </w:p>
        </w:tc>
        <w:tc>
          <w:tcPr>
            <w:shd w:val="clear" w:color="auto" w:fill="auto"/>
            <w:tcW w:w="900" w:type="dxa"/>
            <w:vAlign w:val="center"/>
            <w:textDirection w:val="lrTb"/>
            <w:noWrap/>
          </w:tcPr>
          <w:p>
            <w:pPr>
              <w:jc w:val="center"/>
              <w:widowControl/>
            </w:pPr>
            <w:r>
              <w:t xml:space="preserve">6</w:t>
            </w:r>
            <w:r/>
          </w:p>
        </w:tc>
      </w:tr>
      <w:tr>
        <w:trPr>
          <w:gridAfter w:val="1"/>
          <w:trHeight w:val="270"/>
        </w:trPr>
        <w:tc>
          <w:tcPr>
            <w:shd w:val="clear" w:color="auto" w:fill="auto"/>
            <w:tcW w:w="704" w:type="dxa"/>
            <w:vAlign w:val="center"/>
            <w:textDirection w:val="lrTb"/>
            <w:noWrap/>
          </w:tcPr>
          <w:p>
            <w:pPr>
              <w:jc w:val="center"/>
              <w:widowControl/>
            </w:pPr>
            <w:r>
              <w:t xml:space="preserve">5</w:t>
            </w:r>
            <w:r/>
          </w:p>
        </w:tc>
        <w:tc>
          <w:tcPr>
            <w:shd w:val="clear" w:color="auto" w:fill="auto"/>
            <w:tcW w:w="1275" w:type="dxa"/>
            <w:vAlign w:val="center"/>
            <w:textDirection w:val="lrTb"/>
            <w:noWrap/>
          </w:tcPr>
          <w:p>
            <w:pPr>
              <w:jc w:val="center"/>
              <w:widowControl/>
            </w:pPr>
            <w:r>
              <w:t xml:space="preserve">电缆试验</w:t>
            </w:r>
            <w:r/>
          </w:p>
        </w:tc>
        <w:tc>
          <w:tcPr>
            <w:shd w:val="clear" w:color="auto" w:fill="auto"/>
            <w:tcW w:w="5926" w:type="dxa"/>
            <w:vAlign w:val="center"/>
            <w:textDirection w:val="lrTb"/>
            <w:noWrap/>
          </w:tcPr>
          <w:p>
            <w:pPr>
              <w:jc w:val="left"/>
              <w:widowControl/>
            </w:pPr>
            <w:r>
              <w:t xml:space="preserve">1.名称：高压电缆试验费（故障点及泄漏试验）</w:t>
            </w:r>
            <w:r/>
          </w:p>
          <w:p>
            <w:pPr>
              <w:jc w:val="left"/>
              <w:widowControl/>
            </w:pPr>
            <w:r>
              <w:t xml:space="preserve">2.电压等级（kV）：8.7/15KV</w:t>
            </w:r>
            <w:r/>
          </w:p>
          <w:p>
            <w:pPr>
              <w:jc w:val="left"/>
              <w:widowControl/>
            </w:pPr>
            <w:r>
              <w:t xml:space="preserve">3.包含与本系统相关的所有调试、最终结算时需出具相关试验报告</w:t>
            </w:r>
            <w:r/>
          </w:p>
        </w:tc>
        <w:tc>
          <w:tcPr>
            <w:shd w:val="clear" w:color="auto" w:fill="auto"/>
            <w:tcW w:w="682" w:type="dxa"/>
            <w:vAlign w:val="center"/>
            <w:textDirection w:val="lrTb"/>
            <w:noWrap/>
          </w:tcPr>
          <w:p>
            <w:pPr>
              <w:jc w:val="center"/>
              <w:widowControl/>
            </w:pPr>
            <w:r>
              <w:t xml:space="preserve">根</w:t>
            </w:r>
            <w:r/>
          </w:p>
        </w:tc>
        <w:tc>
          <w:tcPr>
            <w:shd w:val="clear" w:color="auto" w:fill="auto"/>
            <w:tcW w:w="900" w:type="dxa"/>
            <w:vAlign w:val="center"/>
            <w:textDirection w:val="lrTb"/>
            <w:noWrap/>
          </w:tcPr>
          <w:p>
            <w:pPr>
              <w:jc w:val="center"/>
              <w:widowControl/>
            </w:pPr>
            <w:r>
              <w:t xml:space="preserve">6</w:t>
            </w:r>
            <w:r/>
          </w:p>
        </w:tc>
      </w:tr>
      <w:tr>
        <w:trPr>
          <w:gridAfter w:val="1"/>
          <w:trHeight w:val="270"/>
        </w:trPr>
        <w:tc>
          <w:tcPr>
            <w:shd w:val="clear" w:color="auto" w:fill="auto"/>
            <w:tcW w:w="704" w:type="dxa"/>
            <w:vAlign w:val="center"/>
            <w:textDirection w:val="lrTb"/>
            <w:noWrap/>
          </w:tcPr>
          <w:p>
            <w:pPr>
              <w:jc w:val="center"/>
              <w:widowControl/>
            </w:pPr>
            <w:r>
              <w:t xml:space="preserve">6</w:t>
            </w:r>
            <w:r/>
          </w:p>
        </w:tc>
        <w:tc>
          <w:tcPr>
            <w:shd w:val="clear" w:color="auto" w:fill="auto"/>
            <w:tcW w:w="1275" w:type="dxa"/>
            <w:vAlign w:val="center"/>
            <w:textDirection w:val="lrTb"/>
            <w:noWrap/>
          </w:tcPr>
          <w:p>
            <w:pPr>
              <w:jc w:val="center"/>
              <w:widowControl/>
            </w:pPr>
            <w:r>
              <w:t xml:space="preserve">路灯配电箱配电箱</w:t>
            </w:r>
            <w:r/>
          </w:p>
        </w:tc>
        <w:tc>
          <w:tcPr>
            <w:shd w:val="clear" w:color="auto" w:fill="auto"/>
            <w:tcW w:w="5926" w:type="dxa"/>
            <w:vAlign w:val="center"/>
            <w:textDirection w:val="lrTb"/>
            <w:noWrap/>
          </w:tcPr>
          <w:p>
            <w:pPr>
              <w:jc w:val="left"/>
              <w:widowControl/>
            </w:pPr>
            <w:r>
              <w:t xml:space="preserve">路灯用电和智慧化设备用电箱体合用</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2</w:t>
            </w:r>
            <w:r/>
          </w:p>
        </w:tc>
      </w:tr>
      <w:tr>
        <w:trPr>
          <w:gridAfter w:val="1"/>
          <w:trHeight w:val="270"/>
        </w:trPr>
        <w:tc>
          <w:tcPr>
            <w:shd w:val="clear" w:color="auto" w:fill="auto"/>
            <w:tcW w:w="704" w:type="dxa"/>
            <w:vAlign w:val="center"/>
            <w:textDirection w:val="lrTb"/>
            <w:noWrap/>
          </w:tcPr>
          <w:p>
            <w:pPr>
              <w:jc w:val="center"/>
              <w:widowControl/>
            </w:pPr>
            <w:r>
              <w:t xml:space="preserve">7</w:t>
            </w:r>
            <w:r/>
          </w:p>
        </w:tc>
        <w:tc>
          <w:tcPr>
            <w:shd w:val="clear" w:color="auto" w:fill="auto"/>
            <w:tcW w:w="1275" w:type="dxa"/>
            <w:vAlign w:val="center"/>
            <w:textDirection w:val="lrTb"/>
            <w:noWrap/>
          </w:tcPr>
          <w:p>
            <w:pPr>
              <w:jc w:val="center"/>
              <w:widowControl/>
            </w:pPr>
            <w:r>
              <w:t xml:space="preserve">光交箱</w:t>
            </w:r>
            <w:r/>
          </w:p>
        </w:tc>
        <w:tc>
          <w:tcPr>
            <w:shd w:val="clear" w:color="auto" w:fill="auto"/>
            <w:tcW w:w="5926" w:type="dxa"/>
            <w:vAlign w:val="center"/>
            <w:textDirection w:val="lrTb"/>
            <w:noWrap/>
          </w:tcPr>
          <w:p>
            <w:pPr>
              <w:jc w:val="left"/>
              <w:widowControl/>
            </w:pPr>
            <w:r>
              <w:t xml:space="preserve">144芯光交箱，内满配光口</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2</w:t>
            </w:r>
            <w:r/>
          </w:p>
        </w:tc>
      </w:tr>
      <w:tr>
        <w:trPr>
          <w:gridAfter w:val="1"/>
          <w:trHeight w:val="270"/>
        </w:trPr>
        <w:tc>
          <w:tcPr>
            <w:shd w:val="clear" w:color="auto" w:fill="auto"/>
            <w:tcW w:w="704" w:type="dxa"/>
            <w:vAlign w:val="center"/>
            <w:textDirection w:val="lrTb"/>
            <w:noWrap/>
          </w:tcPr>
          <w:p>
            <w:pPr>
              <w:jc w:val="center"/>
              <w:widowControl/>
            </w:pPr>
            <w:r>
              <w:t xml:space="preserve">8</w:t>
            </w:r>
            <w:r/>
          </w:p>
        </w:tc>
        <w:tc>
          <w:tcPr>
            <w:shd w:val="clear" w:color="auto" w:fill="auto"/>
            <w:tcW w:w="1275" w:type="dxa"/>
            <w:vAlign w:val="center"/>
            <w:textDirection w:val="lrTb"/>
            <w:noWrap/>
          </w:tcPr>
          <w:p>
            <w:pPr>
              <w:jc w:val="center"/>
              <w:widowControl/>
            </w:pPr>
            <w:r>
              <w:t xml:space="preserve">壁挂式控制箱</w:t>
            </w:r>
            <w:r/>
          </w:p>
        </w:tc>
        <w:tc>
          <w:tcPr>
            <w:shd w:val="clear" w:color="auto" w:fill="auto"/>
            <w:tcW w:w="5926" w:type="dxa"/>
            <w:vAlign w:val="center"/>
            <w:textDirection w:val="lrTb"/>
            <w:noWrap/>
          </w:tcPr>
          <w:p>
            <w:pPr>
              <w:jc w:val="left"/>
              <w:widowControl/>
            </w:pPr>
            <w:r>
              <w:t xml:space="preserve">含导轨、插排等</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44</w:t>
            </w:r>
            <w:r/>
          </w:p>
        </w:tc>
      </w:tr>
      <w:tr>
        <w:trPr>
          <w:gridAfter w:val="1"/>
          <w:trHeight w:val="270"/>
        </w:trPr>
        <w:tc>
          <w:tcPr>
            <w:shd w:val="clear" w:color="auto" w:fill="auto"/>
            <w:tcW w:w="704" w:type="dxa"/>
            <w:vAlign w:val="center"/>
            <w:textDirection w:val="lrTb"/>
            <w:noWrap/>
          </w:tcPr>
          <w:p>
            <w:pPr>
              <w:jc w:val="center"/>
              <w:widowControl/>
            </w:pPr>
            <w:r>
              <w:t xml:space="preserve">9</w:t>
            </w:r>
            <w:r/>
          </w:p>
        </w:tc>
        <w:tc>
          <w:tcPr>
            <w:shd w:val="clear" w:color="auto" w:fill="auto"/>
            <w:tcW w:w="1275" w:type="dxa"/>
            <w:vAlign w:val="center"/>
            <w:textDirection w:val="lrTb"/>
            <w:noWrap/>
          </w:tcPr>
          <w:p>
            <w:pPr>
              <w:jc w:val="center"/>
              <w:widowControl/>
            </w:pPr>
            <w:r>
              <w:t xml:space="preserve">交换机</w:t>
            </w:r>
            <w:r/>
          </w:p>
        </w:tc>
        <w:tc>
          <w:tcPr>
            <w:shd w:val="clear" w:color="auto" w:fill="auto"/>
            <w:tcW w:w="5926" w:type="dxa"/>
            <w:vAlign w:val="center"/>
            <w:textDirection w:val="lrTb"/>
            <w:noWrap/>
          </w:tcPr>
          <w:p>
            <w:pPr>
              <w:jc w:val="left"/>
              <w:widowControl/>
            </w:pPr>
            <w:r>
              <w:t xml:space="preserve">工业级，1光8电</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44</w:t>
            </w:r>
            <w:r/>
          </w:p>
        </w:tc>
      </w:tr>
      <w:tr>
        <w:trPr>
          <w:gridAfter w:val="1"/>
          <w:trHeight w:val="270"/>
        </w:trPr>
        <w:tc>
          <w:tcPr>
            <w:shd w:val="clear" w:color="auto" w:fill="auto"/>
            <w:tcW w:w="704" w:type="dxa"/>
            <w:vAlign w:val="center"/>
            <w:textDirection w:val="lrTb"/>
            <w:noWrap/>
          </w:tcPr>
          <w:p>
            <w:pPr>
              <w:jc w:val="center"/>
              <w:widowControl/>
            </w:pPr>
            <w:r>
              <w:t xml:space="preserve">10</w:t>
            </w:r>
            <w:r/>
          </w:p>
        </w:tc>
        <w:tc>
          <w:tcPr>
            <w:shd w:val="clear" w:color="auto" w:fill="auto"/>
            <w:tcW w:w="1275" w:type="dxa"/>
            <w:vAlign w:val="center"/>
            <w:textDirection w:val="lrTb"/>
            <w:noWrap/>
          </w:tcPr>
          <w:p>
            <w:pPr>
              <w:jc w:val="center"/>
              <w:widowControl/>
            </w:pPr>
            <w:r>
              <w:t xml:space="preserve">防雷器</w:t>
            </w:r>
            <w:r/>
          </w:p>
        </w:tc>
        <w:tc>
          <w:tcPr>
            <w:shd w:val="clear" w:color="auto" w:fill="auto"/>
            <w:tcW w:w="5926" w:type="dxa"/>
            <w:vAlign w:val="center"/>
            <w:textDirection w:val="lrTb"/>
            <w:noWrap/>
          </w:tcPr>
          <w:p>
            <w:pPr>
              <w:jc w:val="left"/>
              <w:widowControl/>
            </w:pPr>
            <w:r>
              <w:t xml:space="preserve">网络型三合一</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44</w:t>
            </w:r>
            <w:r/>
          </w:p>
        </w:tc>
      </w:tr>
      <w:tr>
        <w:trPr>
          <w:gridAfter w:val="1"/>
          <w:trHeight w:val="270"/>
        </w:trPr>
        <w:tc>
          <w:tcPr>
            <w:shd w:val="clear" w:color="auto" w:fill="auto"/>
            <w:tcW w:w="704" w:type="dxa"/>
            <w:vAlign w:val="center"/>
            <w:textDirection w:val="lrTb"/>
            <w:noWrap/>
          </w:tcPr>
          <w:p>
            <w:pPr>
              <w:jc w:val="center"/>
              <w:widowControl/>
            </w:pPr>
            <w:r>
              <w:t xml:space="preserve">11</w:t>
            </w:r>
            <w:r/>
          </w:p>
        </w:tc>
        <w:tc>
          <w:tcPr>
            <w:shd w:val="clear" w:color="auto" w:fill="auto"/>
            <w:tcW w:w="1275" w:type="dxa"/>
            <w:vAlign w:val="center"/>
            <w:textDirection w:val="lrTb"/>
            <w:noWrap/>
          </w:tcPr>
          <w:p>
            <w:pPr>
              <w:jc w:val="center"/>
              <w:widowControl/>
            </w:pPr>
            <w:r>
              <w:t xml:space="preserve">断路器</w:t>
            </w:r>
            <w:r/>
          </w:p>
        </w:tc>
        <w:tc>
          <w:tcPr>
            <w:shd w:val="clear" w:color="auto" w:fill="auto"/>
            <w:tcW w:w="5926" w:type="dxa"/>
            <w:vAlign w:val="center"/>
            <w:textDirection w:val="lrTb"/>
            <w:noWrap/>
          </w:tcPr>
          <w:p>
            <w:pPr>
              <w:jc w:val="left"/>
              <w:widowControl/>
            </w:pPr>
            <w:r>
              <w:t xml:space="preserve">20A</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44</w:t>
            </w:r>
            <w:r/>
          </w:p>
        </w:tc>
      </w:tr>
      <w:tr>
        <w:trPr>
          <w:gridAfter w:val="1"/>
          <w:trHeight w:val="270"/>
        </w:trPr>
        <w:tc>
          <w:tcPr>
            <w:shd w:val="clear" w:color="auto" w:fill="auto"/>
            <w:tcW w:w="704" w:type="dxa"/>
            <w:vAlign w:val="center"/>
            <w:textDirection w:val="lrTb"/>
            <w:noWrap/>
          </w:tcPr>
          <w:p>
            <w:pPr>
              <w:jc w:val="center"/>
              <w:widowControl/>
            </w:pPr>
            <w:r>
              <w:t xml:space="preserve">12</w:t>
            </w:r>
            <w:r/>
          </w:p>
        </w:tc>
        <w:tc>
          <w:tcPr>
            <w:shd w:val="clear" w:color="auto" w:fill="auto"/>
            <w:tcW w:w="1275" w:type="dxa"/>
            <w:vAlign w:val="center"/>
            <w:textDirection w:val="lrTb"/>
            <w:noWrap/>
          </w:tcPr>
          <w:p>
            <w:pPr>
              <w:jc w:val="center"/>
              <w:widowControl/>
            </w:pPr>
            <w:r>
              <w:t xml:space="preserve">电力电缆</w:t>
            </w:r>
            <w:r>
              <w:rPr>
                <w:rFonts w:hint="eastAsia"/>
              </w:rPr>
              <w:t xml:space="preserve">1</w:t>
            </w:r>
            <w:r/>
          </w:p>
        </w:tc>
        <w:tc>
          <w:tcPr>
            <w:shd w:val="clear" w:color="auto" w:fill="auto"/>
            <w:tcW w:w="5926" w:type="dxa"/>
            <w:vAlign w:val="center"/>
            <w:textDirection w:val="lrTb"/>
            <w:noWrap/>
          </w:tcPr>
          <w:p>
            <w:pPr>
              <w:jc w:val="left"/>
              <w:widowControl/>
            </w:pPr>
            <w:r>
              <w:t xml:space="preserve">YJV-4×25+1×16</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7000</w:t>
            </w:r>
            <w:r/>
          </w:p>
        </w:tc>
      </w:tr>
      <w:tr>
        <w:trPr>
          <w:gridAfter w:val="1"/>
          <w:trHeight w:val="270"/>
        </w:trPr>
        <w:tc>
          <w:tcPr>
            <w:shd w:val="clear" w:color="auto" w:fill="auto"/>
            <w:tcW w:w="704" w:type="dxa"/>
            <w:vAlign w:val="center"/>
            <w:textDirection w:val="lrTb"/>
            <w:noWrap/>
          </w:tcPr>
          <w:p>
            <w:pPr>
              <w:jc w:val="center"/>
              <w:widowControl/>
            </w:pPr>
            <w:r>
              <w:t xml:space="preserve">13</w:t>
            </w:r>
            <w:r/>
          </w:p>
        </w:tc>
        <w:tc>
          <w:tcPr>
            <w:shd w:val="clear" w:color="auto" w:fill="auto"/>
            <w:tcW w:w="1275" w:type="dxa"/>
            <w:vAlign w:val="center"/>
            <w:textDirection w:val="lrTb"/>
            <w:noWrap/>
          </w:tcPr>
          <w:p>
            <w:pPr>
              <w:jc w:val="center"/>
              <w:widowControl/>
            </w:pPr>
            <w:r>
              <w:t xml:space="preserve">电力电缆</w:t>
            </w:r>
            <w:r>
              <w:rPr>
                <w:rFonts w:hint="eastAsia"/>
              </w:rPr>
              <w:t xml:space="preserve">2</w:t>
            </w:r>
            <w:r/>
          </w:p>
        </w:tc>
        <w:tc>
          <w:tcPr>
            <w:shd w:val="clear" w:color="auto" w:fill="auto"/>
            <w:tcW w:w="5926" w:type="dxa"/>
            <w:vAlign w:val="center"/>
            <w:textDirection w:val="lrTb"/>
            <w:noWrap/>
          </w:tcPr>
          <w:p>
            <w:pPr>
              <w:jc w:val="left"/>
              <w:widowControl/>
            </w:pPr>
            <w:r>
              <w:t xml:space="preserve">YJV-4×95+1×50</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200</w:t>
            </w:r>
            <w:r/>
          </w:p>
        </w:tc>
      </w:tr>
      <w:tr>
        <w:trPr>
          <w:gridAfter w:val="1"/>
          <w:trHeight w:val="270"/>
        </w:trPr>
        <w:tc>
          <w:tcPr>
            <w:shd w:val="clear" w:color="auto" w:fill="auto"/>
            <w:tcW w:w="704" w:type="dxa"/>
            <w:vAlign w:val="center"/>
            <w:textDirection w:val="lrTb"/>
            <w:noWrap/>
          </w:tcPr>
          <w:p>
            <w:pPr>
              <w:jc w:val="center"/>
              <w:widowControl/>
            </w:pPr>
            <w:r>
              <w:t xml:space="preserve">14</w:t>
            </w:r>
            <w:r/>
          </w:p>
        </w:tc>
        <w:tc>
          <w:tcPr>
            <w:shd w:val="clear" w:color="auto" w:fill="auto"/>
            <w:tcW w:w="1275" w:type="dxa"/>
            <w:vAlign w:val="center"/>
            <w:textDirection w:val="lrTb"/>
            <w:noWrap/>
          </w:tcPr>
          <w:p>
            <w:pPr>
              <w:jc w:val="center"/>
              <w:widowControl/>
            </w:pPr>
            <w:r>
              <w:t xml:space="preserve">电力电缆</w:t>
            </w:r>
            <w:r>
              <w:rPr>
                <w:rFonts w:hint="eastAsia"/>
              </w:rPr>
              <w:t xml:space="preserve">3</w:t>
            </w:r>
            <w:r/>
          </w:p>
        </w:tc>
        <w:tc>
          <w:tcPr>
            <w:shd w:val="clear" w:color="auto" w:fill="auto"/>
            <w:tcW w:w="5926" w:type="dxa"/>
            <w:vAlign w:val="center"/>
            <w:textDirection w:val="lrTb"/>
            <w:noWrap/>
          </w:tcPr>
          <w:p>
            <w:pPr>
              <w:jc w:val="left"/>
              <w:widowControl/>
            </w:pPr>
            <w:r>
              <w:t xml:space="preserve">YJV22-10KV-3×70</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600</w:t>
            </w:r>
            <w:r/>
          </w:p>
        </w:tc>
      </w:tr>
      <w:tr>
        <w:trPr>
          <w:gridAfter w:val="1"/>
          <w:trHeight w:val="270"/>
        </w:trPr>
        <w:tc>
          <w:tcPr>
            <w:shd w:val="clear" w:color="auto" w:fill="auto"/>
            <w:tcW w:w="704" w:type="dxa"/>
            <w:vAlign w:val="center"/>
            <w:textDirection w:val="lrTb"/>
            <w:noWrap/>
          </w:tcPr>
          <w:p>
            <w:pPr>
              <w:jc w:val="center"/>
              <w:widowControl/>
            </w:pPr>
            <w:r>
              <w:t xml:space="preserve">15</w:t>
            </w:r>
            <w:r/>
          </w:p>
        </w:tc>
        <w:tc>
          <w:tcPr>
            <w:shd w:val="clear" w:color="auto" w:fill="auto"/>
            <w:tcW w:w="1275" w:type="dxa"/>
            <w:vAlign w:val="center"/>
            <w:textDirection w:val="lrTb"/>
            <w:noWrap/>
          </w:tcPr>
          <w:p>
            <w:pPr>
              <w:jc w:val="center"/>
              <w:widowControl/>
            </w:pPr>
            <w:r>
              <w:t xml:space="preserve">主光缆</w:t>
            </w:r>
            <w:r/>
          </w:p>
        </w:tc>
        <w:tc>
          <w:tcPr>
            <w:shd w:val="clear" w:color="auto" w:fill="auto"/>
            <w:tcW w:w="5926" w:type="dxa"/>
            <w:vAlign w:val="center"/>
            <w:textDirection w:val="lrTb"/>
            <w:noWrap/>
          </w:tcPr>
          <w:p>
            <w:pPr>
              <w:jc w:val="left"/>
              <w:widowControl/>
            </w:pPr>
            <w:r>
              <w:t xml:space="preserve">96芯</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6000</w:t>
            </w:r>
            <w:r/>
          </w:p>
        </w:tc>
      </w:tr>
      <w:tr>
        <w:trPr>
          <w:gridAfter w:val="1"/>
          <w:trHeight w:val="270"/>
        </w:trPr>
        <w:tc>
          <w:tcPr>
            <w:shd w:val="clear" w:color="auto" w:fill="auto"/>
            <w:tcW w:w="704" w:type="dxa"/>
            <w:vAlign w:val="center"/>
            <w:textDirection w:val="lrTb"/>
            <w:noWrap/>
          </w:tcPr>
          <w:p>
            <w:pPr>
              <w:jc w:val="center"/>
              <w:widowControl/>
            </w:pPr>
            <w:r>
              <w:t xml:space="preserve">16</w:t>
            </w:r>
            <w:r/>
          </w:p>
        </w:tc>
        <w:tc>
          <w:tcPr>
            <w:shd w:val="clear" w:color="auto" w:fill="auto"/>
            <w:tcW w:w="1275" w:type="dxa"/>
            <w:vAlign w:val="center"/>
            <w:textDirection w:val="lrTb"/>
            <w:noWrap/>
          </w:tcPr>
          <w:p>
            <w:pPr>
              <w:jc w:val="center"/>
              <w:widowControl/>
            </w:pPr>
            <w:r>
              <w:t xml:space="preserve">光纤</w:t>
            </w:r>
            <w:r/>
          </w:p>
        </w:tc>
        <w:tc>
          <w:tcPr>
            <w:shd w:val="clear" w:color="auto" w:fill="auto"/>
            <w:tcW w:w="5926" w:type="dxa"/>
            <w:vAlign w:val="center"/>
            <w:textDirection w:val="lrTb"/>
            <w:noWrap/>
          </w:tcPr>
          <w:p>
            <w:pPr>
              <w:jc w:val="left"/>
              <w:widowControl/>
            </w:pPr>
            <w:r>
              <w:t xml:space="preserve">4芯单模光纤</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10000</w:t>
            </w:r>
            <w:r/>
          </w:p>
        </w:tc>
      </w:tr>
      <w:tr>
        <w:trPr>
          <w:gridAfter w:val="1"/>
          <w:trHeight w:val="270"/>
        </w:trPr>
        <w:tc>
          <w:tcPr>
            <w:shd w:val="clear" w:color="auto" w:fill="auto"/>
            <w:tcW w:w="704" w:type="dxa"/>
            <w:vAlign w:val="center"/>
            <w:textDirection w:val="lrTb"/>
            <w:noWrap/>
          </w:tcPr>
          <w:p>
            <w:pPr>
              <w:jc w:val="center"/>
              <w:widowControl/>
            </w:pPr>
            <w:r>
              <w:t xml:space="preserve">17</w:t>
            </w:r>
            <w:r/>
          </w:p>
        </w:tc>
        <w:tc>
          <w:tcPr>
            <w:shd w:val="clear" w:color="auto" w:fill="auto"/>
            <w:tcW w:w="1275" w:type="dxa"/>
            <w:vAlign w:val="center"/>
            <w:textDirection w:val="lrTb"/>
            <w:noWrap/>
          </w:tcPr>
          <w:p>
            <w:pPr>
              <w:jc w:val="center"/>
              <w:widowControl/>
            </w:pPr>
            <w:r>
              <w:t xml:space="preserve">室外防水网线</w:t>
            </w:r>
            <w:r/>
          </w:p>
        </w:tc>
        <w:tc>
          <w:tcPr>
            <w:shd w:val="clear" w:color="auto" w:fill="auto"/>
            <w:tcW w:w="5926" w:type="dxa"/>
            <w:vAlign w:val="center"/>
            <w:textDirection w:val="lrTb"/>
            <w:noWrap/>
          </w:tcPr>
          <w:p>
            <w:pPr>
              <w:jc w:val="left"/>
              <w:widowControl/>
            </w:pPr>
            <w:r>
              <w:t xml:space="preserve">超五类网线</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3000</w:t>
            </w:r>
            <w:r/>
          </w:p>
        </w:tc>
      </w:tr>
      <w:tr>
        <w:trPr>
          <w:gridAfter w:val="1"/>
          <w:trHeight w:val="270"/>
        </w:trPr>
        <w:tc>
          <w:tcPr>
            <w:shd w:val="clear" w:color="auto" w:fill="auto"/>
            <w:tcW w:w="704" w:type="dxa"/>
            <w:vAlign w:val="center"/>
            <w:textDirection w:val="lrTb"/>
            <w:noWrap/>
          </w:tcPr>
          <w:p>
            <w:pPr>
              <w:jc w:val="center"/>
              <w:widowControl/>
            </w:pPr>
            <w:r>
              <w:t xml:space="preserve">18</w:t>
            </w:r>
            <w:r/>
          </w:p>
        </w:tc>
        <w:tc>
          <w:tcPr>
            <w:shd w:val="clear" w:color="auto" w:fill="auto"/>
            <w:tcW w:w="1275" w:type="dxa"/>
            <w:vAlign w:val="center"/>
            <w:textDirection w:val="lrTb"/>
            <w:noWrap/>
          </w:tcPr>
          <w:p>
            <w:pPr>
              <w:jc w:val="center"/>
              <w:widowControl/>
            </w:pPr>
            <w:r>
              <w:t xml:space="preserve">电源线</w:t>
            </w:r>
            <w:r>
              <w:rPr>
                <w:rFonts w:hint="eastAsia"/>
              </w:rPr>
              <w:t xml:space="preserve">1</w:t>
            </w:r>
            <w:r/>
          </w:p>
        </w:tc>
        <w:tc>
          <w:tcPr>
            <w:shd w:val="clear" w:color="auto" w:fill="auto"/>
            <w:tcW w:w="5926" w:type="dxa"/>
            <w:vAlign w:val="center"/>
            <w:textDirection w:val="lrTb"/>
            <w:noWrap/>
          </w:tcPr>
          <w:p>
            <w:pPr>
              <w:jc w:val="left"/>
              <w:widowControl/>
            </w:pPr>
            <w:r>
              <w:t xml:space="preserve">RVV3×2.5mm²</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3000</w:t>
            </w:r>
            <w:r/>
          </w:p>
        </w:tc>
      </w:tr>
      <w:tr>
        <w:trPr>
          <w:gridAfter w:val="1"/>
          <w:trHeight w:val="270"/>
        </w:trPr>
        <w:tc>
          <w:tcPr>
            <w:shd w:val="clear" w:color="auto" w:fill="auto"/>
            <w:tcW w:w="704" w:type="dxa"/>
            <w:vAlign w:val="center"/>
            <w:textDirection w:val="lrTb"/>
            <w:noWrap/>
          </w:tcPr>
          <w:p>
            <w:pPr>
              <w:jc w:val="center"/>
              <w:widowControl/>
            </w:pPr>
            <w:r>
              <w:t xml:space="preserve">19</w:t>
            </w:r>
            <w:r/>
          </w:p>
        </w:tc>
        <w:tc>
          <w:tcPr>
            <w:shd w:val="clear" w:color="auto" w:fill="auto"/>
            <w:tcW w:w="1275" w:type="dxa"/>
            <w:vAlign w:val="center"/>
            <w:textDirection w:val="lrTb"/>
            <w:noWrap/>
          </w:tcPr>
          <w:p>
            <w:pPr>
              <w:jc w:val="center"/>
              <w:widowControl/>
            </w:pPr>
            <w:r>
              <w:t xml:space="preserve">电源线</w:t>
            </w:r>
            <w:r>
              <w:rPr>
                <w:rFonts w:hint="eastAsia"/>
              </w:rPr>
              <w:t xml:space="preserve">2</w:t>
            </w:r>
            <w:r/>
          </w:p>
        </w:tc>
        <w:tc>
          <w:tcPr>
            <w:shd w:val="clear" w:color="auto" w:fill="auto"/>
            <w:tcW w:w="5926" w:type="dxa"/>
            <w:vAlign w:val="center"/>
            <w:textDirection w:val="lrTb"/>
            <w:noWrap/>
          </w:tcPr>
          <w:p>
            <w:pPr>
              <w:jc w:val="left"/>
              <w:widowControl/>
            </w:pPr>
            <w:r>
              <w:t xml:space="preserve">RVV3×1.5mm²</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3000</w:t>
            </w:r>
            <w:r/>
          </w:p>
        </w:tc>
      </w:tr>
      <w:tr>
        <w:trPr>
          <w:gridAfter w:val="1"/>
          <w:trHeight w:val="270"/>
        </w:trPr>
        <w:tc>
          <w:tcPr>
            <w:shd w:val="clear" w:color="auto" w:fill="auto"/>
            <w:tcW w:w="704" w:type="dxa"/>
            <w:vAlign w:val="center"/>
            <w:textDirection w:val="lrTb"/>
            <w:noWrap/>
          </w:tcPr>
          <w:p>
            <w:pPr>
              <w:jc w:val="center"/>
              <w:widowControl/>
            </w:pPr>
            <w:r>
              <w:t xml:space="preserve">20</w:t>
            </w:r>
            <w:r/>
          </w:p>
        </w:tc>
        <w:tc>
          <w:tcPr>
            <w:shd w:val="clear" w:color="auto" w:fill="auto"/>
            <w:tcW w:w="1275" w:type="dxa"/>
            <w:vAlign w:val="center"/>
            <w:textDirection w:val="lrTb"/>
            <w:noWrap/>
          </w:tcPr>
          <w:p>
            <w:pPr>
              <w:jc w:val="center"/>
              <w:widowControl/>
            </w:pPr>
            <w:r>
              <w:t xml:space="preserve">信号线</w:t>
            </w:r>
            <w:r/>
          </w:p>
        </w:tc>
        <w:tc>
          <w:tcPr>
            <w:shd w:val="clear" w:color="auto" w:fill="auto"/>
            <w:tcW w:w="5926" w:type="dxa"/>
            <w:vAlign w:val="center"/>
            <w:textDirection w:val="lrTb"/>
            <w:noWrap/>
          </w:tcPr>
          <w:p>
            <w:pPr>
              <w:jc w:val="left"/>
              <w:widowControl/>
            </w:pPr>
            <w:r>
              <w:t xml:space="preserve">RVSP2×1.5mm²</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3000</w:t>
            </w:r>
            <w:r/>
          </w:p>
        </w:tc>
      </w:tr>
      <w:tr>
        <w:trPr>
          <w:gridAfter w:val="1"/>
          <w:trHeight w:val="270"/>
        </w:trPr>
        <w:tc>
          <w:tcPr>
            <w:shd w:val="clear" w:color="auto" w:fill="auto"/>
            <w:tcW w:w="704" w:type="dxa"/>
            <w:vAlign w:val="center"/>
            <w:textDirection w:val="lrTb"/>
            <w:noWrap/>
          </w:tcPr>
          <w:p>
            <w:pPr>
              <w:jc w:val="center"/>
              <w:widowControl/>
            </w:pPr>
            <w:r>
              <w:t xml:space="preserve">21</w:t>
            </w:r>
            <w:r/>
          </w:p>
        </w:tc>
        <w:tc>
          <w:tcPr>
            <w:shd w:val="clear" w:color="auto" w:fill="auto"/>
            <w:tcW w:w="1275" w:type="dxa"/>
            <w:vAlign w:val="center"/>
            <w:textDirection w:val="lrTb"/>
            <w:noWrap/>
          </w:tcPr>
          <w:p>
            <w:pPr>
              <w:jc w:val="center"/>
              <w:widowControl/>
            </w:pPr>
            <w:r>
              <w:t xml:space="preserve">水平导向钻进</w:t>
            </w:r>
            <w:r>
              <w:rPr>
                <w:rFonts w:hint="eastAsia"/>
              </w:rPr>
              <w:t xml:space="preserve">1</w:t>
            </w:r>
            <w:r/>
          </w:p>
        </w:tc>
        <w:tc>
          <w:tcPr>
            <w:shd w:val="clear" w:color="auto" w:fill="auto"/>
            <w:tcW w:w="5926" w:type="dxa"/>
            <w:vAlign w:val="center"/>
            <w:textDirection w:val="lrTb"/>
            <w:noWrap/>
          </w:tcPr>
          <w:p>
            <w:pPr>
              <w:jc w:val="left"/>
              <w:widowControl/>
            </w:pPr>
            <w:r>
              <w:t xml:space="preserve">1.土壤类别：综合类土</w:t>
            </w:r>
            <w:r/>
          </w:p>
          <w:p>
            <w:pPr>
              <w:jc w:val="left"/>
              <w:widowControl/>
            </w:pPr>
            <w:r>
              <w:t xml:space="preserve">2.材质及规格：PE管Φ75</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6000</w:t>
            </w:r>
            <w:r/>
          </w:p>
        </w:tc>
      </w:tr>
      <w:tr>
        <w:trPr>
          <w:gridAfter w:val="1"/>
          <w:trHeight w:val="270"/>
        </w:trPr>
        <w:tc>
          <w:tcPr>
            <w:shd w:val="clear" w:color="auto" w:fill="auto"/>
            <w:tcW w:w="704" w:type="dxa"/>
            <w:vAlign w:val="center"/>
            <w:textDirection w:val="lrTb"/>
            <w:noWrap/>
          </w:tcPr>
          <w:p>
            <w:pPr>
              <w:jc w:val="center"/>
              <w:widowControl/>
            </w:pPr>
            <w:r>
              <w:t xml:space="preserve">22</w:t>
            </w:r>
            <w:r/>
          </w:p>
        </w:tc>
        <w:tc>
          <w:tcPr>
            <w:shd w:val="clear" w:color="auto" w:fill="auto"/>
            <w:tcW w:w="1275" w:type="dxa"/>
            <w:vAlign w:val="center"/>
            <w:textDirection w:val="lrTb"/>
            <w:noWrap/>
          </w:tcPr>
          <w:p>
            <w:pPr>
              <w:jc w:val="center"/>
              <w:widowControl/>
            </w:pPr>
            <w:r>
              <w:t xml:space="preserve">水平导向钻进</w:t>
            </w:r>
            <w:r>
              <w:rPr>
                <w:rFonts w:hint="eastAsia"/>
              </w:rPr>
              <w:t xml:space="preserve">2</w:t>
            </w:r>
            <w:r/>
          </w:p>
        </w:tc>
        <w:tc>
          <w:tcPr>
            <w:shd w:val="clear" w:color="auto" w:fill="auto"/>
            <w:tcW w:w="5926" w:type="dxa"/>
            <w:vAlign w:val="center"/>
            <w:textDirection w:val="lrTb"/>
            <w:noWrap/>
          </w:tcPr>
          <w:p>
            <w:pPr>
              <w:jc w:val="left"/>
              <w:widowControl/>
            </w:pPr>
            <w:r>
              <w:t xml:space="preserve">1.土壤类别：综合类土</w:t>
            </w:r>
            <w:r/>
          </w:p>
          <w:p>
            <w:pPr>
              <w:jc w:val="left"/>
              <w:widowControl/>
            </w:pPr>
            <w:r>
              <w:t xml:space="preserve">2.材质及规格：PE管Φ110</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600</w:t>
            </w:r>
            <w:r/>
          </w:p>
        </w:tc>
      </w:tr>
      <w:tr>
        <w:trPr>
          <w:gridAfter w:val="1"/>
          <w:trHeight w:val="270"/>
        </w:trPr>
        <w:tc>
          <w:tcPr>
            <w:shd w:val="clear" w:color="auto" w:fill="auto"/>
            <w:tcW w:w="704" w:type="dxa"/>
            <w:vAlign w:val="center"/>
            <w:textDirection w:val="lrTb"/>
            <w:noWrap/>
          </w:tcPr>
          <w:p>
            <w:pPr>
              <w:jc w:val="center"/>
              <w:widowControl/>
            </w:pPr>
            <w:r>
              <w:t xml:space="preserve">23</w:t>
            </w:r>
            <w:r/>
          </w:p>
        </w:tc>
        <w:tc>
          <w:tcPr>
            <w:shd w:val="clear" w:color="auto" w:fill="auto"/>
            <w:tcW w:w="1275" w:type="dxa"/>
            <w:vAlign w:val="center"/>
            <w:textDirection w:val="lrTb"/>
            <w:noWrap/>
          </w:tcPr>
          <w:p>
            <w:pPr>
              <w:jc w:val="center"/>
              <w:widowControl/>
            </w:pPr>
            <w:r>
              <w:t xml:space="preserve">埋地敷设</w:t>
            </w:r>
            <w:r/>
          </w:p>
        </w:tc>
        <w:tc>
          <w:tcPr>
            <w:shd w:val="clear" w:color="auto" w:fill="auto"/>
            <w:tcW w:w="5926" w:type="dxa"/>
            <w:vAlign w:val="center"/>
            <w:textDirection w:val="lrTb"/>
            <w:noWrap/>
          </w:tcPr>
          <w:p>
            <w:pPr>
              <w:jc w:val="left"/>
              <w:widowControl/>
            </w:pPr>
            <w:r>
              <w:t xml:space="preserve">PE管Φ50埋地敷设，包含管道的挖填土方。</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2000</w:t>
            </w:r>
            <w:r/>
          </w:p>
        </w:tc>
      </w:tr>
      <w:tr>
        <w:trPr>
          <w:gridAfter w:val="1"/>
          <w:trHeight w:val="270"/>
        </w:trPr>
        <w:tc>
          <w:tcPr>
            <w:shd w:val="clear" w:color="auto" w:fill="auto"/>
            <w:tcW w:w="704" w:type="dxa"/>
            <w:vAlign w:val="center"/>
            <w:textDirection w:val="lrTb"/>
            <w:noWrap/>
          </w:tcPr>
          <w:p>
            <w:pPr>
              <w:jc w:val="center"/>
              <w:widowControl/>
            </w:pPr>
            <w:r>
              <w:t xml:space="preserve">24</w:t>
            </w:r>
            <w:r/>
          </w:p>
        </w:tc>
        <w:tc>
          <w:tcPr>
            <w:shd w:val="clear" w:color="auto" w:fill="auto"/>
            <w:tcW w:w="1275" w:type="dxa"/>
            <w:vAlign w:val="center"/>
            <w:textDirection w:val="lrTb"/>
            <w:noWrap/>
          </w:tcPr>
          <w:p>
            <w:pPr>
              <w:jc w:val="center"/>
              <w:widowControl/>
            </w:pPr>
            <w:r>
              <w:t xml:space="preserve">砌筑井</w:t>
            </w:r>
            <w:r/>
          </w:p>
        </w:tc>
        <w:tc>
          <w:tcPr>
            <w:shd w:val="clear" w:color="auto" w:fill="auto"/>
            <w:tcW w:w="5926" w:type="dxa"/>
            <w:vAlign w:val="center"/>
            <w:textDirection w:val="lrTb"/>
            <w:noWrap/>
          </w:tcPr>
          <w:p>
            <w:pPr>
              <w:jc w:val="left"/>
              <w:widowControl/>
            </w:pPr>
            <w:r>
              <w:t xml:space="preserve">手孔井（含井座、井盖）</w:t>
            </w:r>
            <w:r/>
          </w:p>
        </w:tc>
        <w:tc>
          <w:tcPr>
            <w:shd w:val="clear" w:color="auto" w:fill="auto"/>
            <w:tcW w:w="682" w:type="dxa"/>
            <w:vAlign w:val="center"/>
            <w:textDirection w:val="lrTb"/>
            <w:noWrap/>
          </w:tcPr>
          <w:p>
            <w:pPr>
              <w:jc w:val="center"/>
              <w:widowControl/>
            </w:pPr>
            <w:r>
              <w:t xml:space="preserve">座</w:t>
            </w:r>
            <w:r/>
          </w:p>
        </w:tc>
        <w:tc>
          <w:tcPr>
            <w:shd w:val="clear" w:color="auto" w:fill="auto"/>
            <w:tcW w:w="900" w:type="dxa"/>
            <w:vAlign w:val="center"/>
            <w:textDirection w:val="lrTb"/>
            <w:noWrap/>
          </w:tcPr>
          <w:p>
            <w:pPr>
              <w:jc w:val="center"/>
              <w:widowControl/>
            </w:pPr>
            <w:r>
              <w:t xml:space="preserve">120</w:t>
            </w:r>
            <w:r/>
          </w:p>
        </w:tc>
      </w:tr>
      <w:tr>
        <w:trPr>
          <w:gridAfter w:val="1"/>
          <w:trHeight w:val="270"/>
        </w:trPr>
        <w:tc>
          <w:tcPr>
            <w:shd w:val="clear" w:color="auto" w:fill="auto"/>
            <w:tcW w:w="704" w:type="dxa"/>
            <w:vAlign w:val="center"/>
            <w:textDirection w:val="lrTb"/>
            <w:noWrap/>
          </w:tcPr>
          <w:p>
            <w:pPr>
              <w:jc w:val="center"/>
              <w:widowControl/>
            </w:pPr>
            <w:r>
              <w:t xml:space="preserve">25</w:t>
            </w:r>
            <w:r/>
          </w:p>
        </w:tc>
        <w:tc>
          <w:tcPr>
            <w:shd w:val="clear" w:color="auto" w:fill="auto"/>
            <w:tcW w:w="1275" w:type="dxa"/>
            <w:vAlign w:val="center"/>
            <w:textDirection w:val="lrTb"/>
            <w:noWrap/>
          </w:tcPr>
          <w:p>
            <w:pPr>
              <w:jc w:val="center"/>
              <w:widowControl/>
            </w:pPr>
            <w:r>
              <w:t xml:space="preserve">运营商链路租赁费</w:t>
            </w:r>
            <w:r/>
          </w:p>
        </w:tc>
        <w:tc>
          <w:tcPr>
            <w:shd w:val="clear" w:color="auto" w:fill="auto"/>
            <w:tcW w:w="5926" w:type="dxa"/>
            <w:vAlign w:val="center"/>
            <w:textDirection w:val="lrTb"/>
            <w:noWrap/>
          </w:tcPr>
          <w:p>
            <w:pPr>
              <w:jc w:val="left"/>
              <w:widowControl/>
            </w:pPr>
            <w:r>
              <w:t xml:space="preserve">百兆带宽，智慧灯杆接入点、二年计算</w:t>
            </w:r>
            <w:r/>
          </w:p>
        </w:tc>
        <w:tc>
          <w:tcPr>
            <w:shd w:val="clear" w:color="auto" w:fill="auto"/>
            <w:tcW w:w="682" w:type="dxa"/>
            <w:vAlign w:val="center"/>
            <w:textDirection w:val="lrTb"/>
            <w:noWrap/>
          </w:tcPr>
          <w:p>
            <w:pPr>
              <w:jc w:val="center"/>
              <w:widowControl/>
            </w:pPr>
            <w:r>
              <w:t xml:space="preserve">点</w:t>
            </w:r>
            <w:r/>
          </w:p>
        </w:tc>
        <w:tc>
          <w:tcPr>
            <w:shd w:val="clear" w:color="auto" w:fill="auto"/>
            <w:tcW w:w="900" w:type="dxa"/>
            <w:vAlign w:val="center"/>
            <w:textDirection w:val="lrTb"/>
            <w:noWrap/>
          </w:tcPr>
          <w:p>
            <w:pPr>
              <w:jc w:val="center"/>
              <w:widowControl/>
            </w:pPr>
            <w:r>
              <w:t xml:space="preserve">22</w:t>
            </w:r>
            <w:r/>
          </w:p>
        </w:tc>
      </w:tr>
      <w:tr>
        <w:trPr>
          <w:trHeight w:val="270"/>
        </w:trPr>
        <w:tc>
          <w:tcPr>
            <w:gridSpan w:val="6"/>
            <w:shd w:val="clear" w:color="auto" w:fill="auto"/>
            <w:tcW w:w="9495" w:type="dxa"/>
            <w:vAlign w:val="center"/>
            <w:textDirection w:val="lrTb"/>
            <w:noWrap/>
          </w:tcPr>
          <w:p>
            <w:pPr>
              <w:jc w:val="left"/>
              <w:widowControl/>
              <w:rPr>
                <w:b/>
                <w:bCs/>
              </w:rPr>
            </w:pPr>
            <w:r>
              <w:rPr>
                <w:b/>
                <w:bCs/>
              </w:rPr>
              <w:t xml:space="preserve">四、信号灯</w:t>
            </w:r>
            <w:r/>
          </w:p>
        </w:tc>
      </w:tr>
      <w:tr>
        <w:trPr>
          <w:gridAfter w:val="1"/>
          <w:trHeight w:val="270"/>
        </w:trPr>
        <w:tc>
          <w:tcPr>
            <w:shd w:val="clear" w:color="auto" w:fill="auto"/>
            <w:tcW w:w="704" w:type="dxa"/>
            <w:vAlign w:val="center"/>
            <w:textDirection w:val="lrTb"/>
            <w:noWrap/>
          </w:tcPr>
          <w:p>
            <w:pPr>
              <w:jc w:val="center"/>
              <w:widowControl/>
            </w:pPr>
            <w:r>
              <w:rPr>
                <w:color w:val="000000"/>
              </w:rPr>
              <w:t xml:space="preserve">1</w:t>
            </w:r>
            <w:r/>
          </w:p>
        </w:tc>
        <w:tc>
          <w:tcPr>
            <w:shd w:val="clear" w:color="auto" w:fill="auto"/>
            <w:tcW w:w="1275" w:type="dxa"/>
            <w:vAlign w:val="center"/>
            <w:textDirection w:val="lrTb"/>
            <w:noWrap/>
          </w:tcPr>
          <w:p>
            <w:pPr>
              <w:jc w:val="center"/>
              <w:widowControl/>
            </w:pPr>
            <w:r>
              <w:t xml:space="preserve">满屏信号灯</w:t>
            </w:r>
            <w:r/>
          </w:p>
        </w:tc>
        <w:tc>
          <w:tcPr>
            <w:shd w:val="clear" w:color="auto" w:fill="auto"/>
            <w:tcW w:w="5926" w:type="dxa"/>
            <w:vAlign w:val="center"/>
            <w:textDirection w:val="lrTb"/>
            <w:noWrap/>
          </w:tcPr>
          <w:p>
            <w:pPr>
              <w:jc w:val="left"/>
              <w:widowControl/>
            </w:pPr>
            <w:r>
              <w:t xml:space="preserve">400型满屏机动车道灯</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11</w:t>
            </w:r>
            <w:r/>
          </w:p>
        </w:tc>
      </w:tr>
      <w:tr>
        <w:trPr>
          <w:gridAfter w:val="1"/>
          <w:trHeight w:val="270"/>
        </w:trPr>
        <w:tc>
          <w:tcPr>
            <w:shd w:val="clear" w:color="auto" w:fill="auto"/>
            <w:tcW w:w="704" w:type="dxa"/>
            <w:vAlign w:val="center"/>
            <w:textDirection w:val="lrTb"/>
            <w:noWrap/>
          </w:tcPr>
          <w:p>
            <w:pPr>
              <w:jc w:val="center"/>
              <w:widowControl/>
            </w:pPr>
            <w:r>
              <w:rPr>
                <w:color w:val="000000"/>
              </w:rPr>
              <w:t xml:space="preserve">2</w:t>
            </w:r>
            <w:r/>
          </w:p>
        </w:tc>
        <w:tc>
          <w:tcPr>
            <w:shd w:val="clear" w:color="auto" w:fill="auto"/>
            <w:tcW w:w="1275" w:type="dxa"/>
            <w:vAlign w:val="center"/>
            <w:textDirection w:val="lrTb"/>
            <w:noWrap/>
          </w:tcPr>
          <w:p>
            <w:pPr>
              <w:jc w:val="center"/>
              <w:widowControl/>
            </w:pPr>
            <w:r>
              <w:t xml:space="preserve">箭头信号灯</w:t>
            </w:r>
            <w:r/>
          </w:p>
        </w:tc>
        <w:tc>
          <w:tcPr>
            <w:shd w:val="clear" w:color="auto" w:fill="auto"/>
            <w:tcW w:w="5926" w:type="dxa"/>
            <w:vAlign w:val="center"/>
            <w:textDirection w:val="lrTb"/>
            <w:noWrap/>
          </w:tcPr>
          <w:p>
            <w:pPr>
              <w:jc w:val="left"/>
              <w:widowControl/>
            </w:pPr>
            <w:r>
              <w:t xml:space="preserve">400型方向指示箭头灯</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11</w:t>
            </w:r>
            <w:r/>
          </w:p>
        </w:tc>
      </w:tr>
      <w:tr>
        <w:trPr>
          <w:gridAfter w:val="1"/>
          <w:trHeight w:val="270"/>
        </w:trPr>
        <w:tc>
          <w:tcPr>
            <w:shd w:val="clear" w:color="auto" w:fill="auto"/>
            <w:tcW w:w="704" w:type="dxa"/>
            <w:vAlign w:val="center"/>
            <w:textDirection w:val="lrTb"/>
            <w:noWrap/>
          </w:tcPr>
          <w:p>
            <w:pPr>
              <w:jc w:val="center"/>
              <w:widowControl/>
            </w:pPr>
            <w:r>
              <w:rPr>
                <w:color w:val="000000"/>
              </w:rPr>
              <w:t xml:space="preserve">3</w:t>
            </w:r>
            <w:r/>
          </w:p>
        </w:tc>
        <w:tc>
          <w:tcPr>
            <w:shd w:val="clear" w:color="auto" w:fill="auto"/>
            <w:tcW w:w="1275" w:type="dxa"/>
            <w:vAlign w:val="center"/>
            <w:textDirection w:val="lrTb"/>
            <w:noWrap/>
          </w:tcPr>
          <w:p>
            <w:pPr>
              <w:jc w:val="center"/>
              <w:widowControl/>
            </w:pPr>
            <w:r>
              <w:t xml:space="preserve">倒计时</w:t>
            </w:r>
            <w:r/>
          </w:p>
        </w:tc>
        <w:tc>
          <w:tcPr>
            <w:shd w:val="clear" w:color="auto" w:fill="auto"/>
            <w:tcW w:w="5926" w:type="dxa"/>
            <w:vAlign w:val="center"/>
            <w:textDirection w:val="lrTb"/>
            <w:noWrap/>
          </w:tcPr>
          <w:p>
            <w:pPr>
              <w:jc w:val="left"/>
              <w:widowControl/>
            </w:pPr>
            <w:r>
              <w:t xml:space="preserve">780型倒计时器，外壳材料：铝合金，铸塑</w:t>
            </w:r>
            <w:r/>
          </w:p>
          <w:p>
            <w:pPr>
              <w:jc w:val="left"/>
              <w:widowControl/>
            </w:pPr>
            <w:r>
              <w:t xml:space="preserve">灯芯尺寸：515×580（mm），490×665（mm）</w:t>
            </w:r>
            <w:r/>
          </w:p>
          <w:p>
            <w:pPr>
              <w:jc w:val="left"/>
              <w:widowControl/>
            </w:pPr>
            <w:r>
              <w:t xml:space="preserve">外形尺寸：600×800（mm），595×795（mm）</w:t>
            </w:r>
            <w:r/>
          </w:p>
          <w:p>
            <w:pPr>
              <w:jc w:val="left"/>
              <w:widowControl/>
            </w:pPr>
            <w:r>
              <w:t xml:space="preserve">单灯亮度：红灯、黄、绿灯≥4000cd/㎡</w:t>
            </w:r>
            <w:r/>
          </w:p>
          <w:p>
            <w:pPr>
              <w:jc w:val="left"/>
              <w:widowControl/>
            </w:pPr>
            <w:r>
              <w:t xml:space="preserve">单灯功率：红、黄、绿均≤20VA</w:t>
            </w:r>
            <w:r/>
          </w:p>
          <w:p>
            <w:pPr>
              <w:jc w:val="left"/>
              <w:widowControl/>
            </w:pPr>
            <w:r>
              <w:t xml:space="preserve">工作方式：学习式，通讯式，脉冲式.</w:t>
            </w:r>
            <w:r/>
          </w:p>
          <w:p>
            <w:pPr>
              <w:jc w:val="left"/>
              <w:widowControl/>
            </w:pPr>
            <w:r>
              <w:t xml:space="preserve">显示相位：多项位</w:t>
            </w:r>
            <w:r/>
          </w:p>
          <w:p>
            <w:pPr>
              <w:jc w:val="left"/>
              <w:widowControl/>
            </w:pPr>
            <w:r>
              <w:t xml:space="preserve">显示颜色：红黄绿三色</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11</w:t>
            </w:r>
            <w:r/>
          </w:p>
        </w:tc>
      </w:tr>
      <w:tr>
        <w:trPr>
          <w:gridAfter w:val="1"/>
          <w:trHeight w:val="270"/>
        </w:trPr>
        <w:tc>
          <w:tcPr>
            <w:shd w:val="clear" w:color="auto" w:fill="auto"/>
            <w:tcW w:w="704" w:type="dxa"/>
            <w:vAlign w:val="center"/>
            <w:textDirection w:val="lrTb"/>
            <w:noWrap/>
          </w:tcPr>
          <w:p>
            <w:pPr>
              <w:jc w:val="center"/>
              <w:widowControl/>
            </w:pPr>
            <w:r>
              <w:rPr>
                <w:color w:val="000000"/>
              </w:rPr>
              <w:t xml:space="preserve">4</w:t>
            </w:r>
            <w:r/>
          </w:p>
        </w:tc>
        <w:tc>
          <w:tcPr>
            <w:shd w:val="clear" w:color="auto" w:fill="auto"/>
            <w:tcW w:w="1275" w:type="dxa"/>
            <w:vAlign w:val="center"/>
            <w:textDirection w:val="lrTb"/>
            <w:noWrap/>
          </w:tcPr>
          <w:p>
            <w:pPr>
              <w:jc w:val="center"/>
              <w:widowControl/>
            </w:pPr>
            <w:r>
              <w:t xml:space="preserve">人行信号灯</w:t>
            </w:r>
            <w:r/>
          </w:p>
        </w:tc>
        <w:tc>
          <w:tcPr>
            <w:shd w:val="clear" w:color="auto" w:fill="auto"/>
            <w:tcW w:w="5926" w:type="dxa"/>
            <w:vAlign w:val="center"/>
            <w:textDirection w:val="lrTb"/>
            <w:noWrap/>
          </w:tcPr>
          <w:p>
            <w:pPr>
              <w:jc w:val="left"/>
              <w:widowControl/>
            </w:pPr>
            <w:r>
              <w:t xml:space="preserve">300型动态人行横道灯</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22</w:t>
            </w:r>
            <w:r/>
          </w:p>
        </w:tc>
      </w:tr>
      <w:tr>
        <w:trPr>
          <w:gridAfter w:val="1"/>
          <w:trHeight w:val="270"/>
        </w:trPr>
        <w:tc>
          <w:tcPr>
            <w:shd w:val="clear" w:color="auto" w:fill="auto"/>
            <w:tcW w:w="704" w:type="dxa"/>
            <w:vAlign w:val="center"/>
            <w:textDirection w:val="lrTb"/>
            <w:noWrap/>
          </w:tcPr>
          <w:p>
            <w:pPr>
              <w:jc w:val="center"/>
              <w:widowControl/>
            </w:pPr>
            <w:r>
              <w:rPr>
                <w:rFonts w:hint="eastAsia"/>
              </w:rPr>
              <w:t xml:space="preserve">5</w:t>
            </w:r>
            <w:r/>
          </w:p>
        </w:tc>
        <w:tc>
          <w:tcPr>
            <w:shd w:val="clear" w:color="auto" w:fill="auto"/>
            <w:tcW w:w="1275" w:type="dxa"/>
            <w:vAlign w:val="center"/>
            <w:textDirection w:val="lrTb"/>
            <w:noWrap/>
          </w:tcPr>
          <w:p>
            <w:pPr>
              <w:jc w:val="center"/>
              <w:widowControl/>
            </w:pPr>
            <w:r>
              <w:t xml:space="preserve">信号灯控制箱</w:t>
            </w:r>
            <w:r/>
          </w:p>
        </w:tc>
        <w:tc>
          <w:tcPr>
            <w:shd w:val="clear" w:color="auto" w:fill="auto"/>
            <w:tcW w:w="5926" w:type="dxa"/>
            <w:vAlign w:val="center"/>
            <w:textDirection w:val="lrTb"/>
            <w:noWrap/>
          </w:tcPr>
          <w:p>
            <w:pPr>
              <w:pStyle w:val="810"/>
              <w:numPr>
                <w:ilvl w:val="0"/>
                <w:numId w:val="23"/>
              </w:numPr>
              <w:ind w:left="292" w:hanging="291"/>
              <w:widowControl/>
            </w:pPr>
            <w:r>
              <w:t xml:space="preserve">支持16个主相位，16个跟随相位，并支持主相位重复运行，满足周期内交通流重复放行及参数独立设置。</w:t>
            </w:r>
            <w:r/>
          </w:p>
          <w:p>
            <w:pPr>
              <w:pStyle w:val="810"/>
              <w:numPr>
                <w:ilvl w:val="0"/>
                <w:numId w:val="23"/>
              </w:numPr>
              <w:ind w:left="292" w:hanging="291"/>
              <w:widowControl/>
            </w:pPr>
            <w:r>
              <w:t xml:space="preserve">支持不小于24路独立信号输出。</w:t>
            </w:r>
            <w:r/>
          </w:p>
          <w:p>
            <w:pPr>
              <w:pStyle w:val="810"/>
              <w:numPr>
                <w:ilvl w:val="0"/>
                <w:numId w:val="23"/>
              </w:numPr>
              <w:ind w:left="292" w:hanging="291"/>
              <w:widowControl/>
            </w:pPr>
            <w:r>
              <w:t xml:space="preserve">信号机应具有独立于灯具驱动输出电路的黄闪控制装置，信号机无法正常工作时，应能通过独立的黄闪控制装置将信号输出切换为黄闪状态。</w:t>
            </w:r>
            <w:r/>
          </w:p>
          <w:p>
            <w:pPr>
              <w:pStyle w:val="810"/>
              <w:numPr>
                <w:ilvl w:val="0"/>
                <w:numId w:val="23"/>
              </w:numPr>
              <w:ind w:left="292" w:hanging="291"/>
              <w:widowControl/>
            </w:pPr>
            <w:r>
              <w:t xml:space="preserve">支持对不小于48路道路交通信号灯进行控制。</w:t>
            </w:r>
            <w:r/>
          </w:p>
          <w:p>
            <w:pPr>
              <w:pStyle w:val="810"/>
              <w:numPr>
                <w:ilvl w:val="0"/>
                <w:numId w:val="23"/>
              </w:numPr>
              <w:ind w:left="292" w:hanging="291"/>
              <w:widowControl/>
            </w:pPr>
            <w:r>
              <w:t xml:space="preserve">支持不小于108个周期方案，包含54信号控制周期方案和54可变车道周期方案。</w:t>
            </w:r>
            <w:r/>
          </w:p>
          <w:p>
            <w:pPr>
              <w:pStyle w:val="810"/>
              <w:numPr>
                <w:ilvl w:val="0"/>
                <w:numId w:val="23"/>
              </w:numPr>
              <w:ind w:left="292" w:hanging="291"/>
              <w:widowControl/>
            </w:pPr>
            <w:r>
              <w:t xml:space="preserve">支持不小于40个周计划，包含20信号控制周计划和20可变车道周计划。</w:t>
            </w:r>
            <w:r/>
          </w:p>
          <w:p>
            <w:pPr>
              <w:pStyle w:val="810"/>
              <w:numPr>
                <w:ilvl w:val="0"/>
                <w:numId w:val="23"/>
              </w:numPr>
              <w:ind w:left="292" w:hanging="291"/>
              <w:widowControl/>
            </w:pPr>
            <w:r>
              <w:t xml:space="preserve">支持不小于32个特殊计划，包含16个信号控制特殊计划和16可变车道特殊计划。</w:t>
            </w:r>
            <w:r/>
          </w:p>
          <w:p>
            <w:pPr>
              <w:pStyle w:val="810"/>
              <w:numPr>
                <w:ilvl w:val="0"/>
                <w:numId w:val="23"/>
              </w:numPr>
              <w:ind w:left="292" w:hanging="291"/>
              <w:widowControl/>
            </w:pPr>
            <w:r>
              <w:rPr>
                <w:rFonts w:ascii="Segoe UI Symbol" w:hAnsi="Segoe UI Symbol" w:cs="Segoe UI Symbol"/>
              </w:rPr>
              <w:t xml:space="preserve">★</w:t>
            </w:r>
            <w:r>
              <w:t xml:space="preserve">具有GPS连接指示灯，用来判断GPS模块是否连接</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t xml:space="preserve">。</w:t>
            </w:r>
            <w:r/>
          </w:p>
          <w:p>
            <w:pPr>
              <w:pStyle w:val="810"/>
              <w:numPr>
                <w:ilvl w:val="0"/>
                <w:numId w:val="23"/>
              </w:numPr>
              <w:ind w:left="292" w:hanging="291"/>
              <w:widowControl/>
            </w:pPr>
            <w:r>
              <w:t xml:space="preserve">支持不小于224个日计划，包含112信号控制周计划和112可变车道日计划。</w:t>
            </w:r>
            <w:r/>
          </w:p>
          <w:p>
            <w:pPr>
              <w:pStyle w:val="810"/>
              <w:numPr>
                <w:ilvl w:val="0"/>
                <w:numId w:val="23"/>
              </w:numPr>
              <w:ind w:left="292" w:hanging="291"/>
              <w:widowControl/>
            </w:pPr>
            <w:r>
              <w:t xml:space="preserve">支持每个路口可设置8个方向岔口（正东、正南、正西、正北、东南、西南、西北、西北、东北），每个方向岔口可设置8个进口车道和8个出口车道。</w:t>
            </w:r>
            <w:r/>
          </w:p>
          <w:p>
            <w:pPr>
              <w:pStyle w:val="810"/>
              <w:numPr>
                <w:ilvl w:val="0"/>
                <w:numId w:val="23"/>
              </w:numPr>
              <w:ind w:left="292" w:hanging="291"/>
              <w:widowControl/>
            </w:pPr>
            <w:r>
              <w:rPr>
                <w:rFonts w:ascii="Segoe UI Symbol" w:hAnsi="Segoe UI Symbol" w:cs="Segoe UI Symbol"/>
              </w:rPr>
              <w:t xml:space="preserve">★</w:t>
            </w:r>
            <w:r>
              <w:t xml:space="preserve">具备手动控制功能，在手动工作方式下，按一次手动按钮，信号状态能按预定的相位要求改变一次</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p>
            <w:pPr>
              <w:pStyle w:val="810"/>
              <w:numPr>
                <w:ilvl w:val="0"/>
                <w:numId w:val="23"/>
              </w:numPr>
              <w:ind w:left="292" w:hanging="291"/>
              <w:widowControl/>
            </w:pPr>
            <w:r>
              <w:t xml:space="preserve">支持可变车道、潮汐车道、闸道通行方案设置及控制，该路口其余车道红绿灯控制信号可独立运行。</w:t>
            </w:r>
            <w:r/>
          </w:p>
          <w:p>
            <w:pPr>
              <w:pStyle w:val="810"/>
              <w:numPr>
                <w:ilvl w:val="0"/>
                <w:numId w:val="23"/>
              </w:numPr>
              <w:ind w:left="292" w:hanging="291"/>
              <w:widowControl/>
            </w:pPr>
            <w:r>
              <w:t xml:space="preserve">发送方案过程中断电/断网，设备重启/恢复网络后无异常，正常运行原来的周期方案；发送方案成功后断电/断网，设备重启/恢复网络后无异常，正常运行新的周期方案。</w:t>
            </w:r>
            <w:r/>
          </w:p>
          <w:p>
            <w:pPr>
              <w:pStyle w:val="810"/>
              <w:numPr>
                <w:ilvl w:val="0"/>
                <w:numId w:val="23"/>
              </w:numPr>
              <w:ind w:left="292" w:hanging="291"/>
              <w:widowControl/>
            </w:pPr>
            <w:r>
              <w:t xml:space="preserve">具有流量采集功能，可接入车辆检测器，实现交通流量数据采集功能，并支持通过平台导出流量数据，生成流量统计报表。</w:t>
            </w:r>
            <w:r/>
          </w:p>
          <w:p>
            <w:pPr>
              <w:pStyle w:val="810"/>
              <w:numPr>
                <w:ilvl w:val="0"/>
                <w:numId w:val="23"/>
              </w:numPr>
              <w:ind w:left="292" w:hanging="291"/>
              <w:widowControl/>
            </w:pPr>
            <w:r>
              <w:t xml:space="preserve">支持车检器接入并接收数据，可按固定间隔或信控周期获取每个车道的车流量、平均车速、平均车头时距、时间占有率、排队长度数据。</w:t>
            </w:r>
            <w:r/>
          </w:p>
          <w:p>
            <w:pPr>
              <w:pStyle w:val="810"/>
              <w:numPr>
                <w:ilvl w:val="0"/>
                <w:numId w:val="23"/>
              </w:numPr>
              <w:ind w:left="292" w:hanging="291"/>
              <w:widowControl/>
            </w:pPr>
            <w:r>
              <w:rPr>
                <w:rFonts w:ascii="Segoe UI Symbol" w:hAnsi="Segoe UI Symbol" w:cs="Segoe UI Symbol"/>
              </w:rPr>
              <w:t xml:space="preserve">★</w:t>
            </w:r>
            <w:r>
              <w:t xml:space="preserve">具有手控面板连接指示灯，用来判断当前是否为手动控制模式</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p>
            <w:pPr>
              <w:pStyle w:val="810"/>
              <w:numPr>
                <w:ilvl w:val="0"/>
                <w:numId w:val="23"/>
              </w:numPr>
              <w:ind w:left="292" w:hanging="291"/>
              <w:widowControl/>
            </w:pPr>
            <w:r>
              <w:t xml:space="preserve">在信号机之间没有有线连接的条件下，可通过GPS对时和设定相位差来实现交叉口交通信号协调控制。</w:t>
            </w:r>
            <w:r/>
          </w:p>
          <w:p>
            <w:pPr>
              <w:pStyle w:val="810"/>
              <w:numPr>
                <w:ilvl w:val="0"/>
                <w:numId w:val="23"/>
              </w:numPr>
              <w:ind w:left="292" w:hanging="291"/>
              <w:widowControl/>
            </w:pPr>
            <w:r>
              <w:rPr>
                <w:rFonts w:ascii="Segoe UI Symbol" w:hAnsi="Segoe UI Symbol" w:cs="Segoe UI Symbol"/>
              </w:rPr>
              <w:t xml:space="preserve">★</w:t>
            </w:r>
            <w:r>
              <w:t xml:space="preserve">具有3种严重故障指示灯：绿冲突故障，信号灯所有红灯熄灭，信号灯组红灯、绿灯同时点亮</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3</w:t>
            </w:r>
            <w:r/>
          </w:p>
        </w:tc>
      </w:tr>
      <w:tr>
        <w:trPr>
          <w:gridAfter w:val="1"/>
          <w:trHeight w:val="270"/>
        </w:trPr>
        <w:tc>
          <w:tcPr>
            <w:shd w:val="clear" w:color="auto" w:fill="auto"/>
            <w:tcW w:w="704" w:type="dxa"/>
            <w:vAlign w:val="center"/>
            <w:textDirection w:val="lrTb"/>
            <w:noWrap/>
          </w:tcPr>
          <w:p>
            <w:pPr>
              <w:jc w:val="center"/>
              <w:widowControl/>
            </w:pPr>
            <w:r>
              <w:rPr>
                <w:rFonts w:hint="eastAsia"/>
              </w:rPr>
              <w:t xml:space="preserve">6</w:t>
            </w:r>
            <w:r/>
          </w:p>
        </w:tc>
        <w:tc>
          <w:tcPr>
            <w:shd w:val="clear" w:color="auto" w:fill="auto"/>
            <w:tcW w:w="1275" w:type="dxa"/>
            <w:vAlign w:val="center"/>
            <w:textDirection w:val="lrTb"/>
            <w:noWrap/>
          </w:tcPr>
          <w:p>
            <w:pPr>
              <w:jc w:val="center"/>
              <w:widowControl/>
            </w:pPr>
            <w:r>
              <w:t xml:space="preserve">红绿灯信号检测器</w:t>
            </w:r>
            <w:r/>
          </w:p>
        </w:tc>
        <w:tc>
          <w:tcPr>
            <w:shd w:val="clear" w:color="auto" w:fill="auto"/>
            <w:tcW w:w="5926" w:type="dxa"/>
            <w:vAlign w:val="center"/>
            <w:textDirection w:val="lrTb"/>
            <w:noWrap/>
          </w:tcPr>
          <w:p>
            <w:pPr>
              <w:pStyle w:val="810"/>
              <w:numPr>
                <w:ilvl w:val="0"/>
                <w:numId w:val="24"/>
              </w:numPr>
              <w:ind w:left="292" w:hanging="291"/>
            </w:pPr>
            <w:r>
              <w:t xml:space="preserve">指示灯：1个RUN指示灯，1个LAN指示灯，20个输入状态指示灯。</w:t>
            </w:r>
            <w:r/>
          </w:p>
          <w:p>
            <w:pPr>
              <w:pStyle w:val="810"/>
              <w:numPr>
                <w:ilvl w:val="0"/>
                <w:numId w:val="24"/>
              </w:numPr>
              <w:ind w:left="292" w:hanging="291"/>
            </w:pPr>
            <w:r>
              <w:t xml:space="preserve">参数配置：支持（20路相机参数和通道参数）。</w:t>
            </w:r>
            <w:r/>
          </w:p>
          <w:p>
            <w:pPr>
              <w:pStyle w:val="810"/>
              <w:numPr>
                <w:ilvl w:val="0"/>
                <w:numId w:val="24"/>
              </w:numPr>
              <w:ind w:left="292" w:hanging="291"/>
            </w:pPr>
            <w:r>
              <w:t xml:space="preserve">状态检测：支持（相机及红/绿灯状态检测）。</w:t>
            </w:r>
            <w:r/>
          </w:p>
          <w:p>
            <w:pPr>
              <w:pStyle w:val="810"/>
              <w:numPr>
                <w:ilvl w:val="0"/>
                <w:numId w:val="24"/>
              </w:numPr>
              <w:ind w:left="292" w:hanging="291"/>
            </w:pPr>
            <w:r>
              <w:t xml:space="preserve">检测模式切换：支持（红/绿灯检测模式切换）。</w:t>
            </w:r>
            <w:r/>
          </w:p>
          <w:p>
            <w:pPr>
              <w:pStyle w:val="810"/>
              <w:numPr>
                <w:ilvl w:val="0"/>
                <w:numId w:val="24"/>
              </w:numPr>
              <w:ind w:left="292" w:hanging="291"/>
            </w:pPr>
            <w:r>
              <w:t xml:space="preserve">输入异常检测：支持（红/绿灯输入信号异常检测，判断时长1~300秒范围可设）。</w:t>
            </w:r>
            <w:r/>
          </w:p>
          <w:p>
            <w:pPr>
              <w:pStyle w:val="810"/>
              <w:numPr>
                <w:ilvl w:val="0"/>
                <w:numId w:val="24"/>
              </w:numPr>
              <w:ind w:left="292" w:hanging="291"/>
            </w:pPr>
            <w:r>
              <w:t xml:space="preserve">校时功能：支持，NTP校时/同步PC。</w:t>
            </w:r>
            <w:r/>
          </w:p>
          <w:p>
            <w:pPr>
              <w:pStyle w:val="810"/>
              <w:numPr>
                <w:ilvl w:val="0"/>
                <w:numId w:val="24"/>
              </w:numPr>
              <w:ind w:left="292" w:hanging="291"/>
            </w:pPr>
            <w:r>
              <w:t xml:space="preserve">网络状态监测：支持。</w:t>
            </w:r>
            <w:r/>
          </w:p>
          <w:p>
            <w:pPr>
              <w:pStyle w:val="810"/>
              <w:numPr>
                <w:ilvl w:val="0"/>
                <w:numId w:val="24"/>
              </w:numPr>
              <w:ind w:left="292" w:hanging="291"/>
            </w:pPr>
            <w:r>
              <w:t xml:space="preserve">日志记录：支持记录1700条日志。</w:t>
            </w:r>
            <w:r/>
          </w:p>
          <w:p>
            <w:pPr>
              <w:pStyle w:val="810"/>
              <w:numPr>
                <w:ilvl w:val="0"/>
                <w:numId w:val="24"/>
              </w:numPr>
              <w:ind w:left="292" w:hanging="291"/>
            </w:pPr>
            <w:r>
              <w:t xml:space="preserve">升级功能：支持（网络升级）。</w:t>
            </w:r>
            <w:r/>
          </w:p>
          <w:p>
            <w:pPr>
              <w:pStyle w:val="810"/>
              <w:numPr>
                <w:ilvl w:val="0"/>
                <w:numId w:val="24"/>
              </w:numPr>
              <w:ind w:left="292" w:hanging="291"/>
            </w:pPr>
            <w:r>
              <w:rPr>
                <w:rFonts w:ascii="Segoe UI Symbol" w:hAnsi="Segoe UI Symbol" w:cs="Segoe UI Symbol"/>
              </w:rPr>
              <w:t xml:space="preserve">★</w:t>
            </w:r>
            <w:r>
              <w:t xml:space="preserve">红绿灯信号输入异常判断时长设置：支持通过配置工具设置红绿灯信号输入异常判断时长，设置范围[1,300]秒</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p>
            <w:pPr>
              <w:pStyle w:val="810"/>
              <w:numPr>
                <w:ilvl w:val="0"/>
                <w:numId w:val="24"/>
              </w:numPr>
              <w:ind w:left="292" w:hanging="291"/>
            </w:pPr>
            <w:r>
              <w:t xml:space="preserve">信号输入：20路，AC220V红/绿灯信号。</w:t>
            </w:r>
            <w:r/>
          </w:p>
          <w:p>
            <w:pPr>
              <w:pStyle w:val="810"/>
              <w:numPr>
                <w:ilvl w:val="0"/>
                <w:numId w:val="24"/>
              </w:numPr>
              <w:ind w:left="292" w:hanging="291"/>
            </w:pPr>
            <w:r>
              <w:t xml:space="preserve">RS-485接口：1个（调试串口）。</w:t>
            </w:r>
            <w:r/>
          </w:p>
          <w:p>
            <w:pPr>
              <w:pStyle w:val="810"/>
              <w:numPr>
                <w:ilvl w:val="0"/>
                <w:numId w:val="24"/>
              </w:numPr>
              <w:ind w:left="292" w:hanging="291"/>
            </w:pPr>
            <w:r>
              <w:t xml:space="preserve">网络接口：1个RJ-45以太网口，支持100M网络数据传输。</w:t>
            </w:r>
            <w:r/>
          </w:p>
          <w:p>
            <w:pPr>
              <w:pStyle w:val="810"/>
              <w:numPr>
                <w:ilvl w:val="0"/>
                <w:numId w:val="24"/>
              </w:numPr>
              <w:ind w:left="292" w:hanging="291"/>
            </w:pPr>
            <w:r>
              <w:t xml:space="preserve">硬件复位：支持。</w:t>
            </w:r>
            <w:r/>
          </w:p>
          <w:p>
            <w:pPr>
              <w:pStyle w:val="810"/>
              <w:numPr>
                <w:ilvl w:val="0"/>
                <w:numId w:val="24"/>
              </w:numPr>
              <w:ind w:left="292" w:hanging="291"/>
            </w:pPr>
            <w:r>
              <w:t xml:space="preserve">供电方式：DC12V（标配适配器）。</w:t>
            </w:r>
            <w:r/>
          </w:p>
          <w:p>
            <w:pPr>
              <w:pStyle w:val="810"/>
              <w:numPr>
                <w:ilvl w:val="0"/>
                <w:numId w:val="24"/>
              </w:numPr>
              <w:ind w:left="292" w:hanging="291"/>
            </w:pPr>
            <w:r>
              <w:t xml:space="preserve">功耗：&lt;3W。</w:t>
            </w:r>
            <w:r/>
          </w:p>
          <w:p>
            <w:pPr>
              <w:pStyle w:val="810"/>
              <w:numPr>
                <w:ilvl w:val="0"/>
                <w:numId w:val="24"/>
              </w:numPr>
              <w:ind w:left="292" w:hanging="291"/>
            </w:pPr>
            <w:r>
              <w:t xml:space="preserve">工作温度：-40℃～+65℃。</w:t>
            </w:r>
            <w:r/>
          </w:p>
          <w:p>
            <w:pPr>
              <w:pStyle w:val="810"/>
              <w:numPr>
                <w:ilvl w:val="0"/>
                <w:numId w:val="24"/>
              </w:numPr>
              <w:ind w:left="292" w:hanging="291"/>
            </w:pPr>
            <w:r>
              <w:t xml:space="preserve">工作湿度：10%～95%RH（无凝结）。</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3</w:t>
            </w:r>
            <w:r/>
          </w:p>
        </w:tc>
      </w:tr>
      <w:tr>
        <w:trPr>
          <w:gridAfter w:val="1"/>
          <w:trHeight w:val="270"/>
        </w:trPr>
        <w:tc>
          <w:tcPr>
            <w:shd w:val="clear" w:color="auto" w:fill="auto"/>
            <w:tcW w:w="704" w:type="dxa"/>
            <w:vAlign w:val="center"/>
            <w:textDirection w:val="lrTb"/>
            <w:noWrap/>
          </w:tcPr>
          <w:p>
            <w:pPr>
              <w:jc w:val="center"/>
              <w:widowControl/>
            </w:pPr>
            <w:r>
              <w:rPr>
                <w:rFonts w:hint="eastAsia"/>
              </w:rPr>
              <w:t xml:space="preserve">7</w:t>
            </w:r>
            <w:r/>
          </w:p>
        </w:tc>
        <w:tc>
          <w:tcPr>
            <w:shd w:val="clear" w:color="auto" w:fill="auto"/>
            <w:tcW w:w="1275" w:type="dxa"/>
            <w:vAlign w:val="center"/>
            <w:textDirection w:val="lrTb"/>
            <w:noWrap/>
          </w:tcPr>
          <w:p>
            <w:pPr>
              <w:jc w:val="center"/>
              <w:widowControl/>
            </w:pPr>
            <w:r>
              <w:t xml:space="preserve">配线</w:t>
            </w:r>
            <w:r>
              <w:rPr>
                <w:rFonts w:hint="eastAsia"/>
              </w:rPr>
              <w:t xml:space="preserve">1</w:t>
            </w:r>
            <w:r/>
          </w:p>
        </w:tc>
        <w:tc>
          <w:tcPr>
            <w:shd w:val="clear" w:color="auto" w:fill="auto"/>
            <w:tcW w:w="5926" w:type="dxa"/>
            <w:vAlign w:val="center"/>
            <w:textDirection w:val="lrTb"/>
            <w:noWrap/>
          </w:tcPr>
          <w:p>
            <w:pPr>
              <w:jc w:val="left"/>
              <w:widowControl/>
            </w:pPr>
            <w:r>
              <w:t xml:space="preserve">RVV-16×1.5</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440</w:t>
            </w:r>
            <w:r/>
          </w:p>
        </w:tc>
      </w:tr>
      <w:tr>
        <w:trPr>
          <w:gridAfter w:val="1"/>
          <w:trHeight w:val="270"/>
        </w:trPr>
        <w:tc>
          <w:tcPr>
            <w:shd w:val="clear" w:color="auto" w:fill="auto"/>
            <w:tcW w:w="704" w:type="dxa"/>
            <w:vAlign w:val="center"/>
            <w:textDirection w:val="lrTb"/>
            <w:noWrap/>
          </w:tcPr>
          <w:p>
            <w:pPr>
              <w:jc w:val="center"/>
              <w:widowControl/>
            </w:pPr>
            <w:r>
              <w:rPr>
                <w:color w:val="000000"/>
              </w:rPr>
              <w:t xml:space="preserve">8</w:t>
            </w:r>
            <w:r/>
          </w:p>
        </w:tc>
        <w:tc>
          <w:tcPr>
            <w:shd w:val="clear" w:color="auto" w:fill="auto"/>
            <w:tcW w:w="1275" w:type="dxa"/>
            <w:vAlign w:val="center"/>
            <w:textDirection w:val="lrTb"/>
            <w:noWrap/>
          </w:tcPr>
          <w:p>
            <w:pPr>
              <w:jc w:val="center"/>
              <w:widowControl/>
            </w:pPr>
            <w:r>
              <w:t xml:space="preserve">配线</w:t>
            </w:r>
            <w:r>
              <w:rPr>
                <w:rFonts w:hint="eastAsia"/>
              </w:rPr>
              <w:t xml:space="preserve">2</w:t>
            </w:r>
            <w:r/>
          </w:p>
        </w:tc>
        <w:tc>
          <w:tcPr>
            <w:shd w:val="clear" w:color="auto" w:fill="auto"/>
            <w:tcW w:w="5926" w:type="dxa"/>
            <w:vAlign w:val="center"/>
            <w:textDirection w:val="lrTb"/>
            <w:noWrap/>
          </w:tcPr>
          <w:p>
            <w:pPr>
              <w:jc w:val="left"/>
              <w:widowControl/>
            </w:pPr>
            <w:r>
              <w:t xml:space="preserve">RVV-2×1.0</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12120</w:t>
            </w:r>
            <w:r/>
          </w:p>
        </w:tc>
      </w:tr>
      <w:tr>
        <w:trPr>
          <w:gridAfter w:val="1"/>
          <w:trHeight w:val="270"/>
        </w:trPr>
        <w:tc>
          <w:tcPr>
            <w:shd w:val="clear" w:color="auto" w:fill="auto"/>
            <w:tcW w:w="704" w:type="dxa"/>
            <w:vAlign w:val="center"/>
            <w:textDirection w:val="lrTb"/>
            <w:noWrap/>
          </w:tcPr>
          <w:p>
            <w:pPr>
              <w:jc w:val="center"/>
              <w:widowControl/>
            </w:pPr>
            <w:r>
              <w:rPr>
                <w:color w:val="000000"/>
              </w:rPr>
              <w:t xml:space="preserve">9</w:t>
            </w:r>
            <w:r/>
          </w:p>
        </w:tc>
        <w:tc>
          <w:tcPr>
            <w:shd w:val="clear" w:color="auto" w:fill="auto"/>
            <w:tcW w:w="1275" w:type="dxa"/>
            <w:vAlign w:val="center"/>
            <w:textDirection w:val="lrTb"/>
            <w:noWrap/>
          </w:tcPr>
          <w:p>
            <w:pPr>
              <w:jc w:val="center"/>
              <w:widowControl/>
            </w:pPr>
            <w:r>
              <w:t xml:space="preserve">配线</w:t>
            </w:r>
            <w:r>
              <w:rPr>
                <w:rFonts w:hint="eastAsia"/>
              </w:rPr>
              <w:t xml:space="preserve">3</w:t>
            </w:r>
            <w:r/>
          </w:p>
        </w:tc>
        <w:tc>
          <w:tcPr>
            <w:shd w:val="clear" w:color="auto" w:fill="auto"/>
            <w:tcW w:w="5926" w:type="dxa"/>
            <w:vAlign w:val="center"/>
            <w:textDirection w:val="lrTb"/>
            <w:noWrap/>
          </w:tcPr>
          <w:p>
            <w:pPr>
              <w:jc w:val="left"/>
              <w:widowControl/>
            </w:pPr>
            <w:r>
              <w:t xml:space="preserve">RVV-4×1.5</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9600</w:t>
            </w:r>
            <w:r/>
          </w:p>
        </w:tc>
      </w:tr>
      <w:tr>
        <w:trPr>
          <w:gridAfter w:val="1"/>
          <w:trHeight w:val="270"/>
        </w:trPr>
        <w:tc>
          <w:tcPr>
            <w:shd w:val="clear" w:color="auto" w:fill="auto"/>
            <w:tcW w:w="704" w:type="dxa"/>
            <w:vAlign w:val="center"/>
            <w:textDirection w:val="lrTb"/>
            <w:noWrap/>
          </w:tcPr>
          <w:p>
            <w:pPr>
              <w:jc w:val="center"/>
              <w:widowControl/>
            </w:pPr>
            <w:r>
              <w:rPr>
                <w:color w:val="000000"/>
              </w:rPr>
              <w:t xml:space="preserve">10</w:t>
            </w:r>
            <w:r/>
          </w:p>
        </w:tc>
        <w:tc>
          <w:tcPr>
            <w:shd w:val="clear" w:color="auto" w:fill="auto"/>
            <w:tcW w:w="1275" w:type="dxa"/>
            <w:vAlign w:val="center"/>
            <w:textDirection w:val="lrTb"/>
            <w:noWrap/>
          </w:tcPr>
          <w:p>
            <w:pPr>
              <w:jc w:val="center"/>
              <w:widowControl/>
            </w:pPr>
            <w:r>
              <w:t xml:space="preserve">配线</w:t>
            </w:r>
            <w:r>
              <w:rPr>
                <w:rFonts w:hint="eastAsia"/>
              </w:rPr>
              <w:t xml:space="preserve">4</w:t>
            </w:r>
            <w:r/>
          </w:p>
        </w:tc>
        <w:tc>
          <w:tcPr>
            <w:shd w:val="clear" w:color="auto" w:fill="auto"/>
            <w:tcW w:w="5926" w:type="dxa"/>
            <w:vAlign w:val="center"/>
            <w:textDirection w:val="lrTb"/>
            <w:noWrap/>
          </w:tcPr>
          <w:p>
            <w:pPr>
              <w:jc w:val="left"/>
              <w:widowControl/>
            </w:pPr>
            <w:r>
              <w:t xml:space="preserve">RVV-3×1.5</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4400</w:t>
            </w:r>
            <w:r/>
          </w:p>
        </w:tc>
      </w:tr>
      <w:tr>
        <w:trPr>
          <w:trHeight w:val="270"/>
        </w:trPr>
        <w:tc>
          <w:tcPr>
            <w:gridSpan w:val="6"/>
            <w:shd w:val="clear" w:color="auto" w:fill="auto"/>
            <w:tcW w:w="9495" w:type="dxa"/>
            <w:vAlign w:val="center"/>
            <w:textDirection w:val="lrTb"/>
            <w:noWrap/>
          </w:tcPr>
          <w:p>
            <w:pPr>
              <w:jc w:val="left"/>
              <w:widowControl/>
              <w:rPr>
                <w:b/>
                <w:bCs/>
              </w:rPr>
            </w:pPr>
            <w:r>
              <w:rPr>
                <w:b/>
                <w:bCs/>
              </w:rPr>
              <w:t xml:space="preserve">五、电子警察</w:t>
            </w:r>
            <w:r/>
          </w:p>
        </w:tc>
      </w:tr>
      <w:tr>
        <w:trPr>
          <w:gridAfter w:val="1"/>
          <w:trHeight w:val="270"/>
        </w:trPr>
        <w:tc>
          <w:tcPr>
            <w:shd w:val="clear" w:color="auto" w:fill="auto"/>
            <w:tcW w:w="704" w:type="dxa"/>
            <w:vAlign w:val="center"/>
            <w:textDirection w:val="lrTb"/>
            <w:noWrap/>
          </w:tcPr>
          <w:p>
            <w:pPr>
              <w:jc w:val="center"/>
              <w:widowControl/>
            </w:pPr>
            <w:r>
              <w:t xml:space="preserve">1</w:t>
            </w:r>
            <w:r/>
          </w:p>
        </w:tc>
        <w:tc>
          <w:tcPr>
            <w:shd w:val="clear" w:color="auto" w:fill="auto"/>
            <w:tcW w:w="1275" w:type="dxa"/>
            <w:vAlign w:val="center"/>
            <w:textDirection w:val="lrTb"/>
            <w:noWrap/>
          </w:tcPr>
          <w:p>
            <w:pPr>
              <w:jc w:val="center"/>
              <w:widowControl/>
            </w:pPr>
            <w:r>
              <w:t xml:space="preserve">900万电警抓拍单元</w:t>
            </w:r>
            <w:r/>
          </w:p>
        </w:tc>
        <w:tc>
          <w:tcPr>
            <w:shd w:val="clear" w:color="auto" w:fill="auto"/>
            <w:tcW w:w="5926" w:type="dxa"/>
            <w:vAlign w:val="center"/>
            <w:textDirection w:val="lrTb"/>
            <w:noWrap/>
          </w:tcPr>
          <w:p>
            <w:pPr>
              <w:pStyle w:val="810"/>
              <w:numPr>
                <w:ilvl w:val="0"/>
                <w:numId w:val="25"/>
              </w:numPr>
              <w:ind w:left="292" w:hanging="291"/>
              <w:jc w:val="left"/>
              <w:widowControl/>
            </w:pPr>
            <w:r>
              <w:t xml:space="preserve">采用1.1英寸GS-CMOS图像传感器，最大输出4096×2336@50fps高清图像。</w:t>
            </w:r>
            <w:r/>
          </w:p>
          <w:p>
            <w:pPr>
              <w:pStyle w:val="810"/>
              <w:numPr>
                <w:ilvl w:val="0"/>
                <w:numId w:val="25"/>
              </w:numPr>
              <w:ind w:left="292" w:hanging="291"/>
              <w:jc w:val="left"/>
              <w:widowControl/>
            </w:pPr>
            <w:r>
              <w:rPr>
                <w:rFonts w:ascii="Segoe UI Symbol" w:hAnsi="Segoe UI Symbol" w:cs="Segoe UI Symbol"/>
              </w:rPr>
              <w:t xml:space="preserve">★</w:t>
            </w:r>
            <w:r>
              <w:t xml:space="preserve">用户及服务检测扫描功能检查：支持用户及服务检测扫描，包括用户状态、配置安全、登陆认证等，并会根据扫描结果进行优化建议提醒</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p>
            <w:pPr>
              <w:pStyle w:val="810"/>
              <w:numPr>
                <w:ilvl w:val="0"/>
                <w:numId w:val="25"/>
              </w:numPr>
              <w:ind w:left="292" w:hanging="291"/>
              <w:jc w:val="left"/>
              <w:widowControl/>
            </w:pPr>
            <w:r>
              <w:t xml:space="preserve">支持北斗/GPS定位校时（天线需单独下单），感知多维度数据。</w:t>
            </w:r>
            <w:r/>
          </w:p>
          <w:p>
            <w:pPr>
              <w:pStyle w:val="810"/>
              <w:numPr>
                <w:ilvl w:val="0"/>
                <w:numId w:val="25"/>
              </w:numPr>
              <w:ind w:left="292" w:hanging="291"/>
              <w:jc w:val="left"/>
              <w:widowControl/>
            </w:pPr>
            <w:r>
              <w:t xml:space="preserve">满足GB 35114-A级加密标准（支持一所对接），采用一体化结构设计，适用多种复杂环境。</w:t>
            </w:r>
            <w:r/>
          </w:p>
          <w:p>
            <w:pPr>
              <w:pStyle w:val="810"/>
              <w:numPr>
                <w:ilvl w:val="0"/>
                <w:numId w:val="25"/>
              </w:numPr>
              <w:ind w:left="292" w:hanging="291"/>
              <w:jc w:val="left"/>
              <w:widowControl/>
            </w:pPr>
            <w:r>
              <w:rPr>
                <w:rFonts w:ascii="Segoe UI Symbol" w:hAnsi="Segoe UI Symbol" w:cs="Segoe UI Symbol"/>
              </w:rPr>
              <w:t xml:space="preserve">★</w:t>
            </w:r>
            <w:r>
              <w:t xml:space="preserve">系统日志在线查询功能检查：支持系统日志在线查询功能，查询时间及类型可设置，包括系统操作、配置操作、数据管理、事件操作、录像操作、用户管理、安全中心及全部等</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p>
            <w:pPr>
              <w:pStyle w:val="810"/>
              <w:numPr>
                <w:ilvl w:val="0"/>
                <w:numId w:val="25"/>
              </w:numPr>
              <w:ind w:left="292" w:hanging="291"/>
              <w:jc w:val="left"/>
              <w:widowControl/>
            </w:pPr>
            <w:r>
              <w:t xml:space="preserve">支持双码流，且满足H.265&amp;H.264编码，超低延时，超低码率，压缩比高，处理灵活。</w:t>
            </w:r>
            <w:r/>
          </w:p>
          <w:p>
            <w:pPr>
              <w:pStyle w:val="810"/>
              <w:numPr>
                <w:ilvl w:val="0"/>
                <w:numId w:val="25"/>
              </w:numPr>
              <w:ind w:left="292" w:hanging="291"/>
              <w:jc w:val="left"/>
              <w:widowControl/>
            </w:pPr>
            <w:r>
              <w:t xml:space="preserve">支持单快门、双快门、三快门模式。</w:t>
            </w:r>
            <w:r/>
          </w:p>
          <w:p>
            <w:pPr>
              <w:pStyle w:val="810"/>
              <w:numPr>
                <w:ilvl w:val="0"/>
                <w:numId w:val="25"/>
              </w:numPr>
              <w:ind w:left="292" w:hanging="291"/>
              <w:jc w:val="left"/>
              <w:widowControl/>
            </w:pPr>
            <w:r>
              <w:t xml:space="preserve">支持1~4车道多种机动车违法抓拍及图片合成、OSD信息叠加。</w:t>
            </w:r>
            <w:r/>
          </w:p>
          <w:p>
            <w:pPr>
              <w:pStyle w:val="810"/>
              <w:numPr>
                <w:ilvl w:val="0"/>
                <w:numId w:val="25"/>
              </w:numPr>
              <w:ind w:left="292" w:hanging="291"/>
              <w:jc w:val="left"/>
              <w:widowControl/>
            </w:pPr>
            <w:r>
              <w:t xml:space="preserve">支持机动车、非机动车和行人目标检测并提取结构化信息、支持人脸检测并抠出人脸小图。</w:t>
            </w:r>
            <w:r/>
          </w:p>
          <w:p>
            <w:pPr>
              <w:pStyle w:val="810"/>
              <w:numPr>
                <w:ilvl w:val="0"/>
                <w:numId w:val="25"/>
              </w:numPr>
              <w:ind w:left="292" w:hanging="291"/>
              <w:jc w:val="left"/>
              <w:widowControl/>
            </w:pPr>
            <w:r>
              <w:t xml:space="preserve">支持最大256GB TF卡本地存储，抓拍图片可断网续传。</w:t>
            </w:r>
            <w:r/>
          </w:p>
          <w:p>
            <w:pPr>
              <w:pStyle w:val="810"/>
              <w:numPr>
                <w:ilvl w:val="0"/>
                <w:numId w:val="25"/>
              </w:numPr>
              <w:ind w:left="292" w:hanging="291"/>
              <w:jc w:val="left"/>
              <w:widowControl/>
            </w:pPr>
            <w:r>
              <w:t xml:space="preserve">支持网络接口、USB接口、RS-485接口、RS-232接口、I/O接口报警输入输出、外置灯接口、支持电源返送。</w:t>
            </w:r>
            <w:r/>
          </w:p>
          <w:p>
            <w:pPr>
              <w:pStyle w:val="810"/>
              <w:numPr>
                <w:ilvl w:val="0"/>
                <w:numId w:val="25"/>
              </w:numPr>
              <w:ind w:left="292" w:hanging="291"/>
              <w:jc w:val="left"/>
              <w:widowControl/>
            </w:pPr>
            <w:r>
              <w:t xml:space="preserve">支持自动画线功能，可自动识别并画出车道线、抓拍检测线，大幅提高施工调试效率。</w:t>
            </w:r>
            <w:r/>
          </w:p>
          <w:p>
            <w:pPr>
              <w:pStyle w:val="810"/>
              <w:numPr>
                <w:ilvl w:val="0"/>
                <w:numId w:val="25"/>
              </w:numPr>
              <w:ind w:left="292" w:hanging="291"/>
              <w:jc w:val="left"/>
              <w:widowControl/>
            </w:pPr>
            <w:r>
              <w:rPr>
                <w:rFonts w:ascii="Segoe UI Symbol" w:hAnsi="Segoe UI Symbol" w:cs="Segoe UI Symbol"/>
              </w:rPr>
              <w:t xml:space="preserve">★</w:t>
            </w:r>
            <w:r>
              <w:t xml:space="preserve">音视频加密密钥更新周期设置功能检查：支持音视频加密密钥更新周期设置功能</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p>
            <w:pPr>
              <w:pStyle w:val="810"/>
              <w:numPr>
                <w:ilvl w:val="0"/>
                <w:numId w:val="25"/>
              </w:numPr>
              <w:ind w:left="292" w:hanging="291"/>
              <w:jc w:val="left"/>
              <w:widowControl/>
            </w:pPr>
            <w:r>
              <w:rPr>
                <w:rFonts w:ascii="Segoe UI Symbol" w:hAnsi="Segoe UI Symbol" w:cs="Segoe UI Symbol"/>
              </w:rPr>
              <w:t xml:space="preserve">★</w:t>
            </w:r>
            <w:r>
              <w:t xml:space="preserve">安全模块扫描功能检查：支持安全模块扫描，可检测并显示音视频加密传输、安全预警、可信保护、攻击防御等模块启用状态</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p>
            <w:pPr>
              <w:pStyle w:val="810"/>
              <w:numPr>
                <w:ilvl w:val="0"/>
                <w:numId w:val="25"/>
              </w:numPr>
              <w:ind w:left="292" w:hanging="291"/>
              <w:jc w:val="left"/>
              <w:widowControl/>
            </w:pPr>
            <w:r>
              <w:t xml:space="preserve">具有防雷和防浪涌功能。</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14</w:t>
            </w:r>
            <w:r/>
          </w:p>
        </w:tc>
      </w:tr>
      <w:tr>
        <w:trPr>
          <w:gridAfter w:val="1"/>
          <w:trHeight w:val="270"/>
        </w:trPr>
        <w:tc>
          <w:tcPr>
            <w:shd w:val="clear" w:color="auto" w:fill="auto"/>
            <w:tcW w:w="704" w:type="dxa"/>
            <w:vAlign w:val="center"/>
            <w:textDirection w:val="lrTb"/>
            <w:noWrap/>
          </w:tcPr>
          <w:p>
            <w:pPr>
              <w:jc w:val="center"/>
              <w:widowControl/>
            </w:pPr>
            <w:r>
              <w:t xml:space="preserve">2</w:t>
            </w:r>
            <w:r/>
          </w:p>
        </w:tc>
        <w:tc>
          <w:tcPr>
            <w:shd w:val="clear" w:color="auto" w:fill="auto"/>
            <w:tcW w:w="1275" w:type="dxa"/>
            <w:vAlign w:val="center"/>
            <w:textDirection w:val="lrTb"/>
            <w:noWrap/>
          </w:tcPr>
          <w:p>
            <w:pPr>
              <w:jc w:val="center"/>
              <w:widowControl/>
            </w:pPr>
            <w:r>
              <w:t xml:space="preserve">900W卡口抓拍单元</w:t>
            </w:r>
            <w:r/>
          </w:p>
        </w:tc>
        <w:tc>
          <w:tcPr>
            <w:shd w:val="clear" w:color="auto" w:fill="auto"/>
            <w:tcW w:w="5926" w:type="dxa"/>
            <w:vAlign w:val="center"/>
            <w:textDirection w:val="lrTb"/>
            <w:noWrap/>
          </w:tcPr>
          <w:p>
            <w:pPr>
              <w:pStyle w:val="810"/>
              <w:numPr>
                <w:ilvl w:val="0"/>
                <w:numId w:val="26"/>
              </w:numPr>
              <w:ind w:left="292" w:hanging="292"/>
              <w:jc w:val="left"/>
              <w:widowControl/>
            </w:pPr>
            <w:r>
              <w:t xml:space="preserve">采用1.1英寸GS-CMOS图像传感器，最大输出4096×2336@50fps高清图像。</w:t>
            </w:r>
            <w:r/>
          </w:p>
          <w:p>
            <w:pPr>
              <w:pStyle w:val="810"/>
              <w:numPr>
                <w:ilvl w:val="0"/>
                <w:numId w:val="26"/>
              </w:numPr>
              <w:ind w:left="292" w:hanging="292"/>
              <w:jc w:val="left"/>
              <w:widowControl/>
            </w:pPr>
            <w:r>
              <w:t xml:space="preserve">用户及服务检测扫描功能检查：支持用户及服务检测扫描，包括用户状态、配置安全、登陆认证等，并会根据扫描结果进行优化建议提醒。</w:t>
            </w:r>
            <w:r/>
          </w:p>
          <w:p>
            <w:pPr>
              <w:pStyle w:val="810"/>
              <w:numPr>
                <w:ilvl w:val="0"/>
                <w:numId w:val="26"/>
              </w:numPr>
              <w:ind w:left="292" w:hanging="292"/>
              <w:jc w:val="left"/>
              <w:widowControl/>
            </w:pPr>
            <w:r>
              <w:t xml:space="preserve">支持北斗/GPS定位校时（天线需单独下单），感知多维度数据。</w:t>
            </w:r>
            <w:r/>
          </w:p>
          <w:p>
            <w:pPr>
              <w:pStyle w:val="810"/>
              <w:numPr>
                <w:ilvl w:val="0"/>
                <w:numId w:val="26"/>
              </w:numPr>
              <w:ind w:left="292" w:hanging="292"/>
              <w:jc w:val="left"/>
              <w:widowControl/>
            </w:pPr>
            <w:r>
              <w:t xml:space="preserve">满足GB 35114-A级加密标准（支持一所对接），采用一体化结构设计，适用多种复杂环境。</w:t>
            </w:r>
            <w:r/>
          </w:p>
          <w:p>
            <w:pPr>
              <w:pStyle w:val="810"/>
              <w:numPr>
                <w:ilvl w:val="0"/>
                <w:numId w:val="26"/>
              </w:numPr>
              <w:ind w:left="292" w:hanging="292"/>
              <w:jc w:val="left"/>
              <w:widowControl/>
            </w:pPr>
            <w:r>
              <w:t xml:space="preserve">系统日志在线查询功能检查：支持系统日志在线查询功能，查询时间及类型可设置，包括系统操作、配置操作、数据管理、事件操作、录像操作、用户管理、安全中心及全部等。</w:t>
            </w:r>
            <w:r/>
          </w:p>
          <w:p>
            <w:pPr>
              <w:pStyle w:val="810"/>
              <w:numPr>
                <w:ilvl w:val="0"/>
                <w:numId w:val="26"/>
              </w:numPr>
              <w:ind w:left="292" w:hanging="292"/>
              <w:jc w:val="left"/>
              <w:widowControl/>
            </w:pPr>
            <w:r>
              <w:t xml:space="preserve">支持双码流，且满足H.265&amp;H.264编码，超低延时，超低码率，压缩比高，处理灵活。</w:t>
            </w:r>
            <w:r/>
          </w:p>
          <w:p>
            <w:pPr>
              <w:pStyle w:val="810"/>
              <w:numPr>
                <w:ilvl w:val="0"/>
                <w:numId w:val="26"/>
              </w:numPr>
              <w:ind w:left="292" w:hanging="292"/>
              <w:jc w:val="left"/>
              <w:widowControl/>
            </w:pPr>
            <w:r>
              <w:t xml:space="preserve">支持单快门、双快门、三快门模式。</w:t>
            </w:r>
            <w:r/>
          </w:p>
          <w:p>
            <w:pPr>
              <w:pStyle w:val="810"/>
              <w:numPr>
                <w:ilvl w:val="0"/>
                <w:numId w:val="26"/>
              </w:numPr>
              <w:ind w:left="292" w:hanging="292"/>
              <w:jc w:val="left"/>
              <w:widowControl/>
            </w:pPr>
            <w:r>
              <w:t xml:space="preserve">支持1~4车道多种机动车违法抓拍及图片合成、OSD信息叠加。</w:t>
            </w:r>
            <w:r/>
          </w:p>
          <w:p>
            <w:pPr>
              <w:pStyle w:val="810"/>
              <w:numPr>
                <w:ilvl w:val="0"/>
                <w:numId w:val="26"/>
              </w:numPr>
              <w:ind w:left="292" w:hanging="292"/>
              <w:jc w:val="left"/>
              <w:widowControl/>
            </w:pPr>
            <w:r>
              <w:t xml:space="preserve">支持机动车、非机动车和行人目标检测并提取结构化信息、支持人脸检测并抠出人脸小图。</w:t>
            </w:r>
            <w:r/>
          </w:p>
          <w:p>
            <w:pPr>
              <w:pStyle w:val="810"/>
              <w:numPr>
                <w:ilvl w:val="0"/>
                <w:numId w:val="26"/>
              </w:numPr>
              <w:ind w:left="292" w:hanging="292"/>
              <w:jc w:val="left"/>
              <w:widowControl/>
            </w:pPr>
            <w:r>
              <w:t xml:space="preserve">支持最大256GB TF卡本地存储，抓拍图片可断网续传。</w:t>
            </w:r>
            <w:r/>
          </w:p>
          <w:p>
            <w:pPr>
              <w:pStyle w:val="810"/>
              <w:numPr>
                <w:ilvl w:val="0"/>
                <w:numId w:val="26"/>
              </w:numPr>
              <w:ind w:left="292" w:hanging="292"/>
              <w:jc w:val="left"/>
              <w:widowControl/>
            </w:pPr>
            <w:r>
              <w:t xml:space="preserve">支持网络接口、USB接口、RS-485接口、RS-232接口、I/O接口报警输入输出、外置灯接口、支持电源返送。</w:t>
            </w:r>
            <w:r/>
          </w:p>
          <w:p>
            <w:pPr>
              <w:pStyle w:val="810"/>
              <w:numPr>
                <w:ilvl w:val="0"/>
                <w:numId w:val="26"/>
              </w:numPr>
              <w:ind w:left="292" w:hanging="292"/>
              <w:jc w:val="left"/>
              <w:widowControl/>
            </w:pPr>
            <w:r>
              <w:t xml:space="preserve">支持自动画线功能，可自动识别并画出车道线、抓拍检测线，大幅提高施工调试效率。</w:t>
            </w:r>
            <w:r/>
          </w:p>
          <w:p>
            <w:pPr>
              <w:pStyle w:val="810"/>
              <w:numPr>
                <w:ilvl w:val="0"/>
                <w:numId w:val="26"/>
              </w:numPr>
              <w:ind w:left="292" w:hanging="292"/>
              <w:jc w:val="left"/>
              <w:widowControl/>
            </w:pPr>
            <w:r>
              <w:t xml:space="preserve">音视频加密密钥更新周期设置功能检查：支持音视频加密密钥更新周期设置功能。</w:t>
            </w:r>
            <w:r/>
          </w:p>
          <w:p>
            <w:pPr>
              <w:pStyle w:val="810"/>
              <w:numPr>
                <w:ilvl w:val="0"/>
                <w:numId w:val="26"/>
              </w:numPr>
              <w:ind w:left="292" w:hanging="292"/>
              <w:jc w:val="left"/>
              <w:widowControl/>
            </w:pPr>
            <w:r>
              <w:t xml:space="preserve">安全模块扫描功能检查：支持安全模块扫描，可检测并显示音视频加密传输、安全预警、可信保护、攻击防御等模块启用状态。</w:t>
            </w:r>
            <w:r/>
          </w:p>
          <w:p>
            <w:pPr>
              <w:pStyle w:val="810"/>
              <w:numPr>
                <w:ilvl w:val="0"/>
                <w:numId w:val="26"/>
              </w:numPr>
              <w:ind w:left="292" w:hanging="292"/>
              <w:jc w:val="left"/>
              <w:widowControl/>
            </w:pPr>
            <w:r>
              <w:t xml:space="preserve">具有防雷和防浪涌功能。</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20</w:t>
            </w:r>
            <w:r/>
          </w:p>
        </w:tc>
      </w:tr>
      <w:tr>
        <w:trPr>
          <w:gridAfter w:val="1"/>
          <w:trHeight w:val="270"/>
        </w:trPr>
        <w:tc>
          <w:tcPr>
            <w:shd w:val="clear" w:color="auto" w:fill="auto"/>
            <w:tcW w:w="704" w:type="dxa"/>
            <w:vAlign w:val="center"/>
            <w:textDirection w:val="lrTb"/>
            <w:noWrap/>
          </w:tcPr>
          <w:p>
            <w:pPr>
              <w:jc w:val="center"/>
              <w:widowControl/>
            </w:pPr>
            <w:r>
              <w:t xml:space="preserve">3</w:t>
            </w:r>
            <w:r/>
          </w:p>
        </w:tc>
        <w:tc>
          <w:tcPr>
            <w:shd w:val="clear" w:color="auto" w:fill="auto"/>
            <w:tcW w:w="1275" w:type="dxa"/>
            <w:vAlign w:val="center"/>
            <w:textDirection w:val="lrTb"/>
            <w:noWrap/>
          </w:tcPr>
          <w:p>
            <w:pPr>
              <w:jc w:val="center"/>
              <w:widowControl/>
            </w:pPr>
            <w:r>
              <w:t xml:space="preserve">LED频闪补光灯</w:t>
            </w:r>
            <w:r/>
          </w:p>
        </w:tc>
        <w:tc>
          <w:tcPr>
            <w:shd w:val="clear" w:color="auto" w:fill="auto"/>
            <w:tcW w:w="5926" w:type="dxa"/>
            <w:vAlign w:val="center"/>
            <w:textDirection w:val="lrTb"/>
            <w:noWrap/>
          </w:tcPr>
          <w:p>
            <w:pPr>
              <w:pStyle w:val="810"/>
              <w:numPr>
                <w:ilvl w:val="0"/>
                <w:numId w:val="27"/>
              </w:numPr>
              <w:ind w:left="292" w:hanging="291"/>
              <w:widowControl/>
            </w:pPr>
            <w:r>
              <w:t xml:space="preserve">补光装置宜采用LED光源或气体放电光源，也可采用其他光源。</w:t>
            </w:r>
            <w:r/>
          </w:p>
          <w:p>
            <w:pPr>
              <w:pStyle w:val="810"/>
              <w:numPr>
                <w:ilvl w:val="0"/>
                <w:numId w:val="27"/>
              </w:numPr>
              <w:ind w:left="292" w:hanging="292"/>
              <w:widowControl/>
            </w:pPr>
            <w:r>
              <w:t xml:space="preserve">照射距离：照射距离不小于20米。</w:t>
            </w:r>
            <w:r/>
          </w:p>
          <w:p>
            <w:pPr>
              <w:pStyle w:val="810"/>
              <w:numPr>
                <w:ilvl w:val="0"/>
                <w:numId w:val="27"/>
              </w:numPr>
              <w:ind w:left="292" w:hanging="292"/>
              <w:widowControl/>
            </w:pPr>
            <w:r>
              <w:t xml:space="preserve">支持频闪级联功能。</w:t>
            </w:r>
            <w:r/>
          </w:p>
          <w:p>
            <w:pPr>
              <w:pStyle w:val="810"/>
              <w:numPr>
                <w:ilvl w:val="0"/>
                <w:numId w:val="27"/>
              </w:numPr>
              <w:ind w:left="292" w:hanging="292"/>
              <w:widowControl/>
            </w:pPr>
            <w:r>
              <w:t xml:space="preserve">色温范围3000k~5500k。</w:t>
            </w:r>
            <w:r/>
          </w:p>
          <w:p>
            <w:pPr>
              <w:pStyle w:val="810"/>
              <w:numPr>
                <w:ilvl w:val="0"/>
                <w:numId w:val="27"/>
              </w:numPr>
              <w:ind w:left="292" w:hanging="292"/>
              <w:widowControl/>
            </w:pPr>
            <w:r>
              <w:t xml:space="preserve">频闪频率：20、25、30、50、60、75、90、100、120Hz 9档可选。</w:t>
            </w:r>
            <w:r/>
          </w:p>
          <w:p>
            <w:pPr>
              <w:pStyle w:val="810"/>
              <w:numPr>
                <w:ilvl w:val="0"/>
                <w:numId w:val="27"/>
              </w:numPr>
              <w:ind w:left="292" w:hanging="292"/>
              <w:widowControl/>
            </w:pPr>
            <w:r>
              <w:t xml:space="preserve">频闪信号输出至LED灯板响应的时间≤45us。</w:t>
            </w:r>
            <w:r/>
          </w:p>
          <w:p>
            <w:pPr>
              <w:pStyle w:val="810"/>
              <w:numPr>
                <w:ilvl w:val="0"/>
                <w:numId w:val="27"/>
              </w:numPr>
              <w:ind w:left="292" w:hanging="292"/>
              <w:widowControl/>
            </w:pPr>
            <w:r>
              <w:t xml:space="preserve">要求具备符合GB/T 37958-2019《视频监控系统主动照明部件光辐射安全要求》的检测报告，且不超过1类危险。</w:t>
            </w:r>
            <w:r/>
          </w:p>
          <w:p>
            <w:pPr>
              <w:pStyle w:val="810"/>
              <w:numPr>
                <w:ilvl w:val="0"/>
                <w:numId w:val="27"/>
              </w:numPr>
              <w:ind w:left="292" w:hanging="292"/>
              <w:widowControl/>
            </w:pPr>
            <w:r>
              <w:rPr>
                <w:rFonts w:ascii="Segoe UI Symbol" w:hAnsi="Segoe UI Symbol" w:cs="Segoe UI Symbol"/>
              </w:rPr>
              <w:t xml:space="preserve">★</w:t>
            </w:r>
            <w:r>
              <w:t xml:space="preserve">可根据环境亮度自动点亮或者熄灭补光灯，环境亮度阀值10档可调</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p>
            <w:pPr>
              <w:pStyle w:val="810"/>
              <w:numPr>
                <w:ilvl w:val="0"/>
                <w:numId w:val="27"/>
              </w:numPr>
              <w:ind w:left="292" w:hanging="292"/>
              <w:widowControl/>
            </w:pPr>
            <w:r>
              <w:t xml:space="preserve">支持补光灯亮度等级1~255级可调。</w:t>
            </w:r>
            <w:r/>
          </w:p>
          <w:p>
            <w:pPr>
              <w:pStyle w:val="810"/>
              <w:numPr>
                <w:ilvl w:val="0"/>
                <w:numId w:val="27"/>
              </w:numPr>
              <w:ind w:left="292" w:hanging="292"/>
              <w:jc w:val="left"/>
              <w:widowControl/>
            </w:pPr>
            <w:r>
              <w:t xml:space="preserve">支持环境感光功能，感光具备0~15级可调。支持光敏感光自动切换昼夜模式。</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62</w:t>
            </w:r>
            <w:r/>
          </w:p>
        </w:tc>
      </w:tr>
      <w:tr>
        <w:trPr>
          <w:gridAfter w:val="1"/>
          <w:trHeight w:val="270"/>
        </w:trPr>
        <w:tc>
          <w:tcPr>
            <w:shd w:val="clear" w:color="auto" w:fill="auto"/>
            <w:tcW w:w="704" w:type="dxa"/>
            <w:vAlign w:val="center"/>
            <w:textDirection w:val="lrTb"/>
            <w:noWrap/>
          </w:tcPr>
          <w:p>
            <w:pPr>
              <w:jc w:val="center"/>
              <w:widowControl/>
            </w:pPr>
            <w:r>
              <w:t xml:space="preserve">4</w:t>
            </w:r>
            <w:r/>
          </w:p>
        </w:tc>
        <w:tc>
          <w:tcPr>
            <w:shd w:val="clear" w:color="auto" w:fill="auto"/>
            <w:tcW w:w="1275" w:type="dxa"/>
            <w:vAlign w:val="center"/>
            <w:textDirection w:val="lrTb"/>
            <w:noWrap/>
          </w:tcPr>
          <w:p>
            <w:pPr>
              <w:jc w:val="center"/>
              <w:widowControl/>
            </w:pPr>
            <w:r>
              <w:t xml:space="preserve">卡口闪光灯</w:t>
            </w:r>
            <w:r/>
          </w:p>
        </w:tc>
        <w:tc>
          <w:tcPr>
            <w:shd w:val="clear" w:color="auto" w:fill="auto"/>
            <w:tcW w:w="5926" w:type="dxa"/>
            <w:vAlign w:val="center"/>
            <w:textDirection w:val="lrTb"/>
            <w:noWrap/>
          </w:tcPr>
          <w:p>
            <w:pPr>
              <w:pStyle w:val="810"/>
              <w:numPr>
                <w:ilvl w:val="0"/>
                <w:numId w:val="28"/>
              </w:numPr>
              <w:ind w:left="292" w:hanging="292"/>
              <w:widowControl/>
            </w:pPr>
            <w:r>
              <w:rPr>
                <w:rFonts w:ascii="Segoe UI Symbol" w:hAnsi="Segoe UI Symbol" w:cs="Segoe UI Symbol"/>
              </w:rPr>
              <w:t xml:space="preserve">★</w:t>
            </w:r>
            <w:r>
              <w:t xml:space="preserve">平均无故障次数MCBF至少2000万次</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p>
            <w:pPr>
              <w:pStyle w:val="810"/>
              <w:numPr>
                <w:ilvl w:val="0"/>
                <w:numId w:val="28"/>
              </w:numPr>
              <w:ind w:left="292" w:hanging="292"/>
              <w:widowControl/>
            </w:pPr>
            <w:r>
              <w:t xml:space="preserve">光敏调节功能：支持光敏感光自动切换昼夜模式。光敏感光等级16级可调。</w:t>
            </w:r>
            <w:r/>
          </w:p>
          <w:p>
            <w:pPr>
              <w:pStyle w:val="810"/>
              <w:numPr>
                <w:ilvl w:val="0"/>
                <w:numId w:val="28"/>
              </w:numPr>
              <w:ind w:left="292" w:hanging="292"/>
              <w:widowControl/>
            </w:pPr>
            <w:r>
              <w:t xml:space="preserve">光栅结构：设备内置光栅结构。</w:t>
            </w:r>
            <w:r/>
          </w:p>
          <w:p>
            <w:pPr>
              <w:pStyle w:val="810"/>
              <w:numPr>
                <w:ilvl w:val="0"/>
                <w:numId w:val="28"/>
              </w:numPr>
              <w:ind w:left="292" w:hanging="292"/>
              <w:widowControl/>
            </w:pPr>
            <w:r>
              <w:t xml:space="preserve">色温范围5800±200K。</w:t>
            </w:r>
            <w:r/>
          </w:p>
          <w:p>
            <w:pPr>
              <w:pStyle w:val="810"/>
              <w:numPr>
                <w:ilvl w:val="0"/>
                <w:numId w:val="28"/>
              </w:numPr>
              <w:ind w:left="292" w:hanging="292"/>
              <w:widowControl/>
            </w:pPr>
            <w:r>
              <w:t xml:space="preserve">亮度等级1~16级可调，可通过软件对亮度进行调节。</w:t>
            </w:r>
            <w:r/>
          </w:p>
          <w:p>
            <w:pPr>
              <w:pStyle w:val="810"/>
              <w:numPr>
                <w:ilvl w:val="0"/>
                <w:numId w:val="28"/>
              </w:numPr>
              <w:ind w:left="292" w:hanging="292"/>
              <w:widowControl/>
            </w:pPr>
            <w:r>
              <w:rPr>
                <w:rFonts w:ascii="Segoe UI Symbol" w:hAnsi="Segoe UI Symbol" w:cs="Segoe UI Symbol"/>
              </w:rPr>
              <w:t xml:space="preserve">★</w:t>
            </w:r>
            <w:r>
              <w:t xml:space="preserve">光斑覆盖范围直径12m</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p>
            <w:pPr>
              <w:pStyle w:val="810"/>
              <w:numPr>
                <w:ilvl w:val="0"/>
                <w:numId w:val="28"/>
              </w:numPr>
              <w:ind w:left="292" w:hanging="292"/>
              <w:widowControl/>
            </w:pPr>
            <w:r>
              <w:t xml:space="preserve">回电时间：满足摄像机两张连拍需求，补光装置连续两次补光之间的最小时间间隔应小于等于40ms。</w:t>
            </w:r>
            <w:r/>
          </w:p>
          <w:p>
            <w:pPr>
              <w:pStyle w:val="810"/>
              <w:numPr>
                <w:ilvl w:val="0"/>
                <w:numId w:val="28"/>
              </w:numPr>
              <w:ind w:left="292" w:hanging="292"/>
              <w:jc w:val="left"/>
              <w:widowControl/>
            </w:pPr>
            <w:r>
              <w:rPr>
                <w:rFonts w:ascii="Segoe UI Symbol" w:hAnsi="Segoe UI Symbol" w:cs="Segoe UI Symbol"/>
              </w:rPr>
              <w:t xml:space="preserve">★</w:t>
            </w:r>
            <w:r>
              <w:t xml:space="preserve">通过光敏自动进行日夜切换，日夜可分别设置亮度等级</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34</w:t>
            </w:r>
            <w:r/>
          </w:p>
        </w:tc>
      </w:tr>
      <w:tr>
        <w:trPr>
          <w:gridAfter w:val="1"/>
          <w:trHeight w:val="270"/>
        </w:trPr>
        <w:tc>
          <w:tcPr>
            <w:shd w:val="clear" w:color="auto" w:fill="auto"/>
            <w:tcW w:w="704" w:type="dxa"/>
            <w:vAlign w:val="center"/>
            <w:textDirection w:val="lrTb"/>
            <w:noWrap/>
          </w:tcPr>
          <w:p>
            <w:pPr>
              <w:jc w:val="center"/>
              <w:widowControl/>
            </w:pPr>
            <w:r>
              <w:t xml:space="preserve">5</w:t>
            </w:r>
            <w:r/>
          </w:p>
        </w:tc>
        <w:tc>
          <w:tcPr>
            <w:shd w:val="clear" w:color="auto" w:fill="auto"/>
            <w:tcW w:w="1275" w:type="dxa"/>
            <w:vAlign w:val="center"/>
            <w:textDirection w:val="lrTb"/>
            <w:noWrap/>
          </w:tcPr>
          <w:p>
            <w:pPr>
              <w:jc w:val="center"/>
              <w:widowControl/>
            </w:pPr>
            <w:r>
              <w:t xml:space="preserve">存储设备</w:t>
            </w:r>
            <w:r/>
          </w:p>
        </w:tc>
        <w:tc>
          <w:tcPr>
            <w:shd w:val="clear" w:color="auto" w:fill="auto"/>
            <w:tcW w:w="5926" w:type="dxa"/>
            <w:vAlign w:val="center"/>
            <w:textDirection w:val="lrTb"/>
            <w:noWrap/>
          </w:tcPr>
          <w:p>
            <w:pPr>
              <w:pStyle w:val="810"/>
              <w:numPr>
                <w:ilvl w:val="0"/>
                <w:numId w:val="29"/>
              </w:numPr>
              <w:ind w:left="292" w:hanging="292"/>
              <w:widowControl/>
            </w:pPr>
            <w:r>
              <w:t xml:space="preserve">内置16个10M/100M自适应以太网口，视频接入模式最大码流支持288Mbps，卡口合成模式最大码流支持240Mbps。</w:t>
            </w:r>
            <w:r/>
          </w:p>
          <w:p>
            <w:pPr>
              <w:pStyle w:val="810"/>
              <w:numPr>
                <w:ilvl w:val="0"/>
                <w:numId w:val="29"/>
              </w:numPr>
              <w:ind w:left="292" w:hanging="292"/>
              <w:widowControl/>
            </w:pPr>
            <w:r>
              <w:t xml:space="preserve">支持同时对接4个屏幕，支持按通道设置对应的屏号，支持按行驶方向将不同方向的车辆信息发布到不同屏幕上。</w:t>
            </w:r>
            <w:r/>
          </w:p>
          <w:p>
            <w:pPr>
              <w:pStyle w:val="810"/>
              <w:numPr>
                <w:ilvl w:val="0"/>
                <w:numId w:val="29"/>
              </w:numPr>
              <w:ind w:left="292" w:hanging="292"/>
              <w:widowControl/>
            </w:pPr>
            <w:r>
              <w:t xml:space="preserve">支持将屏幕划分为6个区域，各区域可独立配置数据类型、每页停留时间、显示风格，移动速度，字体颜色，字体大小，叠加元素。</w:t>
            </w:r>
            <w:r/>
          </w:p>
          <w:p>
            <w:pPr>
              <w:pStyle w:val="810"/>
              <w:numPr>
                <w:ilvl w:val="0"/>
                <w:numId w:val="29"/>
              </w:numPr>
              <w:ind w:left="292" w:hanging="292"/>
              <w:widowControl/>
            </w:pPr>
            <w:r>
              <w:t xml:space="preserve">支持设置最大速度阈值，控制最大显示速度；支持开启速度控制，设置安全速度阈值、告警速度阈值、超速速度阈值及对应的字体颜色，按速度区段区分显示字体颜色。</w:t>
            </w:r>
            <w:r/>
          </w:p>
          <w:p>
            <w:pPr>
              <w:pStyle w:val="810"/>
              <w:numPr>
                <w:ilvl w:val="0"/>
                <w:numId w:val="29"/>
              </w:numPr>
              <w:ind w:left="292" w:hanging="292"/>
              <w:widowControl/>
            </w:pPr>
            <w:r>
              <w:t xml:space="preserve">支持仅超速显示车速、卡口合成上传、违法合成上传、无牌车上传、警牌上传、车牌隐私保护等多种个性发布方式。</w:t>
            </w:r>
            <w:r/>
          </w:p>
          <w:p>
            <w:pPr>
              <w:pStyle w:val="810"/>
              <w:numPr>
                <w:ilvl w:val="0"/>
                <w:numId w:val="29"/>
              </w:numPr>
              <w:ind w:left="292" w:hanging="292"/>
              <w:widowControl/>
            </w:pPr>
            <w:r>
              <w:rPr>
                <w:rFonts w:ascii="Segoe UI Symbol" w:hAnsi="Segoe UI Symbol" w:cs="Segoe UI Symbol"/>
              </w:rPr>
              <w:t xml:space="preserve">★</w:t>
            </w:r>
            <w:r>
              <w:t xml:space="preserve">支持普通合成根据不同违法类型配置合成图中特写图序号</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p>
            <w:pPr>
              <w:pStyle w:val="810"/>
              <w:numPr>
                <w:ilvl w:val="0"/>
                <w:numId w:val="29"/>
              </w:numPr>
              <w:ind w:left="292" w:hanging="292"/>
              <w:widowControl/>
            </w:pPr>
            <w:r>
              <w:t xml:space="preserve">支持按图片类型区分设置显示内容和字体颜色、是否启用语音播报及播报内容，支持的图片类型有超速、违法变道、违法停车、预违停、违法倒车、逆行、卡口、未礼让行人、闯红灯、不按导向箭头行驶、车辆拥堵禁入、压白线、有车占道、右转不礼让行人、大弯小转、禁货。</w:t>
            </w:r>
            <w:r/>
          </w:p>
          <w:p>
            <w:pPr>
              <w:pStyle w:val="810"/>
              <w:numPr>
                <w:ilvl w:val="0"/>
                <w:numId w:val="29"/>
              </w:numPr>
              <w:ind w:left="292" w:hanging="292"/>
              <w:widowControl/>
            </w:pPr>
            <w:r>
              <w:t xml:space="preserve">可添加IP摄像机≥16路，支持网络高清视频和图片同时接入，总码率不小于300Mbps。</w:t>
            </w:r>
            <w:r/>
          </w:p>
          <w:p>
            <w:pPr>
              <w:pStyle w:val="810"/>
              <w:numPr>
                <w:ilvl w:val="0"/>
                <w:numId w:val="29"/>
              </w:numPr>
              <w:ind w:left="292" w:hanging="292"/>
              <w:widowControl/>
            </w:pPr>
            <w:r>
              <w:t xml:space="preserve">支持将1/2/3/4/5/6张原始图片进行合成，支持多种合成形状选择，图片顺序可任意修改；支持去除原始图片黑边。</w:t>
            </w:r>
            <w:r/>
          </w:p>
          <w:p>
            <w:pPr>
              <w:pStyle w:val="810"/>
              <w:numPr>
                <w:ilvl w:val="0"/>
                <w:numId w:val="29"/>
              </w:numPr>
              <w:ind w:left="292" w:hanging="292"/>
              <w:widowControl/>
            </w:pPr>
            <w:r>
              <w:t xml:space="preserve">支持超速检测和欠速检测。可分别设定高限速和低限速值。</w:t>
            </w:r>
            <w:r/>
          </w:p>
          <w:p>
            <w:pPr>
              <w:pStyle w:val="810"/>
              <w:numPr>
                <w:ilvl w:val="0"/>
                <w:numId w:val="29"/>
              </w:numPr>
              <w:ind w:left="292" w:hanging="292"/>
              <w:widowControl/>
            </w:pPr>
            <w:r>
              <w:rPr>
                <w:rFonts w:ascii="Segoe UI Symbol" w:hAnsi="Segoe UI Symbol" w:cs="Segoe UI Symbol"/>
              </w:rPr>
              <w:t xml:space="preserve">★</w:t>
            </w:r>
            <w:r>
              <w:t xml:space="preserve">支持根据24个结果选择进行数据展示界面的自定义设置，包括图片索引号、通道号、车道号、大小、存储时间、抓拍时间、图片类型、车牌、车牌类型、车牌颜色、车身颜色、对象类型、速度、车标、主驾驶安全带状态、副驾驶安全带状态、主驾驶遮阳板状态、副驾驶遮阳板状态、平台1标识、平台1上传状态、平台1上传时间、平台2标识、平台2上传状态、平台2上传时间等信息</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p>
            <w:pPr>
              <w:pStyle w:val="810"/>
              <w:numPr>
                <w:ilvl w:val="0"/>
                <w:numId w:val="29"/>
              </w:numPr>
              <w:ind w:left="292" w:hanging="292"/>
              <w:widowControl/>
            </w:pPr>
            <w:r>
              <w:t xml:space="preserve">对于记录在存储介质上的视(音)频信息，取出的存储介质应能在相同型号的其他设备上正常回放，以保证设备发生故障后记录资料的留存（或复制）。</w:t>
            </w:r>
            <w:r/>
          </w:p>
          <w:p>
            <w:pPr>
              <w:pStyle w:val="810"/>
              <w:numPr>
                <w:ilvl w:val="0"/>
                <w:numId w:val="29"/>
              </w:numPr>
              <w:ind w:left="292" w:hanging="292"/>
              <w:jc w:val="left"/>
              <w:widowControl/>
            </w:pPr>
            <w:r>
              <w:rPr>
                <w:rFonts w:ascii="Segoe UI Symbol" w:hAnsi="Segoe UI Symbol" w:cs="Segoe UI Symbol"/>
              </w:rPr>
              <w:t xml:space="preserve">★</w:t>
            </w:r>
            <w:r>
              <w:t xml:space="preserve">支持网络流量统计功能，可对网络接收总能力、通道接入、网络接收剩余、远程发送总能力、远程浏览、远程发送剩余的实时观察</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4</w:t>
            </w:r>
            <w:r/>
          </w:p>
        </w:tc>
      </w:tr>
      <w:tr>
        <w:trPr>
          <w:gridAfter w:val="1"/>
          <w:trHeight w:val="270"/>
        </w:trPr>
        <w:tc>
          <w:tcPr>
            <w:shd w:val="clear" w:color="auto" w:fill="auto"/>
            <w:tcW w:w="704" w:type="dxa"/>
            <w:vAlign w:val="center"/>
            <w:textDirection w:val="lrTb"/>
            <w:noWrap/>
          </w:tcPr>
          <w:p>
            <w:pPr>
              <w:jc w:val="center"/>
              <w:widowControl/>
            </w:pPr>
            <w:r>
              <w:t xml:space="preserve">6</w:t>
            </w:r>
            <w:r/>
          </w:p>
        </w:tc>
        <w:tc>
          <w:tcPr>
            <w:shd w:val="clear" w:color="auto" w:fill="auto"/>
            <w:tcW w:w="1275" w:type="dxa"/>
            <w:vAlign w:val="center"/>
            <w:textDirection w:val="lrTb"/>
            <w:noWrap/>
          </w:tcPr>
          <w:p>
            <w:pPr>
              <w:jc w:val="center"/>
              <w:widowControl/>
            </w:pPr>
            <w:r>
              <w:t xml:space="preserve">400W违停检测球机</w:t>
            </w:r>
            <w:r/>
          </w:p>
        </w:tc>
        <w:tc>
          <w:tcPr>
            <w:shd w:val="clear" w:color="auto" w:fill="auto"/>
            <w:tcW w:w="5926" w:type="dxa"/>
            <w:vAlign w:val="center"/>
            <w:textDirection w:val="lrTb"/>
            <w:noWrap/>
          </w:tcPr>
          <w:p>
            <w:pPr>
              <w:pStyle w:val="810"/>
              <w:numPr>
                <w:ilvl w:val="0"/>
                <w:numId w:val="30"/>
              </w:numPr>
              <w:ind w:left="292" w:hanging="292"/>
              <w:widowControl/>
            </w:pPr>
            <w:r>
              <w:t xml:space="preserve">采用不小于400万像素1/1.8英寸CMOS传感器。</w:t>
            </w:r>
            <w:r/>
          </w:p>
          <w:p>
            <w:pPr>
              <w:pStyle w:val="810"/>
              <w:numPr>
                <w:ilvl w:val="0"/>
                <w:numId w:val="30"/>
              </w:numPr>
              <w:ind w:left="292" w:hanging="292"/>
              <w:widowControl/>
            </w:pPr>
            <w:r>
              <w:t xml:space="preserve">内置GPU芯片，支持深度学习算法，有效提升监视准确率。</w:t>
            </w:r>
            <w:r/>
          </w:p>
          <w:p>
            <w:pPr>
              <w:pStyle w:val="810"/>
              <w:numPr>
                <w:ilvl w:val="0"/>
                <w:numId w:val="30"/>
              </w:numPr>
              <w:ind w:left="292" w:hanging="292"/>
              <w:widowControl/>
            </w:pPr>
            <w:r>
              <w:t xml:space="preserve">光学变倍检验不小于40倍。</w:t>
            </w:r>
            <w:r/>
          </w:p>
          <w:p>
            <w:pPr>
              <w:pStyle w:val="810"/>
              <w:numPr>
                <w:ilvl w:val="0"/>
                <w:numId w:val="30"/>
              </w:numPr>
              <w:ind w:left="292" w:hanging="292"/>
              <w:widowControl/>
            </w:pPr>
            <w:r>
              <w:t xml:space="preserve">设备水平手控最大速度应不小于800°/s。</w:t>
            </w:r>
            <w:r/>
          </w:p>
          <w:p>
            <w:pPr>
              <w:pStyle w:val="810"/>
              <w:numPr>
                <w:ilvl w:val="0"/>
                <w:numId w:val="30"/>
              </w:numPr>
              <w:ind w:left="292" w:hanging="292"/>
              <w:widowControl/>
            </w:pPr>
            <w:r>
              <w:t xml:space="preserve">智能切换功能检验：支持快速智能切换，当更换当前智能模式时设备不需重启，新智能使能后即可生效。</w:t>
            </w:r>
            <w:r/>
          </w:p>
          <w:p>
            <w:pPr>
              <w:pStyle w:val="810"/>
              <w:numPr>
                <w:ilvl w:val="0"/>
                <w:numId w:val="30"/>
              </w:numPr>
              <w:ind w:left="292" w:hanging="292"/>
              <w:widowControl/>
            </w:pPr>
            <w:r>
              <w:rPr>
                <w:rFonts w:ascii="Segoe UI Symbol" w:hAnsi="Segoe UI Symbol" w:cs="Segoe UI Symbol"/>
              </w:rPr>
              <w:t xml:space="preserve">★</w:t>
            </w:r>
            <w:r>
              <w:t xml:space="preserve">多场景巡航功能检验：多场景分别配置不同智能后，可进行多场景智能巡航，进行不同智能功能的分时复用。切换码流可继续支持原来的智能，支持跟踪抓拍</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p>
            <w:pPr>
              <w:pStyle w:val="810"/>
              <w:numPr>
                <w:ilvl w:val="0"/>
                <w:numId w:val="30"/>
              </w:numPr>
              <w:ind w:left="292" w:hanging="292"/>
              <w:widowControl/>
            </w:pPr>
            <w:r>
              <w:t xml:space="preserve">违法停车抓拍功能检验：在天气晴朗无雾，号牌无遮挡，无污染的条件下进行测试，白天测试时的环境光照度不低于200lx，晚上不高于50lx，球机处于设定的预制场景，且开启违法停车抓拍规则时，能够对违法停车行为进行抓拍，白天和晚上个测试100次，捕获次数均应不少于99次，图片模式应符合GA/T832-2014(道路交通安全违法行为图像取证技术规范）中模式九的相关规定。</w:t>
            </w:r>
            <w:r/>
          </w:p>
          <w:p>
            <w:pPr>
              <w:pStyle w:val="810"/>
              <w:numPr>
                <w:ilvl w:val="0"/>
                <w:numId w:val="30"/>
              </w:numPr>
              <w:ind w:left="292" w:hanging="292"/>
              <w:widowControl/>
            </w:pPr>
            <w:r>
              <w:rPr>
                <w:rFonts w:ascii="Segoe UI Symbol" w:hAnsi="Segoe UI Symbol" w:cs="Segoe UI Symbol"/>
              </w:rPr>
              <w:t xml:space="preserve">★</w:t>
            </w:r>
            <w:r>
              <w:t xml:space="preserve">违法取证功能检验：可准确抓拍车辆压白线、逆行、欠速、超速、不按车道行驶、压黄线、违法变道、加塞、黄牌车辆占道、机动车占非机动车道等可体现违章过程图片，当预置点场景内有违法规则被触发时，设备可联动报警输出和上传图片</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p>
            <w:pPr>
              <w:pStyle w:val="810"/>
              <w:numPr>
                <w:ilvl w:val="0"/>
                <w:numId w:val="30"/>
              </w:numPr>
              <w:ind w:left="292" w:hanging="292"/>
              <w:widowControl/>
            </w:pPr>
            <w:r>
              <w:t xml:space="preserve">违法停车监视距离试验：设备支持违法停车监视，当镜头倍率为1倍时，白天有效监视距离最大为150米，当镜头倍率为最大倍率时，白天有效监视距离为400米。</w:t>
            </w:r>
            <w:r/>
          </w:p>
          <w:p>
            <w:pPr>
              <w:pStyle w:val="810"/>
              <w:numPr>
                <w:ilvl w:val="0"/>
                <w:numId w:val="30"/>
              </w:numPr>
              <w:ind w:left="292" w:hanging="292"/>
              <w:widowControl/>
            </w:pPr>
            <w:r>
              <w:t xml:space="preserve">交通事件监视功能检验：设备支持对机动车辆监视、行人监视、非机动车监视、违停、逆行、压线、变道、占用非机动车道、抛洒物、拥堵、路障、事故、浓雾等监视，支持交通数据采集，并可上传报警信息。</w:t>
            </w:r>
            <w:r/>
          </w:p>
          <w:p>
            <w:pPr>
              <w:pStyle w:val="810"/>
              <w:numPr>
                <w:ilvl w:val="0"/>
                <w:numId w:val="30"/>
              </w:numPr>
              <w:ind w:left="292" w:hanging="292"/>
              <w:widowControl/>
            </w:pPr>
            <w:r>
              <w:t xml:space="preserve">行人、非机动车、车辆监视场景巡航功能检验：可按设定的时间对预置行人、非机动车、车辆监视场景进行巡航监视可选择全天或分段模式。全天模式下，将对选择的行人、非机动车、车辆监视场景按照其监视规则进行全天监视;分段模式下，可按设定的时间自动切换监视场景，按照相应场景的监视规则进行行人、非机动车、车辆监视。</w:t>
            </w:r>
            <w:r/>
          </w:p>
          <w:p>
            <w:pPr>
              <w:pStyle w:val="810"/>
              <w:numPr>
                <w:ilvl w:val="0"/>
                <w:numId w:val="30"/>
              </w:numPr>
              <w:ind w:left="292" w:hanging="292"/>
              <w:widowControl/>
            </w:pPr>
            <w:r>
              <w:t xml:space="preserve">车牌颜色识别功能检验：设备可识别5种车牌颜色，包括：黄、蓝、白、黑、新能源车牌颜色。</w:t>
            </w:r>
            <w:r/>
          </w:p>
          <w:p>
            <w:pPr>
              <w:pStyle w:val="810"/>
              <w:numPr>
                <w:ilvl w:val="0"/>
                <w:numId w:val="30"/>
              </w:numPr>
              <w:ind w:left="292" w:hanging="292"/>
              <w:widowControl/>
            </w:pPr>
            <w:r>
              <w:t xml:space="preserve">车型识别功能检查：可识别正向和反向通过观测画面中的28种机动车车型。</w:t>
            </w:r>
            <w:r/>
          </w:p>
          <w:p>
            <w:pPr>
              <w:pStyle w:val="810"/>
              <w:numPr>
                <w:ilvl w:val="0"/>
                <w:numId w:val="30"/>
              </w:numPr>
              <w:ind w:left="292" w:hanging="292"/>
              <w:widowControl/>
            </w:pPr>
            <w:r>
              <w:t xml:space="preserve">车身颜色识别及识别准确率检验：支持15种车身颜色识别。</w:t>
            </w:r>
            <w:r/>
          </w:p>
          <w:p>
            <w:pPr>
              <w:pStyle w:val="810"/>
              <w:numPr>
                <w:ilvl w:val="0"/>
                <w:numId w:val="30"/>
              </w:numPr>
              <w:ind w:left="292" w:hanging="292"/>
              <w:widowControl/>
            </w:pPr>
            <w:r>
              <w:rPr>
                <w:rFonts w:ascii="Segoe UI Symbol" w:hAnsi="Segoe UI Symbol" w:cs="Segoe UI Symbol"/>
              </w:rPr>
              <w:t xml:space="preserve">★</w:t>
            </w:r>
            <w:r>
              <w:t xml:space="preserve">车牌类型识别功能检查：支持不小于12种车牌类型识别</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p>
            <w:pPr>
              <w:pStyle w:val="810"/>
              <w:numPr>
                <w:ilvl w:val="0"/>
                <w:numId w:val="30"/>
              </w:numPr>
              <w:ind w:left="292" w:hanging="292"/>
              <w:widowControl/>
            </w:pPr>
            <w:r>
              <w:rPr>
                <w:rFonts w:ascii="Segoe UI Symbol" w:hAnsi="Segoe UI Symbol" w:cs="Segoe UI Symbol"/>
              </w:rPr>
              <w:t xml:space="preserve">★</w:t>
            </w:r>
            <w:r>
              <w:t xml:space="preserve">机动车子品牌及对应年款不少于5000种</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p>
            <w:pPr>
              <w:pStyle w:val="810"/>
              <w:numPr>
                <w:ilvl w:val="0"/>
                <w:numId w:val="30"/>
              </w:numPr>
              <w:ind w:left="292" w:hanging="292"/>
              <w:widowControl/>
            </w:pPr>
            <w:r>
              <w:t xml:space="preserve">车身颜色识别准确率试验：在天气晴朗无雾，车身无污损、无大面积遮挡的条件下进行测试，日间测试时的环境光照度不低于200lx，夜间测试时辅助照明光照度不高于30lx：白天车身颜色识别准确率≥99%：晚上车身颜色识别准确率≥99%。</w:t>
            </w:r>
            <w:r/>
          </w:p>
          <w:p>
            <w:pPr>
              <w:pStyle w:val="810"/>
              <w:numPr>
                <w:ilvl w:val="0"/>
                <w:numId w:val="30"/>
              </w:numPr>
              <w:ind w:left="292" w:hanging="292"/>
              <w:widowControl/>
            </w:pPr>
            <w:r>
              <w:t xml:space="preserve">车辆品牌标志识别准确率试验：可识别通过观测画面中的机动车品牌标志。在天气晴朗无雾，车身无污损、无大面积遮挡的条件下进行测试，日间测试时的环境光照度不低于200lx，夜间测试时辅助照明光照度不高于30lx：白天车辆品牌标志识别准确率≥99%：晚上车辆品牌标志识别准确率≥99%。</w:t>
            </w:r>
            <w:r/>
          </w:p>
          <w:p>
            <w:pPr>
              <w:pStyle w:val="810"/>
              <w:numPr>
                <w:ilvl w:val="0"/>
                <w:numId w:val="30"/>
              </w:numPr>
              <w:ind w:left="292" w:hanging="292"/>
              <w:widowControl/>
            </w:pPr>
            <w:r>
              <w:rPr>
                <w:rFonts w:ascii="Segoe UI Symbol" w:hAnsi="Segoe UI Symbol" w:cs="Segoe UI Symbol"/>
              </w:rPr>
              <w:t xml:space="preserve">★</w:t>
            </w:r>
            <w:r>
              <w:t xml:space="preserve">具有不小于2048个预置位，存预置位和调预置位功能正常</w:t>
            </w:r>
            <w:r>
              <w:rPr>
                <w:b/>
                <w:bCs/>
              </w:rPr>
              <w:t xml:space="preserve">（</w:t>
            </w:r>
            <w:r>
              <w:rPr>
                <w:rFonts w:hint="eastAsia"/>
                <w:b/>
                <w:bCs/>
              </w:rPr>
              <w:t xml:space="preserve">投标时须</w:t>
            </w:r>
            <w:r>
              <w:rPr>
                <w:b/>
                <w:bCs/>
              </w:rPr>
              <w:t xml:space="preserve">提供公安部有效检测报告</w:t>
            </w:r>
            <w:r>
              <w:rPr>
                <w:rFonts w:hint="eastAsia"/>
                <w:b/>
                <w:bCs/>
              </w:rPr>
              <w:t xml:space="preserve">扫描件</w:t>
            </w:r>
            <w:r>
              <w:rPr>
                <w:b/>
                <w:bCs/>
              </w:rPr>
              <w:t xml:space="preserve">加盖原厂公章）。</w:t>
            </w:r>
            <w:r/>
          </w:p>
          <w:p>
            <w:pPr>
              <w:pStyle w:val="810"/>
              <w:numPr>
                <w:ilvl w:val="0"/>
                <w:numId w:val="30"/>
              </w:numPr>
              <w:ind w:left="292" w:hanging="292"/>
              <w:widowControl/>
            </w:pPr>
            <w:r>
              <w:t xml:space="preserve">支持雨刷功能。</w:t>
            </w:r>
            <w:r/>
          </w:p>
          <w:p>
            <w:pPr>
              <w:pStyle w:val="810"/>
              <w:numPr>
                <w:ilvl w:val="0"/>
                <w:numId w:val="30"/>
              </w:numPr>
              <w:ind w:left="292" w:hanging="292"/>
              <w:widowControl/>
            </w:pPr>
            <w:r>
              <w:t xml:space="preserve">支持1路音频输入和1路音频输出。</w:t>
            </w:r>
            <w:r/>
          </w:p>
          <w:p>
            <w:pPr>
              <w:pStyle w:val="810"/>
              <w:numPr>
                <w:ilvl w:val="0"/>
                <w:numId w:val="30"/>
              </w:numPr>
              <w:ind w:left="292" w:hanging="292"/>
              <w:widowControl/>
            </w:pPr>
            <w:r>
              <w:t xml:space="preserve">内置7路报警输入和2路报警输出，支持报警联动功能。</w:t>
            </w:r>
            <w:r/>
          </w:p>
          <w:p>
            <w:pPr>
              <w:pStyle w:val="810"/>
              <w:numPr>
                <w:ilvl w:val="0"/>
                <w:numId w:val="30"/>
              </w:numPr>
              <w:ind w:left="292" w:hanging="292"/>
              <w:jc w:val="left"/>
              <w:widowControl/>
            </w:pPr>
            <w:r>
              <w:t xml:space="preserve">支持国密算法SM1、SM2、SM3、SM4，支持GB35114 A级。</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rPr>
                <w:rFonts w:hint="eastAsia"/>
              </w:rPr>
              <w:t xml:space="preserve">4</w:t>
            </w:r>
            <w:r/>
          </w:p>
        </w:tc>
      </w:tr>
      <w:tr>
        <w:trPr>
          <w:gridAfter w:val="1"/>
          <w:trHeight w:val="270"/>
        </w:trPr>
        <w:tc>
          <w:tcPr>
            <w:shd w:val="clear" w:color="auto" w:fill="auto"/>
            <w:tcW w:w="704" w:type="dxa"/>
            <w:vAlign w:val="center"/>
            <w:textDirection w:val="lrTb"/>
            <w:noWrap/>
          </w:tcPr>
          <w:p>
            <w:pPr>
              <w:jc w:val="center"/>
              <w:widowControl/>
            </w:pPr>
            <w:r>
              <w:t xml:space="preserve">7</w:t>
            </w:r>
            <w:r/>
          </w:p>
        </w:tc>
        <w:tc>
          <w:tcPr>
            <w:shd w:val="clear" w:color="auto" w:fill="auto"/>
            <w:tcW w:w="1275" w:type="dxa"/>
            <w:vAlign w:val="center"/>
            <w:textDirection w:val="lrTb"/>
            <w:noWrap/>
          </w:tcPr>
          <w:p>
            <w:pPr>
              <w:jc w:val="center"/>
              <w:widowControl/>
            </w:pPr>
            <w:r>
              <w:t xml:space="preserve">交换机</w:t>
            </w:r>
            <w:r>
              <w:rPr>
                <w:rFonts w:hint="eastAsia"/>
              </w:rPr>
              <w:t xml:space="preserve">1</w:t>
            </w:r>
            <w:r/>
          </w:p>
        </w:tc>
        <w:tc>
          <w:tcPr>
            <w:shd w:val="clear" w:color="auto" w:fill="auto"/>
            <w:tcW w:w="5926" w:type="dxa"/>
            <w:vAlign w:val="center"/>
            <w:textDirection w:val="lrTb"/>
            <w:noWrap/>
          </w:tcPr>
          <w:p>
            <w:pPr>
              <w:jc w:val="left"/>
              <w:widowControl/>
            </w:pPr>
            <w:r>
              <w:t xml:space="preserve">提供24个千兆以太网端口，全千兆网络设计，线速转发、无阻塞设计，存储转发交换方式，超过10万小时的平均无故障时间，-10~45℃宽温工作范围，坚固式高强度金属外壳。</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4</w:t>
            </w:r>
            <w:r/>
          </w:p>
        </w:tc>
      </w:tr>
      <w:tr>
        <w:trPr>
          <w:gridAfter w:val="1"/>
          <w:trHeight w:val="270"/>
        </w:trPr>
        <w:tc>
          <w:tcPr>
            <w:shd w:val="clear" w:color="auto" w:fill="auto"/>
            <w:tcW w:w="704" w:type="dxa"/>
            <w:vAlign w:val="center"/>
            <w:textDirection w:val="lrTb"/>
            <w:noWrap/>
          </w:tcPr>
          <w:p>
            <w:pPr>
              <w:jc w:val="center"/>
              <w:widowControl/>
            </w:pPr>
            <w:r>
              <w:t xml:space="preserve">8</w:t>
            </w:r>
            <w:r/>
          </w:p>
        </w:tc>
        <w:tc>
          <w:tcPr>
            <w:shd w:val="clear" w:color="auto" w:fill="auto"/>
            <w:tcW w:w="1275" w:type="dxa"/>
            <w:vAlign w:val="center"/>
            <w:textDirection w:val="lrTb"/>
            <w:noWrap/>
          </w:tcPr>
          <w:p>
            <w:pPr>
              <w:jc w:val="center"/>
              <w:widowControl/>
            </w:pPr>
            <w:r>
              <w:t xml:space="preserve">交换机</w:t>
            </w:r>
            <w:r>
              <w:rPr>
                <w:rFonts w:hint="eastAsia"/>
              </w:rPr>
              <w:t xml:space="preserve">2</w:t>
            </w:r>
            <w:r/>
          </w:p>
        </w:tc>
        <w:tc>
          <w:tcPr>
            <w:shd w:val="clear" w:color="auto" w:fill="auto"/>
            <w:tcW w:w="5926" w:type="dxa"/>
            <w:vAlign w:val="center"/>
            <w:textDirection w:val="lrTb"/>
            <w:noWrap/>
          </w:tcPr>
          <w:p>
            <w:pPr>
              <w:jc w:val="left"/>
              <w:widowControl/>
            </w:pPr>
            <w:r>
              <w:t xml:space="preserve">提供8个千兆以太网端口，全千兆网络设计，线速转发、无阻塞设计，存储转发交换方式，超过10万小时的平均无故障时间，-10~45℃宽温工作范围，坚固式高强度金属外壳。</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18</w:t>
            </w:r>
            <w:r/>
          </w:p>
        </w:tc>
      </w:tr>
      <w:tr>
        <w:trPr>
          <w:gridAfter w:val="1"/>
          <w:trHeight w:val="270"/>
        </w:trPr>
        <w:tc>
          <w:tcPr>
            <w:shd w:val="clear" w:color="auto" w:fill="auto"/>
            <w:tcW w:w="704" w:type="dxa"/>
            <w:vAlign w:val="center"/>
            <w:textDirection w:val="lrTb"/>
            <w:noWrap/>
          </w:tcPr>
          <w:p>
            <w:pPr>
              <w:jc w:val="center"/>
              <w:widowControl/>
            </w:pPr>
            <w:r>
              <w:t xml:space="preserve">9</w:t>
            </w:r>
            <w:r/>
          </w:p>
        </w:tc>
        <w:tc>
          <w:tcPr>
            <w:shd w:val="clear" w:color="auto" w:fill="auto"/>
            <w:tcW w:w="1275" w:type="dxa"/>
            <w:vAlign w:val="center"/>
            <w:textDirection w:val="lrTb"/>
            <w:noWrap/>
          </w:tcPr>
          <w:p>
            <w:pPr>
              <w:jc w:val="center"/>
              <w:widowControl/>
            </w:pPr>
            <w:r>
              <w:t xml:space="preserve">监控控制箱</w:t>
            </w:r>
            <w:r/>
          </w:p>
        </w:tc>
        <w:tc>
          <w:tcPr>
            <w:shd w:val="clear" w:color="auto" w:fill="auto"/>
            <w:tcW w:w="5926" w:type="dxa"/>
            <w:vAlign w:val="center"/>
            <w:textDirection w:val="lrTb"/>
            <w:noWrap/>
          </w:tcPr>
          <w:p>
            <w:pPr>
              <w:jc w:val="left"/>
              <w:widowControl/>
            </w:pPr>
            <w:r>
              <w:t xml:space="preserve">输入电压：AC220V±20%</w:t>
            </w:r>
            <w:r/>
          </w:p>
          <w:p>
            <w:pPr>
              <w:jc w:val="left"/>
              <w:widowControl/>
            </w:pPr>
            <w:r>
              <w:t xml:space="preserve">防雷器：包含一个电源防雷器</w:t>
            </w:r>
            <w:r/>
          </w:p>
          <w:p>
            <w:pPr>
              <w:jc w:val="left"/>
              <w:widowControl/>
            </w:pPr>
            <w:r>
              <w:t xml:space="preserve">输出端子数量：包含8路单开，可对外提供8路220V输出</w:t>
            </w:r>
            <w:r/>
          </w:p>
          <w:p>
            <w:pPr>
              <w:jc w:val="left"/>
              <w:widowControl/>
            </w:pPr>
            <w:r>
              <w:t xml:space="preserve">层数：四层隔板，提供23U存储空间</w:t>
            </w:r>
            <w:r/>
          </w:p>
          <w:p>
            <w:pPr>
              <w:jc w:val="left"/>
              <w:widowControl/>
            </w:pPr>
            <w:r>
              <w:t xml:space="preserve">外壳材质：电镀锌板（SECCT=1.5mm）</w:t>
            </w:r>
            <w:r/>
          </w:p>
          <w:p>
            <w:pPr>
              <w:jc w:val="left"/>
              <w:widowControl/>
            </w:pPr>
            <w:r>
              <w:t xml:space="preserve">工作环境：工作温度-30℃～+70℃，工作湿度10%～90%</w:t>
            </w:r>
            <w:r/>
          </w:p>
          <w:p>
            <w:pPr>
              <w:jc w:val="left"/>
              <w:widowControl/>
            </w:pPr>
            <w:r>
              <w:t xml:space="preserve">安装方式：落地式安装</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t xml:space="preserve">4</w:t>
            </w:r>
            <w:r/>
          </w:p>
        </w:tc>
      </w:tr>
      <w:tr>
        <w:trPr>
          <w:gridAfter w:val="1"/>
          <w:trHeight w:val="270"/>
        </w:trPr>
        <w:tc>
          <w:tcPr>
            <w:shd w:val="clear" w:color="auto" w:fill="auto"/>
            <w:tcW w:w="704" w:type="dxa"/>
            <w:vAlign w:val="center"/>
            <w:textDirection w:val="lrTb"/>
            <w:noWrap/>
          </w:tcPr>
          <w:p>
            <w:pPr>
              <w:jc w:val="center"/>
              <w:widowControl/>
            </w:pPr>
            <w:r>
              <w:t xml:space="preserve">10</w:t>
            </w:r>
            <w:r/>
          </w:p>
        </w:tc>
        <w:tc>
          <w:tcPr>
            <w:shd w:val="clear" w:color="auto" w:fill="auto"/>
            <w:tcW w:w="1275" w:type="dxa"/>
            <w:vAlign w:val="center"/>
            <w:textDirection w:val="lrTb"/>
            <w:noWrap/>
          </w:tcPr>
          <w:p>
            <w:pPr>
              <w:jc w:val="center"/>
              <w:widowControl/>
            </w:pPr>
            <w:r>
              <w:t xml:space="preserve">电源适配器</w:t>
            </w:r>
            <w:r/>
          </w:p>
        </w:tc>
        <w:tc>
          <w:tcPr>
            <w:shd w:val="clear" w:color="auto" w:fill="auto"/>
            <w:tcW w:w="5926" w:type="dxa"/>
            <w:vAlign w:val="center"/>
            <w:textDirection w:val="lrTb"/>
            <w:noWrap/>
          </w:tcPr>
          <w:p>
            <w:pPr>
              <w:jc w:val="left"/>
              <w:widowControl/>
            </w:pPr>
            <w:r>
              <w:t xml:space="preserve">每台摄像机及球机</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rPr>
                <w:rFonts w:hint="eastAsia"/>
              </w:rPr>
              <w:t xml:space="preserve">44</w:t>
            </w:r>
            <w:r/>
          </w:p>
        </w:tc>
      </w:tr>
      <w:tr>
        <w:trPr>
          <w:gridAfter w:val="1"/>
          <w:trHeight w:val="270"/>
        </w:trPr>
        <w:tc>
          <w:tcPr>
            <w:shd w:val="clear" w:color="auto" w:fill="auto"/>
            <w:tcW w:w="704" w:type="dxa"/>
            <w:vAlign w:val="center"/>
            <w:textDirection w:val="lrTb"/>
            <w:noWrap/>
          </w:tcPr>
          <w:p>
            <w:pPr>
              <w:jc w:val="center"/>
              <w:widowControl/>
            </w:pPr>
            <w:r>
              <w:t xml:space="preserve">11</w:t>
            </w:r>
            <w:r/>
          </w:p>
        </w:tc>
        <w:tc>
          <w:tcPr>
            <w:shd w:val="clear" w:color="auto" w:fill="auto"/>
            <w:tcW w:w="1275" w:type="dxa"/>
            <w:vAlign w:val="center"/>
            <w:textDirection w:val="lrTb"/>
            <w:noWrap/>
          </w:tcPr>
          <w:p>
            <w:pPr>
              <w:jc w:val="center"/>
              <w:widowControl/>
            </w:pPr>
            <w:r>
              <w:t xml:space="preserve">光纤收发器</w:t>
            </w:r>
            <w:r/>
          </w:p>
        </w:tc>
        <w:tc>
          <w:tcPr>
            <w:shd w:val="clear" w:color="auto" w:fill="auto"/>
            <w:tcW w:w="5926" w:type="dxa"/>
            <w:vAlign w:val="center"/>
            <w:textDirection w:val="lrTb"/>
            <w:noWrap/>
          </w:tcPr>
          <w:p>
            <w:pPr>
              <w:jc w:val="left"/>
              <w:widowControl/>
            </w:pPr>
            <w:r>
              <w:t xml:space="preserve">1个10/100/1000 BaseT（X）自适应RJ45接口</w:t>
            </w:r>
            <w:r/>
          </w:p>
          <w:p>
            <w:pPr>
              <w:jc w:val="left"/>
              <w:widowControl/>
            </w:pPr>
            <w:r>
              <w:t xml:space="preserve">1个1000 BaseFX以太网光纤接口</w:t>
            </w:r>
            <w:r/>
          </w:p>
          <w:p>
            <w:pPr>
              <w:jc w:val="left"/>
              <w:widowControl/>
            </w:pPr>
            <w:r>
              <w:t xml:space="preserve">单模单纤，传输距离可达20、80公里</w:t>
            </w:r>
            <w:r/>
          </w:p>
          <w:p>
            <w:pPr>
              <w:jc w:val="left"/>
              <w:widowControl/>
            </w:pPr>
            <w:r>
              <w:t xml:space="preserve">支持IEEE802.3、IEEE802.3u、IEEE802.3x网络标准</w:t>
            </w:r>
            <w:r/>
          </w:p>
          <w:p>
            <w:pPr>
              <w:jc w:val="left"/>
              <w:widowControl/>
            </w:pPr>
            <w:r>
              <w:t xml:space="preserve">存储转发交换方式</w:t>
            </w:r>
            <w:r/>
          </w:p>
          <w:p>
            <w:pPr>
              <w:jc w:val="left"/>
              <w:widowControl/>
            </w:pPr>
            <w:r>
              <w:t xml:space="preserve">平均无故障时间MTBF≥10万小时；</w:t>
            </w:r>
            <w:r/>
          </w:p>
          <w:p>
            <w:pPr>
              <w:jc w:val="left"/>
              <w:widowControl/>
            </w:pPr>
            <w:r>
              <w:t xml:space="preserve">全金属封闭结构，工作温度范围可以达到-30~70˚C</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rPr>
                <w:rFonts w:hint="eastAsia"/>
              </w:rPr>
              <w:t xml:space="preserve">8</w:t>
            </w:r>
            <w:r/>
          </w:p>
        </w:tc>
      </w:tr>
      <w:tr>
        <w:trPr>
          <w:gridAfter w:val="1"/>
          <w:trHeight w:val="270"/>
        </w:trPr>
        <w:tc>
          <w:tcPr>
            <w:shd w:val="clear" w:color="auto" w:fill="auto"/>
            <w:tcW w:w="704" w:type="dxa"/>
            <w:vAlign w:val="center"/>
            <w:textDirection w:val="lrTb"/>
            <w:noWrap/>
          </w:tcPr>
          <w:p>
            <w:pPr>
              <w:jc w:val="center"/>
              <w:widowControl/>
            </w:pPr>
            <w:r>
              <w:t xml:space="preserve">12</w:t>
            </w:r>
            <w:r/>
          </w:p>
        </w:tc>
        <w:tc>
          <w:tcPr>
            <w:shd w:val="clear" w:color="auto" w:fill="auto"/>
            <w:tcW w:w="1275" w:type="dxa"/>
            <w:vAlign w:val="center"/>
            <w:textDirection w:val="lrTb"/>
            <w:noWrap/>
          </w:tcPr>
          <w:p>
            <w:pPr>
              <w:jc w:val="center"/>
              <w:widowControl/>
            </w:pPr>
            <w:r>
              <w:t xml:space="preserve">防雷器</w:t>
            </w:r>
            <w:r/>
          </w:p>
        </w:tc>
        <w:tc>
          <w:tcPr>
            <w:shd w:val="clear" w:color="auto" w:fill="auto"/>
            <w:tcW w:w="5926" w:type="dxa"/>
            <w:vAlign w:val="center"/>
            <w:textDirection w:val="lrTb"/>
            <w:noWrap/>
          </w:tcPr>
          <w:p>
            <w:pPr>
              <w:jc w:val="left"/>
              <w:widowControl/>
            </w:pPr>
            <w:r>
              <w:t xml:space="preserve">三合一防雷器</w:t>
            </w:r>
            <w:r/>
          </w:p>
        </w:tc>
        <w:tc>
          <w:tcPr>
            <w:shd w:val="clear" w:color="auto" w:fill="auto"/>
            <w:tcW w:w="682" w:type="dxa"/>
            <w:vAlign w:val="center"/>
            <w:textDirection w:val="lrTb"/>
            <w:noWrap/>
          </w:tcPr>
          <w:p>
            <w:pPr>
              <w:jc w:val="center"/>
              <w:widowControl/>
            </w:pPr>
            <w:r>
              <w:t xml:space="preserve">台</w:t>
            </w:r>
            <w:r/>
          </w:p>
        </w:tc>
        <w:tc>
          <w:tcPr>
            <w:shd w:val="clear" w:color="auto" w:fill="auto"/>
            <w:tcW w:w="900" w:type="dxa"/>
            <w:vAlign w:val="center"/>
            <w:textDirection w:val="lrTb"/>
            <w:noWrap/>
          </w:tcPr>
          <w:p>
            <w:pPr>
              <w:jc w:val="center"/>
              <w:widowControl/>
            </w:pPr>
            <w:r>
              <w:rPr>
                <w:rFonts w:hint="eastAsia"/>
              </w:rPr>
              <w:t xml:space="preserve">8</w:t>
            </w:r>
            <w:r/>
          </w:p>
        </w:tc>
      </w:tr>
      <w:tr>
        <w:trPr>
          <w:gridAfter w:val="1"/>
          <w:trHeight w:val="270"/>
        </w:trPr>
        <w:tc>
          <w:tcPr>
            <w:shd w:val="clear" w:color="auto" w:fill="auto"/>
            <w:tcW w:w="704" w:type="dxa"/>
            <w:vAlign w:val="center"/>
            <w:textDirection w:val="lrTb"/>
            <w:noWrap/>
          </w:tcPr>
          <w:p>
            <w:pPr>
              <w:jc w:val="center"/>
              <w:widowControl/>
            </w:pPr>
            <w:r>
              <w:t xml:space="preserve">13</w:t>
            </w:r>
            <w:r/>
          </w:p>
        </w:tc>
        <w:tc>
          <w:tcPr>
            <w:shd w:val="clear" w:color="auto" w:fill="auto"/>
            <w:tcW w:w="1275" w:type="dxa"/>
            <w:vAlign w:val="center"/>
            <w:textDirection w:val="lrTb"/>
            <w:noWrap/>
          </w:tcPr>
          <w:p>
            <w:pPr>
              <w:jc w:val="center"/>
              <w:widowControl/>
            </w:pPr>
            <w:r>
              <w:t xml:space="preserve">壁挂箱</w:t>
            </w:r>
            <w:r/>
          </w:p>
        </w:tc>
        <w:tc>
          <w:tcPr>
            <w:shd w:val="clear" w:color="auto" w:fill="auto"/>
            <w:tcW w:w="5926" w:type="dxa"/>
            <w:vAlign w:val="center"/>
            <w:textDirection w:val="lrTb"/>
            <w:noWrap/>
          </w:tcPr>
          <w:p>
            <w:pPr>
              <w:jc w:val="left"/>
              <w:widowControl/>
            </w:pPr>
            <w:r>
              <w:t xml:space="preserve">定制</w:t>
            </w:r>
            <w:r/>
          </w:p>
        </w:tc>
        <w:tc>
          <w:tcPr>
            <w:shd w:val="clear" w:color="auto" w:fill="auto"/>
            <w:tcW w:w="682" w:type="dxa"/>
            <w:vAlign w:val="center"/>
            <w:textDirection w:val="lrTb"/>
            <w:noWrap/>
          </w:tcPr>
          <w:p>
            <w:pPr>
              <w:jc w:val="center"/>
              <w:widowControl/>
            </w:pPr>
            <w:r>
              <w:t xml:space="preserve">个</w:t>
            </w:r>
            <w:r/>
          </w:p>
        </w:tc>
        <w:tc>
          <w:tcPr>
            <w:shd w:val="clear" w:color="auto" w:fill="auto"/>
            <w:tcW w:w="900" w:type="dxa"/>
            <w:vAlign w:val="center"/>
            <w:textDirection w:val="lrTb"/>
            <w:noWrap/>
          </w:tcPr>
          <w:p>
            <w:pPr>
              <w:jc w:val="center"/>
              <w:widowControl/>
            </w:pPr>
            <w:r>
              <w:rPr>
                <w:rFonts w:hint="eastAsia"/>
              </w:rPr>
              <w:t xml:space="preserve">8</w:t>
            </w:r>
            <w:r/>
          </w:p>
        </w:tc>
      </w:tr>
      <w:tr>
        <w:trPr>
          <w:gridAfter w:val="1"/>
          <w:trHeight w:val="270"/>
        </w:trPr>
        <w:tc>
          <w:tcPr>
            <w:shd w:val="clear" w:color="auto" w:fill="auto"/>
            <w:tcW w:w="704" w:type="dxa"/>
            <w:vAlign w:val="center"/>
            <w:textDirection w:val="lrTb"/>
            <w:noWrap/>
          </w:tcPr>
          <w:p>
            <w:pPr>
              <w:jc w:val="center"/>
              <w:widowControl/>
            </w:pPr>
            <w:r>
              <w:t xml:space="preserve">14</w:t>
            </w:r>
            <w:r/>
          </w:p>
        </w:tc>
        <w:tc>
          <w:tcPr>
            <w:shd w:val="clear" w:color="auto" w:fill="auto"/>
            <w:tcW w:w="1275" w:type="dxa"/>
            <w:vAlign w:val="center"/>
            <w:textDirection w:val="lrTb"/>
            <w:noWrap/>
          </w:tcPr>
          <w:p>
            <w:pPr>
              <w:jc w:val="center"/>
              <w:widowControl/>
            </w:pPr>
            <w:r>
              <w:t xml:space="preserve">电缆</w:t>
            </w:r>
            <w:r>
              <w:rPr>
                <w:rFonts w:hint="eastAsia"/>
              </w:rPr>
              <w:t xml:space="preserve">1</w:t>
            </w:r>
            <w:r/>
          </w:p>
        </w:tc>
        <w:tc>
          <w:tcPr>
            <w:shd w:val="clear" w:color="auto" w:fill="auto"/>
            <w:tcW w:w="5926" w:type="dxa"/>
            <w:vAlign w:val="center"/>
            <w:textDirection w:val="lrTb"/>
            <w:noWrap/>
          </w:tcPr>
          <w:p>
            <w:pPr>
              <w:jc w:val="left"/>
              <w:widowControl/>
            </w:pPr>
            <w:r>
              <w:t xml:space="preserve">RVV2×1.5mm2</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7600</w:t>
            </w:r>
            <w:r/>
          </w:p>
        </w:tc>
      </w:tr>
      <w:tr>
        <w:trPr>
          <w:gridAfter w:val="1"/>
          <w:trHeight w:val="270"/>
        </w:trPr>
        <w:tc>
          <w:tcPr>
            <w:shd w:val="clear" w:color="auto" w:fill="auto"/>
            <w:tcW w:w="704" w:type="dxa"/>
            <w:vAlign w:val="center"/>
            <w:textDirection w:val="lrTb"/>
            <w:noWrap/>
          </w:tcPr>
          <w:p>
            <w:pPr>
              <w:jc w:val="center"/>
              <w:widowControl/>
            </w:pPr>
            <w:r>
              <w:t xml:space="preserve">15</w:t>
            </w:r>
            <w:r/>
          </w:p>
        </w:tc>
        <w:tc>
          <w:tcPr>
            <w:shd w:val="clear" w:color="auto" w:fill="auto"/>
            <w:tcW w:w="1275" w:type="dxa"/>
            <w:vAlign w:val="center"/>
            <w:textDirection w:val="lrTb"/>
            <w:noWrap/>
          </w:tcPr>
          <w:p>
            <w:pPr>
              <w:jc w:val="center"/>
              <w:widowControl/>
            </w:pPr>
            <w:r>
              <w:t xml:space="preserve">电缆</w:t>
            </w:r>
            <w:r>
              <w:rPr>
                <w:rFonts w:hint="eastAsia"/>
              </w:rPr>
              <w:t xml:space="preserve">2</w:t>
            </w:r>
            <w:r/>
          </w:p>
        </w:tc>
        <w:tc>
          <w:tcPr>
            <w:shd w:val="clear" w:color="auto" w:fill="auto"/>
            <w:tcW w:w="5926" w:type="dxa"/>
            <w:vAlign w:val="center"/>
            <w:textDirection w:val="lrTb"/>
            <w:noWrap/>
          </w:tcPr>
          <w:p>
            <w:pPr>
              <w:jc w:val="left"/>
              <w:widowControl/>
            </w:pPr>
            <w:r>
              <w:t xml:space="preserve">RVV3×1.5mm2</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5800</w:t>
            </w:r>
            <w:r/>
          </w:p>
        </w:tc>
      </w:tr>
      <w:tr>
        <w:trPr>
          <w:gridAfter w:val="1"/>
          <w:trHeight w:val="270"/>
        </w:trPr>
        <w:tc>
          <w:tcPr>
            <w:shd w:val="clear" w:color="auto" w:fill="auto"/>
            <w:tcW w:w="704" w:type="dxa"/>
            <w:vAlign w:val="center"/>
            <w:textDirection w:val="lrTb"/>
            <w:noWrap/>
          </w:tcPr>
          <w:p>
            <w:pPr>
              <w:jc w:val="center"/>
              <w:widowControl/>
            </w:pPr>
            <w:r>
              <w:t xml:space="preserve">16</w:t>
            </w:r>
            <w:r/>
          </w:p>
        </w:tc>
        <w:tc>
          <w:tcPr>
            <w:shd w:val="clear" w:color="auto" w:fill="auto"/>
            <w:tcW w:w="1275" w:type="dxa"/>
            <w:vAlign w:val="center"/>
            <w:textDirection w:val="lrTb"/>
            <w:noWrap/>
          </w:tcPr>
          <w:p>
            <w:pPr>
              <w:jc w:val="center"/>
              <w:widowControl/>
            </w:pPr>
            <w:r>
              <w:t xml:space="preserve">配线</w:t>
            </w:r>
            <w:r>
              <w:rPr>
                <w:rFonts w:hint="eastAsia"/>
              </w:rPr>
              <w:t xml:space="preserve">1</w:t>
            </w:r>
            <w:r/>
          </w:p>
        </w:tc>
        <w:tc>
          <w:tcPr>
            <w:shd w:val="clear" w:color="auto" w:fill="auto"/>
            <w:tcW w:w="5926" w:type="dxa"/>
            <w:vAlign w:val="center"/>
            <w:textDirection w:val="lrTb"/>
            <w:noWrap/>
          </w:tcPr>
          <w:p>
            <w:pPr>
              <w:jc w:val="left"/>
              <w:widowControl/>
            </w:pPr>
            <w:r>
              <w:t xml:space="preserve">RVV3×4mm2</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540</w:t>
            </w:r>
            <w:r/>
          </w:p>
        </w:tc>
      </w:tr>
      <w:tr>
        <w:trPr>
          <w:gridAfter w:val="1"/>
          <w:trHeight w:val="270"/>
        </w:trPr>
        <w:tc>
          <w:tcPr>
            <w:shd w:val="clear" w:color="auto" w:fill="auto"/>
            <w:tcW w:w="704" w:type="dxa"/>
            <w:vAlign w:val="center"/>
            <w:textDirection w:val="lrTb"/>
            <w:noWrap/>
          </w:tcPr>
          <w:p>
            <w:pPr>
              <w:jc w:val="center"/>
              <w:widowControl/>
            </w:pPr>
            <w:r>
              <w:t xml:space="preserve">17</w:t>
            </w:r>
            <w:r/>
          </w:p>
        </w:tc>
        <w:tc>
          <w:tcPr>
            <w:shd w:val="clear" w:color="auto" w:fill="auto"/>
            <w:tcW w:w="1275" w:type="dxa"/>
            <w:vAlign w:val="center"/>
            <w:textDirection w:val="lrTb"/>
            <w:noWrap/>
          </w:tcPr>
          <w:p>
            <w:pPr>
              <w:jc w:val="center"/>
              <w:widowControl/>
            </w:pPr>
            <w:r>
              <w:t xml:space="preserve">配线</w:t>
            </w:r>
            <w:r>
              <w:rPr>
                <w:rFonts w:hint="eastAsia"/>
              </w:rPr>
              <w:t xml:space="preserve">2</w:t>
            </w:r>
            <w:r/>
          </w:p>
        </w:tc>
        <w:tc>
          <w:tcPr>
            <w:shd w:val="clear" w:color="auto" w:fill="auto"/>
            <w:tcW w:w="5926" w:type="dxa"/>
            <w:vAlign w:val="center"/>
            <w:textDirection w:val="lrTb"/>
            <w:noWrap/>
          </w:tcPr>
          <w:p>
            <w:pPr>
              <w:jc w:val="left"/>
              <w:widowControl/>
            </w:pPr>
            <w:r>
              <w:t xml:space="preserve">六类网线</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3500</w:t>
            </w:r>
            <w:r/>
          </w:p>
        </w:tc>
      </w:tr>
      <w:tr>
        <w:trPr>
          <w:gridAfter w:val="1"/>
          <w:trHeight w:val="270"/>
        </w:trPr>
        <w:tc>
          <w:tcPr>
            <w:shd w:val="clear" w:color="auto" w:fill="auto"/>
            <w:tcW w:w="704" w:type="dxa"/>
            <w:vAlign w:val="center"/>
            <w:textDirection w:val="lrTb"/>
            <w:noWrap/>
          </w:tcPr>
          <w:p>
            <w:pPr>
              <w:jc w:val="center"/>
              <w:widowControl/>
            </w:pPr>
            <w:r>
              <w:t xml:space="preserve">18</w:t>
            </w:r>
            <w:r/>
          </w:p>
        </w:tc>
        <w:tc>
          <w:tcPr>
            <w:shd w:val="clear" w:color="auto" w:fill="auto"/>
            <w:tcW w:w="1275" w:type="dxa"/>
            <w:vAlign w:val="center"/>
            <w:textDirection w:val="lrTb"/>
            <w:noWrap/>
          </w:tcPr>
          <w:p>
            <w:pPr>
              <w:jc w:val="center"/>
              <w:widowControl/>
            </w:pPr>
            <w:r>
              <w:t xml:space="preserve">配线</w:t>
            </w:r>
            <w:r>
              <w:rPr>
                <w:rFonts w:hint="eastAsia"/>
              </w:rPr>
              <w:t xml:space="preserve">3</w:t>
            </w:r>
            <w:r/>
          </w:p>
        </w:tc>
        <w:tc>
          <w:tcPr>
            <w:shd w:val="clear" w:color="auto" w:fill="auto"/>
            <w:tcW w:w="5926" w:type="dxa"/>
            <w:vAlign w:val="center"/>
            <w:textDirection w:val="lrTb"/>
            <w:noWrap/>
          </w:tcPr>
          <w:p>
            <w:pPr>
              <w:jc w:val="left"/>
              <w:widowControl/>
            </w:pPr>
            <w:r>
              <w:t xml:space="preserve">4芯单模光纤</w:t>
            </w:r>
            <w:r/>
          </w:p>
        </w:tc>
        <w:tc>
          <w:tcPr>
            <w:shd w:val="clear" w:color="auto" w:fill="auto"/>
            <w:tcW w:w="682" w:type="dxa"/>
            <w:vAlign w:val="center"/>
            <w:textDirection w:val="lrTb"/>
            <w:noWrap/>
          </w:tcPr>
          <w:p>
            <w:pPr>
              <w:jc w:val="center"/>
              <w:widowControl/>
            </w:pPr>
            <w:r>
              <w:t xml:space="preserve">m</w:t>
            </w:r>
            <w:r/>
          </w:p>
        </w:tc>
        <w:tc>
          <w:tcPr>
            <w:shd w:val="clear" w:color="auto" w:fill="auto"/>
            <w:tcW w:w="900" w:type="dxa"/>
            <w:vAlign w:val="center"/>
            <w:textDirection w:val="lrTb"/>
            <w:noWrap/>
          </w:tcPr>
          <w:p>
            <w:pPr>
              <w:jc w:val="center"/>
              <w:widowControl/>
            </w:pPr>
            <w:r>
              <w:t xml:space="preserve">1200</w:t>
            </w:r>
            <w:r/>
          </w:p>
        </w:tc>
      </w:tr>
      <w:tr>
        <w:trPr>
          <w:gridAfter w:val="1"/>
          <w:trHeight w:val="270"/>
        </w:trPr>
        <w:tc>
          <w:tcPr>
            <w:shd w:val="clear" w:color="auto" w:fill="auto"/>
            <w:tcW w:w="704" w:type="dxa"/>
            <w:vAlign w:val="center"/>
            <w:textDirection w:val="lrTb"/>
            <w:noWrap/>
          </w:tcPr>
          <w:p>
            <w:pPr>
              <w:jc w:val="center"/>
              <w:widowControl/>
            </w:pPr>
            <w:r/>
            <w:r/>
          </w:p>
        </w:tc>
        <w:tc>
          <w:tcPr>
            <w:shd w:val="clear" w:color="auto" w:fill="auto"/>
            <w:tcW w:w="1275" w:type="dxa"/>
            <w:vAlign w:val="center"/>
            <w:textDirection w:val="lrTb"/>
            <w:noWrap/>
          </w:tcPr>
          <w:p>
            <w:pPr>
              <w:jc w:val="center"/>
              <w:widowControl/>
            </w:pPr>
            <w:r/>
            <w:r/>
          </w:p>
        </w:tc>
        <w:tc>
          <w:tcPr>
            <w:shd w:val="clear" w:color="auto" w:fill="auto"/>
            <w:tcW w:w="5926" w:type="dxa"/>
            <w:vAlign w:val="center"/>
            <w:textDirection w:val="lrTb"/>
            <w:noWrap/>
          </w:tcPr>
          <w:p>
            <w:pPr>
              <w:jc w:val="left"/>
              <w:widowControl/>
            </w:pPr>
            <w:r>
              <w:rPr>
                <w:rFonts w:hint="eastAsia"/>
                <w:b/>
                <w:bCs/>
              </w:rPr>
              <w:t xml:space="preserve">注：</w:t>
            </w:r>
            <w:r>
              <w:rPr>
                <w:rFonts w:ascii="Segoe UI Symbol" w:hAnsi="Segoe UI Symbol" w:cs="Segoe UI Symbol"/>
              </w:rPr>
              <w:t xml:space="preserve">★</w:t>
            </w:r>
            <w:r>
              <w:rPr>
                <w:rFonts w:hint="eastAsia"/>
                <w:b/>
                <w:bCs/>
              </w:rPr>
              <w:t xml:space="preserve">电子警察设备投标时须</w:t>
            </w:r>
            <w:r>
              <w:rPr>
                <w:b/>
                <w:bCs/>
              </w:rPr>
              <w:t xml:space="preserve">提供产品原厂针对本项目的原厂授权书及质保承诺书扫描件并加盖原厂公章</w:t>
            </w:r>
            <w:r>
              <w:rPr>
                <w:rFonts w:hint="eastAsia"/>
                <w:b/>
                <w:bCs/>
              </w:rPr>
              <w:t xml:space="preserve">，</w:t>
            </w:r>
            <w:r>
              <w:rPr>
                <w:b/>
                <w:bCs/>
              </w:rPr>
              <w:t xml:space="preserve">所投产品技术参数证明材料与原厂授权书品牌须保持一致</w:t>
            </w:r>
            <w:r>
              <w:rPr>
                <w:rFonts w:hint="eastAsia"/>
                <w:b/>
                <w:bCs/>
              </w:rPr>
              <w:t xml:space="preserve">。</w:t>
            </w:r>
            <w:r/>
          </w:p>
        </w:tc>
        <w:tc>
          <w:tcPr>
            <w:shd w:val="clear" w:color="auto" w:fill="auto"/>
            <w:tcW w:w="682" w:type="dxa"/>
            <w:vAlign w:val="center"/>
            <w:textDirection w:val="lrTb"/>
            <w:noWrap/>
          </w:tcPr>
          <w:p>
            <w:pPr>
              <w:jc w:val="center"/>
              <w:widowControl/>
            </w:pPr>
            <w:r/>
            <w:r/>
          </w:p>
        </w:tc>
        <w:tc>
          <w:tcPr>
            <w:shd w:val="clear" w:color="auto" w:fill="auto"/>
            <w:tcW w:w="900" w:type="dxa"/>
            <w:vAlign w:val="center"/>
            <w:textDirection w:val="lrTb"/>
            <w:noWrap/>
          </w:tcPr>
          <w:p>
            <w:pPr>
              <w:jc w:val="center"/>
              <w:widowControl/>
            </w:pPr>
            <w:r/>
            <w:r/>
          </w:p>
        </w:tc>
      </w:tr>
      <w:tr>
        <w:trPr>
          <w:trHeight w:val="270"/>
        </w:trPr>
        <w:tc>
          <w:tcPr>
            <w:gridSpan w:val="6"/>
            <w:shd w:val="clear" w:color="auto" w:fill="auto"/>
            <w:tcW w:w="9495" w:type="dxa"/>
            <w:vAlign w:val="center"/>
            <w:textDirection w:val="lrTb"/>
            <w:noWrap/>
          </w:tcPr>
          <w:p>
            <w:pPr>
              <w:jc w:val="left"/>
              <w:widowControl/>
              <w:rPr>
                <w:b/>
                <w:bCs/>
              </w:rPr>
            </w:pPr>
            <w:r>
              <w:rPr>
                <w:b/>
                <w:bCs/>
              </w:rPr>
              <w:t xml:space="preserve">六、主动发光标牌</w:t>
            </w:r>
            <w:r/>
          </w:p>
        </w:tc>
      </w:tr>
      <w:tr>
        <w:trPr>
          <w:gridAfter w:val="1"/>
          <w:trHeight w:val="270"/>
        </w:trPr>
        <w:tc>
          <w:tcPr>
            <w:shd w:val="clear" w:color="auto" w:fill="auto"/>
            <w:tcW w:w="704" w:type="dxa"/>
            <w:vAlign w:val="center"/>
            <w:textDirection w:val="lrTb"/>
            <w:noWrap/>
          </w:tcPr>
          <w:p>
            <w:pPr>
              <w:jc w:val="center"/>
              <w:widowControl/>
            </w:pPr>
            <w:r>
              <w:t xml:space="preserve">1</w:t>
            </w:r>
            <w:r/>
          </w:p>
        </w:tc>
        <w:tc>
          <w:tcPr>
            <w:shd w:val="clear" w:color="auto" w:fill="auto"/>
            <w:tcW w:w="1275" w:type="dxa"/>
            <w:vAlign w:val="center"/>
            <w:textDirection w:val="lrTb"/>
            <w:noWrap/>
          </w:tcPr>
          <w:p>
            <w:pPr>
              <w:jc w:val="center"/>
              <w:widowControl/>
            </w:pPr>
            <w:r>
              <w:t xml:space="preserve">指路标牌</w:t>
            </w:r>
            <w:r/>
          </w:p>
        </w:tc>
        <w:tc>
          <w:tcPr>
            <w:shd w:val="clear" w:color="auto" w:fill="auto"/>
            <w:tcW w:w="5926" w:type="dxa"/>
            <w:vAlign w:val="center"/>
            <w:textDirection w:val="lrTb"/>
            <w:noWrap/>
          </w:tcPr>
          <w:p>
            <w:pPr>
              <w:pStyle w:val="810"/>
              <w:numPr>
                <w:ilvl w:val="0"/>
                <w:numId w:val="31"/>
              </w:numPr>
              <w:ind w:left="292" w:hanging="292"/>
              <w:jc w:val="left"/>
              <w:widowControl/>
            </w:pPr>
            <w:r>
              <w:t xml:space="preserve">标志名称：指路标志</w:t>
            </w:r>
            <w:r/>
          </w:p>
          <w:p>
            <w:pPr>
              <w:pStyle w:val="810"/>
              <w:numPr>
                <w:ilvl w:val="0"/>
                <w:numId w:val="31"/>
              </w:numPr>
              <w:ind w:left="292" w:hanging="292"/>
              <w:jc w:val="left"/>
              <w:widowControl/>
            </w:pPr>
            <w:r>
              <w:t xml:space="preserve">类型：半透面板显示主动发光标志</w:t>
            </w:r>
            <w:r/>
          </w:p>
          <w:p>
            <w:pPr>
              <w:pStyle w:val="810"/>
              <w:numPr>
                <w:ilvl w:val="0"/>
                <w:numId w:val="31"/>
              </w:numPr>
              <w:ind w:left="292" w:hanging="292"/>
              <w:jc w:val="left"/>
              <w:widowControl/>
            </w:pPr>
            <w:r>
              <w:t xml:space="preserve">规格：5m×3.2m，3mm厚</w:t>
            </w:r>
            <w:r/>
          </w:p>
          <w:p>
            <w:pPr>
              <w:pStyle w:val="810"/>
              <w:numPr>
                <w:ilvl w:val="0"/>
                <w:numId w:val="31"/>
              </w:numPr>
              <w:ind w:left="292" w:hanging="292"/>
              <w:jc w:val="left"/>
              <w:widowControl/>
            </w:pPr>
            <w:r>
              <w:rPr>
                <w:rFonts w:ascii="Segoe UI Symbol" w:hAnsi="Segoe UI Symbol" w:cs="Segoe UI Symbol"/>
              </w:rPr>
              <w:t xml:space="preserve">★</w:t>
            </w:r>
            <w:r>
              <w:t xml:space="preserve">执行标准：执行T/CISA001-2018《面板显示主动发光交通标志》技术要求</w:t>
            </w:r>
            <w:r>
              <w:rPr>
                <w:b/>
                <w:bCs/>
              </w:rPr>
              <w:t xml:space="preserve">（</w:t>
            </w:r>
            <w:r>
              <w:rPr>
                <w:rFonts w:hint="eastAsia"/>
                <w:b/>
                <w:bCs/>
              </w:rPr>
              <w:t xml:space="preserve">投标时须</w:t>
            </w:r>
            <w:r>
              <w:rPr>
                <w:b/>
                <w:bCs/>
              </w:rPr>
              <w:t xml:space="preserve">提供由国家级交通安全设施或产品的检测检验机构出具的型式检测合格报告并加盖原厂公章）</w:t>
            </w:r>
            <w:r>
              <w:t xml:space="preserve">。</w:t>
            </w:r>
            <w:r/>
          </w:p>
          <w:p>
            <w:pPr>
              <w:pStyle w:val="810"/>
              <w:numPr>
                <w:ilvl w:val="0"/>
                <w:numId w:val="31"/>
              </w:numPr>
              <w:ind w:left="292" w:hanging="292"/>
              <w:jc w:val="left"/>
              <w:widowControl/>
            </w:pPr>
            <w:r>
              <w:t xml:space="preserve">反光膜：发光标志专用透光型反光膜，国标IV类</w:t>
            </w:r>
            <w:r/>
          </w:p>
          <w:p>
            <w:pPr>
              <w:pStyle w:val="810"/>
              <w:numPr>
                <w:ilvl w:val="0"/>
                <w:numId w:val="31"/>
              </w:numPr>
              <w:ind w:left="292" w:hanging="292"/>
              <w:jc w:val="left"/>
              <w:widowControl/>
            </w:pPr>
            <w:r>
              <w:t xml:space="preserve">铝板、型材等详见图纸</w:t>
            </w:r>
            <w:r/>
          </w:p>
          <w:p>
            <w:pPr>
              <w:pStyle w:val="810"/>
              <w:numPr>
                <w:ilvl w:val="0"/>
                <w:numId w:val="31"/>
              </w:numPr>
              <w:ind w:left="292" w:hanging="292"/>
              <w:jc w:val="left"/>
              <w:widowControl/>
            </w:pPr>
            <w:r>
              <w:t xml:space="preserve">供电方式：市电</w:t>
            </w:r>
            <w:r/>
          </w:p>
          <w:p>
            <w:pPr>
              <w:pStyle w:val="810"/>
              <w:numPr>
                <w:ilvl w:val="0"/>
                <w:numId w:val="31"/>
              </w:numPr>
              <w:ind w:left="292" w:hanging="292"/>
              <w:jc w:val="left"/>
              <w:widowControl/>
            </w:pPr>
            <w:r>
              <w:t xml:space="preserve">自动开启/关闭：自动感光控制采用太阳能电路压降分析式控制模块，控制单元能根据标志周围面光照强度，自动开启/关闭标志发光单元。</w:t>
            </w:r>
            <w:r/>
          </w:p>
          <w:p>
            <w:pPr>
              <w:pStyle w:val="810"/>
              <w:numPr>
                <w:ilvl w:val="0"/>
                <w:numId w:val="31"/>
              </w:numPr>
              <w:ind w:left="292" w:hanging="292"/>
              <w:jc w:val="left"/>
              <w:widowControl/>
            </w:pPr>
            <w:r>
              <w:t xml:space="preserve">调光：标志发光单元能根据昼夜光线强度自动调节发光亮度，保持相对均衡的发光对比度</w:t>
            </w:r>
            <w:r/>
          </w:p>
          <w:p>
            <w:pPr>
              <w:pStyle w:val="810"/>
              <w:numPr>
                <w:ilvl w:val="0"/>
                <w:numId w:val="31"/>
              </w:numPr>
              <w:ind w:left="292" w:hanging="292"/>
              <w:jc w:val="left"/>
              <w:widowControl/>
            </w:pPr>
            <w:r>
              <w:t xml:space="preserve">正常夜间有效动态视认距离≥210米，静态视认距离≥250米</w:t>
            </w:r>
            <w:r/>
          </w:p>
          <w:p>
            <w:pPr>
              <w:pStyle w:val="810"/>
              <w:numPr>
                <w:ilvl w:val="0"/>
                <w:numId w:val="31"/>
              </w:numPr>
              <w:ind w:left="292" w:hanging="292"/>
              <w:jc w:val="left"/>
              <w:widowControl/>
            </w:pPr>
            <w:r>
              <w:t xml:space="preserve">具备远程监测功能，能够接入道路交通安全设施运行管理系统软件</w:t>
            </w:r>
            <w:r/>
          </w:p>
          <w:p>
            <w:pPr>
              <w:pStyle w:val="810"/>
              <w:numPr>
                <w:ilvl w:val="0"/>
                <w:numId w:val="31"/>
              </w:numPr>
              <w:ind w:left="292" w:hanging="292"/>
              <w:jc w:val="left"/>
              <w:widowControl/>
            </w:pPr>
            <w:r>
              <w:t xml:space="preserve">采购、运输</w:t>
            </w:r>
            <w:r/>
          </w:p>
          <w:p>
            <w:pPr>
              <w:pStyle w:val="810"/>
              <w:numPr>
                <w:ilvl w:val="0"/>
                <w:numId w:val="31"/>
              </w:numPr>
              <w:ind w:left="292" w:hanging="292"/>
              <w:jc w:val="left"/>
              <w:widowControl/>
            </w:pPr>
            <w:r>
              <w:t xml:space="preserve">其他要求详见图纸</w:t>
            </w:r>
            <w:r/>
          </w:p>
        </w:tc>
        <w:tc>
          <w:tcPr>
            <w:shd w:val="clear" w:color="auto" w:fill="auto"/>
            <w:tcW w:w="682" w:type="dxa"/>
            <w:vAlign w:val="center"/>
            <w:textDirection w:val="lrTb"/>
            <w:noWrap/>
          </w:tcPr>
          <w:p>
            <w:pPr>
              <w:jc w:val="center"/>
              <w:widowControl/>
            </w:pPr>
            <w:r>
              <w:t xml:space="preserve">块</w:t>
            </w:r>
            <w:r/>
          </w:p>
        </w:tc>
        <w:tc>
          <w:tcPr>
            <w:shd w:val="clear" w:color="auto" w:fill="auto"/>
            <w:tcW w:w="900" w:type="dxa"/>
            <w:vAlign w:val="center"/>
            <w:textDirection w:val="lrTb"/>
            <w:noWrap/>
          </w:tcPr>
          <w:p>
            <w:pPr>
              <w:jc w:val="center"/>
              <w:widowControl/>
            </w:pPr>
            <w:r>
              <w:t xml:space="preserve">2</w:t>
            </w:r>
            <w:r/>
          </w:p>
        </w:tc>
      </w:tr>
      <w:tr>
        <w:trPr>
          <w:gridAfter w:val="1"/>
          <w:trHeight w:val="300"/>
        </w:trPr>
        <w:tc>
          <w:tcPr>
            <w:shd w:val="clear" w:color="auto" w:fill="auto"/>
            <w:tcW w:w="704" w:type="dxa"/>
            <w:vAlign w:val="center"/>
            <w:textDirection w:val="lrTb"/>
            <w:noWrap/>
          </w:tcPr>
          <w:p>
            <w:pPr>
              <w:jc w:val="center"/>
              <w:widowControl/>
            </w:pPr>
            <w:r>
              <w:t xml:space="preserve">2</w:t>
            </w:r>
            <w:r/>
          </w:p>
        </w:tc>
        <w:tc>
          <w:tcPr>
            <w:shd w:val="clear" w:color="auto" w:fill="auto"/>
            <w:tcW w:w="1275" w:type="dxa"/>
            <w:vAlign w:val="center"/>
            <w:textDirection w:val="lrTb"/>
            <w:noWrap/>
          </w:tcPr>
          <w:p>
            <w:pPr>
              <w:jc w:val="center"/>
              <w:widowControl/>
            </w:pPr>
            <w:r>
              <w:t xml:space="preserve">分道行驶标牌</w:t>
            </w:r>
            <w:r/>
          </w:p>
        </w:tc>
        <w:tc>
          <w:tcPr>
            <w:shd w:val="clear" w:color="auto" w:fill="auto"/>
            <w:tcW w:w="5926" w:type="dxa"/>
            <w:vAlign w:val="center"/>
            <w:textDirection w:val="lrTb"/>
            <w:noWrap w:val="false"/>
          </w:tcPr>
          <w:p>
            <w:pPr>
              <w:pStyle w:val="810"/>
              <w:numPr>
                <w:ilvl w:val="0"/>
                <w:numId w:val="32"/>
              </w:numPr>
              <w:ind w:left="292" w:hanging="292"/>
              <w:jc w:val="left"/>
              <w:widowControl/>
            </w:pPr>
            <w:r>
              <w:t xml:space="preserve">标志名称：车道行驶方向标志</w:t>
            </w:r>
            <w:r/>
          </w:p>
          <w:p>
            <w:pPr>
              <w:pStyle w:val="810"/>
              <w:numPr>
                <w:ilvl w:val="0"/>
                <w:numId w:val="32"/>
              </w:numPr>
              <w:ind w:left="292" w:hanging="292"/>
              <w:jc w:val="left"/>
              <w:widowControl/>
            </w:pPr>
            <w:r>
              <w:t xml:space="preserve">类型：半透面板显示主动发光标志</w:t>
            </w:r>
            <w:r/>
          </w:p>
          <w:p>
            <w:pPr>
              <w:pStyle w:val="810"/>
              <w:numPr>
                <w:ilvl w:val="0"/>
                <w:numId w:val="32"/>
              </w:numPr>
              <w:ind w:left="292" w:hanging="292"/>
              <w:jc w:val="left"/>
              <w:widowControl/>
            </w:pPr>
            <w:r>
              <w:t xml:space="preserve">规格：4.1m×1.4m，3mm厚</w:t>
            </w:r>
            <w:r/>
          </w:p>
          <w:p>
            <w:pPr>
              <w:pStyle w:val="810"/>
              <w:numPr>
                <w:ilvl w:val="0"/>
                <w:numId w:val="32"/>
              </w:numPr>
              <w:ind w:left="292" w:hanging="292"/>
              <w:jc w:val="left"/>
              <w:widowControl/>
            </w:pPr>
            <w:r>
              <w:t xml:space="preserve">执行标准：执行T/CISA001-2018《面板显示主动发光交通标志》技术要求。</w:t>
            </w:r>
            <w:r/>
          </w:p>
          <w:p>
            <w:pPr>
              <w:pStyle w:val="810"/>
              <w:numPr>
                <w:ilvl w:val="0"/>
                <w:numId w:val="32"/>
              </w:numPr>
              <w:ind w:left="292" w:hanging="292"/>
              <w:jc w:val="left"/>
              <w:widowControl/>
            </w:pPr>
            <w:r>
              <w:t xml:space="preserve">反光膜：发光标志专用透光型反光膜，国标IV类</w:t>
            </w:r>
            <w:r/>
          </w:p>
          <w:p>
            <w:pPr>
              <w:pStyle w:val="810"/>
              <w:numPr>
                <w:ilvl w:val="0"/>
                <w:numId w:val="32"/>
              </w:numPr>
              <w:ind w:left="292" w:hanging="292"/>
              <w:jc w:val="left"/>
              <w:widowControl/>
            </w:pPr>
            <w:r>
              <w:t xml:space="preserve">铝板、型材等详见图纸</w:t>
            </w:r>
            <w:r/>
          </w:p>
          <w:p>
            <w:pPr>
              <w:pStyle w:val="810"/>
              <w:numPr>
                <w:ilvl w:val="0"/>
                <w:numId w:val="32"/>
              </w:numPr>
              <w:ind w:left="292" w:hanging="292"/>
              <w:jc w:val="left"/>
              <w:widowControl/>
            </w:pPr>
            <w:r>
              <w:t xml:space="preserve">供电方式：市电</w:t>
            </w:r>
            <w:r/>
          </w:p>
          <w:p>
            <w:pPr>
              <w:pStyle w:val="810"/>
              <w:numPr>
                <w:ilvl w:val="0"/>
                <w:numId w:val="32"/>
              </w:numPr>
              <w:ind w:left="292" w:hanging="292"/>
              <w:jc w:val="left"/>
              <w:widowControl/>
            </w:pPr>
            <w:r>
              <w:t xml:space="preserve">自动开启/关闭：自动感光控制采用太阳能电路压降分析式控制模块，控制单元能根据标志周围面光照强度，自动开启/关闭标志发光单元。</w:t>
            </w:r>
            <w:r/>
          </w:p>
          <w:p>
            <w:pPr>
              <w:pStyle w:val="810"/>
              <w:numPr>
                <w:ilvl w:val="0"/>
                <w:numId w:val="32"/>
              </w:numPr>
              <w:ind w:left="292" w:hanging="292"/>
              <w:jc w:val="left"/>
              <w:widowControl/>
            </w:pPr>
            <w:r>
              <w:t xml:space="preserve">调光：标志发光单元能根据昼夜光线强度自动调节发光亮度，保持相对均衡的发光对比度</w:t>
            </w:r>
            <w:r/>
          </w:p>
          <w:p>
            <w:pPr>
              <w:pStyle w:val="810"/>
              <w:numPr>
                <w:ilvl w:val="0"/>
                <w:numId w:val="32"/>
              </w:numPr>
              <w:ind w:left="292" w:hanging="292"/>
              <w:jc w:val="left"/>
              <w:widowControl/>
            </w:pPr>
            <w:r>
              <w:t xml:space="preserve">正常夜间有效动态视认距离≥210米，静态视认距离≥250米</w:t>
            </w:r>
            <w:r/>
          </w:p>
          <w:p>
            <w:pPr>
              <w:pStyle w:val="810"/>
              <w:numPr>
                <w:ilvl w:val="0"/>
                <w:numId w:val="32"/>
              </w:numPr>
              <w:ind w:left="292" w:hanging="292"/>
              <w:jc w:val="left"/>
              <w:widowControl/>
            </w:pPr>
            <w:r>
              <w:t xml:space="preserve">具备远程监测功能，能够接入道路交通安全设施运行管理系统软件</w:t>
            </w:r>
            <w:r/>
          </w:p>
          <w:p>
            <w:pPr>
              <w:pStyle w:val="810"/>
              <w:numPr>
                <w:ilvl w:val="0"/>
                <w:numId w:val="32"/>
              </w:numPr>
              <w:ind w:left="292" w:hanging="292"/>
              <w:jc w:val="left"/>
              <w:widowControl/>
            </w:pPr>
            <w:r>
              <w:t xml:space="preserve">采购、运输</w:t>
            </w:r>
            <w:r/>
          </w:p>
          <w:p>
            <w:pPr>
              <w:pStyle w:val="810"/>
              <w:numPr>
                <w:ilvl w:val="0"/>
                <w:numId w:val="32"/>
              </w:numPr>
              <w:ind w:left="292" w:hanging="292"/>
              <w:jc w:val="left"/>
              <w:widowControl/>
            </w:pPr>
            <w:r>
              <w:t xml:space="preserve">其他要求详见图纸</w:t>
            </w:r>
            <w:r/>
          </w:p>
        </w:tc>
        <w:tc>
          <w:tcPr>
            <w:shd w:val="clear" w:color="auto" w:fill="auto"/>
            <w:tcW w:w="682" w:type="dxa"/>
            <w:vAlign w:val="center"/>
            <w:textDirection w:val="lrTb"/>
            <w:noWrap/>
          </w:tcPr>
          <w:p>
            <w:pPr>
              <w:jc w:val="center"/>
              <w:widowControl/>
            </w:pPr>
            <w:r>
              <w:t xml:space="preserve">块</w:t>
            </w:r>
            <w:r/>
          </w:p>
        </w:tc>
        <w:tc>
          <w:tcPr>
            <w:shd w:val="clear" w:color="auto" w:fill="auto"/>
            <w:tcW w:w="900" w:type="dxa"/>
            <w:vAlign w:val="center"/>
            <w:textDirection w:val="lrTb"/>
            <w:noWrap/>
          </w:tcPr>
          <w:p>
            <w:pPr>
              <w:jc w:val="center"/>
              <w:widowControl/>
            </w:pPr>
            <w:r>
              <w:t xml:space="preserve">2</w:t>
            </w:r>
            <w:r/>
          </w:p>
        </w:tc>
      </w:tr>
      <w:tr>
        <w:trPr>
          <w:gridAfter w:val="1"/>
          <w:trHeight w:val="270"/>
        </w:trPr>
        <w:tc>
          <w:tcPr>
            <w:shd w:val="clear" w:color="auto" w:fill="auto"/>
            <w:tcW w:w="704" w:type="dxa"/>
            <w:vAlign w:val="center"/>
            <w:textDirection w:val="lrTb"/>
            <w:noWrap/>
          </w:tcPr>
          <w:p>
            <w:pPr>
              <w:jc w:val="center"/>
              <w:widowControl/>
            </w:pPr>
            <w:r>
              <w:t xml:space="preserve">3</w:t>
            </w:r>
            <w:r/>
          </w:p>
        </w:tc>
        <w:tc>
          <w:tcPr>
            <w:shd w:val="clear" w:color="auto" w:fill="auto"/>
            <w:tcW w:w="1275" w:type="dxa"/>
            <w:vAlign w:val="center"/>
            <w:textDirection w:val="lrTb"/>
            <w:noWrap/>
          </w:tcPr>
          <w:p>
            <w:pPr>
              <w:jc w:val="center"/>
              <w:widowControl/>
            </w:pPr>
            <w:r>
              <w:t xml:space="preserve">路名牌</w:t>
            </w:r>
            <w:r/>
          </w:p>
        </w:tc>
        <w:tc>
          <w:tcPr>
            <w:shd w:val="clear" w:color="auto" w:fill="auto"/>
            <w:tcW w:w="5926" w:type="dxa"/>
            <w:vAlign w:val="center"/>
            <w:textDirection w:val="lrTb"/>
            <w:noWrap/>
          </w:tcPr>
          <w:p>
            <w:pPr>
              <w:pStyle w:val="810"/>
              <w:numPr>
                <w:ilvl w:val="0"/>
                <w:numId w:val="33"/>
              </w:numPr>
              <w:ind w:left="292" w:hanging="292"/>
              <w:jc w:val="left"/>
              <w:widowControl/>
            </w:pPr>
            <w:r>
              <w:t xml:space="preserve">标志名称：路名牌</w:t>
            </w:r>
            <w:r/>
          </w:p>
          <w:p>
            <w:pPr>
              <w:pStyle w:val="810"/>
              <w:numPr>
                <w:ilvl w:val="0"/>
                <w:numId w:val="33"/>
              </w:numPr>
              <w:ind w:left="292" w:hanging="292"/>
              <w:jc w:val="left"/>
              <w:widowControl/>
            </w:pPr>
            <w:r>
              <w:t xml:space="preserve">类型：全透面板显示主动发光标志</w:t>
            </w:r>
            <w:r/>
          </w:p>
          <w:p>
            <w:pPr>
              <w:pStyle w:val="810"/>
              <w:numPr>
                <w:ilvl w:val="0"/>
                <w:numId w:val="33"/>
              </w:numPr>
              <w:ind w:left="292" w:hanging="292"/>
              <w:jc w:val="left"/>
              <w:widowControl/>
            </w:pPr>
            <w:r>
              <w:t xml:space="preserve">规格：1500mm×450mm，2mm厚，双面发光</w:t>
            </w:r>
            <w:r/>
          </w:p>
          <w:p>
            <w:pPr>
              <w:pStyle w:val="810"/>
              <w:numPr>
                <w:ilvl w:val="0"/>
                <w:numId w:val="33"/>
              </w:numPr>
              <w:ind w:left="292" w:hanging="292"/>
              <w:jc w:val="left"/>
              <w:widowControl/>
            </w:pPr>
            <w:r>
              <w:t xml:space="preserve">执行标准：执行T/CISA001-2018《面板显示主动发光交通标志》技术要求</w:t>
            </w:r>
            <w:r/>
          </w:p>
          <w:p>
            <w:pPr>
              <w:pStyle w:val="810"/>
              <w:numPr>
                <w:ilvl w:val="0"/>
                <w:numId w:val="33"/>
              </w:numPr>
              <w:ind w:left="292" w:hanging="292"/>
              <w:jc w:val="left"/>
              <w:widowControl/>
            </w:pPr>
            <w:r>
              <w:t xml:space="preserve">反光膜：发光标志专用透光型反光膜，国标IV类</w:t>
            </w:r>
            <w:r/>
          </w:p>
          <w:p>
            <w:pPr>
              <w:pStyle w:val="810"/>
              <w:numPr>
                <w:ilvl w:val="0"/>
                <w:numId w:val="33"/>
              </w:numPr>
              <w:ind w:left="292" w:hanging="292"/>
              <w:jc w:val="left"/>
              <w:widowControl/>
            </w:pPr>
            <w:r>
              <w:t xml:space="preserve">铝板、型材等详见图纸</w:t>
            </w:r>
            <w:r/>
          </w:p>
          <w:p>
            <w:pPr>
              <w:pStyle w:val="810"/>
              <w:numPr>
                <w:ilvl w:val="0"/>
                <w:numId w:val="33"/>
              </w:numPr>
              <w:ind w:left="292" w:hanging="292"/>
              <w:jc w:val="left"/>
              <w:widowControl/>
            </w:pPr>
            <w:r>
              <w:t xml:space="preserve">供电方式：市电</w:t>
            </w:r>
            <w:r/>
          </w:p>
          <w:p>
            <w:pPr>
              <w:pStyle w:val="810"/>
              <w:numPr>
                <w:ilvl w:val="0"/>
                <w:numId w:val="33"/>
              </w:numPr>
              <w:ind w:left="292" w:hanging="292"/>
              <w:jc w:val="left"/>
              <w:widowControl/>
            </w:pPr>
            <w:r>
              <w:t xml:space="preserve">自动开启/关闭：自动感光控制采用太阳能电路压降分析式控制模块，控制单元能根据标志周围面光照强度，自动开启/关闭标志发光单元。</w:t>
            </w:r>
            <w:r/>
          </w:p>
          <w:p>
            <w:pPr>
              <w:pStyle w:val="810"/>
              <w:numPr>
                <w:ilvl w:val="0"/>
                <w:numId w:val="33"/>
              </w:numPr>
              <w:ind w:left="292" w:hanging="292"/>
              <w:jc w:val="left"/>
              <w:widowControl/>
            </w:pPr>
            <w:r>
              <w:t xml:space="preserve">调光：标志发光单元能根据昼夜光线强度自动调节发光亮度，保持相对均衡的发光对比度</w:t>
            </w:r>
            <w:r/>
          </w:p>
          <w:p>
            <w:pPr>
              <w:pStyle w:val="810"/>
              <w:numPr>
                <w:ilvl w:val="0"/>
                <w:numId w:val="33"/>
              </w:numPr>
              <w:ind w:left="292" w:hanging="292"/>
              <w:jc w:val="left"/>
              <w:widowControl/>
            </w:pPr>
            <w:r>
              <w:t xml:space="preserve">正常夜间有效动态视认距离≥210米，静态视认距离≥250米</w:t>
            </w:r>
            <w:r/>
          </w:p>
          <w:p>
            <w:pPr>
              <w:pStyle w:val="810"/>
              <w:numPr>
                <w:ilvl w:val="0"/>
                <w:numId w:val="33"/>
              </w:numPr>
              <w:ind w:left="292" w:hanging="292"/>
              <w:jc w:val="left"/>
              <w:widowControl/>
            </w:pPr>
            <w:r>
              <w:t xml:space="preserve">具备远程监测功能，能够接入道路交通安全设施运行管理系统软件</w:t>
            </w:r>
            <w:r/>
          </w:p>
          <w:p>
            <w:pPr>
              <w:pStyle w:val="810"/>
              <w:numPr>
                <w:ilvl w:val="0"/>
                <w:numId w:val="33"/>
              </w:numPr>
              <w:ind w:left="292" w:hanging="292"/>
              <w:jc w:val="left"/>
              <w:widowControl/>
            </w:pPr>
            <w:r>
              <w:t xml:space="preserve">采购、运输</w:t>
            </w:r>
            <w:r/>
          </w:p>
          <w:p>
            <w:pPr>
              <w:pStyle w:val="810"/>
              <w:numPr>
                <w:ilvl w:val="0"/>
                <w:numId w:val="33"/>
              </w:numPr>
              <w:ind w:left="292" w:hanging="292"/>
              <w:jc w:val="left"/>
              <w:widowControl/>
            </w:pPr>
            <w:r>
              <w:t xml:space="preserve">其他要求详见图纸</w:t>
            </w:r>
            <w:r/>
          </w:p>
        </w:tc>
        <w:tc>
          <w:tcPr>
            <w:shd w:val="clear" w:color="auto" w:fill="auto"/>
            <w:tcW w:w="682" w:type="dxa"/>
            <w:vAlign w:val="center"/>
            <w:textDirection w:val="lrTb"/>
            <w:noWrap/>
          </w:tcPr>
          <w:p>
            <w:pPr>
              <w:jc w:val="center"/>
              <w:widowControl/>
            </w:pPr>
            <w:r>
              <w:t xml:space="preserve">块</w:t>
            </w:r>
            <w:r/>
          </w:p>
        </w:tc>
        <w:tc>
          <w:tcPr>
            <w:shd w:val="clear" w:color="auto" w:fill="auto"/>
            <w:tcW w:w="900" w:type="dxa"/>
            <w:vAlign w:val="center"/>
            <w:textDirection w:val="lrTb"/>
            <w:noWrap/>
          </w:tcPr>
          <w:p>
            <w:pPr>
              <w:jc w:val="center"/>
              <w:widowControl/>
            </w:pPr>
            <w:r>
              <w:t xml:space="preserve">2</w:t>
            </w:r>
            <w:r/>
          </w:p>
        </w:tc>
      </w:tr>
      <w:tr>
        <w:trPr>
          <w:gridAfter w:val="1"/>
          <w:trHeight w:val="270"/>
        </w:trPr>
        <w:tc>
          <w:tcPr>
            <w:shd w:val="clear" w:color="auto" w:fill="auto"/>
            <w:tcW w:w="704" w:type="dxa"/>
            <w:vAlign w:val="center"/>
            <w:textDirection w:val="lrTb"/>
            <w:noWrap/>
          </w:tcPr>
          <w:p>
            <w:pPr>
              <w:jc w:val="center"/>
              <w:widowControl/>
            </w:pPr>
            <w:r>
              <w:t xml:space="preserve">4</w:t>
            </w:r>
            <w:r/>
          </w:p>
        </w:tc>
        <w:tc>
          <w:tcPr>
            <w:shd w:val="clear" w:color="auto" w:fill="auto"/>
            <w:tcW w:w="1275" w:type="dxa"/>
            <w:vAlign w:val="center"/>
            <w:textDirection w:val="lrTb"/>
            <w:noWrap/>
          </w:tcPr>
          <w:p>
            <w:pPr>
              <w:jc w:val="center"/>
              <w:widowControl/>
            </w:pPr>
            <w:r>
              <w:t xml:space="preserve">组合禁令标牌</w:t>
            </w:r>
            <w:r/>
          </w:p>
        </w:tc>
        <w:tc>
          <w:tcPr>
            <w:shd w:val="clear" w:color="auto" w:fill="auto"/>
            <w:tcW w:w="5926" w:type="dxa"/>
            <w:vAlign w:val="center"/>
            <w:textDirection w:val="lrTb"/>
            <w:noWrap/>
          </w:tcPr>
          <w:p>
            <w:pPr>
              <w:pStyle w:val="810"/>
              <w:numPr>
                <w:ilvl w:val="0"/>
                <w:numId w:val="34"/>
              </w:numPr>
              <w:ind w:left="292" w:hanging="292"/>
              <w:jc w:val="left"/>
              <w:widowControl/>
            </w:pPr>
            <w:r>
              <w:t xml:space="preserve">标志名称：三合一禁令组合标志</w:t>
            </w:r>
            <w:r/>
          </w:p>
          <w:p>
            <w:pPr>
              <w:pStyle w:val="810"/>
              <w:numPr>
                <w:ilvl w:val="0"/>
                <w:numId w:val="34"/>
              </w:numPr>
              <w:ind w:left="292" w:hanging="292"/>
              <w:jc w:val="left"/>
              <w:widowControl/>
            </w:pPr>
            <w:r>
              <w:t xml:space="preserve">类型：全透面板显示主动发光标志</w:t>
            </w:r>
            <w:r/>
          </w:p>
          <w:p>
            <w:pPr>
              <w:pStyle w:val="810"/>
              <w:numPr>
                <w:ilvl w:val="0"/>
                <w:numId w:val="34"/>
              </w:numPr>
              <w:ind w:left="292" w:hanging="292"/>
              <w:jc w:val="left"/>
              <w:widowControl/>
            </w:pPr>
            <w:r>
              <w:t xml:space="preserve">规格：3×Φ1200mm，2mm厚</w:t>
            </w:r>
            <w:r/>
          </w:p>
          <w:p>
            <w:pPr>
              <w:pStyle w:val="810"/>
              <w:numPr>
                <w:ilvl w:val="0"/>
                <w:numId w:val="34"/>
              </w:numPr>
              <w:ind w:left="292" w:hanging="292"/>
              <w:jc w:val="left"/>
              <w:widowControl/>
            </w:pPr>
            <w:r>
              <w:t xml:space="preserve">执行标准：执行T/CISA001-2018《面板显示主动发光交通标志》技术要求</w:t>
            </w:r>
            <w:r/>
          </w:p>
          <w:p>
            <w:pPr>
              <w:pStyle w:val="810"/>
              <w:numPr>
                <w:ilvl w:val="0"/>
                <w:numId w:val="34"/>
              </w:numPr>
              <w:ind w:left="292" w:hanging="292"/>
              <w:jc w:val="left"/>
              <w:widowControl/>
            </w:pPr>
            <w:r>
              <w:t xml:space="preserve">反光膜：发光标志专用透光型反光膜，国标IV类</w:t>
            </w:r>
            <w:r/>
          </w:p>
          <w:p>
            <w:pPr>
              <w:pStyle w:val="810"/>
              <w:numPr>
                <w:ilvl w:val="0"/>
                <w:numId w:val="34"/>
              </w:numPr>
              <w:ind w:left="292" w:hanging="292"/>
              <w:jc w:val="left"/>
              <w:widowControl/>
            </w:pPr>
            <w:r>
              <w:t xml:space="preserve">铝板、型材等详见图纸</w:t>
            </w:r>
            <w:r/>
          </w:p>
          <w:p>
            <w:pPr>
              <w:pStyle w:val="810"/>
              <w:numPr>
                <w:ilvl w:val="0"/>
                <w:numId w:val="34"/>
              </w:numPr>
              <w:ind w:left="292" w:hanging="292"/>
              <w:jc w:val="left"/>
              <w:widowControl/>
            </w:pPr>
            <w:r>
              <w:t xml:space="preserve">供电方式：市电</w:t>
            </w:r>
            <w:r/>
          </w:p>
          <w:p>
            <w:pPr>
              <w:pStyle w:val="810"/>
              <w:numPr>
                <w:ilvl w:val="0"/>
                <w:numId w:val="34"/>
              </w:numPr>
              <w:ind w:left="292" w:hanging="292"/>
              <w:jc w:val="left"/>
              <w:widowControl/>
            </w:pPr>
            <w:r>
              <w:t xml:space="preserve">自动开启/关闭：自动感光控制采用太阳能电路压降分析式控制模块，控制单元能根据标志周围面光照强度，自动开启/关闭标志发光单元。</w:t>
            </w:r>
            <w:r/>
          </w:p>
          <w:p>
            <w:pPr>
              <w:pStyle w:val="810"/>
              <w:numPr>
                <w:ilvl w:val="0"/>
                <w:numId w:val="34"/>
              </w:numPr>
              <w:ind w:left="292" w:hanging="292"/>
              <w:jc w:val="left"/>
              <w:widowControl/>
            </w:pPr>
            <w:r>
              <w:t xml:space="preserve">调光：标志发光单元能根据昼夜光线强度自动调节发光亮度，保持相对均衡的发光对比度</w:t>
            </w:r>
            <w:r/>
          </w:p>
          <w:p>
            <w:pPr>
              <w:pStyle w:val="810"/>
              <w:numPr>
                <w:ilvl w:val="0"/>
                <w:numId w:val="34"/>
              </w:numPr>
              <w:ind w:left="292" w:hanging="292"/>
              <w:jc w:val="left"/>
              <w:widowControl/>
            </w:pPr>
            <w:r>
              <w:t xml:space="preserve">正常夜间有效动态视认距离≥210米，静态视认距离≥250米</w:t>
            </w:r>
            <w:r/>
          </w:p>
          <w:p>
            <w:pPr>
              <w:pStyle w:val="810"/>
              <w:numPr>
                <w:ilvl w:val="0"/>
                <w:numId w:val="34"/>
              </w:numPr>
              <w:ind w:left="292" w:hanging="292"/>
              <w:jc w:val="left"/>
              <w:widowControl/>
            </w:pPr>
            <w:r>
              <w:t xml:space="preserve">具备远程监测功能，能够接入道路交通安全设施运行管理系统软件</w:t>
            </w:r>
            <w:r/>
          </w:p>
          <w:p>
            <w:pPr>
              <w:pStyle w:val="810"/>
              <w:numPr>
                <w:ilvl w:val="0"/>
                <w:numId w:val="34"/>
              </w:numPr>
              <w:ind w:left="292" w:hanging="292"/>
              <w:jc w:val="left"/>
              <w:widowControl/>
            </w:pPr>
            <w:r>
              <w:t xml:space="preserve">采购、运输</w:t>
            </w:r>
            <w:r/>
          </w:p>
          <w:p>
            <w:pPr>
              <w:pStyle w:val="810"/>
              <w:numPr>
                <w:ilvl w:val="0"/>
                <w:numId w:val="34"/>
              </w:numPr>
              <w:ind w:left="292" w:hanging="292"/>
              <w:jc w:val="left"/>
              <w:widowControl/>
            </w:pPr>
            <w:r>
              <w:t xml:space="preserve">其他要求详见图纸</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2</w:t>
            </w:r>
            <w:r/>
          </w:p>
        </w:tc>
      </w:tr>
      <w:tr>
        <w:trPr>
          <w:gridAfter w:val="1"/>
          <w:trHeight w:val="270"/>
        </w:trPr>
        <w:tc>
          <w:tcPr>
            <w:shd w:val="clear" w:color="auto" w:fill="auto"/>
            <w:tcW w:w="704" w:type="dxa"/>
            <w:vAlign w:val="center"/>
            <w:textDirection w:val="lrTb"/>
            <w:noWrap/>
          </w:tcPr>
          <w:p>
            <w:pPr>
              <w:jc w:val="center"/>
              <w:widowControl/>
            </w:pPr>
            <w:r>
              <w:t xml:space="preserve">5</w:t>
            </w:r>
            <w:r/>
          </w:p>
        </w:tc>
        <w:tc>
          <w:tcPr>
            <w:shd w:val="clear" w:color="auto" w:fill="auto"/>
            <w:tcW w:w="1275" w:type="dxa"/>
            <w:vAlign w:val="center"/>
            <w:textDirection w:val="lrTb"/>
            <w:noWrap/>
          </w:tcPr>
          <w:p>
            <w:pPr>
              <w:jc w:val="center"/>
              <w:widowControl/>
            </w:pPr>
            <w:r>
              <w:t xml:space="preserve">人行横道标志牌</w:t>
            </w:r>
            <w:r/>
          </w:p>
        </w:tc>
        <w:tc>
          <w:tcPr>
            <w:shd w:val="clear" w:color="auto" w:fill="auto"/>
            <w:tcW w:w="5926" w:type="dxa"/>
            <w:vAlign w:val="center"/>
            <w:textDirection w:val="lrTb"/>
            <w:noWrap/>
          </w:tcPr>
          <w:p>
            <w:pPr>
              <w:jc w:val="left"/>
              <w:widowControl/>
            </w:pPr>
            <w:r>
              <w:t xml:space="preserve">牌面：800×800mm</w:t>
            </w:r>
            <w:r/>
          </w:p>
        </w:tc>
        <w:tc>
          <w:tcPr>
            <w:shd w:val="clear" w:color="auto" w:fill="auto"/>
            <w:tcW w:w="682" w:type="dxa"/>
            <w:vAlign w:val="center"/>
            <w:textDirection w:val="lrTb"/>
            <w:noWrap/>
          </w:tcPr>
          <w:p>
            <w:pPr>
              <w:jc w:val="center"/>
              <w:widowControl/>
            </w:pPr>
            <w:r>
              <w:t xml:space="preserve">块</w:t>
            </w:r>
            <w:r/>
          </w:p>
        </w:tc>
        <w:tc>
          <w:tcPr>
            <w:shd w:val="clear" w:color="auto" w:fill="auto"/>
            <w:tcW w:w="900" w:type="dxa"/>
            <w:vAlign w:val="center"/>
            <w:textDirection w:val="lrTb"/>
            <w:noWrap/>
          </w:tcPr>
          <w:p>
            <w:pPr>
              <w:jc w:val="center"/>
              <w:widowControl/>
            </w:pPr>
            <w:r>
              <w:t xml:space="preserve">16</w:t>
            </w:r>
            <w:r/>
          </w:p>
        </w:tc>
      </w:tr>
      <w:tr>
        <w:trPr>
          <w:gridAfter w:val="1"/>
          <w:trHeight w:val="270"/>
        </w:trPr>
        <w:tc>
          <w:tcPr>
            <w:shd w:val="clear" w:color="auto" w:fill="auto"/>
            <w:tcW w:w="704" w:type="dxa"/>
            <w:vAlign w:val="center"/>
            <w:textDirection w:val="lrTb"/>
            <w:noWrap/>
          </w:tcPr>
          <w:p>
            <w:pPr>
              <w:jc w:val="center"/>
              <w:widowControl/>
            </w:pPr>
            <w:r>
              <w:t xml:space="preserve">6</w:t>
            </w:r>
            <w:r/>
          </w:p>
        </w:tc>
        <w:tc>
          <w:tcPr>
            <w:shd w:val="clear" w:color="auto" w:fill="auto"/>
            <w:tcW w:w="1275" w:type="dxa"/>
            <w:vAlign w:val="center"/>
            <w:textDirection w:val="lrTb"/>
            <w:noWrap/>
          </w:tcPr>
          <w:p>
            <w:pPr>
              <w:jc w:val="center"/>
              <w:widowControl/>
            </w:pPr>
            <w:r>
              <w:t xml:space="preserve">机非分道标志牌</w:t>
            </w:r>
            <w:r/>
          </w:p>
        </w:tc>
        <w:tc>
          <w:tcPr>
            <w:shd w:val="clear" w:color="auto" w:fill="auto"/>
            <w:tcW w:w="5926" w:type="dxa"/>
            <w:vAlign w:val="center"/>
            <w:textDirection w:val="lrTb"/>
            <w:noWrap/>
          </w:tcPr>
          <w:p>
            <w:pPr>
              <w:jc w:val="left"/>
              <w:widowControl/>
            </w:pPr>
            <w:r>
              <w:t xml:space="preserve">牌面：φ800mm</w:t>
            </w:r>
            <w:r/>
          </w:p>
        </w:tc>
        <w:tc>
          <w:tcPr>
            <w:shd w:val="clear" w:color="auto" w:fill="auto"/>
            <w:tcW w:w="682" w:type="dxa"/>
            <w:vAlign w:val="center"/>
            <w:textDirection w:val="lrTb"/>
            <w:noWrap/>
          </w:tcPr>
          <w:p>
            <w:pPr>
              <w:jc w:val="center"/>
              <w:widowControl/>
            </w:pPr>
            <w:r>
              <w:t xml:space="preserve">块</w:t>
            </w:r>
            <w:r/>
          </w:p>
        </w:tc>
        <w:tc>
          <w:tcPr>
            <w:shd w:val="clear" w:color="auto" w:fill="auto"/>
            <w:tcW w:w="900" w:type="dxa"/>
            <w:vAlign w:val="center"/>
            <w:textDirection w:val="lrTb"/>
            <w:noWrap/>
          </w:tcPr>
          <w:p>
            <w:pPr>
              <w:jc w:val="center"/>
              <w:widowControl/>
            </w:pPr>
            <w:r>
              <w:t xml:space="preserve">2</w:t>
            </w:r>
            <w:r/>
          </w:p>
        </w:tc>
      </w:tr>
      <w:tr>
        <w:trPr>
          <w:gridAfter w:val="1"/>
          <w:trHeight w:val="270"/>
        </w:trPr>
        <w:tc>
          <w:tcPr>
            <w:shd w:val="clear" w:color="auto" w:fill="auto"/>
            <w:tcW w:w="704" w:type="dxa"/>
            <w:vAlign w:val="center"/>
            <w:textDirection w:val="lrTb"/>
            <w:noWrap/>
          </w:tcPr>
          <w:p>
            <w:pPr>
              <w:jc w:val="center"/>
              <w:widowControl/>
            </w:pPr>
            <w:r>
              <w:t xml:space="preserve">7</w:t>
            </w:r>
            <w:r/>
          </w:p>
        </w:tc>
        <w:tc>
          <w:tcPr>
            <w:shd w:val="clear" w:color="auto" w:fill="auto"/>
            <w:tcW w:w="1275" w:type="dxa"/>
            <w:vAlign w:val="center"/>
            <w:textDirection w:val="lrTb"/>
            <w:noWrap/>
          </w:tcPr>
          <w:p>
            <w:pPr>
              <w:jc w:val="center"/>
              <w:widowControl/>
            </w:pPr>
            <w:r>
              <w:t xml:space="preserve">机非分道标志牌杆件</w:t>
            </w:r>
            <w:r/>
          </w:p>
        </w:tc>
        <w:tc>
          <w:tcPr>
            <w:shd w:val="clear" w:color="auto" w:fill="auto"/>
            <w:tcW w:w="5926" w:type="dxa"/>
            <w:vAlign w:val="center"/>
            <w:textDirection w:val="lrTb"/>
            <w:noWrap/>
          </w:tcPr>
          <w:p>
            <w:pPr>
              <w:jc w:val="left"/>
              <w:widowControl/>
            </w:pPr>
            <w:r>
              <w:t xml:space="preserve">立柱：φ120×3800×6mm钢管，镀锌喷塑</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2</w:t>
            </w:r>
            <w:r/>
          </w:p>
        </w:tc>
      </w:tr>
      <w:tr>
        <w:trPr>
          <w:gridAfter w:val="1"/>
          <w:trHeight w:val="270"/>
        </w:trPr>
        <w:tc>
          <w:tcPr>
            <w:shd w:val="clear" w:color="auto" w:fill="auto"/>
            <w:tcW w:w="704" w:type="dxa"/>
            <w:vAlign w:val="center"/>
            <w:textDirection w:val="lrTb"/>
            <w:noWrap/>
          </w:tcPr>
          <w:p>
            <w:pPr>
              <w:jc w:val="center"/>
              <w:widowControl/>
            </w:pPr>
            <w:r>
              <w:t xml:space="preserve">8</w:t>
            </w:r>
            <w:r/>
          </w:p>
        </w:tc>
        <w:tc>
          <w:tcPr>
            <w:shd w:val="clear" w:color="auto" w:fill="auto"/>
            <w:tcW w:w="1275" w:type="dxa"/>
            <w:vAlign w:val="center"/>
            <w:textDirection w:val="lrTb"/>
            <w:noWrap/>
          </w:tcPr>
          <w:p>
            <w:pPr>
              <w:jc w:val="center"/>
              <w:widowControl/>
            </w:pPr>
            <w:r>
              <w:t xml:space="preserve">允许掉头标志牌</w:t>
            </w:r>
            <w:r/>
          </w:p>
        </w:tc>
        <w:tc>
          <w:tcPr>
            <w:shd w:val="clear" w:color="auto" w:fill="auto"/>
            <w:tcW w:w="5926" w:type="dxa"/>
            <w:vAlign w:val="center"/>
            <w:textDirection w:val="lrTb"/>
            <w:noWrap/>
          </w:tcPr>
          <w:p>
            <w:pPr>
              <w:jc w:val="left"/>
              <w:widowControl/>
            </w:pPr>
            <w:r>
              <w:t xml:space="preserve">牌面：800×800mm</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6</w:t>
            </w:r>
            <w:r/>
          </w:p>
        </w:tc>
      </w:tr>
      <w:tr>
        <w:trPr>
          <w:gridAfter w:val="1"/>
          <w:trHeight w:val="270"/>
        </w:trPr>
        <w:tc>
          <w:tcPr>
            <w:shd w:val="clear" w:color="auto" w:fill="auto"/>
            <w:tcW w:w="704" w:type="dxa"/>
            <w:vAlign w:val="center"/>
            <w:textDirection w:val="lrTb"/>
            <w:noWrap/>
          </w:tcPr>
          <w:p>
            <w:pPr>
              <w:jc w:val="center"/>
              <w:widowControl/>
            </w:pPr>
            <w:r>
              <w:t xml:space="preserve">9</w:t>
            </w:r>
            <w:r/>
          </w:p>
        </w:tc>
        <w:tc>
          <w:tcPr>
            <w:shd w:val="clear" w:color="auto" w:fill="auto"/>
            <w:tcW w:w="1275" w:type="dxa"/>
            <w:vAlign w:val="center"/>
            <w:textDirection w:val="lrTb"/>
            <w:noWrap/>
          </w:tcPr>
          <w:p>
            <w:pPr>
              <w:jc w:val="center"/>
              <w:widowControl/>
            </w:pPr>
            <w:r>
              <w:t xml:space="preserve">控制箱</w:t>
            </w:r>
            <w:r/>
          </w:p>
        </w:tc>
        <w:tc>
          <w:tcPr>
            <w:shd w:val="clear" w:color="auto" w:fill="auto"/>
            <w:tcW w:w="5926" w:type="dxa"/>
            <w:vAlign w:val="center"/>
            <w:textDirection w:val="lrTb"/>
            <w:noWrap/>
          </w:tcPr>
          <w:p>
            <w:pPr>
              <w:pStyle w:val="810"/>
              <w:numPr>
                <w:ilvl w:val="0"/>
                <w:numId w:val="35"/>
              </w:numPr>
              <w:ind w:left="292" w:hanging="292"/>
              <w:jc w:val="left"/>
              <w:widowControl/>
            </w:pPr>
            <w:r>
              <w:t xml:space="preserve">尺寸：采购成品控制箱箱体</w:t>
            </w:r>
            <w:r/>
          </w:p>
          <w:p>
            <w:pPr>
              <w:pStyle w:val="810"/>
              <w:numPr>
                <w:ilvl w:val="0"/>
                <w:numId w:val="35"/>
              </w:numPr>
              <w:ind w:left="292" w:hanging="292"/>
              <w:jc w:val="left"/>
              <w:widowControl/>
            </w:pPr>
            <w:r>
              <w:t xml:space="preserve">内部元器件：配置电源，防雷器，其他必要元器件</w:t>
            </w:r>
            <w:r/>
          </w:p>
          <w:p>
            <w:pPr>
              <w:pStyle w:val="810"/>
              <w:numPr>
                <w:ilvl w:val="0"/>
                <w:numId w:val="35"/>
              </w:numPr>
              <w:ind w:left="292" w:hanging="292"/>
              <w:jc w:val="left"/>
              <w:widowControl/>
            </w:pPr>
            <w:r>
              <w:rPr>
                <w:rFonts w:hint="eastAsia"/>
              </w:rPr>
              <w:t xml:space="preserve">  </w:t>
            </w:r>
            <w:r>
              <w:t xml:space="preserve">安装方式：抱杆</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32</w:t>
            </w:r>
            <w:r/>
          </w:p>
        </w:tc>
      </w:tr>
      <w:tr>
        <w:trPr>
          <w:gridAfter w:val="1"/>
          <w:trHeight w:val="270"/>
        </w:trPr>
        <w:tc>
          <w:tcPr>
            <w:shd w:val="clear" w:color="auto" w:fill="auto"/>
            <w:tcW w:w="704" w:type="dxa"/>
            <w:vAlign w:val="center"/>
            <w:textDirection w:val="lrTb"/>
            <w:noWrap/>
          </w:tcPr>
          <w:p>
            <w:pPr>
              <w:jc w:val="center"/>
              <w:widowControl/>
            </w:pPr>
            <w:r>
              <w:t xml:space="preserve">10</w:t>
            </w:r>
            <w:r/>
          </w:p>
        </w:tc>
        <w:tc>
          <w:tcPr>
            <w:shd w:val="clear" w:color="auto" w:fill="auto"/>
            <w:tcW w:w="1275" w:type="dxa"/>
            <w:vAlign w:val="center"/>
            <w:textDirection w:val="lrTb"/>
            <w:noWrap/>
          </w:tcPr>
          <w:p>
            <w:pPr>
              <w:jc w:val="center"/>
              <w:widowControl/>
            </w:pPr>
            <w:r>
              <w:t xml:space="preserve">配线</w:t>
            </w:r>
            <w:r/>
          </w:p>
        </w:tc>
        <w:tc>
          <w:tcPr>
            <w:shd w:val="clear" w:color="auto" w:fill="auto"/>
            <w:tcW w:w="5926" w:type="dxa"/>
            <w:vAlign w:val="center"/>
            <w:textDirection w:val="lrTb"/>
            <w:noWrap/>
          </w:tcPr>
          <w:p>
            <w:pPr>
              <w:jc w:val="left"/>
              <w:widowControl/>
            </w:pPr>
            <w:r>
              <w:t xml:space="preserve">规格：BVV2×2.5</w:t>
            </w:r>
            <w:r/>
          </w:p>
        </w:tc>
        <w:tc>
          <w:tcPr>
            <w:shd w:val="clear" w:color="auto" w:fill="auto"/>
            <w:tcW w:w="682" w:type="dxa"/>
            <w:vAlign w:val="center"/>
            <w:textDirection w:val="lrTb"/>
            <w:noWrap/>
          </w:tcPr>
          <w:p>
            <w:pPr>
              <w:jc w:val="center"/>
              <w:widowControl/>
            </w:pPr>
            <w:r>
              <w:t xml:space="preserve">米</w:t>
            </w:r>
            <w:r/>
          </w:p>
        </w:tc>
        <w:tc>
          <w:tcPr>
            <w:shd w:val="clear" w:color="auto" w:fill="auto"/>
            <w:tcW w:w="900" w:type="dxa"/>
            <w:vAlign w:val="center"/>
            <w:textDirection w:val="lrTb"/>
            <w:noWrap/>
          </w:tcPr>
          <w:p>
            <w:pPr>
              <w:jc w:val="center"/>
              <w:widowControl/>
            </w:pPr>
            <w:r>
              <w:t xml:space="preserve">1500</w:t>
            </w:r>
            <w:r/>
          </w:p>
        </w:tc>
      </w:tr>
      <w:tr>
        <w:trPr>
          <w:gridAfter w:val="1"/>
          <w:trHeight w:val="270"/>
        </w:trPr>
        <w:tc>
          <w:tcPr>
            <w:shd w:val="clear" w:color="auto" w:fill="auto"/>
            <w:tcW w:w="704" w:type="dxa"/>
            <w:vAlign w:val="center"/>
            <w:textDirection w:val="lrTb"/>
            <w:noWrap/>
          </w:tcPr>
          <w:p>
            <w:pPr>
              <w:jc w:val="center"/>
              <w:widowControl/>
            </w:pPr>
            <w:r>
              <w:t xml:space="preserve">11</w:t>
            </w:r>
            <w:r/>
          </w:p>
        </w:tc>
        <w:tc>
          <w:tcPr>
            <w:shd w:val="clear" w:color="auto" w:fill="auto"/>
            <w:tcW w:w="1275" w:type="dxa"/>
            <w:vAlign w:val="center"/>
            <w:textDirection w:val="lrTb"/>
            <w:noWrap/>
          </w:tcPr>
          <w:p>
            <w:pPr>
              <w:jc w:val="center"/>
              <w:widowControl/>
            </w:pPr>
            <w:r>
              <w:t xml:space="preserve">NB模块（物联网模块）</w:t>
            </w:r>
            <w:r/>
          </w:p>
        </w:tc>
        <w:tc>
          <w:tcPr>
            <w:shd w:val="clear" w:color="auto" w:fill="auto"/>
            <w:tcW w:w="5926" w:type="dxa"/>
            <w:vAlign w:val="center"/>
            <w:textDirection w:val="lrTb"/>
            <w:noWrap/>
          </w:tcPr>
          <w:p>
            <w:pPr>
              <w:pStyle w:val="810"/>
              <w:numPr>
                <w:ilvl w:val="0"/>
                <w:numId w:val="36"/>
              </w:numPr>
              <w:ind w:left="292" w:hanging="292"/>
              <w:jc w:val="left"/>
              <w:widowControl/>
            </w:pPr>
            <w:r>
              <w:t xml:space="preserve">实现交通标志接入运营商网络</w:t>
            </w:r>
            <w:r>
              <w:rPr>
                <w:rFonts w:hint="eastAsia"/>
              </w:rPr>
              <w:t xml:space="preserve">。</w:t>
            </w:r>
            <w:r/>
          </w:p>
          <w:p>
            <w:pPr>
              <w:pStyle w:val="810"/>
              <w:numPr>
                <w:ilvl w:val="0"/>
                <w:numId w:val="36"/>
              </w:numPr>
              <w:ind w:left="292" w:hanging="292"/>
              <w:jc w:val="left"/>
              <w:widowControl/>
            </w:pPr>
            <w:r>
              <w:t xml:space="preserve">交通标志安装设备后定时周期性在线巡检，设备能够上报时间至平台，检测事件包括：事故撞击报警、标志倾斜报警（倾斜角度大于等于15度）、标志倾斜报警（倾斜角度大于等于75度）、非法移动报警</w:t>
            </w:r>
            <w:r>
              <w:rPr>
                <w:rFonts w:hint="eastAsia"/>
              </w:rPr>
              <w:t xml:space="preserve">。</w:t>
            </w:r>
            <w:r/>
          </w:p>
          <w:p>
            <w:pPr>
              <w:pStyle w:val="810"/>
              <w:numPr>
                <w:ilvl w:val="0"/>
                <w:numId w:val="36"/>
              </w:numPr>
              <w:ind w:left="292" w:hanging="292"/>
              <w:jc w:val="left"/>
              <w:widowControl/>
            </w:pPr>
            <w:r>
              <w:t xml:space="preserve">北斗定位功能，远程对标志牌进行定位。可以实时查看标志牌的位置信息</w:t>
            </w:r>
            <w:r>
              <w:rPr>
                <w:rFonts w:hint="eastAsia"/>
              </w:rPr>
              <w:t xml:space="preserve">。</w:t>
            </w:r>
            <w:r/>
          </w:p>
          <w:p>
            <w:pPr>
              <w:pStyle w:val="810"/>
              <w:numPr>
                <w:ilvl w:val="0"/>
                <w:numId w:val="36"/>
              </w:numPr>
              <w:ind w:left="292" w:hanging="292"/>
              <w:jc w:val="left"/>
              <w:widowControl/>
            </w:pPr>
            <w:r>
              <w:t xml:space="preserve">对于交通标志等设施设备，提供可监测、可控制、可管理的实时操作管理设备</w:t>
            </w:r>
            <w:r>
              <w:rPr>
                <w:rFonts w:hint="eastAsia"/>
              </w:rPr>
              <w:t xml:space="preserve">。</w:t>
            </w:r>
            <w:r/>
          </w:p>
          <w:p>
            <w:pPr>
              <w:pStyle w:val="810"/>
              <w:numPr>
                <w:ilvl w:val="0"/>
                <w:numId w:val="36"/>
              </w:numPr>
              <w:ind w:left="292" w:hanging="292"/>
              <w:jc w:val="left"/>
              <w:widowControl/>
            </w:pPr>
            <w:r>
              <w:t xml:space="preserve">能够监测带电设备的运行状态（电压），判断设备是否正常工作</w:t>
            </w:r>
            <w:r>
              <w:rPr>
                <w:rFonts w:hint="eastAsia"/>
              </w:rPr>
              <w:t xml:space="preserve">。</w:t>
            </w:r>
            <w:r/>
          </w:p>
          <w:p>
            <w:pPr>
              <w:pStyle w:val="810"/>
              <w:numPr>
                <w:ilvl w:val="0"/>
                <w:numId w:val="36"/>
              </w:numPr>
              <w:ind w:left="292" w:hanging="292"/>
              <w:jc w:val="left"/>
              <w:widowControl/>
            </w:pPr>
            <w:r>
              <w:t xml:space="preserve">前端设备供电：电池供电（正常使用频率供电时间4-5年，较高使用频率使用时间不低于二年）</w:t>
            </w:r>
            <w:r>
              <w:rPr>
                <w:rFonts w:hint="eastAsia"/>
              </w:rPr>
              <w:t xml:space="preserve">。</w:t>
            </w:r>
            <w:r/>
          </w:p>
          <w:p>
            <w:pPr>
              <w:pStyle w:val="810"/>
              <w:numPr>
                <w:ilvl w:val="0"/>
                <w:numId w:val="36"/>
              </w:numPr>
              <w:ind w:left="292" w:hanging="292"/>
              <w:jc w:val="left"/>
              <w:widowControl/>
            </w:pPr>
            <w:r>
              <w:rPr>
                <w:rFonts w:hint="eastAsia"/>
              </w:rPr>
              <w:t xml:space="preserve">  </w:t>
            </w:r>
            <w:r>
              <w:t xml:space="preserve">设备平均故障率低于2%</w:t>
            </w:r>
            <w:r>
              <w:rPr>
                <w:rFonts w:hint="eastAsia"/>
              </w:rPr>
              <w:t xml:space="preserve">。</w:t>
            </w:r>
            <w:r/>
          </w:p>
        </w:tc>
        <w:tc>
          <w:tcPr>
            <w:shd w:val="clear" w:color="auto" w:fill="auto"/>
            <w:tcW w:w="682" w:type="dxa"/>
            <w:vAlign w:val="center"/>
            <w:textDirection w:val="lrTb"/>
            <w:noWrap/>
          </w:tcPr>
          <w:p>
            <w:pPr>
              <w:jc w:val="center"/>
              <w:widowControl/>
            </w:pPr>
            <w:r>
              <w:t xml:space="preserve">套</w:t>
            </w:r>
            <w:r/>
          </w:p>
        </w:tc>
        <w:tc>
          <w:tcPr>
            <w:shd w:val="clear" w:color="auto" w:fill="auto"/>
            <w:tcW w:w="900" w:type="dxa"/>
            <w:vAlign w:val="center"/>
            <w:textDirection w:val="lrTb"/>
            <w:noWrap/>
          </w:tcPr>
          <w:p>
            <w:pPr>
              <w:jc w:val="center"/>
              <w:widowControl/>
            </w:pPr>
            <w:r>
              <w:t xml:space="preserve">32</w:t>
            </w:r>
            <w:r/>
          </w:p>
        </w:tc>
      </w:tr>
    </w:tbl>
    <w:p>
      <w:pPr>
        <w:jc w:val="left"/>
        <w:widowControl/>
        <w:rPr>
          <w:rFonts w:hint="eastAsia" w:ascii="宋体" w:hAnsi="宋体" w:cs="宋体"/>
          <w:b/>
          <w:color w:val="000000"/>
          <w:sz w:val="24"/>
        </w:rPr>
      </w:pPr>
      <w:r>
        <w:rPr>
          <w:rFonts w:hint="eastAsia" w:ascii="宋体" w:hAnsi="宋体" w:cs="宋体"/>
          <w:b/>
          <w:color w:val="000000"/>
          <w:sz w:val="24"/>
        </w:rPr>
      </w:r>
      <w:r/>
    </w:p>
    <w:p>
      <w:pPr>
        <w:ind w:firstLine="422"/>
        <w:rPr>
          <w:b/>
          <w:bCs/>
        </w:rPr>
      </w:pPr>
      <w:r>
        <w:rPr>
          <w:rFonts w:hint="eastAsia"/>
          <w:b/>
          <w:bCs/>
        </w:rPr>
        <w:t xml:space="preserve">备注：本次采购设备是基于现有的管理平台，投标人所投AI单灯传感控制系统必须与现有的管理平台数据兼容。投标人所供货物须满足招标文件中的所有要求。招标人按照招标要求对所采购设备的所有功能及相关技术参数逐一进行兼容性测试。本项目定标后中标结果公告前，中标候选人在接到招标人通知后2个日历天内须完成兼容性测试。测试结果无法达到招标要求或无法与现有系统兼容，则取消中标候选人资格。</w:t>
      </w:r>
      <w:r/>
    </w:p>
    <w:p>
      <w:pPr>
        <w:ind w:firstLine="422"/>
        <w:rPr>
          <w:b/>
          <w:bCs/>
        </w:rPr>
      </w:pPr>
      <w:r>
        <w:rPr>
          <w:b/>
          <w:bCs/>
        </w:rPr>
      </w:r>
      <w:r/>
    </w:p>
    <w:p>
      <w:pPr>
        <w:ind w:firstLine="422"/>
        <w:rPr>
          <w:b/>
          <w:bCs/>
        </w:rPr>
      </w:pPr>
      <w:r>
        <w:rPr>
          <w:b/>
          <w:bCs/>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jc w:val="left"/>
        <w:widowControl/>
        <w:rPr>
          <w:rFonts w:ascii="黑体" w:eastAsia="黑体"/>
          <w:bCs/>
          <w:sz w:val="44"/>
        </w:rPr>
      </w:pPr>
      <w:r>
        <w:rPr>
          <w:rFonts w:ascii="黑体" w:eastAsia="黑体"/>
          <w:bCs/>
          <w:sz w:val="44"/>
        </w:rPr>
        <w:br w:type="page" w:clear="all"/>
      </w:r>
      <w:r/>
    </w:p>
    <w:p>
      <w:pPr>
        <w:pStyle w:val="949"/>
        <w:spacing w:line="420" w:lineRule="auto"/>
        <w:rPr>
          <w:rFonts w:ascii="黑体" w:eastAsia="黑体"/>
          <w:bCs/>
          <w:sz w:val="44"/>
        </w:rPr>
      </w:pPr>
      <w:r>
        <w:rPr>
          <w:rFonts w:hint="eastAsia" w:ascii="黑体" w:eastAsia="黑体"/>
          <w:bCs/>
          <w:sz w:val="44"/>
        </w:rPr>
        <w:t xml:space="preserve">第五章  评标方法</w:t>
      </w:r>
      <w:r>
        <w:rPr>
          <w:rFonts w:hint="eastAsia" w:ascii="黑体" w:eastAsia="黑体"/>
          <w:b/>
          <w:bCs/>
          <w:sz w:val="44"/>
        </w:rPr>
        <w:t xml:space="preserve">与评标标准</w:t>
      </w:r>
      <w:r/>
    </w:p>
    <w:p>
      <w:pPr>
        <w:ind w:firstLine="480"/>
        <w:spacing w:line="520" w:lineRule="exact"/>
        <w:rPr>
          <w:color w:val="000000"/>
          <w:sz w:val="24"/>
          <w:szCs w:val="24"/>
        </w:rPr>
      </w:pPr>
      <w:r>
        <w:rPr>
          <w:color w:val="000000"/>
          <w:sz w:val="24"/>
          <w:szCs w:val="24"/>
        </w:rPr>
        <w:t xml:space="preserve">一、定标原则</w:t>
      </w:r>
      <w:r/>
    </w:p>
    <w:p>
      <w:pPr>
        <w:ind w:firstLine="480"/>
        <w:spacing w:line="520" w:lineRule="exact"/>
        <w:rPr>
          <w:color w:val="000000"/>
          <w:sz w:val="24"/>
          <w:szCs w:val="24"/>
        </w:rPr>
      </w:pPr>
      <w:r>
        <w:rPr>
          <w:color w:val="000000"/>
          <w:sz w:val="24"/>
          <w:szCs w:val="24"/>
        </w:rPr>
        <w:t xml:space="preserve">本项目采用</w:t>
      </w:r>
      <w:r>
        <w:rPr>
          <w:color w:val="000000"/>
          <w:sz w:val="24"/>
          <w:szCs w:val="24"/>
          <w:u w:val="single"/>
        </w:rPr>
        <w:t xml:space="preserve"> 综合评分 </w:t>
      </w:r>
      <w:r>
        <w:rPr>
          <w:color w:val="000000"/>
          <w:sz w:val="24"/>
          <w:szCs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spacing w:line="520" w:lineRule="exact"/>
        <w:rPr>
          <w:b/>
          <w:sz w:val="24"/>
          <w:szCs w:val="24"/>
          <w:highlight w:val="yellow"/>
        </w:rPr>
      </w:pPr>
      <w:r>
        <w:rPr>
          <w:b/>
          <w:sz w:val="24"/>
          <w:szCs w:val="24"/>
        </w:rPr>
        <w:t xml:space="preserve">政府采购政策功能落实</w:t>
      </w:r>
      <w:r/>
    </w:p>
    <w:p>
      <w:pPr>
        <w:ind w:firstLine="480"/>
        <w:spacing w:line="520" w:lineRule="exact"/>
        <w:rPr>
          <w:color w:val="000000"/>
          <w:sz w:val="24"/>
          <w:szCs w:val="24"/>
        </w:rPr>
      </w:pPr>
      <w:r>
        <w:rPr>
          <w:color w:val="000000"/>
          <w:sz w:val="24"/>
          <w:szCs w:val="24"/>
        </w:rPr>
        <w:t xml:space="preserve">1、小微型企业价格扣除</w:t>
      </w:r>
      <w:r/>
    </w:p>
    <w:p>
      <w:pPr>
        <w:ind w:firstLine="480"/>
        <w:spacing w:line="520" w:lineRule="exact"/>
        <w:rPr>
          <w:color w:val="000000"/>
          <w:sz w:val="24"/>
          <w:szCs w:val="24"/>
        </w:rPr>
      </w:pPr>
      <w:r>
        <w:rPr>
          <w:color w:val="000000"/>
          <w:sz w:val="24"/>
          <w:szCs w:val="24"/>
        </w:rPr>
        <w:t xml:space="preserve">（1）本项目对小型和微型企业产品给予20%的扣除价格，用扣除后的价格参与评审。</w:t>
      </w:r>
      <w:r/>
    </w:p>
    <w:p>
      <w:pPr>
        <w:ind w:firstLine="480"/>
        <w:spacing w:line="520" w:lineRule="exact"/>
        <w:rPr>
          <w:color w:val="000000"/>
          <w:sz w:val="24"/>
          <w:szCs w:val="24"/>
        </w:rPr>
      </w:pPr>
      <w:r>
        <w:rPr>
          <w:color w:val="000000"/>
          <w:sz w:val="24"/>
          <w:szCs w:val="24"/>
        </w:rPr>
        <w:t xml:space="preserve">（2）供应商需按照采购文件的要求提供相应的《</w:t>
      </w:r>
      <w:r>
        <w:rPr>
          <w:rFonts w:hint="eastAsia" w:ascii="宋体" w:hAnsi="宋体" w:cs="宋体"/>
          <w:sz w:val="24"/>
          <w:szCs w:val="24"/>
        </w:rPr>
        <w:t xml:space="preserve">小微企业声明函</w:t>
      </w:r>
      <w:r>
        <w:rPr>
          <w:color w:val="000000"/>
          <w:sz w:val="24"/>
          <w:szCs w:val="24"/>
        </w:rPr>
        <w:t xml:space="preserve">》。</w:t>
      </w:r>
      <w:r/>
    </w:p>
    <w:p>
      <w:pPr>
        <w:ind w:firstLine="480"/>
        <w:spacing w:line="520" w:lineRule="exact"/>
        <w:rPr>
          <w:color w:val="000000"/>
          <w:sz w:val="24"/>
          <w:szCs w:val="24"/>
        </w:rPr>
      </w:pPr>
      <w:r>
        <w:rPr>
          <w:color w:val="000000"/>
          <w:sz w:val="24"/>
          <w:szCs w:val="24"/>
        </w:rPr>
        <w:t xml:space="preserve">（3）企业标准请参照《关于印发中小企业划型标准规定的通知》（工信部联企业[2011]300号）文件规定自行填写。</w:t>
      </w:r>
      <w:r/>
    </w:p>
    <w:p>
      <w:pPr>
        <w:ind w:firstLine="480"/>
        <w:spacing w:line="520" w:lineRule="exact"/>
        <w:rPr>
          <w:color w:val="000000"/>
          <w:sz w:val="24"/>
          <w:szCs w:val="24"/>
        </w:rPr>
      </w:pPr>
      <w:r>
        <w:rPr>
          <w:color w:val="000000"/>
          <w:sz w:val="24"/>
          <w:szCs w:val="24"/>
        </w:rPr>
        <w:t xml:space="preserve">2、残疾人福利单位价格扣除</w:t>
      </w:r>
      <w:r/>
    </w:p>
    <w:p>
      <w:pPr>
        <w:ind w:firstLine="480"/>
        <w:spacing w:line="520" w:lineRule="exact"/>
        <w:rPr>
          <w:color w:val="000000"/>
          <w:sz w:val="24"/>
          <w:szCs w:val="24"/>
        </w:rPr>
      </w:pPr>
      <w:r>
        <w:rPr>
          <w:color w:val="000000"/>
          <w:sz w:val="24"/>
          <w:szCs w:val="24"/>
        </w:rPr>
        <w:t xml:space="preserve">（1）本项目对残疾人福利性单位视同小型、微型企业，给予20%的价格扣除，用扣除后的价格参与评审。</w:t>
      </w:r>
      <w:r/>
    </w:p>
    <w:p>
      <w:pPr>
        <w:ind w:firstLine="480"/>
        <w:spacing w:line="520" w:lineRule="exact"/>
        <w:rPr>
          <w:color w:val="000000"/>
          <w:sz w:val="24"/>
          <w:szCs w:val="24"/>
        </w:rPr>
      </w:pPr>
      <w:r>
        <w:rPr>
          <w:color w:val="000000"/>
          <w:sz w:val="24"/>
          <w:szCs w:val="24"/>
        </w:rPr>
        <w:t xml:space="preserve">（2）残疾人福利单位需提供《残疾人福利性单位声明函》。</w:t>
      </w:r>
      <w:r/>
    </w:p>
    <w:p>
      <w:pPr>
        <w:ind w:firstLine="480"/>
        <w:spacing w:line="520" w:lineRule="exact"/>
        <w:rPr>
          <w:color w:val="000000"/>
          <w:sz w:val="24"/>
          <w:szCs w:val="24"/>
        </w:rPr>
      </w:pPr>
      <w:r>
        <w:rPr>
          <w:color w:val="000000"/>
          <w:sz w:val="24"/>
          <w:szCs w:val="24"/>
        </w:rPr>
        <w:t xml:space="preserve">（3）残疾人福利单位标准请参照《关于促进残疾人就业政府采购政策的通知》（财库〔2017〕141号）。</w:t>
      </w:r>
      <w:r/>
    </w:p>
    <w:p>
      <w:pPr>
        <w:ind w:firstLine="480"/>
        <w:spacing w:line="520" w:lineRule="exact"/>
        <w:rPr>
          <w:color w:val="000000"/>
          <w:sz w:val="24"/>
          <w:szCs w:val="24"/>
        </w:rPr>
      </w:pPr>
      <w:r>
        <w:rPr>
          <w:color w:val="000000"/>
          <w:sz w:val="24"/>
          <w:szCs w:val="24"/>
        </w:rPr>
        <w:t xml:space="preserve">3、监狱和戒毒企业价格扣除</w:t>
      </w:r>
      <w:r/>
    </w:p>
    <w:p>
      <w:pPr>
        <w:ind w:firstLine="480"/>
        <w:spacing w:line="520" w:lineRule="exact"/>
        <w:rPr>
          <w:color w:val="000000"/>
          <w:sz w:val="24"/>
          <w:szCs w:val="24"/>
        </w:rPr>
      </w:pPr>
      <w:r>
        <w:rPr>
          <w:color w:val="000000"/>
          <w:sz w:val="24"/>
          <w:szCs w:val="24"/>
        </w:rPr>
        <w:t xml:space="preserve">（1）本项目对监狱和戒毒企业（简称监狱企业）视同小型、微型企业，给予20%的价格扣除，用扣除后的价格参与评审。</w:t>
      </w:r>
      <w:r/>
    </w:p>
    <w:p>
      <w:pPr>
        <w:ind w:firstLine="480"/>
        <w:spacing w:line="520" w:lineRule="exact"/>
        <w:rPr>
          <w:color w:val="000000"/>
          <w:sz w:val="24"/>
          <w:szCs w:val="24"/>
        </w:rPr>
      </w:pPr>
      <w:r>
        <w:rPr>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20" w:lineRule="exact"/>
        <w:rPr>
          <w:color w:val="000000"/>
          <w:sz w:val="24"/>
          <w:szCs w:val="24"/>
        </w:rPr>
      </w:pPr>
      <w:r>
        <w:rPr>
          <w:color w:val="000000"/>
          <w:sz w:val="24"/>
          <w:szCs w:val="24"/>
        </w:rPr>
        <w:t xml:space="preserve">（3）监狱企业标准请参照《关于政府采购支持监狱企业发展有关问题的通知》（财库[2014]68号）。</w:t>
      </w:r>
      <w:r/>
    </w:p>
    <w:p>
      <w:pPr>
        <w:ind w:firstLine="480"/>
        <w:spacing w:line="520" w:lineRule="exact"/>
        <w:rPr>
          <w:color w:val="000000"/>
          <w:sz w:val="24"/>
          <w:szCs w:val="24"/>
        </w:rPr>
      </w:pPr>
      <w:r>
        <w:rPr>
          <w:color w:val="000000"/>
          <w:sz w:val="24"/>
          <w:szCs w:val="24"/>
        </w:rPr>
        <w:t xml:space="preserve">4、残疾人福利单位、监狱企业属于小型、微型企业的，不重复享受政策。</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6%</w:t>
      </w:r>
      <w:r>
        <w:rPr>
          <w:rFonts w:ascii="宋体" w:hAnsi="宋体" w:cs="宋体"/>
          <w:color w:val="000000"/>
          <w:sz w:val="24"/>
        </w:rPr>
        <w:t xml:space="preserve">的价格扣除，用扣除后的价格参与评审。</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20%</w:t>
      </w:r>
      <w:r>
        <w:rPr>
          <w:rFonts w:ascii="宋体" w:hAnsi="宋体" w:cs="宋体"/>
          <w:color w:val="000000"/>
          <w:sz w:val="24"/>
        </w:rPr>
        <w:t xml:space="preserve">的价格扣除。</w:t>
      </w:r>
      <w:r/>
    </w:p>
    <w:p>
      <w:pPr>
        <w:ind w:firstLine="48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宋体"/>
          <w:b/>
          <w:i/>
          <w:color w:val="000000"/>
          <w:sz w:val="24"/>
        </w:rPr>
        <w:t xml:space="preserve">如属政府强制采购产品未提供认证证书的或认证证书提供不全的将视为未实质性响应采购要求</w:t>
      </w:r>
      <w:r>
        <w:rPr>
          <w:rFonts w:ascii="宋体" w:hAnsi="宋体" w:cs="宋体"/>
          <w:i/>
          <w:color w:val="000000"/>
          <w:sz w:val="24"/>
        </w:rPr>
        <w:t xml:space="preserve">。</w:t>
      </w:r>
      <w:r>
        <w:rPr>
          <w:rFonts w:ascii="宋体" w:hAnsi="宋体" w:cs="宋体"/>
          <w:color w:val="000000"/>
          <w:sz w:val="24"/>
        </w:rPr>
        <w:t xml:space="preserve">其他条件相同情况下，应当优先采购节能产品、环境标志产品。</w:t>
      </w:r>
      <w:r/>
    </w:p>
    <w:p>
      <w:pPr>
        <w:ind w:firstLine="480"/>
        <w:spacing w:line="4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8.供应商对于投标产品的商品包装、快递包装应按照《关于印发《商品包装政府采购需求标准（试行）》《快递包装政府采购需求标准（试行）》的通知》（财办库〔2020〕123号）执行。</w:t>
      </w:r>
      <w:r/>
    </w:p>
    <w:p>
      <w:pPr>
        <w:ind w:firstLine="480"/>
        <w:spacing w:line="400" w:lineRule="exact"/>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9.本文件中若涉及数据中心采购，应按照《〈绿色数据中心政府采购需求标准（试行）〉的通知》（财库〔2023〕7号）执行。</w:t>
      </w:r>
      <w:r/>
    </w:p>
    <w:p>
      <w:pPr>
        <w:ind w:firstLine="480"/>
        <w:spacing w:line="520" w:lineRule="exact"/>
        <w:rPr>
          <w:color w:val="000000"/>
          <w:sz w:val="24"/>
          <w:szCs w:val="24"/>
        </w:rPr>
      </w:pPr>
      <w:r>
        <w:rPr>
          <w:color w:val="000000"/>
          <w:sz w:val="24"/>
          <w:szCs w:val="24"/>
        </w:rPr>
        <w:t xml:space="preserve">二、评标标准</w:t>
      </w:r>
      <w:r/>
    </w:p>
    <w:tbl>
      <w:tblPr>
        <w:tblStyle w:val="1059"/>
        <w:tblW w:w="917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99"/>
        <w:gridCol w:w="1581"/>
        <w:gridCol w:w="6095"/>
      </w:tblGrid>
      <w:tr>
        <w:trPr/>
        <w:tc>
          <w:tcPr>
            <w:tcMar>
              <w:left w:w="108" w:type="dxa"/>
              <w:right w:w="108" w:type="dxa"/>
            </w:tcMar>
            <w:tcW w:w="1499" w:type="dxa"/>
            <w:vAlign w:val="center"/>
            <w:textDirection w:val="lrTb"/>
            <w:noWrap w:val="false"/>
          </w:tcPr>
          <w:p>
            <w:pPr>
              <w:jc w:val="center"/>
              <w:spacing w:before="120" w:after="120"/>
              <w:rPr>
                <w:rFonts w:hint="eastAsia" w:ascii="宋体" w:hAnsi="宋体" w:cs="宋体"/>
                <w:sz w:val="24"/>
                <w:szCs w:val="24"/>
              </w:rPr>
            </w:pPr>
            <w:r>
              <w:rPr>
                <w:rFonts w:hint="eastAsia" w:ascii="宋体" w:hAnsi="宋体" w:cs="宋体"/>
                <w:spacing w:val="-2"/>
                <w:sz w:val="24"/>
                <w:szCs w:val="24"/>
              </w:rPr>
              <w:t xml:space="preserve">评分项目</w:t>
            </w:r>
            <w:r/>
          </w:p>
        </w:tc>
        <w:tc>
          <w:tcPr>
            <w:tcMar>
              <w:left w:w="108" w:type="dxa"/>
              <w:right w:w="108" w:type="dxa"/>
            </w:tcMar>
            <w:tcW w:w="1581" w:type="dxa"/>
            <w:vAlign w:val="center"/>
            <w:textDirection w:val="lrTb"/>
            <w:noWrap w:val="false"/>
          </w:tcPr>
          <w:p>
            <w:pPr>
              <w:jc w:val="center"/>
              <w:spacing w:before="120" w:after="120"/>
              <w:rPr>
                <w:rFonts w:hint="eastAsia" w:ascii="宋体" w:hAnsi="宋体" w:cs="宋体"/>
                <w:sz w:val="24"/>
                <w:szCs w:val="24"/>
              </w:rPr>
            </w:pPr>
            <w:r>
              <w:rPr>
                <w:rFonts w:hint="eastAsia" w:ascii="宋体" w:hAnsi="宋体" w:cs="宋体"/>
                <w:spacing w:val="-1"/>
                <w:sz w:val="24"/>
                <w:szCs w:val="24"/>
              </w:rPr>
              <w:t xml:space="preserve">评审因素</w:t>
            </w:r>
            <w:r/>
          </w:p>
        </w:tc>
        <w:tc>
          <w:tcPr>
            <w:tcMar>
              <w:left w:w="108" w:type="dxa"/>
              <w:right w:w="108" w:type="dxa"/>
            </w:tcMar>
            <w:tcW w:w="6095" w:type="dxa"/>
            <w:vAlign w:val="center"/>
            <w:textDirection w:val="lrTb"/>
            <w:noWrap w:val="false"/>
          </w:tcPr>
          <w:p>
            <w:pPr>
              <w:jc w:val="center"/>
              <w:spacing w:before="120" w:after="120"/>
              <w:rPr>
                <w:rFonts w:hint="eastAsia" w:ascii="宋体" w:hAnsi="宋体" w:cs="宋体"/>
                <w:sz w:val="24"/>
                <w:szCs w:val="24"/>
              </w:rPr>
            </w:pPr>
            <w:r>
              <w:rPr>
                <w:rFonts w:hint="eastAsia" w:ascii="宋体" w:hAnsi="宋体" w:cs="宋体"/>
                <w:spacing w:val="-1"/>
                <w:sz w:val="24"/>
                <w:szCs w:val="24"/>
              </w:rPr>
              <w:t xml:space="preserve">评审标准</w:t>
            </w:r>
            <w:r/>
          </w:p>
        </w:tc>
      </w:tr>
      <w:tr>
        <w:trPr>
          <w:trHeight w:val="90"/>
        </w:trPr>
        <w:tc>
          <w:tcPr>
            <w:tcMar>
              <w:left w:w="108" w:type="dxa"/>
              <w:right w:w="108" w:type="dxa"/>
            </w:tcMar>
            <w:tcW w:w="1499" w:type="dxa"/>
            <w:vAlign w:val="center"/>
            <w:textDirection w:val="lrTb"/>
            <w:noWrap w:val="false"/>
          </w:tcPr>
          <w:p>
            <w:pPr>
              <w:jc w:val="left"/>
              <w:spacing w:before="120" w:after="120"/>
              <w:rPr>
                <w:rFonts w:hint="eastAsia" w:ascii="宋体" w:hAnsi="宋体" w:cs="宋体"/>
                <w:sz w:val="24"/>
                <w:szCs w:val="24"/>
                <w:highlight w:val="none"/>
              </w:rPr>
            </w:pPr>
            <w:r>
              <w:rPr>
                <w:rFonts w:hint="eastAsia" w:ascii="宋体" w:hAnsi="宋体" w:cs="宋体"/>
                <w:spacing w:val="-2"/>
                <w:position w:val="7"/>
                <w:sz w:val="24"/>
                <w:szCs w:val="24"/>
                <w:highlight w:val="none"/>
              </w:rPr>
              <w:t xml:space="preserve">投标报价</w:t>
            </w:r>
            <w:r>
              <w:rPr>
                <w:rFonts w:hint="eastAsia" w:ascii="宋体" w:hAnsi="宋体" w:cs="宋体"/>
                <w:spacing w:val="40"/>
                <w:sz w:val="24"/>
                <w:szCs w:val="24"/>
                <w:highlight w:val="none"/>
              </w:rPr>
              <w:t xml:space="preserve">（</w:t>
            </w:r>
            <w:r>
              <w:rPr>
                <w:rFonts w:hint="eastAsia" w:ascii="宋体" w:hAnsi="宋体" w:cs="宋体"/>
                <w:spacing w:val="37"/>
                <w:sz w:val="24"/>
                <w:szCs w:val="24"/>
                <w:highlight w:val="none"/>
              </w:rPr>
              <w:t xml:space="preserve">30）分</w:t>
            </w:r>
            <w:r/>
          </w:p>
        </w:tc>
        <w:tc>
          <w:tcPr>
            <w:tcMar>
              <w:left w:w="108" w:type="dxa"/>
              <w:right w:w="108" w:type="dxa"/>
            </w:tcMar>
            <w:tcW w:w="1581" w:type="dxa"/>
            <w:vAlign w:val="center"/>
            <w:textDirection w:val="lrTb"/>
            <w:noWrap w:val="false"/>
          </w:tcPr>
          <w:p>
            <w:pPr>
              <w:spacing w:before="120" w:after="120"/>
              <w:rPr>
                <w:rFonts w:hint="eastAsia" w:ascii="宋体" w:hAnsi="宋体" w:cs="宋体"/>
                <w:sz w:val="24"/>
                <w:szCs w:val="24"/>
                <w:highlight w:val="none"/>
              </w:rPr>
            </w:pPr>
            <w:r>
              <w:rPr>
                <w:rFonts w:hint="eastAsia" w:ascii="宋体" w:hAnsi="宋体" w:cs="宋体"/>
                <w:spacing w:val="-1"/>
                <w:sz w:val="24"/>
                <w:szCs w:val="24"/>
                <w:highlight w:val="none"/>
              </w:rPr>
              <w:t xml:space="preserve">总报价（30）分</w:t>
            </w:r>
            <w:r/>
          </w:p>
        </w:tc>
        <w:tc>
          <w:tcPr>
            <w:tcMar>
              <w:left w:w="108" w:type="dxa"/>
              <w:right w:w="108" w:type="dxa"/>
            </w:tcMar>
            <w:tcW w:w="6095" w:type="dxa"/>
            <w:vAlign w:val="center"/>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t xml:space="preserve">1、评标总价是指通过“投标文件初审”的投标人的经商务性评审（修正、小微企业扣除等）后的总价。</w:t>
            </w:r>
            <w:r/>
          </w:p>
          <w:p>
            <w:pPr>
              <w:rPr>
                <w:rFonts w:hint="eastAsia" w:ascii="宋体" w:hAnsi="宋体" w:cs="宋体"/>
                <w:color w:val="auto"/>
                <w:sz w:val="24"/>
                <w:szCs w:val="24"/>
              </w:rPr>
            </w:pPr>
            <w:r>
              <w:rPr>
                <w:rFonts w:hint="eastAsia" w:ascii="宋体" w:hAnsi="宋体" w:cs="宋体"/>
                <w:color w:val="auto"/>
                <w:sz w:val="24"/>
                <w:szCs w:val="24"/>
              </w:rPr>
              <w:t xml:space="preserve">2、评标基准价=评标总价中的最低总价。</w:t>
            </w:r>
            <w:r/>
          </w:p>
          <w:p>
            <w:pPr>
              <w:rPr>
                <w:rFonts w:hint="eastAsia" w:ascii="宋体" w:hAnsi="宋体" w:cs="宋体"/>
                <w:sz w:val="24"/>
                <w:szCs w:val="24"/>
              </w:rPr>
            </w:pPr>
            <w:r>
              <w:rPr>
                <w:rFonts w:hint="eastAsia" w:ascii="宋体" w:hAnsi="宋体" w:cs="宋体"/>
                <w:color w:val="auto"/>
                <w:sz w:val="24"/>
                <w:szCs w:val="24"/>
              </w:rPr>
              <w:t xml:space="preserve">3、当投标人的评标总价等于评标基准价的得30分，其他投标人的价格分按照下列公式计算：评标总价得分=（评标基准价/评标总价）×30分（计算结果保留2位小数，第三位四舍五入）。</w:t>
            </w:r>
            <w:r/>
          </w:p>
        </w:tc>
      </w:tr>
      <w:tr>
        <w:trPr>
          <w:trHeight w:val="2690"/>
        </w:trPr>
        <w:tc>
          <w:tcPr>
            <w:tcMar>
              <w:left w:w="108" w:type="dxa"/>
              <w:right w:w="108" w:type="dxa"/>
            </w:tcMar>
            <w:tcW w:w="1499" w:type="dxa"/>
            <w:vAlign w:val="center"/>
            <w:textDirection w:val="lrTb"/>
            <w:noWrap w:val="false"/>
          </w:tcPr>
          <w:p>
            <w:pPr>
              <w:spacing w:before="120" w:after="120"/>
              <w:tabs>
                <w:tab w:val="left" w:pos="267" w:leader="none"/>
              </w:tabs>
              <w:rPr>
                <w:rFonts w:hint="eastAsia" w:ascii="宋体" w:hAnsi="宋体" w:cs="宋体"/>
                <w:color w:val="auto"/>
                <w:sz w:val="24"/>
                <w:szCs w:val="24"/>
                <w:highlight w:val="none"/>
              </w:rPr>
            </w:pPr>
            <w:r>
              <w:rPr>
                <w:rFonts w:hint="eastAsia" w:ascii="宋体" w:hAnsi="宋体" w:cs="宋体"/>
                <w:color w:val="auto"/>
                <w:spacing w:val="-2"/>
                <w:sz w:val="24"/>
                <w:szCs w:val="24"/>
                <w:highlight w:val="none"/>
              </w:rPr>
              <w:t xml:space="preserve">技</w:t>
            </w:r>
            <w:r>
              <w:rPr>
                <w:rFonts w:hint="eastAsia" w:ascii="宋体" w:hAnsi="宋体" w:cs="宋体"/>
                <w:color w:val="auto"/>
                <w:spacing w:val="-1"/>
                <w:sz w:val="24"/>
                <w:szCs w:val="24"/>
                <w:highlight w:val="none"/>
              </w:rPr>
              <w:t xml:space="preserve">术/商务响</w:t>
            </w:r>
            <w:r>
              <w:rPr>
                <w:rFonts w:hint="eastAsia" w:ascii="宋体" w:hAnsi="宋体" w:cs="宋体"/>
                <w:color w:val="auto"/>
                <w:spacing w:val="-2"/>
                <w:sz w:val="24"/>
                <w:szCs w:val="24"/>
                <w:highlight w:val="none"/>
              </w:rPr>
              <w:t xml:space="preserve">应评</w:t>
            </w:r>
            <w:r>
              <w:rPr>
                <w:rFonts w:hint="eastAsia" w:ascii="宋体" w:hAnsi="宋体" w:cs="宋体"/>
                <w:color w:val="auto"/>
                <w:spacing w:val="-1"/>
                <w:sz w:val="24"/>
                <w:szCs w:val="24"/>
                <w:highlight w:val="none"/>
              </w:rPr>
              <w:t xml:space="preserve">审</w:t>
            </w:r>
            <w:r>
              <w:rPr>
                <w:rFonts w:hint="eastAsia" w:ascii="宋体" w:hAnsi="宋体" w:cs="宋体"/>
                <w:color w:val="auto"/>
                <w:spacing w:val="17"/>
                <w:sz w:val="24"/>
                <w:szCs w:val="24"/>
                <w:highlight w:val="none"/>
              </w:rPr>
              <w:t xml:space="preserve">（4</w:t>
            </w:r>
            <w:r>
              <w:rPr>
                <w:rFonts w:hint="eastAsia" w:ascii="宋体" w:hAnsi="宋体" w:cs="宋体"/>
                <w:color w:val="auto"/>
                <w:spacing w:val="17"/>
                <w:sz w:val="24"/>
                <w:szCs w:val="24"/>
                <w:highlight w:val="none"/>
                <w:lang w:val="en-US" w:eastAsia="zh-CN"/>
              </w:rPr>
              <w:t xml:space="preserve">8</w:t>
            </w:r>
            <w:r>
              <w:rPr>
                <w:rFonts w:hint="eastAsia" w:ascii="宋体" w:hAnsi="宋体" w:cs="宋体"/>
                <w:color w:val="auto"/>
                <w:spacing w:val="17"/>
                <w:sz w:val="24"/>
                <w:szCs w:val="24"/>
                <w:highlight w:val="none"/>
              </w:rPr>
              <w:t xml:space="preserve">）</w:t>
            </w:r>
            <w:r>
              <w:rPr>
                <w:rFonts w:hint="eastAsia" w:ascii="宋体" w:hAnsi="宋体" w:cs="宋体"/>
                <w:color w:val="auto"/>
                <w:spacing w:val="16"/>
                <w:sz w:val="24"/>
                <w:szCs w:val="24"/>
                <w:highlight w:val="none"/>
              </w:rPr>
              <w:t xml:space="preserve">分</w:t>
            </w:r>
            <w:r/>
          </w:p>
        </w:tc>
        <w:tc>
          <w:tcPr>
            <w:tcMar>
              <w:left w:w="108" w:type="dxa"/>
              <w:right w:w="108" w:type="dxa"/>
            </w:tcMar>
            <w:tcW w:w="1581" w:type="dxa"/>
            <w:vAlign w:val="center"/>
            <w:textDirection w:val="lrTb"/>
            <w:noWrap w:val="false"/>
          </w:tcPr>
          <w:p>
            <w:pPr>
              <w:spacing w:before="120" w:after="120"/>
              <w:rPr>
                <w:rFonts w:hint="eastAsia" w:ascii="宋体" w:hAnsi="宋体" w:cs="宋体"/>
                <w:color w:val="auto"/>
                <w:sz w:val="24"/>
                <w:szCs w:val="24"/>
                <w:highlight w:val="none"/>
              </w:rPr>
            </w:pPr>
            <w:r>
              <w:rPr>
                <w:rFonts w:hint="eastAsia" w:ascii="宋体" w:hAnsi="宋体" w:cs="宋体"/>
                <w:color w:val="auto"/>
                <w:spacing w:val="-1"/>
                <w:sz w:val="24"/>
                <w:szCs w:val="24"/>
                <w:highlight w:val="none"/>
              </w:rPr>
              <w:t xml:space="preserve">产品技术响应</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tc>
        <w:tc>
          <w:tcPr>
            <w:tcMar>
              <w:left w:w="108" w:type="dxa"/>
              <w:right w:w="108" w:type="dxa"/>
            </w:tcMar>
            <w:tcW w:w="6095" w:type="dxa"/>
            <w:vAlign w:val="center"/>
            <w:textDirection w:val="lrTb"/>
            <w:noWrap w:val="false"/>
          </w:tcPr>
          <w:p>
            <w:pPr>
              <w:pStyle w:val="1071"/>
              <w:ind w:firstLine="0"/>
              <w:rPr>
                <w:rFonts w:hint="eastAsia" w:hAnsi="宋体" w:cs="宋体"/>
                <w:color w:val="auto"/>
                <w:spacing w:val="-3"/>
                <w:sz w:val="24"/>
                <w:szCs w:val="24"/>
              </w:rPr>
            </w:pPr>
            <w:r>
              <w:rPr>
                <w:rFonts w:hint="eastAsia" w:hAnsi="宋体" w:cs="宋体"/>
                <w:color w:val="auto"/>
                <w:spacing w:val="-3"/>
                <w:sz w:val="24"/>
                <w:szCs w:val="24"/>
              </w:rPr>
              <w:t xml:space="preserve">根据投标人提供的投标文件，对招标文件所要求的技术参数、性能的响应和满足程度进行评分，</w:t>
            </w:r>
            <w:r>
              <w:rPr>
                <w:rFonts w:hint="eastAsia" w:hAnsi="宋体" w:cs="宋体"/>
                <w:color w:val="auto"/>
                <w:spacing w:val="-3"/>
                <w:sz w:val="24"/>
                <w:szCs w:val="24"/>
                <w:highlight w:val="none"/>
              </w:rPr>
              <w:t xml:space="preserve">完全满足招标文件硬件参数要求的得4</w:t>
            </w:r>
            <w:r>
              <w:rPr>
                <w:rFonts w:hint="eastAsia" w:hAnsi="宋体" w:cs="宋体"/>
                <w:color w:val="auto"/>
                <w:spacing w:val="-3"/>
                <w:sz w:val="24"/>
                <w:szCs w:val="24"/>
                <w:highlight w:val="none"/>
                <w:lang w:val="en-US" w:eastAsia="zh-CN"/>
              </w:rPr>
              <w:t xml:space="preserve">8</w:t>
            </w:r>
            <w:r>
              <w:rPr>
                <w:rFonts w:hint="eastAsia" w:hAnsi="宋体" w:cs="宋体"/>
                <w:color w:val="auto"/>
                <w:spacing w:val="-3"/>
                <w:sz w:val="24"/>
                <w:szCs w:val="24"/>
                <w:highlight w:val="none"/>
              </w:rPr>
              <w:t xml:space="preserve">分，</w:t>
            </w:r>
            <w:r>
              <w:rPr>
                <w:rFonts w:hint="eastAsia" w:hAnsi="宋体" w:cs="宋体"/>
                <w:color w:val="auto"/>
                <w:spacing w:val="-3"/>
                <w:sz w:val="24"/>
                <w:szCs w:val="24"/>
              </w:rPr>
              <w:t xml:space="preserve">加</w:t>
            </w:r>
            <w:r>
              <w:rPr>
                <w:rFonts w:ascii="Segoe UI Symbol" w:hAnsi="Segoe UI Symbol" w:cs="Segoe UI Symbol"/>
                <w:color w:val="auto"/>
                <w:szCs w:val="21"/>
              </w:rPr>
              <w:t xml:space="preserve">★</w:t>
            </w:r>
            <w:r>
              <w:rPr>
                <w:rFonts w:hint="eastAsia" w:hAnsi="宋体" w:cs="宋体"/>
                <w:color w:val="auto"/>
                <w:spacing w:val="-3"/>
                <w:sz w:val="24"/>
                <w:szCs w:val="24"/>
              </w:rPr>
              <w:t xml:space="preserve">项有一项负偏离的扣2分，其余项有一项负偏离的扣1分，扣完为止。</w:t>
            </w:r>
            <w:r/>
          </w:p>
          <w:p>
            <w:pPr>
              <w:pStyle w:val="1071"/>
              <w:ind w:firstLine="0"/>
              <w:rPr>
                <w:rFonts w:hint="eastAsia" w:hAnsi="宋体" w:cs="宋体"/>
                <w:color w:val="auto"/>
                <w:sz w:val="24"/>
                <w:szCs w:val="24"/>
              </w:rPr>
            </w:pPr>
            <w:r>
              <w:rPr>
                <w:rFonts w:hint="eastAsia" w:hAnsi="宋体" w:cs="宋体"/>
                <w:b/>
                <w:bCs/>
                <w:color w:val="auto"/>
                <w:spacing w:val="-3"/>
                <w:sz w:val="24"/>
                <w:szCs w:val="24"/>
              </w:rPr>
              <w:t xml:space="preserve">注：参数的正负偏离以提供以下材料为准：1、技术参数响应及偏离表（格式附后）；2、技术参数中要求投标时提供的证明材料，未按要求提供相关证明材料视为负偏离。</w:t>
            </w:r>
            <w:r/>
          </w:p>
        </w:tc>
      </w:tr>
      <w:tr>
        <w:trPr>
          <w:trHeight w:val="3690"/>
        </w:trPr>
        <w:tc>
          <w:tcPr>
            <w:tcMar>
              <w:left w:w="108" w:type="dxa"/>
              <w:right w:w="108" w:type="dxa"/>
            </w:tcMar>
            <w:tcW w:w="1499" w:type="dxa"/>
            <w:vAlign w:val="center"/>
            <w:textDirection w:val="lrTb"/>
            <w:noWrap w:val="false"/>
          </w:tcPr>
          <w:p>
            <w:pPr>
              <w:jc w:val="left"/>
              <w:rPr>
                <w:rFonts w:hint="eastAsia" w:ascii="宋体" w:hAnsi="宋体" w:cs="宋体"/>
                <w:spacing w:val="-1"/>
                <w:sz w:val="24"/>
                <w:szCs w:val="24"/>
              </w:rPr>
            </w:pPr>
            <w:r>
              <w:rPr>
                <w:rFonts w:hint="eastAsia" w:ascii="宋体" w:hAnsi="宋体" w:cs="宋体"/>
                <w:spacing w:val="-1"/>
                <w:sz w:val="24"/>
                <w:szCs w:val="24"/>
              </w:rPr>
              <w:t xml:space="preserve">投标人实力</w:t>
            </w:r>
            <w:r>
              <w:rPr>
                <w:rFonts w:hint="eastAsia" w:ascii="宋体" w:hAnsi="宋体" w:cs="宋体"/>
                <w:spacing w:val="17"/>
                <w:sz w:val="24"/>
                <w:szCs w:val="24"/>
              </w:rPr>
              <w:t xml:space="preserve">（5）</w:t>
            </w:r>
            <w:r>
              <w:rPr>
                <w:rFonts w:hint="eastAsia" w:ascii="宋体" w:hAnsi="宋体" w:cs="宋体"/>
                <w:spacing w:val="16"/>
                <w:sz w:val="24"/>
                <w:szCs w:val="24"/>
              </w:rPr>
              <w:t xml:space="preserve">分</w:t>
            </w:r>
            <w:r/>
          </w:p>
        </w:tc>
        <w:tc>
          <w:tcPr>
            <w:shd w:val="clear" w:color="auto" w:fill="auto"/>
            <w:tcMar>
              <w:left w:w="108" w:type="dxa"/>
              <w:right w:w="108" w:type="dxa"/>
            </w:tcMar>
            <w:tcW w:w="1581" w:type="dxa"/>
            <w:vAlign w:val="center"/>
            <w:textDirection w:val="lrTb"/>
            <w:noWrap w:val="false"/>
          </w:tcPr>
          <w:p>
            <w:pPr>
              <w:rPr>
                <w:rFonts w:hint="eastAsia" w:ascii="宋体" w:hAnsi="宋体" w:cs="宋体"/>
                <w:spacing w:val="-1"/>
                <w:sz w:val="24"/>
                <w:szCs w:val="24"/>
              </w:rPr>
            </w:pPr>
            <w:r>
              <w:rPr>
                <w:rFonts w:hint="eastAsia" w:ascii="宋体" w:hAnsi="宋体" w:cs="宋体"/>
                <w:spacing w:val="-1"/>
                <w:sz w:val="24"/>
                <w:szCs w:val="24"/>
              </w:rPr>
              <w:t xml:space="preserve">技术服务能力（5）分</w:t>
            </w:r>
            <w:r/>
          </w:p>
        </w:tc>
        <w:tc>
          <w:tcPr>
            <w:shd w:val="clear" w:color="auto" w:fill="auto"/>
            <w:tcMar>
              <w:left w:w="108" w:type="dxa"/>
              <w:right w:w="108" w:type="dxa"/>
            </w:tcMar>
            <w:tcW w:w="6095" w:type="dxa"/>
            <w:vAlign w:val="center"/>
            <w:textDirection w:val="lrTb"/>
            <w:noWrap w:val="false"/>
          </w:tcPr>
          <w:p>
            <w:pPr>
              <w:pStyle w:val="1071"/>
              <w:numPr>
                <w:ilvl w:val="0"/>
                <w:numId w:val="37"/>
              </w:numPr>
              <w:ind w:firstLine="0"/>
              <w:rPr>
                <w:rFonts w:hint="eastAsia" w:hAnsi="宋体" w:cs="宋体"/>
                <w:spacing w:val="-3"/>
                <w:sz w:val="24"/>
                <w:szCs w:val="24"/>
              </w:rPr>
            </w:pPr>
            <w:r>
              <w:rPr>
                <w:rFonts w:hint="eastAsia" w:hAnsi="宋体" w:cs="宋体"/>
                <w:spacing w:val="-3"/>
                <w:sz w:val="24"/>
                <w:szCs w:val="24"/>
              </w:rPr>
              <w:t xml:space="preserve">投标人具有信息系统服务交付能力证书，达到一级及以上的得2分，二级得1分，三级得0.5分，未提供不得</w:t>
            </w:r>
            <w:r/>
          </w:p>
          <w:p>
            <w:pPr>
              <w:pStyle w:val="1071"/>
              <w:numPr>
                <w:ilvl w:val="0"/>
                <w:numId w:val="0"/>
              </w:numPr>
              <w:rPr>
                <w:rFonts w:hint="eastAsia" w:hAnsi="宋体" w:cs="宋体"/>
                <w:spacing w:val="-3"/>
                <w:sz w:val="24"/>
                <w:szCs w:val="24"/>
              </w:rPr>
            </w:pPr>
            <w:r>
              <w:rPr>
                <w:rFonts w:hint="eastAsia" w:hAnsi="宋体" w:cs="宋体"/>
                <w:spacing w:val="-3"/>
                <w:sz w:val="24"/>
                <w:szCs w:val="24"/>
              </w:rPr>
              <w:t xml:space="preserve">分。</w:t>
            </w:r>
            <w:r>
              <w:rPr>
                <w:rFonts w:hint="eastAsia" w:hAnsi="宋体" w:cs="宋体"/>
                <w:b/>
                <w:bCs/>
                <w:spacing w:val="-3"/>
                <w:sz w:val="24"/>
                <w:szCs w:val="24"/>
              </w:rPr>
              <w:t xml:space="preserve">（投标时须提供证书扫描件，未提供不得分。）</w:t>
            </w:r>
            <w:r/>
          </w:p>
          <w:p>
            <w:pPr>
              <w:pStyle w:val="1071"/>
              <w:ind w:firstLine="0"/>
              <w:rPr>
                <w:rFonts w:hint="eastAsia" w:hAnsi="宋体" w:cs="宋体"/>
                <w:b/>
                <w:bCs/>
                <w:color w:val="ff0000"/>
                <w:spacing w:val="-3"/>
                <w:sz w:val="28"/>
                <w:szCs w:val="28"/>
                <w:highlight w:val="none"/>
              </w:rPr>
            </w:pPr>
            <w:r>
              <w:rPr>
                <w:rFonts w:hint="eastAsia" w:hAnsi="宋体" w:cs="宋体"/>
                <w:spacing w:val="-3"/>
                <w:sz w:val="24"/>
                <w:szCs w:val="24"/>
                <w:highlight w:val="none"/>
              </w:rPr>
              <w:t xml:space="preserve">2.投标人具有售后服务完善度认证证书（十二星级或十二星级卓绝）得1.5分，具有售后服务完善度认证证书（十星）得1分，具有售后服务完善度认证证书（七星）得0.5分，未提供不得分。</w:t>
            </w:r>
            <w:r>
              <w:rPr>
                <w:rFonts w:hint="eastAsia" w:hAnsi="宋体" w:cs="宋体"/>
                <w:b/>
                <w:bCs/>
                <w:spacing w:val="-3"/>
                <w:sz w:val="24"/>
                <w:szCs w:val="24"/>
                <w:highlight w:val="none"/>
              </w:rPr>
              <w:t xml:space="preserve">（投标时须提供证书扫描件，未提供不得分。）</w:t>
            </w:r>
            <w:r/>
          </w:p>
          <w:p>
            <w:pPr>
              <w:pStyle w:val="1071"/>
              <w:ind w:firstLine="0"/>
              <w:rPr>
                <w:rFonts w:hint="eastAsia" w:hAnsi="宋体" w:cs="宋体"/>
                <w:sz w:val="24"/>
                <w:szCs w:val="24"/>
              </w:rPr>
            </w:pPr>
            <w:r>
              <w:rPr>
                <w:rFonts w:hint="eastAsia" w:hAnsi="宋体" w:cs="宋体"/>
                <w:spacing w:val="-3"/>
                <w:sz w:val="24"/>
                <w:szCs w:val="24"/>
              </w:rPr>
              <w:t xml:space="preserve">3.投标人具有数据安全能力成熟度等级证书，达到三级及以上的得1.5分，二级得1分，一级得0.5分，未提供不得分。</w:t>
            </w:r>
            <w:r>
              <w:rPr>
                <w:rFonts w:hint="eastAsia" w:hAnsi="宋体" w:cs="宋体"/>
                <w:b/>
                <w:bCs/>
                <w:spacing w:val="-3"/>
                <w:sz w:val="24"/>
                <w:szCs w:val="24"/>
              </w:rPr>
              <w:t xml:space="preserve">（投标时须提供证书扫描件，未提供不得分。）</w:t>
            </w:r>
            <w:r/>
          </w:p>
        </w:tc>
      </w:tr>
      <w:tr>
        <w:trPr>
          <w:trHeight w:val="4336"/>
        </w:trPr>
        <w:tc>
          <w:tcPr>
            <w:tcMar>
              <w:left w:w="108" w:type="dxa"/>
              <w:right w:w="108" w:type="dxa"/>
            </w:tcMar>
            <w:tcW w:w="1499" w:type="dxa"/>
            <w:vAlign w:val="center"/>
            <w:textDirection w:val="lrTb"/>
            <w:noWrap w:val="false"/>
          </w:tcPr>
          <w:p>
            <w:pPr>
              <w:jc w:val="left"/>
              <w:spacing w:before="120" w:after="120"/>
              <w:rPr>
                <w:rFonts w:hint="eastAsia" w:ascii="宋体" w:hAnsi="宋体" w:cs="宋体"/>
                <w:sz w:val="24"/>
                <w:szCs w:val="24"/>
              </w:rPr>
            </w:pPr>
            <w:r>
              <w:rPr>
                <w:rFonts w:hint="eastAsia" w:ascii="宋体" w:hAnsi="宋体" w:cs="宋体"/>
                <w:spacing w:val="-1"/>
                <w:sz w:val="24"/>
                <w:szCs w:val="24"/>
              </w:rPr>
              <w:t xml:space="preserve">售后服务评</w:t>
            </w:r>
            <w:r>
              <w:rPr>
                <w:rFonts w:hint="eastAsia" w:ascii="宋体" w:hAnsi="宋体" w:cs="宋体"/>
                <w:sz w:val="24"/>
                <w:szCs w:val="24"/>
              </w:rPr>
              <w:t xml:space="preserve">审</w:t>
            </w:r>
            <w:r>
              <w:rPr>
                <w:rFonts w:hint="eastAsia" w:ascii="宋体" w:hAnsi="宋体" w:cs="宋体"/>
                <w:spacing w:val="48"/>
                <w:sz w:val="24"/>
                <w:szCs w:val="24"/>
              </w:rPr>
              <w:t xml:space="preserve">（</w:t>
            </w:r>
            <w:r>
              <w:rPr>
                <w:rFonts w:hint="eastAsia" w:ascii="宋体" w:hAnsi="宋体" w:cs="宋体"/>
                <w:spacing w:val="47"/>
                <w:sz w:val="24"/>
                <w:szCs w:val="24"/>
              </w:rPr>
              <w:t xml:space="preserve">5）分</w:t>
            </w:r>
            <w:r/>
          </w:p>
        </w:tc>
        <w:tc>
          <w:tcPr>
            <w:tcMar>
              <w:left w:w="108" w:type="dxa"/>
              <w:right w:w="108" w:type="dxa"/>
            </w:tcMar>
            <w:tcW w:w="1581" w:type="dxa"/>
            <w:vAlign w:val="center"/>
            <w:textDirection w:val="lrTb"/>
            <w:noWrap w:val="false"/>
          </w:tcPr>
          <w:p>
            <w:pPr>
              <w:spacing w:before="120" w:after="120"/>
              <w:rPr>
                <w:rFonts w:hint="eastAsia" w:ascii="宋体" w:hAnsi="宋体" w:cs="宋体"/>
                <w:sz w:val="24"/>
                <w:szCs w:val="24"/>
              </w:rPr>
            </w:pPr>
            <w:r>
              <w:rPr>
                <w:rFonts w:hint="eastAsia" w:ascii="宋体" w:hAnsi="宋体" w:cs="宋体"/>
                <w:spacing w:val="-1"/>
                <w:sz w:val="24"/>
                <w:szCs w:val="24"/>
              </w:rPr>
              <w:t xml:space="preserve">售后服务总</w:t>
            </w:r>
            <w:r>
              <w:rPr>
                <w:rFonts w:hint="eastAsia" w:ascii="宋体" w:hAnsi="宋体" w:cs="宋体"/>
                <w:sz w:val="24"/>
                <w:szCs w:val="24"/>
              </w:rPr>
              <w:t xml:space="preserve">体方案（5）分</w:t>
            </w:r>
            <w:r/>
          </w:p>
        </w:tc>
        <w:tc>
          <w:tcPr>
            <w:tcMar>
              <w:left w:w="108" w:type="dxa"/>
              <w:right w:w="108" w:type="dxa"/>
            </w:tcMar>
            <w:tcW w:w="6095" w:type="dxa"/>
            <w:vAlign w:val="center"/>
            <w:textDirection w:val="lrTb"/>
            <w:noWrap w:val="false"/>
          </w:tcPr>
          <w:p>
            <w:pPr>
              <w:pStyle w:val="1071"/>
              <w:ind w:firstLine="0"/>
              <w:rPr>
                <w:rFonts w:hint="eastAsia" w:hAnsi="宋体" w:cs="宋体"/>
                <w:spacing w:val="-3"/>
                <w:sz w:val="24"/>
                <w:szCs w:val="24"/>
              </w:rPr>
            </w:pPr>
            <w:r>
              <w:rPr>
                <w:rFonts w:hint="eastAsia" w:hAnsi="宋体" w:cs="宋体"/>
                <w:spacing w:val="-6"/>
                <w:sz w:val="24"/>
                <w:szCs w:val="24"/>
              </w:rPr>
              <w:t xml:space="preserve">投标人具有</w:t>
            </w:r>
            <w:r>
              <w:rPr>
                <w:rFonts w:hint="eastAsia" w:hAnsi="宋体" w:cs="宋体"/>
                <w:spacing w:val="-4"/>
                <w:sz w:val="24"/>
                <w:szCs w:val="24"/>
              </w:rPr>
              <w:t xml:space="preserve">完</w:t>
            </w:r>
            <w:r>
              <w:rPr>
                <w:rFonts w:hint="eastAsia" w:hAnsi="宋体" w:cs="宋体"/>
                <w:spacing w:val="-3"/>
                <w:sz w:val="24"/>
                <w:szCs w:val="24"/>
              </w:rPr>
              <w:t xml:space="preserve">善的售后服务体系，针对本项目提供本地化</w:t>
            </w:r>
            <w:r>
              <w:rPr>
                <w:rFonts w:hint="eastAsia" w:hAnsi="宋体" w:cs="宋体"/>
                <w:spacing w:val="-1"/>
                <w:sz w:val="24"/>
                <w:szCs w:val="24"/>
              </w:rPr>
              <w:t xml:space="preserve">的切实可行的售</w:t>
            </w:r>
            <w:r>
              <w:rPr>
                <w:rFonts w:hint="eastAsia" w:hAnsi="宋体" w:cs="宋体"/>
                <w:sz w:val="24"/>
                <w:szCs w:val="24"/>
              </w:rPr>
              <w:t xml:space="preserve">后服务方案。根据投标文件中的服务方</w:t>
            </w:r>
            <w:r>
              <w:rPr>
                <w:rFonts w:hint="eastAsia" w:hAnsi="宋体" w:cs="宋体"/>
                <w:spacing w:val="-6"/>
                <w:sz w:val="24"/>
                <w:szCs w:val="24"/>
              </w:rPr>
              <w:t xml:space="preserve">式、服务人</w:t>
            </w:r>
            <w:r>
              <w:rPr>
                <w:rFonts w:hint="eastAsia" w:hAnsi="宋体" w:cs="宋体"/>
                <w:spacing w:val="-4"/>
                <w:sz w:val="24"/>
                <w:szCs w:val="24"/>
              </w:rPr>
              <w:t xml:space="preserve">员</w:t>
            </w:r>
            <w:r>
              <w:rPr>
                <w:rFonts w:hint="eastAsia" w:hAnsi="宋体" w:cs="宋体"/>
                <w:spacing w:val="-3"/>
                <w:sz w:val="24"/>
                <w:szCs w:val="24"/>
              </w:rPr>
              <w:t xml:space="preserve">配备、响应时间、故障处理、应急方案、系</w:t>
            </w:r>
            <w:r>
              <w:rPr>
                <w:rFonts w:hint="eastAsia" w:hAnsi="宋体" w:cs="宋体"/>
                <w:spacing w:val="-6"/>
                <w:sz w:val="24"/>
                <w:szCs w:val="24"/>
              </w:rPr>
              <w:t xml:space="preserve">统免费维护</w:t>
            </w:r>
            <w:r>
              <w:rPr>
                <w:rFonts w:hint="eastAsia" w:hAnsi="宋体" w:cs="宋体"/>
                <w:spacing w:val="-5"/>
                <w:sz w:val="24"/>
                <w:szCs w:val="24"/>
              </w:rPr>
              <w:t xml:space="preserve">时</w:t>
            </w:r>
            <w:r>
              <w:rPr>
                <w:rFonts w:hint="eastAsia" w:hAnsi="宋体" w:cs="宋体"/>
                <w:spacing w:val="-3"/>
                <w:sz w:val="24"/>
                <w:szCs w:val="24"/>
              </w:rPr>
              <w:t xml:space="preserve">间、系统维护频率、系统免费升级时间、培训方案以及是否本地化服务的要求，评委按照以下标准进行打分，未提供不得分：</w:t>
            </w:r>
            <w:r/>
          </w:p>
          <w:p>
            <w:pPr>
              <w:pStyle w:val="1071"/>
              <w:ind w:firstLine="0"/>
              <w:rPr>
                <w:rFonts w:hint="eastAsia" w:hAnsi="宋体" w:cs="宋体"/>
                <w:spacing w:val="-3"/>
                <w:sz w:val="24"/>
                <w:szCs w:val="24"/>
              </w:rPr>
            </w:pPr>
            <w:r>
              <w:rPr>
                <w:rFonts w:hint="eastAsia" w:hAnsi="宋体" w:cs="宋体"/>
                <w:spacing w:val="-3"/>
                <w:sz w:val="24"/>
                <w:szCs w:val="24"/>
              </w:rPr>
              <w:t xml:space="preserve">1.售后服务内容（包括定期巡检以及技术支持、软件升级等承诺）（0.7-1分）；</w:t>
            </w:r>
            <w:r/>
          </w:p>
          <w:p>
            <w:pPr>
              <w:pStyle w:val="1071"/>
              <w:ind w:firstLine="0"/>
              <w:rPr>
                <w:rFonts w:hint="eastAsia" w:hAnsi="宋体" w:cs="宋体"/>
                <w:spacing w:val="-3"/>
                <w:sz w:val="24"/>
                <w:szCs w:val="24"/>
              </w:rPr>
            </w:pPr>
            <w:r>
              <w:rPr>
                <w:rFonts w:hint="eastAsia" w:hAnsi="宋体" w:cs="宋体"/>
                <w:spacing w:val="-3"/>
                <w:sz w:val="24"/>
                <w:szCs w:val="24"/>
              </w:rPr>
              <w:t xml:space="preserve">2.售后服务故障响应时间、故障恢复时间、服务方式、服务期限等（0.7-1分）；</w:t>
            </w:r>
            <w:r/>
          </w:p>
          <w:p>
            <w:pPr>
              <w:pStyle w:val="1071"/>
              <w:ind w:firstLine="0"/>
              <w:rPr>
                <w:rFonts w:hint="eastAsia" w:hAnsi="宋体" w:cs="宋体"/>
                <w:spacing w:val="-3"/>
                <w:sz w:val="24"/>
                <w:szCs w:val="24"/>
              </w:rPr>
            </w:pPr>
            <w:r>
              <w:rPr>
                <w:rFonts w:hint="eastAsia" w:hAnsi="宋体" w:cs="宋体"/>
                <w:spacing w:val="-3"/>
                <w:sz w:val="24"/>
                <w:szCs w:val="24"/>
              </w:rPr>
              <w:t xml:space="preserve">3.售后服务人员配备方案（0.7-1分）；</w:t>
            </w:r>
            <w:r/>
          </w:p>
          <w:p>
            <w:pPr>
              <w:pStyle w:val="1071"/>
              <w:ind w:firstLine="0"/>
              <w:rPr>
                <w:rFonts w:hint="eastAsia" w:hAnsi="宋体" w:cs="宋体"/>
                <w:spacing w:val="-3"/>
                <w:sz w:val="24"/>
                <w:szCs w:val="24"/>
              </w:rPr>
            </w:pPr>
            <w:r>
              <w:rPr>
                <w:rFonts w:hint="eastAsia" w:hAnsi="宋体" w:cs="宋体"/>
                <w:spacing w:val="-3"/>
                <w:sz w:val="24"/>
                <w:szCs w:val="24"/>
              </w:rPr>
              <w:t xml:space="preserve">4.售后应急方案（0.7-1分）；</w:t>
            </w:r>
            <w:r/>
          </w:p>
          <w:p>
            <w:pPr>
              <w:pStyle w:val="1071"/>
              <w:ind w:firstLine="0"/>
            </w:pPr>
            <w:r>
              <w:rPr>
                <w:rFonts w:hint="eastAsia" w:hAnsi="宋体" w:cs="宋体"/>
                <w:spacing w:val="-3"/>
                <w:sz w:val="24"/>
                <w:szCs w:val="24"/>
              </w:rPr>
              <w:t xml:space="preserve">5.对使用单位的技术培训方案（0.7-1分）。</w:t>
            </w:r>
            <w:r/>
          </w:p>
        </w:tc>
      </w:tr>
      <w:tr>
        <w:trPr>
          <w:trHeight w:val="452"/>
        </w:trPr>
        <w:tc>
          <w:tcPr>
            <w:tcMar>
              <w:left w:w="108" w:type="dxa"/>
              <w:right w:w="108" w:type="dxa"/>
            </w:tcMar>
            <w:tcW w:w="1499" w:type="dxa"/>
            <w:vAlign w:val="center"/>
            <w:vMerge w:val="restart"/>
            <w:textDirection w:val="lrTb"/>
            <w:noWrap w:val="false"/>
          </w:tcPr>
          <w:p>
            <w:pPr>
              <w:rPr>
                <w:rFonts w:hint="eastAsia" w:ascii="宋体" w:hAnsi="宋体" w:cs="宋体"/>
                <w:spacing w:val="-1"/>
                <w:sz w:val="24"/>
                <w:szCs w:val="24"/>
              </w:rPr>
            </w:pPr>
            <w:r>
              <w:rPr>
                <w:rFonts w:hint="eastAsia" w:ascii="宋体" w:hAnsi="宋体" w:cs="宋体"/>
                <w:spacing w:val="-1"/>
                <w:sz w:val="24"/>
                <w:szCs w:val="24"/>
              </w:rPr>
              <w:t xml:space="preserve">采购及安装</w:t>
            </w:r>
            <w:r>
              <w:rPr>
                <w:rFonts w:hint="eastAsia" w:ascii="宋体" w:hAnsi="宋体" w:cs="宋体"/>
                <w:sz w:val="24"/>
                <w:szCs w:val="24"/>
              </w:rPr>
              <w:t xml:space="preserve">方案</w:t>
            </w:r>
            <w:r>
              <w:rPr>
                <w:rFonts w:hint="eastAsia" w:ascii="宋体" w:hAnsi="宋体" w:cs="宋体"/>
                <w:spacing w:val="-1"/>
                <w:sz w:val="24"/>
                <w:szCs w:val="24"/>
              </w:rPr>
              <w:t xml:space="preserve">（10）分</w:t>
            </w:r>
            <w:r/>
          </w:p>
        </w:tc>
        <w:tc>
          <w:tcPr>
            <w:tcMar>
              <w:left w:w="108" w:type="dxa"/>
              <w:right w:w="108" w:type="dxa"/>
            </w:tcMar>
            <w:tcW w:w="1581" w:type="dxa"/>
            <w:vAlign w:val="center"/>
            <w:textDirection w:val="lrTb"/>
            <w:noWrap w:val="false"/>
          </w:tcPr>
          <w:p>
            <w:pPr>
              <w:rPr>
                <w:rFonts w:hint="eastAsia" w:ascii="宋体" w:hAnsi="宋体" w:cs="宋体"/>
                <w:spacing w:val="-1"/>
                <w:sz w:val="24"/>
                <w:szCs w:val="24"/>
              </w:rPr>
            </w:pPr>
            <w:r>
              <w:rPr>
                <w:rFonts w:hint="eastAsia" w:ascii="宋体" w:hAnsi="宋体" w:cs="宋体"/>
                <w:spacing w:val="-1"/>
                <w:sz w:val="24"/>
                <w:szCs w:val="24"/>
              </w:rPr>
              <w:t xml:space="preserve">项目人员配备（6分）</w:t>
            </w:r>
            <w:r/>
          </w:p>
        </w:tc>
        <w:tc>
          <w:tcPr>
            <w:tcMar>
              <w:left w:w="108" w:type="dxa"/>
              <w:right w:w="108" w:type="dxa"/>
            </w:tcMar>
            <w:tcW w:w="6095" w:type="dxa"/>
            <w:vAlign w:val="center"/>
            <w:textDirection w:val="lrTb"/>
            <w:noWrap w:val="false"/>
          </w:tcPr>
          <w:p>
            <w:pPr>
              <w:numPr>
                <w:ilvl w:val="255"/>
                <w:numId w:val="0"/>
              </w:numPr>
              <w:tabs>
                <w:tab w:val="left" w:pos="265" w:leader="none"/>
              </w:tabs>
              <w:rPr>
                <w:rFonts w:hint="eastAsia" w:ascii="宋体" w:hAnsi="宋体" w:cs="宋体"/>
                <w:spacing w:val="-1"/>
                <w:sz w:val="24"/>
                <w:szCs w:val="24"/>
                <w:highlight w:val="none"/>
              </w:rPr>
            </w:pPr>
            <w:r>
              <w:rPr>
                <w:rFonts w:hint="eastAsia" w:ascii="宋体" w:hAnsi="宋体" w:cs="宋体"/>
                <w:color w:val="auto"/>
                <w:spacing w:val="-1"/>
                <w:sz w:val="24"/>
                <w:szCs w:val="24"/>
              </w:rPr>
              <w:t xml:space="preserve">1.投标人项目经理具有CISP、信息系统项目管理师、信息系统业务安全服务工程师高级证书、系统规划与管理师、itss信息技术应用创新服务经理证书，每有一项证书得0.5分，最高得2.5分。</w:t>
            </w:r>
            <w:r>
              <w:rPr>
                <w:rFonts w:hint="eastAsia" w:ascii="宋体" w:hAnsi="宋体" w:cs="宋体"/>
                <w:b/>
                <w:bCs/>
                <w:spacing w:val="-1"/>
                <w:sz w:val="24"/>
                <w:szCs w:val="24"/>
              </w:rPr>
              <w:t xml:space="preserve">（项目经理</w:t>
            </w:r>
            <w:r>
              <w:rPr>
                <w:rFonts w:hint="eastAsia" w:ascii="宋体" w:hAnsi="宋体" w:cs="宋体"/>
                <w:b/>
                <w:bCs/>
                <w:spacing w:val="-4"/>
                <w:sz w:val="24"/>
                <w:szCs w:val="24"/>
              </w:rPr>
              <w:t xml:space="preserve">应为投标人正式员工。投标时须</w:t>
            </w:r>
            <w:r>
              <w:rPr>
                <w:rFonts w:hint="eastAsia" w:ascii="宋体" w:hAnsi="宋体" w:cs="宋体"/>
                <w:b/>
                <w:bCs/>
                <w:spacing w:val="2"/>
                <w:sz w:val="24"/>
                <w:szCs w:val="24"/>
              </w:rPr>
              <w:t xml:space="preserve">提供相关证书的扫描件，</w:t>
            </w:r>
            <w:r>
              <w:rPr>
                <w:rFonts w:hint="eastAsia" w:ascii="宋体" w:hAnsi="宋体" w:cs="宋体"/>
                <w:b/>
                <w:bCs/>
                <w:color w:val="auto"/>
                <w:spacing w:val="2"/>
                <w:sz w:val="24"/>
                <w:szCs w:val="24"/>
              </w:rPr>
              <w:t xml:space="preserve">同时</w:t>
            </w:r>
            <w:r>
              <w:rPr>
                <w:rFonts w:hint="eastAsia" w:ascii="宋体" w:hAnsi="宋体" w:cs="宋体"/>
                <w:b/>
                <w:bCs/>
                <w:color w:val="auto"/>
                <w:sz w:val="24"/>
                <w:szCs w:val="24"/>
              </w:rPr>
              <w:t xml:space="preserve">提供</w:t>
            </w:r>
            <w:r>
              <w:rPr>
                <w:rFonts w:hint="eastAsia" w:ascii="宋体" w:hAnsi="宋体" w:cs="宋体"/>
                <w:b/>
                <w:bCs/>
                <w:color w:val="auto"/>
                <w:sz w:val="24"/>
                <w:szCs w:val="24"/>
                <w:highlight w:val="none"/>
              </w:rPr>
              <w:t xml:space="preserve">从</w:t>
            </w:r>
            <w:r>
              <w:rPr>
                <w:rFonts w:hint="eastAsia" w:ascii="宋体" w:hAnsi="宋体" w:cs="宋体"/>
                <w:b/>
                <w:bCs/>
                <w:color w:val="auto"/>
                <w:sz w:val="24"/>
                <w:szCs w:val="24"/>
                <w:highlight w:val="none"/>
                <w:lang w:val="en-US" w:eastAsia="zh-CN"/>
              </w:rPr>
              <w:t xml:space="preserve">2024</w:t>
            </w:r>
            <w:r>
              <w:rPr>
                <w:rFonts w:hint="eastAsia" w:ascii="宋体" w:hAnsi="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月开始至投标截止之日当月至少1</w:t>
            </w:r>
            <w:r>
              <w:rPr>
                <w:rFonts w:hint="eastAsia" w:ascii="宋体" w:hAnsi="宋体" w:cs="宋体"/>
                <w:b/>
                <w:bCs/>
                <w:sz w:val="24"/>
                <w:szCs w:val="24"/>
                <w:highlight w:val="none"/>
              </w:rPr>
              <w:t xml:space="preserve">个月在本单位缴纳养老保险缴费记录证明，证明以养老保险管理部门出具的证明材料为准，或者以社会养老保险管理部门的官方网站查询或验证结果打印件为准。</w:t>
            </w:r>
            <w:r>
              <w:rPr>
                <w:rFonts w:hint="eastAsia" w:ascii="宋体" w:hAnsi="宋体"/>
                <w:b/>
                <w:bCs/>
                <w:sz w:val="24"/>
                <w:szCs w:val="32"/>
                <w:highlight w:val="none"/>
              </w:rPr>
              <w:t xml:space="preserve">未</w:t>
            </w:r>
            <w:r>
              <w:rPr>
                <w:rFonts w:hint="eastAsia" w:ascii="宋体" w:hAnsi="宋体" w:cs="宋体"/>
                <w:b/>
                <w:bCs/>
                <w:sz w:val="24"/>
                <w:szCs w:val="24"/>
                <w:highlight w:val="none"/>
              </w:rPr>
              <w:t xml:space="preserve">提供</w:t>
            </w:r>
            <w:r>
              <w:rPr>
                <w:rFonts w:hint="eastAsia" w:ascii="宋体" w:hAnsi="宋体"/>
                <w:b/>
                <w:bCs/>
                <w:sz w:val="24"/>
                <w:szCs w:val="32"/>
                <w:highlight w:val="none"/>
              </w:rPr>
              <w:t xml:space="preserve">的不得分</w:t>
            </w:r>
            <w:r>
              <w:rPr>
                <w:rFonts w:hint="eastAsia" w:ascii="宋体" w:hAnsi="宋体" w:cs="宋体"/>
                <w:b/>
                <w:bCs/>
                <w:sz w:val="24"/>
                <w:szCs w:val="24"/>
                <w:highlight w:val="none"/>
                <w:lang w:val="zh-CN"/>
              </w:rPr>
              <w:t xml:space="preserve">。</w:t>
            </w:r>
            <w:r>
              <w:rPr>
                <w:rFonts w:hint="eastAsia" w:ascii="宋体" w:hAnsi="宋体" w:cs="宋体"/>
                <w:b/>
                <w:bCs/>
                <w:spacing w:val="-4"/>
                <w:sz w:val="24"/>
                <w:szCs w:val="24"/>
                <w:highlight w:val="none"/>
              </w:rPr>
              <w:t xml:space="preserve">）</w:t>
            </w:r>
            <w:r/>
          </w:p>
          <w:p>
            <w:pPr>
              <w:tabs>
                <w:tab w:val="left" w:pos="265" w:leader="none"/>
              </w:tabs>
              <w:rPr>
                <w:rFonts w:hint="eastAsia" w:ascii="宋体" w:hAnsi="宋体" w:cs="宋体"/>
                <w:spacing w:val="-4"/>
                <w:sz w:val="24"/>
                <w:szCs w:val="24"/>
              </w:rPr>
            </w:pPr>
            <w:r>
              <w:rPr>
                <w:rFonts w:hint="eastAsia" w:ascii="宋体" w:hAnsi="宋体" w:cs="宋体"/>
                <w:spacing w:val="-1"/>
                <w:sz w:val="24"/>
                <w:szCs w:val="24"/>
                <w:highlight w:val="none"/>
              </w:rPr>
              <w:t xml:space="preserve">2.投标人项</w:t>
            </w:r>
            <w:r>
              <w:rPr>
                <w:rFonts w:hint="eastAsia" w:ascii="宋体" w:hAnsi="宋体" w:cs="宋体"/>
                <w:color w:val="auto"/>
                <w:spacing w:val="-1"/>
                <w:sz w:val="24"/>
                <w:szCs w:val="24"/>
                <w:highlight w:val="none"/>
              </w:rPr>
              <w:t xml:space="preserve">目技术负责人具有网络工程师、信息系统项目管理师、ITSS信息技术应用创新服务工程师、信息安全工程师、CISAW信息安全保障人员证书（安全运维），每有一项证书得0.5分，最高得2.5分。</w:t>
            </w:r>
            <w:r>
              <w:rPr>
                <w:rFonts w:hint="eastAsia" w:ascii="宋体" w:hAnsi="宋体" w:cs="宋体"/>
                <w:b/>
                <w:bCs/>
                <w:color w:val="auto"/>
                <w:spacing w:val="-1"/>
                <w:sz w:val="24"/>
                <w:szCs w:val="24"/>
                <w:highlight w:val="none"/>
              </w:rPr>
              <w:t xml:space="preserve">（项目技术负责人</w:t>
            </w:r>
            <w:r>
              <w:rPr>
                <w:rFonts w:hint="eastAsia" w:ascii="宋体" w:hAnsi="宋体" w:cs="宋体"/>
                <w:b/>
                <w:bCs/>
                <w:color w:val="auto"/>
                <w:spacing w:val="-4"/>
                <w:sz w:val="24"/>
                <w:szCs w:val="24"/>
                <w:highlight w:val="none"/>
              </w:rPr>
              <w:t xml:space="preserve">应为投标人正式员工。投标时须</w:t>
            </w:r>
            <w:r>
              <w:rPr>
                <w:rFonts w:hint="eastAsia" w:ascii="宋体" w:hAnsi="宋体" w:cs="宋体"/>
                <w:b/>
                <w:bCs/>
                <w:color w:val="auto"/>
                <w:spacing w:val="2"/>
                <w:sz w:val="24"/>
                <w:szCs w:val="24"/>
                <w:highlight w:val="none"/>
              </w:rPr>
              <w:t xml:space="preserve">提供相关证书的扫描件，同时</w:t>
            </w:r>
            <w:r>
              <w:rPr>
                <w:rFonts w:hint="eastAsia" w:ascii="宋体" w:hAnsi="宋体" w:cs="宋体"/>
                <w:b/>
                <w:bCs/>
                <w:color w:val="auto"/>
                <w:sz w:val="24"/>
                <w:szCs w:val="24"/>
                <w:highlight w:val="none"/>
              </w:rPr>
              <w:t xml:space="preserve">提供从</w:t>
            </w:r>
            <w:r>
              <w:rPr>
                <w:rFonts w:hint="eastAsia" w:ascii="宋体" w:hAnsi="宋体" w:cs="宋体"/>
                <w:b/>
                <w:bCs/>
                <w:color w:val="auto"/>
                <w:sz w:val="24"/>
                <w:szCs w:val="24"/>
                <w:highlight w:val="none"/>
                <w:lang w:val="en-US" w:eastAsia="zh-CN"/>
              </w:rPr>
              <w:t xml:space="preserve">2024</w:t>
            </w:r>
            <w:r>
              <w:rPr>
                <w:rFonts w:hint="eastAsia" w:ascii="宋体" w:hAnsi="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月开始至投</w:t>
            </w:r>
            <w:r>
              <w:rPr>
                <w:rFonts w:hint="eastAsia" w:ascii="宋体" w:hAnsi="宋体" w:cs="宋体"/>
                <w:b/>
                <w:bCs/>
                <w:sz w:val="24"/>
                <w:szCs w:val="24"/>
              </w:rPr>
              <w:t xml:space="preserve">标截止之日当月至少1个月在本单位缴纳养老保险缴费记录证明，证明以养老保险管理部门出具的证明材料为准，或者以社会养老保险管理部门的官方网站查询或验证结果打印件为准。</w:t>
            </w:r>
            <w:r>
              <w:rPr>
                <w:rFonts w:hint="eastAsia" w:ascii="宋体" w:hAnsi="宋体"/>
                <w:b/>
                <w:bCs/>
                <w:sz w:val="24"/>
                <w:szCs w:val="32"/>
              </w:rPr>
              <w:t xml:space="preserve">未</w:t>
            </w:r>
            <w:r>
              <w:rPr>
                <w:rFonts w:hint="eastAsia" w:ascii="宋体" w:hAnsi="宋体" w:cs="宋体"/>
                <w:b/>
                <w:bCs/>
                <w:sz w:val="24"/>
                <w:szCs w:val="24"/>
              </w:rPr>
              <w:t xml:space="preserve">提供</w:t>
            </w:r>
            <w:r>
              <w:rPr>
                <w:rFonts w:hint="eastAsia" w:ascii="宋体" w:hAnsi="宋体"/>
                <w:b/>
                <w:bCs/>
                <w:sz w:val="24"/>
                <w:szCs w:val="32"/>
              </w:rPr>
              <w:t xml:space="preserve">的不得分</w:t>
            </w:r>
            <w:r>
              <w:rPr>
                <w:rFonts w:hint="eastAsia" w:ascii="宋体" w:hAnsi="宋体" w:cs="宋体"/>
                <w:b/>
                <w:bCs/>
                <w:sz w:val="24"/>
                <w:szCs w:val="24"/>
                <w:lang w:val="zh-CN"/>
              </w:rPr>
              <w:t xml:space="preserve">。</w:t>
            </w:r>
            <w:r>
              <w:rPr>
                <w:rFonts w:hint="eastAsia" w:ascii="宋体" w:hAnsi="宋体" w:cs="宋体"/>
                <w:b/>
                <w:bCs/>
                <w:spacing w:val="-4"/>
                <w:sz w:val="24"/>
                <w:szCs w:val="24"/>
              </w:rPr>
              <w:t xml:space="preserve">）</w:t>
            </w:r>
            <w:r/>
          </w:p>
          <w:p>
            <w:pPr>
              <w:pStyle w:val="1071"/>
              <w:numPr>
                <w:ilvl w:val="255"/>
                <w:numId w:val="0"/>
              </w:numPr>
              <w:rPr>
                <w:rFonts w:hint="eastAsia" w:hAnsi="宋体" w:cs="宋体"/>
                <w:sz w:val="24"/>
                <w:szCs w:val="24"/>
              </w:rPr>
            </w:pPr>
            <w:r>
              <w:rPr>
                <w:rFonts w:hint="eastAsia" w:hAnsi="宋体" w:cs="宋体"/>
                <w:sz w:val="24"/>
                <w:szCs w:val="24"/>
              </w:rPr>
              <w:t xml:space="preserve">3.投标人拟派本项目的项目组成员：除项目经理及项目技术负责人外，团队成员具有CISAW信息安全保障人员证书（安全运维）、软件设计师、系统架构设计师、网络工程师证书</w:t>
            </w:r>
            <w:r>
              <w:rPr>
                <w:rFonts w:hint="eastAsia" w:hAnsi="宋体" w:cs="宋体"/>
                <w:sz w:val="24"/>
                <w:szCs w:val="24"/>
                <w:lang w:eastAsia="zh-CN"/>
              </w:rPr>
              <w:t xml:space="preserve">，</w:t>
            </w:r>
            <w:r>
              <w:rPr>
                <w:rFonts w:hint="eastAsia" w:hAnsi="宋体" w:cs="宋体"/>
                <w:sz w:val="24"/>
                <w:szCs w:val="24"/>
              </w:rPr>
              <w:t xml:space="preserve">每提供1种证书得0.5分，最高得1分。</w:t>
            </w:r>
            <w:r>
              <w:rPr>
                <w:rFonts w:hint="eastAsia" w:hAnsi="宋体" w:cs="宋体"/>
                <w:color w:val="auto"/>
                <w:sz w:val="24"/>
                <w:szCs w:val="24"/>
                <w:lang w:val="en-US" w:eastAsia="zh-CN"/>
              </w:rPr>
              <w:t xml:space="preserve">上述人员不可重复计分。</w:t>
            </w:r>
            <w:r>
              <w:rPr>
                <w:rFonts w:hint="eastAsia" w:hAnsi="宋体" w:cs="宋体"/>
                <w:b/>
                <w:bCs/>
                <w:color w:val="auto"/>
                <w:spacing w:val="-1"/>
                <w:sz w:val="24"/>
                <w:szCs w:val="24"/>
              </w:rPr>
              <w:t xml:space="preserve">（</w:t>
            </w:r>
            <w:r>
              <w:rPr>
                <w:rFonts w:hint="eastAsia" w:hAnsi="宋体" w:cs="宋体"/>
                <w:b/>
                <w:bCs/>
                <w:spacing w:val="-1"/>
                <w:sz w:val="24"/>
                <w:szCs w:val="24"/>
              </w:rPr>
              <w:t xml:space="preserve">上述</w:t>
            </w:r>
            <w:r>
              <w:rPr>
                <w:rFonts w:hint="eastAsia" w:hAnsi="宋体" w:cs="宋体"/>
                <w:b/>
                <w:bCs/>
                <w:sz w:val="24"/>
                <w:szCs w:val="24"/>
              </w:rPr>
              <w:t xml:space="preserve">团队</w:t>
            </w:r>
            <w:r>
              <w:rPr>
                <w:rFonts w:hint="eastAsia" w:hAnsi="宋体" w:cs="宋体"/>
                <w:b/>
                <w:bCs/>
                <w:spacing w:val="-1"/>
                <w:sz w:val="24"/>
                <w:szCs w:val="24"/>
              </w:rPr>
              <w:t xml:space="preserve">成员</w:t>
            </w:r>
            <w:r>
              <w:rPr>
                <w:rFonts w:hint="eastAsia" w:hAnsi="宋体" w:cs="宋体"/>
                <w:b/>
                <w:bCs/>
                <w:spacing w:val="-4"/>
                <w:sz w:val="24"/>
                <w:szCs w:val="24"/>
              </w:rPr>
              <w:t xml:space="preserve">应为投标人正式员工。投标时须</w:t>
            </w:r>
            <w:r>
              <w:rPr>
                <w:rFonts w:hint="eastAsia" w:hAnsi="宋体" w:cs="宋体"/>
                <w:b/>
                <w:bCs/>
                <w:spacing w:val="2"/>
                <w:sz w:val="24"/>
                <w:szCs w:val="24"/>
              </w:rPr>
              <w:t xml:space="preserve">提供相关证书的扫描件，</w:t>
            </w:r>
            <w:r>
              <w:rPr>
                <w:rFonts w:hint="eastAsia" w:ascii="宋体" w:hAnsi="宋体" w:cs="宋体"/>
                <w:b/>
                <w:bCs/>
                <w:spacing w:val="2"/>
                <w:sz w:val="24"/>
                <w:szCs w:val="24"/>
              </w:rPr>
              <w:t xml:space="preserve">同时</w:t>
            </w:r>
            <w:r>
              <w:rPr>
                <w:rFonts w:hint="eastAsia" w:ascii="宋体" w:hAnsi="宋体" w:cs="宋体"/>
                <w:b/>
                <w:bCs/>
                <w:color w:val="auto"/>
                <w:sz w:val="24"/>
                <w:szCs w:val="24"/>
              </w:rPr>
              <w:t xml:space="preserve">提供</w:t>
            </w:r>
            <w:r>
              <w:rPr>
                <w:rFonts w:hint="eastAsia" w:ascii="宋体" w:hAnsi="宋体" w:cs="宋体"/>
                <w:b/>
                <w:bCs/>
                <w:color w:val="auto"/>
                <w:sz w:val="24"/>
                <w:szCs w:val="24"/>
                <w:highlight w:val="none"/>
              </w:rPr>
              <w:t xml:space="preserve">从</w:t>
            </w:r>
            <w:r>
              <w:rPr>
                <w:rFonts w:hint="eastAsia" w:ascii="宋体" w:hAnsi="宋体" w:cs="宋体"/>
                <w:b/>
                <w:bCs/>
                <w:color w:val="auto"/>
                <w:sz w:val="24"/>
                <w:szCs w:val="24"/>
                <w:highlight w:val="none"/>
                <w:lang w:val="en-US" w:eastAsia="zh-CN"/>
              </w:rPr>
              <w:t xml:space="preserve">2024</w:t>
            </w:r>
            <w:r>
              <w:rPr>
                <w:rFonts w:hint="eastAsia" w:ascii="宋体" w:hAnsi="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月开始</w:t>
            </w:r>
            <w:r>
              <w:rPr>
                <w:rFonts w:hint="eastAsia" w:ascii="宋体" w:hAnsi="宋体" w:cs="宋体"/>
                <w:b/>
                <w:bCs/>
                <w:sz w:val="24"/>
                <w:szCs w:val="24"/>
              </w:rPr>
              <w:t xml:space="preserve">至投标截止之日当月至少1个月在本单位缴纳养老保险缴费记录证明，证明以养老保险管理部门出具的证明材料为准，或者以社会养老保险管理部门的官方网站查询或验证结果打印件为准。</w:t>
            </w:r>
            <w:r>
              <w:rPr>
                <w:rFonts w:hint="eastAsia" w:ascii="宋体" w:hAnsi="宋体"/>
                <w:b/>
                <w:bCs/>
                <w:sz w:val="24"/>
                <w:szCs w:val="32"/>
              </w:rPr>
              <w:t xml:space="preserve">未</w:t>
            </w:r>
            <w:r>
              <w:rPr>
                <w:rFonts w:hint="eastAsia" w:ascii="宋体" w:hAnsi="宋体" w:cs="宋体"/>
                <w:b/>
                <w:bCs/>
                <w:sz w:val="24"/>
                <w:szCs w:val="24"/>
              </w:rPr>
              <w:t xml:space="preserve">提供</w:t>
            </w:r>
            <w:r>
              <w:rPr>
                <w:rFonts w:hint="eastAsia" w:ascii="宋体" w:hAnsi="宋体"/>
                <w:b/>
                <w:bCs/>
                <w:sz w:val="24"/>
                <w:szCs w:val="32"/>
              </w:rPr>
              <w:t xml:space="preserve">的不得分</w:t>
            </w:r>
            <w:r>
              <w:rPr>
                <w:rFonts w:hint="eastAsia" w:ascii="宋体" w:hAnsi="宋体" w:cs="宋体"/>
                <w:b/>
                <w:bCs/>
                <w:sz w:val="24"/>
                <w:szCs w:val="24"/>
                <w:lang w:val="zh-CN"/>
              </w:rPr>
              <w:t xml:space="preserve">。</w:t>
            </w:r>
            <w:r>
              <w:rPr>
                <w:rFonts w:hint="eastAsia" w:hAnsi="宋体" w:cs="宋体"/>
                <w:b/>
                <w:bCs/>
                <w:spacing w:val="-4"/>
                <w:sz w:val="24"/>
                <w:szCs w:val="24"/>
              </w:rPr>
              <w:t xml:space="preserve">）</w:t>
            </w:r>
            <w:r/>
          </w:p>
        </w:tc>
      </w:tr>
      <w:tr>
        <w:trPr>
          <w:trHeight w:val="2423"/>
        </w:trPr>
        <w:tc>
          <w:tcPr>
            <w:tcMar>
              <w:left w:w="108" w:type="dxa"/>
              <w:right w:w="108" w:type="dxa"/>
            </w:tcMar>
            <w:tcW w:w="1499" w:type="dxa"/>
            <w:vAlign w:val="center"/>
            <w:vMerge w:val="continue"/>
            <w:textDirection w:val="lrTb"/>
            <w:noWrap w:val="false"/>
          </w:tcPr>
          <w:p>
            <w:pPr>
              <w:spacing w:before="120" w:after="120"/>
              <w:rPr>
                <w:rFonts w:hint="eastAsia" w:ascii="宋体" w:hAnsi="宋体" w:cs="宋体"/>
                <w:spacing w:val="-1"/>
                <w:sz w:val="24"/>
                <w:szCs w:val="24"/>
              </w:rPr>
            </w:pPr>
            <w:r>
              <w:rPr>
                <w:rFonts w:hint="eastAsia" w:ascii="宋体" w:hAnsi="宋体" w:cs="宋体"/>
                <w:spacing w:val="-1"/>
                <w:sz w:val="24"/>
                <w:szCs w:val="24"/>
              </w:rPr>
            </w:r>
            <w:r/>
          </w:p>
        </w:tc>
        <w:tc>
          <w:tcPr>
            <w:tcMar>
              <w:left w:w="108" w:type="dxa"/>
              <w:right w:w="108" w:type="dxa"/>
            </w:tcMar>
            <w:tcW w:w="1581" w:type="dxa"/>
            <w:vAlign w:val="center"/>
            <w:textDirection w:val="lrTb"/>
            <w:noWrap w:val="false"/>
          </w:tcPr>
          <w:p>
            <w:pPr>
              <w:rPr>
                <w:rFonts w:hint="eastAsia" w:ascii="宋体" w:hAnsi="宋体" w:cs="宋体"/>
                <w:spacing w:val="-1"/>
                <w:sz w:val="24"/>
                <w:szCs w:val="24"/>
              </w:rPr>
            </w:pPr>
            <w:r>
              <w:rPr>
                <w:rFonts w:hint="eastAsia" w:ascii="宋体" w:hAnsi="宋体" w:cs="宋体"/>
                <w:spacing w:val="-1"/>
                <w:sz w:val="24"/>
                <w:szCs w:val="24"/>
              </w:rPr>
              <w:t xml:space="preserve">采购及安装</w:t>
            </w:r>
            <w:r>
              <w:rPr>
                <w:rFonts w:hint="eastAsia" w:ascii="宋体" w:hAnsi="宋体" w:cs="宋体"/>
                <w:sz w:val="24"/>
                <w:szCs w:val="24"/>
              </w:rPr>
              <w:t xml:space="preserve">方案</w:t>
            </w:r>
            <w:r>
              <w:rPr>
                <w:rFonts w:hint="eastAsia" w:ascii="宋体" w:hAnsi="宋体" w:cs="宋体"/>
                <w:spacing w:val="-1"/>
                <w:sz w:val="24"/>
                <w:szCs w:val="24"/>
              </w:rPr>
              <w:t xml:space="preserve">（4分）</w:t>
            </w:r>
            <w:r/>
          </w:p>
        </w:tc>
        <w:tc>
          <w:tcPr>
            <w:tcMar>
              <w:left w:w="108" w:type="dxa"/>
              <w:right w:w="108" w:type="dxa"/>
            </w:tcMar>
            <w:tcW w:w="6095" w:type="dxa"/>
            <w:vAlign w:val="center"/>
            <w:textDirection w:val="lrTb"/>
            <w:noWrap w:val="false"/>
          </w:tcPr>
          <w:p>
            <w:pPr>
              <w:rPr>
                <w:rFonts w:hint="eastAsia" w:ascii="宋体" w:hAnsi="宋体" w:cs="宋体"/>
                <w:spacing w:val="-3"/>
                <w:sz w:val="24"/>
                <w:szCs w:val="24"/>
              </w:rPr>
            </w:pPr>
            <w:r>
              <w:rPr>
                <w:rFonts w:hint="eastAsia" w:ascii="宋体" w:hAnsi="宋体" w:cs="宋体"/>
                <w:spacing w:val="-6"/>
                <w:sz w:val="24"/>
                <w:szCs w:val="24"/>
              </w:rPr>
              <w:t xml:space="preserve">投标人针对</w:t>
            </w:r>
            <w:r>
              <w:rPr>
                <w:rFonts w:hint="eastAsia" w:ascii="宋体" w:hAnsi="宋体" w:cs="宋体"/>
                <w:spacing w:val="-4"/>
                <w:sz w:val="24"/>
                <w:szCs w:val="24"/>
              </w:rPr>
              <w:t xml:space="preserve">本</w:t>
            </w:r>
            <w:r>
              <w:rPr>
                <w:rFonts w:hint="eastAsia" w:ascii="宋体" w:hAnsi="宋体" w:cs="宋体"/>
                <w:spacing w:val="-3"/>
                <w:sz w:val="24"/>
                <w:szCs w:val="24"/>
              </w:rPr>
              <w:t xml:space="preserve">项目提供切实可行的</w:t>
            </w:r>
            <w:r>
              <w:rPr>
                <w:rFonts w:hint="eastAsia" w:ascii="宋体" w:hAnsi="宋体" w:cs="宋体"/>
                <w:spacing w:val="-1"/>
                <w:sz w:val="24"/>
                <w:szCs w:val="24"/>
              </w:rPr>
              <w:t xml:space="preserve">采购及安装</w:t>
            </w:r>
            <w:r>
              <w:rPr>
                <w:rFonts w:hint="eastAsia" w:ascii="宋体" w:hAnsi="宋体" w:cs="宋体"/>
                <w:sz w:val="24"/>
                <w:szCs w:val="24"/>
              </w:rPr>
              <w:t xml:space="preserve">方案</w:t>
            </w:r>
            <w:r>
              <w:rPr>
                <w:rFonts w:hint="eastAsia" w:ascii="宋体" w:hAnsi="宋体" w:cs="宋体"/>
                <w:spacing w:val="-3"/>
                <w:sz w:val="24"/>
                <w:szCs w:val="24"/>
              </w:rPr>
              <w:t xml:space="preserve">，评委根据其合理程度在相应的分值区域打分，未提供方案的不得分。</w:t>
            </w:r>
            <w:r/>
          </w:p>
          <w:p>
            <w:pPr>
              <w:rPr>
                <w:rFonts w:hint="eastAsia" w:ascii="宋体" w:hAnsi="宋体" w:cs="宋体"/>
                <w:spacing w:val="-3"/>
                <w:sz w:val="24"/>
                <w:szCs w:val="24"/>
              </w:rPr>
            </w:pPr>
            <w:r>
              <w:rPr>
                <w:rFonts w:hint="eastAsia" w:ascii="宋体" w:hAnsi="宋体" w:cs="宋体"/>
                <w:spacing w:val="-3"/>
                <w:sz w:val="24"/>
                <w:szCs w:val="24"/>
              </w:rPr>
              <w:t xml:space="preserve">1.采购总体安排及进度计划</w:t>
            </w:r>
            <w:r>
              <w:rPr>
                <w:rFonts w:hint="eastAsia" w:ascii="宋体" w:hAnsi="宋体" w:cs="宋体"/>
                <w:spacing w:val="-7"/>
                <w:sz w:val="24"/>
                <w:szCs w:val="24"/>
              </w:rPr>
              <w:t xml:space="preserve">（0.7-1分）；</w:t>
            </w:r>
            <w:r/>
          </w:p>
          <w:p>
            <w:pPr>
              <w:rPr>
                <w:rFonts w:hint="eastAsia" w:ascii="宋体" w:hAnsi="宋体" w:cs="宋体"/>
                <w:spacing w:val="-12"/>
                <w:sz w:val="24"/>
                <w:szCs w:val="24"/>
              </w:rPr>
            </w:pPr>
            <w:r>
              <w:rPr>
                <w:rFonts w:hint="eastAsia" w:ascii="宋体" w:hAnsi="宋体" w:cs="宋体"/>
                <w:spacing w:val="-3"/>
                <w:sz w:val="24"/>
                <w:szCs w:val="24"/>
              </w:rPr>
              <w:t xml:space="preserve">2.采购质量控</w:t>
            </w:r>
            <w:r>
              <w:rPr>
                <w:rFonts w:hint="eastAsia" w:ascii="宋体" w:hAnsi="宋体" w:cs="宋体"/>
                <w:spacing w:val="-14"/>
                <w:sz w:val="24"/>
                <w:szCs w:val="24"/>
              </w:rPr>
              <w:t xml:space="preserve">制</w:t>
            </w:r>
            <w:r>
              <w:rPr>
                <w:rFonts w:hint="eastAsia" w:ascii="宋体" w:hAnsi="宋体" w:cs="宋体"/>
                <w:spacing w:val="-7"/>
                <w:sz w:val="24"/>
                <w:szCs w:val="24"/>
              </w:rPr>
              <w:t xml:space="preserve">（0.7-1分）；</w:t>
            </w:r>
            <w:r/>
          </w:p>
          <w:p>
            <w:pPr>
              <w:rPr>
                <w:rFonts w:hint="eastAsia" w:ascii="宋体" w:hAnsi="宋体" w:cs="宋体"/>
                <w:spacing w:val="-7"/>
                <w:sz w:val="24"/>
                <w:szCs w:val="24"/>
              </w:rPr>
            </w:pPr>
            <w:r>
              <w:rPr>
                <w:rFonts w:hint="eastAsia" w:ascii="宋体" w:hAnsi="宋体" w:cs="宋体"/>
                <w:spacing w:val="-7"/>
                <w:sz w:val="24"/>
                <w:szCs w:val="24"/>
              </w:rPr>
              <w:t xml:space="preserve">3.物资运输保障方案（0.7-1分）；</w:t>
            </w:r>
            <w:r/>
          </w:p>
          <w:p>
            <w:pPr>
              <w:rPr>
                <w:rFonts w:hint="eastAsia" w:ascii="宋体" w:hAnsi="宋体" w:cs="宋体"/>
                <w:spacing w:val="-7"/>
                <w:sz w:val="24"/>
                <w:szCs w:val="24"/>
              </w:rPr>
            </w:pPr>
            <w:r>
              <w:rPr>
                <w:rFonts w:hint="eastAsia" w:ascii="宋体" w:hAnsi="宋体" w:cs="宋体"/>
                <w:spacing w:val="-7"/>
                <w:sz w:val="24"/>
                <w:szCs w:val="24"/>
              </w:rPr>
              <w:t xml:space="preserve">4.安装及调试方案（0.7-1分）。</w:t>
            </w:r>
            <w:r/>
          </w:p>
        </w:tc>
      </w:tr>
      <w:tr>
        <w:trPr/>
        <w:tc>
          <w:tcPr>
            <w:tcMar>
              <w:left w:w="108" w:type="dxa"/>
              <w:right w:w="108" w:type="dxa"/>
            </w:tcMar>
            <w:tcW w:w="1499" w:type="dxa"/>
            <w:vAlign w:val="center"/>
            <w:textDirection w:val="lrTb"/>
            <w:noWrap w:val="false"/>
          </w:tcPr>
          <w:p>
            <w:pPr>
              <w:spacing w:before="120" w:after="120"/>
              <w:rPr>
                <w:rFonts w:hint="eastAsia" w:ascii="宋体" w:hAnsi="宋体" w:cs="宋体"/>
                <w:sz w:val="24"/>
                <w:szCs w:val="24"/>
              </w:rPr>
            </w:pPr>
            <w:r>
              <w:rPr>
                <w:rFonts w:hint="eastAsia" w:ascii="宋体" w:hAnsi="宋体" w:cs="宋体"/>
                <w:spacing w:val="-1"/>
                <w:sz w:val="24"/>
                <w:szCs w:val="24"/>
              </w:rPr>
              <w:t xml:space="preserve">投标人业绩（2）分</w:t>
            </w:r>
            <w:r/>
          </w:p>
        </w:tc>
        <w:tc>
          <w:tcPr>
            <w:tcMar>
              <w:left w:w="108" w:type="dxa"/>
              <w:right w:w="108" w:type="dxa"/>
            </w:tcMar>
            <w:tcW w:w="1581" w:type="dxa"/>
            <w:vAlign w:val="center"/>
            <w:textDirection w:val="lrTb"/>
            <w:noWrap w:val="false"/>
          </w:tcPr>
          <w:p>
            <w:pPr>
              <w:spacing w:before="120" w:after="120"/>
              <w:rPr>
                <w:rFonts w:hint="eastAsia" w:ascii="宋体" w:hAnsi="宋体" w:cs="宋体"/>
                <w:spacing w:val="-2"/>
                <w:sz w:val="24"/>
                <w:szCs w:val="24"/>
              </w:rPr>
            </w:pPr>
            <w:r>
              <w:rPr>
                <w:rFonts w:hint="eastAsia" w:ascii="宋体" w:hAnsi="宋体" w:cs="宋体"/>
                <w:spacing w:val="-1"/>
                <w:sz w:val="24"/>
                <w:szCs w:val="24"/>
              </w:rPr>
              <w:t xml:space="preserve">投标人业绩（2</w:t>
            </w:r>
            <w:r>
              <w:rPr>
                <w:rFonts w:hint="eastAsia" w:ascii="宋体" w:hAnsi="宋体" w:cs="宋体"/>
                <w:sz w:val="24"/>
                <w:szCs w:val="24"/>
              </w:rPr>
              <w:t xml:space="preserve">）分</w:t>
            </w:r>
            <w:r/>
          </w:p>
        </w:tc>
        <w:tc>
          <w:tcPr>
            <w:tcMar>
              <w:left w:w="108" w:type="dxa"/>
              <w:right w:w="108" w:type="dxa"/>
            </w:tcMar>
            <w:tcW w:w="6095" w:type="dxa"/>
            <w:vAlign w:val="center"/>
            <w:textDirection w:val="lrTb"/>
            <w:noWrap w:val="false"/>
          </w:tcPr>
          <w:p>
            <w:pPr>
              <w:spacing w:before="120" w:after="120"/>
              <w:tabs>
                <w:tab w:val="left" w:pos="265" w:leader="none"/>
              </w:tabs>
              <w:rPr>
                <w:rFonts w:hint="eastAsia" w:ascii="宋体" w:hAnsi="宋体" w:cs="宋体"/>
                <w:spacing w:val="-8"/>
                <w:sz w:val="24"/>
                <w:szCs w:val="24"/>
              </w:rPr>
            </w:pPr>
            <w:r>
              <w:rPr>
                <w:rFonts w:hint="eastAsia" w:ascii="宋体" w:hAnsi="宋体" w:cs="宋体"/>
                <w:spacing w:val="-6"/>
                <w:sz w:val="24"/>
                <w:szCs w:val="24"/>
              </w:rPr>
              <w:t xml:space="preserve">投标人自2021年1月1日起至今（以合同签订时间为准</w:t>
            </w:r>
            <w:r>
              <w:rPr>
                <w:rFonts w:hint="eastAsia" w:ascii="宋体" w:hAnsi="宋体" w:cs="宋体"/>
                <w:spacing w:val="-5"/>
                <w:sz w:val="24"/>
                <w:szCs w:val="24"/>
              </w:rPr>
              <w:t xml:space="preserve">）</w:t>
            </w:r>
            <w:r>
              <w:rPr>
                <w:rFonts w:hint="eastAsia" w:ascii="宋体" w:hAnsi="宋体" w:cs="宋体"/>
                <w:spacing w:val="-2"/>
                <w:sz w:val="24"/>
                <w:szCs w:val="24"/>
              </w:rPr>
              <w:t xml:space="preserve">承接</w:t>
            </w:r>
            <w:r>
              <w:rPr>
                <w:rFonts w:hint="eastAsia" w:ascii="宋体" w:hAnsi="宋体" w:cs="宋体"/>
                <w:color w:val="auto"/>
                <w:spacing w:val="-2"/>
                <w:sz w:val="24"/>
                <w:szCs w:val="24"/>
              </w:rPr>
              <w:t xml:space="preserve">过</w:t>
            </w:r>
            <w:r>
              <w:rPr>
                <w:rFonts w:hint="eastAsia" w:ascii="宋体" w:hAnsi="宋体" w:cs="宋体"/>
                <w:color w:val="auto"/>
                <w:spacing w:val="-2"/>
                <w:sz w:val="24"/>
                <w:szCs w:val="24"/>
                <w:lang w:val="en-US" w:eastAsia="zh-CN"/>
              </w:rPr>
              <w:t xml:space="preserve">类似</w:t>
            </w:r>
            <w:r>
              <w:rPr>
                <w:rFonts w:hint="eastAsia" w:ascii="宋体" w:hAnsi="宋体" w:cs="宋体"/>
                <w:color w:val="auto"/>
                <w:spacing w:val="-1"/>
                <w:sz w:val="24"/>
                <w:szCs w:val="24"/>
              </w:rPr>
              <w:t xml:space="preserve">智慧灯杆或交通安防科技设施类（如信号控制系统、道路视频监控）类似项目建设业绩的，</w:t>
            </w:r>
            <w:r>
              <w:rPr>
                <w:rFonts w:hint="eastAsia" w:ascii="宋体" w:hAnsi="宋体" w:cs="宋体"/>
                <w:color w:val="auto"/>
                <w:spacing w:val="-9"/>
                <w:sz w:val="24"/>
                <w:szCs w:val="24"/>
              </w:rPr>
              <w:t xml:space="preserve">每提供1个得1分，最高得2分</w:t>
            </w:r>
            <w:r>
              <w:rPr>
                <w:rFonts w:hint="eastAsia" w:ascii="宋体" w:hAnsi="宋体" w:cs="宋体"/>
                <w:b/>
                <w:bCs/>
                <w:color w:val="auto"/>
                <w:spacing w:val="-6"/>
                <w:sz w:val="24"/>
                <w:szCs w:val="24"/>
              </w:rPr>
              <w:t xml:space="preserve">（投标时须</w:t>
            </w:r>
            <w:r>
              <w:rPr>
                <w:rFonts w:hint="eastAsia" w:ascii="宋体" w:hAnsi="宋体" w:cs="宋体"/>
                <w:b/>
                <w:bCs/>
                <w:color w:val="auto"/>
                <w:spacing w:val="-6"/>
                <w:sz w:val="24"/>
                <w:szCs w:val="24"/>
                <w:lang w:val="en-US" w:eastAsia="zh-CN"/>
              </w:rPr>
              <w:t xml:space="preserve">同时</w:t>
            </w:r>
            <w:r>
              <w:rPr>
                <w:rFonts w:hint="eastAsia" w:ascii="宋体" w:hAnsi="宋体" w:cs="宋体"/>
                <w:b/>
                <w:bCs/>
                <w:color w:val="auto"/>
                <w:spacing w:val="-6"/>
                <w:sz w:val="24"/>
                <w:szCs w:val="24"/>
              </w:rPr>
              <w:t xml:space="preserve">提</w:t>
            </w:r>
            <w:r>
              <w:rPr>
                <w:rFonts w:hint="eastAsia" w:ascii="宋体" w:hAnsi="宋体" w:cs="宋体"/>
                <w:b/>
                <w:bCs/>
                <w:color w:val="auto"/>
                <w:spacing w:val="-4"/>
                <w:sz w:val="24"/>
                <w:szCs w:val="24"/>
              </w:rPr>
              <w:t xml:space="preserve">供【中标通知书、</w:t>
            </w:r>
            <w:r>
              <w:rPr>
                <w:rFonts w:hint="eastAsia" w:ascii="宋体" w:hAnsi="宋体" w:cs="宋体"/>
                <w:b/>
                <w:bCs/>
                <w:color w:val="auto"/>
                <w:spacing w:val="-3"/>
                <w:sz w:val="24"/>
                <w:szCs w:val="24"/>
              </w:rPr>
              <w:t xml:space="preserve">合同和验收报告</w:t>
            </w:r>
            <w:r>
              <w:rPr>
                <w:rFonts w:hint="eastAsia" w:ascii="宋体" w:hAnsi="宋体" w:cs="宋体"/>
                <w:b/>
                <w:bCs/>
                <w:color w:val="auto"/>
                <w:spacing w:val="-4"/>
                <w:sz w:val="24"/>
                <w:szCs w:val="24"/>
              </w:rPr>
              <w:t xml:space="preserve">】</w:t>
            </w:r>
            <w:r>
              <w:rPr>
                <w:rFonts w:hint="eastAsia" w:ascii="宋体" w:hAnsi="宋体" w:cs="宋体"/>
                <w:b/>
                <w:bCs/>
                <w:color w:val="auto"/>
                <w:spacing w:val="-3"/>
                <w:sz w:val="24"/>
                <w:szCs w:val="24"/>
              </w:rPr>
              <w:t xml:space="preserve">扫描件，缺</w:t>
            </w:r>
            <w:r>
              <w:rPr>
                <w:rFonts w:hint="eastAsia" w:ascii="宋体" w:hAnsi="宋体" w:cs="宋体"/>
                <w:b/>
                <w:bCs/>
                <w:color w:val="auto"/>
                <w:spacing w:val="-3"/>
                <w:sz w:val="24"/>
                <w:szCs w:val="24"/>
                <w:lang w:val="en-US" w:eastAsia="zh-CN"/>
              </w:rPr>
              <w:t xml:space="preserve">少相关材料</w:t>
            </w:r>
            <w:r>
              <w:rPr>
                <w:rFonts w:hint="eastAsia" w:ascii="宋体" w:hAnsi="宋体" w:cs="宋体"/>
                <w:b/>
                <w:bCs/>
                <w:color w:val="auto"/>
                <w:spacing w:val="-3"/>
                <w:sz w:val="24"/>
                <w:szCs w:val="24"/>
              </w:rPr>
              <w:t xml:space="preserve">不</w:t>
            </w:r>
            <w:r>
              <w:rPr>
                <w:rFonts w:hint="eastAsia" w:ascii="宋体" w:hAnsi="宋体" w:cs="宋体"/>
                <w:b/>
                <w:bCs/>
                <w:color w:val="auto"/>
                <w:spacing w:val="-2"/>
                <w:sz w:val="24"/>
                <w:szCs w:val="24"/>
              </w:rPr>
              <w:t xml:space="preserve">得</w:t>
            </w:r>
            <w:r>
              <w:rPr>
                <w:rFonts w:hint="eastAsia" w:ascii="宋体" w:hAnsi="宋体" w:cs="宋体"/>
                <w:b/>
                <w:bCs/>
                <w:color w:val="auto"/>
                <w:spacing w:val="-1"/>
                <w:sz w:val="24"/>
                <w:szCs w:val="24"/>
              </w:rPr>
              <w:t xml:space="preserve">分。</w:t>
            </w:r>
            <w:r/>
          </w:p>
        </w:tc>
      </w:tr>
    </w:tbl>
    <w:p>
      <w:pPr>
        <w:spacing w:line="520" w:lineRule="exact"/>
        <w:rPr>
          <w:color w:val="000000"/>
          <w:sz w:val="24"/>
          <w:szCs w:val="24"/>
        </w:rPr>
      </w:pPr>
      <w:r>
        <w:rPr>
          <w:color w:val="000000"/>
          <w:sz w:val="24"/>
          <w:szCs w:val="24"/>
        </w:rPr>
      </w:r>
      <w:r/>
    </w:p>
    <w:p>
      <w:pPr>
        <w:ind w:firstLine="480"/>
        <w:jc w:val="left"/>
        <w:spacing w:line="360" w:lineRule="auto"/>
        <w:widowControl/>
        <w:rPr>
          <w:rFonts w:hint="eastAsia" w:ascii="宋体" w:hAnsi="宋体" w:cs="宋体"/>
          <w:b/>
          <w:color w:val="ff0000"/>
          <w:sz w:val="24"/>
          <w:szCs w:val="24"/>
        </w:rPr>
      </w:pPr>
      <w:r>
        <w:rPr>
          <w:rFonts w:hint="eastAsia" w:hAnsi="宋体"/>
          <w:bCs/>
          <w:sz w:val="24"/>
          <w:szCs w:val="24"/>
        </w:rPr>
        <w:t xml:space="preserve">备注：</w:t>
      </w:r>
      <w:r>
        <w:rPr>
          <w:rFonts w:hint="eastAsia" w:ascii="宋体" w:hAnsi="宋体" w:cs="宋体"/>
          <w:sz w:val="24"/>
          <w:szCs w:val="24"/>
        </w:rPr>
        <w:t xml:space="preserve">①本项目涉及面较广、点位分散、现状复杂，投标人应当自行踏勘现场对现状进行了解，以确保制定出合理的投标方案，否则因不了解实际现状而造成的一切后果（包括但不限于投标报价存在的成本风险及要求的服务期风险）由投标人自行承担。②以上认证均应在有效期范围，且发证机关网站未公布为暂停状态方可有效。③上述评分办法中主观分部分均以0.1分为一个计分点。</w:t>
      </w:r>
      <w:r>
        <w:rPr>
          <w:rFonts w:hint="eastAsia" w:ascii="宋体" w:hAnsi="宋体" w:cs="宋体"/>
          <w:color w:val="000000"/>
          <w:sz w:val="24"/>
          <w:szCs w:val="24"/>
        </w:rPr>
        <w:t xml:space="preserve">投标人的总得分为所有评委评审该单位总得分的平均值。</w:t>
      </w:r>
      <w:r/>
    </w:p>
    <w:p>
      <w:pPr>
        <w:pStyle w:val="949"/>
        <w:jc w:val="both"/>
        <w:spacing w:line="420" w:lineRule="auto"/>
        <w:rPr>
          <w:rFonts w:ascii="黑体" w:eastAsia="黑体"/>
          <w:bCs/>
          <w:sz w:val="44"/>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sz w:val="44"/>
        </w:rPr>
      </w:r>
      <w:r/>
    </w:p>
    <w:p>
      <w:pPr>
        <w:pStyle w:val="949"/>
        <w:spacing w:line="420" w:lineRule="auto"/>
        <w:rPr>
          <w:rFonts w:ascii="黑体" w:eastAsia="黑体"/>
          <w:sz w:val="44"/>
          <w:szCs w:val="44"/>
        </w:rPr>
      </w:pPr>
      <w:r>
        <w:rPr>
          <w:rFonts w:hint="eastAsia" w:ascii="黑体" w:eastAsia="黑体"/>
          <w:bCs/>
          <w:sz w:val="44"/>
        </w:rPr>
        <w:t xml:space="preserve">第六章   投标</w:t>
      </w:r>
      <w:bookmarkEnd w:id="67"/>
      <w:r/>
      <w:bookmarkEnd w:id="68"/>
      <w:r/>
      <w:bookmarkEnd w:id="69"/>
      <w:r>
        <w:rPr>
          <w:rFonts w:hint="eastAsia" w:ascii="黑体" w:eastAsia="黑体"/>
          <w:bCs/>
          <w:sz w:val="44"/>
        </w:rPr>
        <w:t xml:space="preserve">文件格式</w:t>
      </w:r>
      <w:r/>
    </w:p>
    <w:p>
      <w:pPr>
        <w:jc w:val="center"/>
        <w:pBdr>
          <w:top w:val="none" w:color="000000" w:sz="0" w:space="0"/>
          <w:left w:val="none" w:color="000000" w:sz="0" w:space="0"/>
          <w:bottom w:val="none" w:color="000000" w:sz="0" w:space="0"/>
          <w:right w:val="none" w:color="000000" w:sz="0" w:space="0"/>
        </w:pBdr>
      </w:pPr>
      <w:r/>
      <w:bookmarkStart w:id="72" w:name="_Hlt26671244"/>
      <w:r/>
      <w:bookmarkEnd w:id="72"/>
      <w:r/>
      <w:bookmarkStart w:id="73" w:name="_Hlt26955039"/>
      <w:r/>
      <w:bookmarkEnd w:id="73"/>
      <w:r/>
      <w:bookmarkStart w:id="74" w:name="_Toc49090576"/>
      <w:r/>
      <w:bookmarkStart w:id="75" w:name="_Toc120614282"/>
      <w:r/>
      <w:bookmarkStart w:id="76" w:name="_Toc26554094"/>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spacing w:before="100" w:after="10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spacing w:before="100" w:after="10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t xml:space="preserve">项</w:t>
      </w:r>
      <w:r>
        <w:rPr>
          <w:rFonts w:ascii="宋体" w:hAnsi="宋体" w:cs="宋体"/>
          <w:b/>
          <w:color w:val="000000"/>
          <w:sz w:val="36"/>
        </w:rPr>
        <w:t xml:space="preserve"> 目 编 号：</w:t>
      </w:r>
      <w:r>
        <w:rPr>
          <w:rFonts w:ascii="宋体" w:hAnsi="宋体" w:cs="宋体"/>
          <w:b/>
          <w:color w:val="000000"/>
          <w:sz w:val="36"/>
          <w:u w:val="single"/>
        </w:rPr>
        <w:t xml:space="preserve">      </w:t>
      </w:r>
      <w:r>
        <w:rPr>
          <w:rFonts w:hint="eastAsia" w:ascii="宋体" w:hAnsi="宋体" w:cs="宋体"/>
          <w:b/>
          <w:color w:val="000000"/>
          <w:sz w:val="36"/>
          <w:u w:val="single"/>
        </w:rPr>
        <w:t xml:space="preserve">              </w:t>
      </w:r>
      <w:r>
        <w:rPr>
          <w:rFonts w:ascii="宋体" w:hAnsi="宋体" w:cs="宋体"/>
          <w:b/>
          <w:color w:val="000000"/>
          <w:sz w:val="36"/>
          <w:u w:val="single"/>
        </w:rPr>
        <w:t xml:space="preserve"> </w:t>
      </w:r>
      <w:r/>
    </w:p>
    <w:p>
      <w:pPr>
        <w:ind w:firstLine="1084"/>
        <w:spacing w:before="100" w:after="10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w:t>
      </w:r>
      <w:r>
        <w:rPr>
          <w:rFonts w:hint="eastAsia" w:ascii="宋体" w:hAnsi="宋体" w:cs="宋体"/>
          <w:b/>
          <w:color w:val="000000"/>
          <w:sz w:val="36"/>
          <w:u w:val="single"/>
        </w:rPr>
        <w:t xml:space="preserve">   </w:t>
      </w:r>
      <w:r>
        <w:rPr>
          <w:rFonts w:ascii="宋体" w:hAnsi="宋体" w:cs="宋体"/>
          <w:b/>
          <w:color w:val="000000"/>
          <w:sz w:val="36"/>
          <w:u w:val="single"/>
        </w:rPr>
        <w:t xml:space="preserve">（加盖CA电子公章）</w:t>
      </w:r>
      <w:r>
        <w:rPr>
          <w:rFonts w:hint="eastAsia" w:ascii="宋体" w:hAnsi="宋体" w:cs="宋体"/>
          <w:b/>
          <w:color w:val="000000"/>
          <w:sz w:val="36"/>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日期 ：</w:t>
      </w:r>
      <w:r>
        <w:rPr>
          <w:rFonts w:ascii="宋体" w:hAnsi="宋体" w:cs="宋体"/>
          <w:b/>
          <w:color w:val="000000"/>
          <w:sz w:val="36"/>
          <w:u w:val="single"/>
        </w:rPr>
        <w:t xml:space="preserve">        </w:t>
      </w:r>
      <w:r>
        <w:rPr>
          <w:rFonts w:hint="eastAsia" w:ascii="宋体" w:hAnsi="宋体" w:cs="宋体"/>
          <w:b/>
          <w:color w:val="000000"/>
          <w:sz w:val="36"/>
          <w:u w:val="single"/>
        </w:rPr>
        <w:t xml:space="preserve">    </w:t>
      </w:r>
      <w:r>
        <w:rPr>
          <w:rFonts w:ascii="宋体" w:hAnsi="宋体" w:cs="宋体"/>
          <w:b/>
          <w:color w:val="000000"/>
          <w:sz w:val="36"/>
          <w:u w:val="single"/>
        </w:rPr>
        <w:t xml:space="preserve">       </w:t>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rPr>
          <w:rFonts w:hint="eastAsia" w:ascii="宋体" w:hAnsi="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投标文件目录</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before="100" w:after="100" w:line="440" w:lineRule="exact"/>
        <w:widowControl/>
        <w:rPr>
          <w:rFonts w:hint="eastAsia" w:ascii="宋体" w:hAnsi="宋体" w:cs="宋体"/>
          <w:iCs/>
          <w:color w:val="000000"/>
          <w:sz w:val="24"/>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一、法人或者其他组织的营业执照等证明文件，自然人的身份证明</w:t>
      </w:r>
      <w:r/>
    </w:p>
    <w:p>
      <w:pPr>
        <w:ind w:firstLine="480"/>
        <w:spacing w:before="100" w:after="100" w:line="440" w:lineRule="exact"/>
        <w:widowControl/>
        <w:rPr>
          <w:rFonts w:hint="eastAsia" w:ascii="宋体" w:hAnsi="宋体" w:cs="宋体"/>
          <w:iCs/>
          <w:color w:val="000000"/>
          <w:sz w:val="24"/>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二、上一年度的财务状况报表（投标人成立不满一年无需提供）</w:t>
      </w:r>
      <w:r/>
    </w:p>
    <w:p>
      <w:pPr>
        <w:ind w:firstLine="480"/>
        <w:spacing w:before="100" w:after="100" w:line="440" w:lineRule="exact"/>
        <w:widowControl/>
        <w:rPr>
          <w:rFonts w:hint="eastAsia" w:ascii="宋体" w:hAnsi="宋体" w:cs="宋体"/>
          <w:iCs/>
          <w:color w:val="000000"/>
          <w:sz w:val="24"/>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三、具备履行合同所必需的设备和专业技术能力的书面声明</w:t>
      </w:r>
      <w:r>
        <w:rPr>
          <w:rFonts w:hint="eastAsia" w:ascii="宋体" w:hAnsi="宋体" w:cs="宋体"/>
          <w:iCs/>
          <w:color w:val="000000"/>
          <w:sz w:val="24"/>
        </w:rPr>
        <w:t xml:space="preserve">（格式附后）</w:t>
      </w:r>
      <w:r/>
    </w:p>
    <w:p>
      <w:pPr>
        <w:ind w:firstLine="480"/>
        <w:spacing w:before="100" w:after="100" w:line="440" w:lineRule="exact"/>
        <w:widowControl/>
        <w:rPr>
          <w:rFonts w:hint="eastAsia" w:ascii="宋体" w:hAnsi="宋体" w:cs="宋体"/>
          <w:iCs/>
          <w:color w:val="000000"/>
          <w:sz w:val="24"/>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before="100" w:after="100" w:line="440" w:lineRule="exact"/>
        <w:widowControl/>
        <w:rPr>
          <w:rFonts w:hint="eastAsia" w:ascii="宋体" w:hAnsi="宋体" w:cs="宋体"/>
          <w:iCs/>
          <w:color w:val="000000"/>
          <w:sz w:val="24"/>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五、参加政府采购活动前 3 年内在经营活动中没有重大违法记录的书面声明</w:t>
      </w:r>
      <w:r>
        <w:rPr>
          <w:rFonts w:hint="eastAsia" w:ascii="宋体" w:hAnsi="宋体" w:cs="宋体"/>
          <w:iCs/>
          <w:color w:val="000000"/>
          <w:sz w:val="24"/>
        </w:rPr>
        <w:t xml:space="preserve">（格式附后）</w:t>
      </w:r>
      <w:r/>
    </w:p>
    <w:p>
      <w:pPr>
        <w:ind w:firstLine="480"/>
        <w:spacing w:before="100" w:after="100" w:line="440" w:lineRule="exact"/>
        <w:widowControl/>
        <w:rPr>
          <w:rFonts w:hint="eastAsia" w:ascii="宋体" w:hAnsi="宋体" w:cs="宋体"/>
          <w:iCs/>
          <w:color w:val="000000"/>
          <w:sz w:val="24"/>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六、特定资格要求的证明文件</w:t>
      </w:r>
      <w:r/>
    </w:p>
    <w:p>
      <w:pPr>
        <w:ind w:firstLine="480"/>
        <w:spacing w:line="520" w:lineRule="exact"/>
        <w:rPr>
          <w:rFonts w:hint="eastAsia" w:ascii="宋体" w:hAnsi="宋体" w:cs="宋体"/>
          <w:color w:val="auto"/>
          <w:sz w:val="24"/>
          <w:szCs w:val="24"/>
        </w:rPr>
      </w:pPr>
      <w:r>
        <w:rPr>
          <w:rFonts w:hint="eastAsia" w:ascii="宋体" w:hAnsi="宋体" w:cs="宋体"/>
          <w:sz w:val="24"/>
          <w:szCs w:val="24"/>
        </w:rPr>
        <w:t xml:space="preserve">（1）未被“信用中国”网站（www.creditchina.gov.cn）列入失信被执行人、重大税收违法失信主体、政府采购严重失信行为记录名单</w:t>
      </w:r>
      <w:r>
        <w:rPr>
          <w:rFonts w:hint="eastAsia" w:ascii="宋体" w:hAnsi="宋体" w:cs="宋体"/>
          <w:color w:val="auto"/>
          <w:sz w:val="24"/>
          <w:szCs w:val="24"/>
        </w:rPr>
        <w:t xml:space="preserve">。</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（2）单位负责人为同一人或者存在直接控股、管理关系的不同供应商，不得参加同一合同项下的政府采购活动（</w:t>
      </w:r>
      <w:r>
        <w:rPr>
          <w:rFonts w:hint="eastAsia" w:ascii="宋体" w:hAnsi="宋体" w:cs="宋体"/>
          <w:iCs/>
          <w:color w:val="000000"/>
          <w:sz w:val="24"/>
        </w:rPr>
        <w:t xml:space="preserve">格式附后</w:t>
      </w:r>
      <w:r>
        <w:rPr>
          <w:rFonts w:hint="eastAsia" w:ascii="宋体" w:hAnsi="宋体" w:cs="宋体"/>
          <w:sz w:val="24"/>
          <w:szCs w:val="24"/>
        </w:rPr>
        <w:t xml:space="preserve">）。</w:t>
      </w:r>
      <w:r/>
    </w:p>
    <w:p>
      <w:pPr>
        <w:ind w:firstLine="480"/>
        <w:spacing w:before="100" w:after="100" w:line="440" w:lineRule="exact"/>
        <w:widowControl/>
        <w:rPr>
          <w:rFonts w:hint="eastAsia" w:ascii="宋体" w:hAnsi="宋体" w:cs="宋体"/>
          <w:iCs/>
          <w:color w:val="000000"/>
          <w:sz w:val="24"/>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七、法人授权书</w:t>
      </w:r>
      <w:r>
        <w:rPr>
          <w:rFonts w:hint="eastAsia" w:ascii="宋体" w:hAnsi="宋体" w:cs="宋体"/>
          <w:iCs/>
          <w:color w:val="000000"/>
          <w:sz w:val="24"/>
        </w:rPr>
        <w:t xml:space="preserve">（格式附后）</w:t>
      </w:r>
      <w:r/>
    </w:p>
    <w:p>
      <w:pPr>
        <w:ind w:firstLine="480"/>
        <w:spacing w:before="100" w:after="100" w:line="440" w:lineRule="exact"/>
        <w:widowControl/>
        <w:rPr>
          <w:rFonts w:hint="eastAsia" w:ascii="宋体" w:hAnsi="宋体" w:cs="宋体"/>
          <w:iCs/>
          <w:color w:val="000000"/>
          <w:sz w:val="24"/>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八、投标函</w:t>
      </w:r>
      <w:r>
        <w:rPr>
          <w:rFonts w:hint="eastAsia" w:ascii="宋体" w:hAnsi="宋体" w:cs="宋体"/>
          <w:iCs/>
          <w:color w:val="000000"/>
          <w:sz w:val="24"/>
        </w:rPr>
        <w:t xml:space="preserve">（格式附后）</w:t>
      </w:r>
      <w:r/>
    </w:p>
    <w:p>
      <w:pPr>
        <w:ind w:firstLine="482"/>
        <w:spacing w:line="440" w:lineRule="exact"/>
        <w:widowControl/>
        <w:rPr>
          <w:rFonts w:hint="eastAsia" w:ascii="宋体" w:hAnsi="宋体" w:cs="宋体"/>
          <w:iCs/>
          <w:color w:val="000000"/>
          <w:sz w:val="24"/>
        </w:rPr>
      </w:pPr>
      <w:r>
        <w:rPr>
          <w:rFonts w:ascii="宋体" w:hAnsi="宋体" w:cs="宋体"/>
          <w:iCs/>
          <w:color w:val="000000"/>
          <w:sz w:val="24"/>
        </w:rPr>
        <w:t xml:space="preserve">九、小微企业声明函</w:t>
      </w:r>
      <w:r>
        <w:rPr>
          <w:rFonts w:hint="eastAsia" w:ascii="宋体" w:hAnsi="宋体" w:cs="宋体"/>
          <w:iCs/>
          <w:color w:val="000000"/>
          <w:sz w:val="24"/>
        </w:rPr>
        <w:t xml:space="preserve">（格式附后）</w:t>
      </w:r>
      <w:r/>
    </w:p>
    <w:p>
      <w:pPr>
        <w:ind w:firstLine="480"/>
        <w:spacing w:before="100" w:after="100" w:line="440" w:lineRule="exact"/>
        <w:widowControl/>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十、残疾人福利性单位声明函</w:t>
      </w:r>
      <w:r>
        <w:rPr>
          <w:rFonts w:hint="eastAsia" w:ascii="宋体" w:hAnsi="宋体" w:cs="宋体"/>
          <w:iCs/>
          <w:color w:val="000000"/>
          <w:sz w:val="24"/>
        </w:rPr>
        <w:t xml:space="preserve">（格式附后）</w:t>
      </w:r>
      <w:r/>
    </w:p>
    <w:p>
      <w:pPr>
        <w:ind w:firstLine="480"/>
        <w:spacing w:before="100" w:after="100" w:line="440" w:lineRule="exact"/>
        <w:widowControl/>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十一、投标分项报价表</w:t>
      </w:r>
      <w:r>
        <w:rPr>
          <w:rFonts w:hint="eastAsia" w:ascii="宋体" w:hAnsi="宋体" w:cs="宋体"/>
          <w:iCs/>
          <w:color w:val="000000"/>
          <w:sz w:val="24"/>
        </w:rPr>
        <w:t xml:space="preserve">（格式附后）</w:t>
      </w:r>
      <w:r/>
    </w:p>
    <w:p>
      <w:pPr>
        <w:ind w:firstLine="480"/>
        <w:spacing w:before="100" w:after="100" w:line="440" w:lineRule="exact"/>
        <w:widowControl/>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十二、技术参数响应及偏离表</w:t>
      </w:r>
      <w:r>
        <w:rPr>
          <w:rFonts w:hint="eastAsia" w:ascii="宋体" w:hAnsi="宋体" w:cs="宋体"/>
          <w:iCs/>
          <w:color w:val="000000"/>
          <w:sz w:val="24"/>
        </w:rPr>
        <w:t xml:space="preserve">（格式附后）</w:t>
      </w:r>
      <w:r/>
    </w:p>
    <w:p>
      <w:pPr>
        <w:ind w:firstLine="480"/>
        <w:spacing w:before="100" w:after="100" w:line="440" w:lineRule="exact"/>
        <w:widowControl/>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十三、商务条款响应及偏离表</w:t>
      </w:r>
      <w:r>
        <w:rPr>
          <w:rFonts w:hint="eastAsia" w:ascii="宋体" w:hAnsi="宋体" w:cs="宋体"/>
          <w:iCs/>
          <w:color w:val="000000"/>
          <w:sz w:val="24"/>
        </w:rPr>
        <w:t xml:space="preserve">（格式附后）</w:t>
      </w:r>
      <w:r/>
    </w:p>
    <w:p>
      <w:pPr>
        <w:ind w:firstLine="480"/>
        <w:spacing w:before="100" w:after="100" w:line="440" w:lineRule="exact"/>
        <w:widowControl/>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十四、开标一览表</w:t>
      </w:r>
      <w:r>
        <w:rPr>
          <w:rFonts w:hint="eastAsia" w:ascii="宋体" w:hAnsi="宋体" w:cs="宋体"/>
          <w:iCs/>
          <w:color w:val="000000"/>
          <w:sz w:val="24"/>
        </w:rPr>
        <w:t xml:space="preserve">（格式附后）</w:t>
      </w:r>
      <w:r/>
    </w:p>
    <w:p>
      <w:pPr>
        <w:ind w:firstLine="480"/>
        <w:spacing w:before="50" w:after="50" w:line="440" w:lineRule="exact"/>
        <w:widowControl/>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十五、</w:t>
      </w:r>
      <w:r>
        <w:rPr>
          <w:rFonts w:hint="eastAsia" w:ascii="宋体" w:hAnsi="宋体"/>
          <w:iCs/>
          <w:sz w:val="24"/>
        </w:rPr>
        <w:t xml:space="preserve">综合评分法要求提供供评委打分材料（详见招标文件第五章评分标准）</w:t>
      </w:r>
      <w:r/>
    </w:p>
    <w:p>
      <w:pPr>
        <w:ind w:firstLine="482"/>
        <w:spacing w:line="440" w:lineRule="exact"/>
        <w:widowControl/>
        <w:rPr>
          <w:rFonts w:hint="eastAsia" w:ascii="宋体" w:hAnsi="宋体"/>
          <w:iCs/>
          <w:sz w:val="24"/>
        </w:rPr>
      </w:pPr>
      <w:r>
        <w:rPr>
          <w:rFonts w:ascii="宋体" w:hAnsi="宋体" w:cs="宋体"/>
          <w:iCs/>
          <w:color w:val="000000"/>
          <w:sz w:val="24"/>
        </w:rPr>
        <w:t xml:space="preserve">十六、</w:t>
      </w:r>
      <w:r>
        <w:rPr>
          <w:rFonts w:hint="eastAsia" w:ascii="宋体" w:hAnsi="宋体"/>
          <w:iCs/>
          <w:sz w:val="24"/>
        </w:rPr>
        <w:t xml:space="preserve">盐城市政府采购事前信用承诺书（格式附后）</w:t>
      </w:r>
      <w:r/>
    </w:p>
    <w:p>
      <w:pPr>
        <w:pStyle w:val="953"/>
        <w:ind w:firstLine="480"/>
        <w:spacing w:before="0" w:after="0" w:line="520" w:lineRule="exact"/>
        <w:rPr>
          <w:rFonts w:hint="eastAsia" w:ascii="宋体" w:hAnsi="宋体" w:eastAsia="宋体" w:cs="宋体"/>
          <w:b w:val="0"/>
          <w:sz w:val="24"/>
          <w:szCs w:val="21"/>
        </w:rPr>
      </w:pPr>
      <w:r>
        <w:rPr>
          <w:rFonts w:hint="eastAsia" w:ascii="宋体" w:hAnsi="宋体" w:eastAsia="宋体" w:cs="宋体"/>
          <w:b w:val="0"/>
          <w:sz w:val="24"/>
          <w:szCs w:val="21"/>
        </w:rPr>
        <w:t xml:space="preserve">十七、投标人认为有必要提供的其他材料</w:t>
      </w:r>
      <w:r/>
    </w:p>
    <w:p>
      <w:pPr>
        <w:ind w:firstLine="482"/>
        <w:spacing w:line="440" w:lineRule="exact"/>
        <w:widowControl/>
        <w:rPr>
          <w:rFonts w:hint="eastAsia" w:ascii="宋体" w:hAnsi="宋体"/>
          <w:iCs/>
          <w:sz w:val="24"/>
        </w:rPr>
      </w:pPr>
      <w:r>
        <w:rPr>
          <w:rFonts w:hint="eastAsia" w:ascii="宋体" w:hAnsi="宋体"/>
          <w:iCs/>
          <w:sz w:val="24"/>
        </w:rPr>
      </w:r>
      <w:r/>
    </w:p>
    <w:p>
      <w:pPr>
        <w:spacing w:before="100" w:after="100"/>
        <w:rPr>
          <w:rFonts w:hint="eastAsia" w:ascii="黑体" w:hAnsi="黑体" w:eastAsia="黑体" w:cs="黑体"/>
          <w:iCs/>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rPr>
      </w:r>
      <w:r/>
    </w:p>
    <w:p>
      <w:pPr>
        <w:spacing w:before="100" w:after="100"/>
        <w:rPr>
          <w:rFonts w:hint="eastAsia" w:ascii="黑体" w:hAnsi="黑体" w:eastAsia="黑体" w:cs="黑体"/>
          <w:iCs/>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rPr>
      </w:r>
      <w:r/>
    </w:p>
    <w:p>
      <w:pPr>
        <w:spacing w:before="100" w:after="100"/>
        <w:rPr>
          <w:rFonts w:hint="eastAsia" w:ascii="黑体" w:hAnsi="黑体" w:eastAsia="黑体" w:cs="黑体"/>
          <w:iCs/>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rPr>
      </w:r>
      <w:r/>
    </w:p>
    <w:p>
      <w:pPr>
        <w:numPr>
          <w:ilvl w:val="0"/>
          <w:numId w:val="38"/>
        </w:num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法人或者其他组织的营业执照等证明文件，自然人的身份证明</w:t>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二、上一年度的财务状况报表（投标人成立不满一年无需提供）</w:t>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iCs/>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三、具</w:t>
      </w:r>
      <w:r>
        <w:rPr>
          <w:rFonts w:ascii="黑体" w:hAnsi="黑体" w:eastAsia="黑体" w:cs="黑体"/>
          <w:iCs/>
          <w:color w:val="000000"/>
          <w:sz w:val="32"/>
          <w:u w:val="single"/>
        </w:rPr>
        <w:t xml:space="preserve">备履行合同所必需的设备和专业技术能力的书面声明</w:t>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宋体" w:hAnsi="宋体"/>
          <w:b/>
          <w:bCs/>
          <w:sz w:val="28"/>
          <w:szCs w:val="28"/>
        </w:rPr>
      </w:pPr>
      <w:r>
        <w:rPr>
          <w:rFonts w:hint="eastAsia" w:ascii="宋体" w:hAnsi="宋体"/>
          <w:b/>
          <w:bCs/>
          <w:sz w:val="28"/>
          <w:szCs w:val="28"/>
        </w:rPr>
        <w:t xml:space="preserve">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r>
      <w:r/>
    </w:p>
    <w:p>
      <w:pPr>
        <w:ind w:firstLine="492"/>
        <w:spacing w:line="460" w:lineRule="exact"/>
        <w:rPr>
          <w:rFonts w:hint="eastAsia" w:ascii="宋体" w:hAnsi="宋体"/>
          <w:bCs/>
          <w:sz w:val="24"/>
        </w:rPr>
      </w:pPr>
      <w:r>
        <w:rPr>
          <w:rFonts w:hint="eastAsia" w:ascii="宋体" w:hAnsi="宋体"/>
          <w:bCs/>
          <w:sz w:val="24"/>
        </w:rPr>
      </w:r>
      <w:r/>
    </w:p>
    <w:p>
      <w:pPr>
        <w:ind w:firstLine="492"/>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t xml:space="preserve">                                      供应商名称（公章）：</w:t>
      </w:r>
      <w:r/>
    </w:p>
    <w:p>
      <w:pPr>
        <w:spacing w:line="460" w:lineRule="exact"/>
        <w:rPr>
          <w:rFonts w:hint="eastAsia" w:ascii="宋体" w:hAnsi="宋体"/>
          <w:bCs/>
          <w:sz w:val="24"/>
        </w:rPr>
      </w:pPr>
      <w:r>
        <w:rPr>
          <w:rFonts w:hint="eastAsia" w:ascii="宋体" w:hAnsi="宋体"/>
          <w:bCs/>
          <w:sz w:val="24"/>
        </w:rPr>
        <w:t xml:space="preserve">                                     </w:t>
      </w:r>
      <w:r/>
    </w:p>
    <w:p>
      <w:pPr>
        <w:spacing w:line="460" w:lineRule="exact"/>
        <w:rPr>
          <w:rFonts w:hint="eastAsia" w:ascii="宋体" w:hAnsi="宋体"/>
          <w:bCs/>
          <w:sz w:val="24"/>
        </w:rPr>
      </w:pPr>
      <w:r>
        <w:rPr>
          <w:rFonts w:hint="eastAsia" w:ascii="宋体" w:hAnsi="宋体"/>
          <w:bCs/>
          <w:sz w:val="24"/>
        </w:rPr>
        <w:t xml:space="preserve">                                     日期：______年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ind w:firstLine="480"/>
        <w:spacing w:before="100" w:after="100"/>
        <w:rPr>
          <w:rFonts w:hint="eastAsia" w:ascii="宋体" w:hAnsi="宋体" w:cs="宋体"/>
          <w:i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iCs/>
          <w:color w:val="000000"/>
          <w:sz w:val="24"/>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rPr>
          <w:rFonts w:hint="eastAsia" w:ascii="黑体" w:hAnsi="黑体" w:eastAsia="黑体" w:cs="黑体"/>
          <w:iCs/>
          <w:color w:val="000000"/>
          <w:sz w:val="32"/>
          <w:u w:val="single"/>
        </w:rPr>
      </w:r>
    </w:p>
    <w:p>
      <w:pPr>
        <w:spacing w:before="100" w:after="100"/>
        <w:rPr>
          <w:rFonts w:hint="eastAsia" w:ascii="黑体" w:hAnsi="黑体" w:eastAsia="黑体" w:cs="黑体"/>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t xml:space="preserve">四、依法缴纳税收和社会保障资金的相关材料</w:t>
      </w:r>
      <w:r/>
    </w:p>
    <w:p>
      <w:pPr>
        <w:ind w:firstLine="480"/>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提供提交投标文件截止时间前一年内至少一个月依法缴纳税收及缴纳社会保障资金的证明材料。投标人依法享受缓缴、免缴税收、社会保障资金的提供证明材料。</w:t>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iCs/>
        </w:rPr>
        <w:pBdr>
          <w:top w:val="none" w:color="000000" w:sz="0" w:space="0"/>
          <w:left w:val="none" w:color="000000" w:sz="0" w:space="0"/>
          <w:bottom w:val="none" w:color="000000" w:sz="0" w:space="0"/>
          <w:right w:val="none" w:color="000000" w:sz="0" w:space="0"/>
        </w:pBdr>
      </w:pPr>
      <w:r>
        <w:rPr>
          <w:rFonts w:ascii="黑体" w:hAnsi="黑体" w:eastAsia="黑体" w:cs="黑体"/>
          <w:iCs/>
          <w:color w:val="000000"/>
          <w:sz w:val="32"/>
          <w:u w:val="single"/>
        </w:rPr>
        <w:t xml:space="preserve">五、参加政府采购活动前 3 年内在经营活动中没有重大违法记录的书面声明</w:t>
      </w:r>
      <w:r/>
    </w:p>
    <w:p>
      <w:pPr>
        <w:spacing w:before="100" w:after="100"/>
        <w:rPr>
          <w:iCs/>
        </w:rPr>
        <w:pBdr>
          <w:top w:val="none" w:color="000000" w:sz="0" w:space="0"/>
          <w:left w:val="none" w:color="000000" w:sz="0" w:space="0"/>
          <w:bottom w:val="none" w:color="000000" w:sz="0" w:space="0"/>
          <w:right w:val="none" w:color="000000" w:sz="0" w:space="0"/>
        </w:pBdr>
      </w:pPr>
      <w:r>
        <w:rPr>
          <w:iCs/>
        </w:rPr>
      </w:r>
      <w:r/>
    </w:p>
    <w:p>
      <w:pPr>
        <w:jc w:val="center"/>
        <w:spacing w:line="460" w:lineRule="exact"/>
        <w:rPr>
          <w:rFonts w:hint="eastAsia" w:ascii="宋体" w:hAnsi="宋体"/>
          <w:b/>
          <w:bCs/>
          <w:sz w:val="44"/>
          <w:szCs w:val="44"/>
        </w:rPr>
      </w:pPr>
      <w:r>
        <w:rPr>
          <w:rFonts w:hint="eastAsia" w:ascii="宋体" w:hAnsi="宋体"/>
          <w:b/>
          <w:bCs/>
          <w:sz w:val="44"/>
          <w:szCs w:val="44"/>
        </w:rPr>
        <w:t xml:space="preserve">声  明</w:t>
      </w:r>
      <w:r/>
    </w:p>
    <w:p>
      <w:pPr>
        <w:spacing w:line="460" w:lineRule="exact"/>
        <w:rPr>
          <w:rFonts w:hint="eastAsia" w:ascii="宋体" w:hAnsi="宋体"/>
          <w:b/>
          <w:bCs/>
          <w:sz w:val="24"/>
        </w:rPr>
      </w:pPr>
      <w:r>
        <w:rPr>
          <w:rFonts w:hint="eastAsia" w:ascii="宋体" w:hAnsi="宋体"/>
          <w:b/>
          <w:bCs/>
          <w:sz w:val="24"/>
        </w:rPr>
        <w:t xml:space="preserve">    </w:t>
      </w: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hint="eastAsia" w:ascii="宋体" w:hAnsi="宋体"/>
          <w:bCs/>
          <w:sz w:val="24"/>
        </w:rPr>
      </w:pPr>
      <w:r>
        <w:rPr>
          <w:rFonts w:hint="eastAsia" w:ascii="宋体" w:hAnsi="宋体"/>
          <w:bCs/>
          <w:sz w:val="24"/>
        </w:rPr>
        <w:t xml:space="preserve">                                      供应商名称（公章）：</w:t>
      </w:r>
      <w:r/>
    </w:p>
    <w:p>
      <w:pPr>
        <w:spacing w:line="460" w:lineRule="exact"/>
        <w:rPr>
          <w:rFonts w:hint="eastAsia" w:ascii="宋体" w:hAnsi="宋体"/>
          <w:bCs/>
          <w:sz w:val="24"/>
        </w:rPr>
      </w:pPr>
      <w:r>
        <w:rPr>
          <w:rFonts w:hint="eastAsia" w:ascii="宋体" w:hAnsi="宋体"/>
          <w:bCs/>
          <w:sz w:val="24"/>
        </w:rPr>
        <w:t xml:space="preserve">                                      授权代表签字：______________________</w:t>
      </w:r>
      <w:r/>
    </w:p>
    <w:p>
      <w:pPr>
        <w:spacing w:line="460" w:lineRule="exact"/>
        <w:rPr>
          <w:rFonts w:hint="eastAsia" w:ascii="黑体" w:hAnsi="黑体" w:eastAsia="黑体" w:cs="黑体"/>
          <w:iCs/>
          <w:color w:val="000000"/>
          <w:sz w:val="32"/>
          <w:u w:val="single"/>
        </w:rPr>
      </w:pPr>
      <w:r>
        <w:rPr>
          <w:rFonts w:hint="eastAsia" w:ascii="宋体" w:hAnsi="宋体"/>
          <w:bCs/>
          <w:sz w:val="24"/>
        </w:rPr>
        <w:t xml:space="preserve">                                      日期：______年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Cs/>
          <w:color w:val="000000"/>
          <w:sz w:val="32"/>
          <w:u w:val="single"/>
        </w:rPr>
        <w:t xml:space="preserve">六、特定资格要求的证明文件</w:t>
      </w:r>
      <w:r/>
    </w:p>
    <w:p>
      <w:pPr>
        <w:ind w:firstLine="480"/>
        <w:spacing w:before="100" w:after="100"/>
        <w:rPr>
          <w:rFonts w:hint="eastAsia" w:ascii="宋体" w:hAnsi="宋体" w:cs="宋体"/>
          <w:i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iCs/>
          <w:color w:val="000000"/>
          <w:sz w:val="24"/>
        </w:rPr>
        <w:t xml:space="preserve"> 如果本项目申请人的特定资格要求中要求提供的，必须提供。</w:t>
      </w:r>
      <w:r/>
    </w:p>
    <w:p>
      <w:pPr>
        <w:ind w:firstLine="480"/>
        <w:spacing w:line="520" w:lineRule="exact"/>
        <w:rPr>
          <w:rFonts w:hint="eastAsia" w:ascii="宋体" w:hAnsi="宋体" w:cs="宋体"/>
          <w:color w:val="auto"/>
          <w:sz w:val="24"/>
          <w:szCs w:val="24"/>
        </w:rPr>
      </w:pPr>
      <w:r>
        <w:rPr>
          <w:rFonts w:hint="eastAsia" w:ascii="宋体" w:hAnsi="宋体" w:cs="宋体"/>
          <w:sz w:val="24"/>
          <w:szCs w:val="24"/>
        </w:rPr>
        <w:t xml:space="preserve">（1）未被“信用中国”网站（www.creditchina.gov.cn）列入失信被执行人、重大税收违法失信主体、政府采购严重失信行为记录名单</w:t>
      </w:r>
      <w:r>
        <w:rPr>
          <w:rFonts w:hint="eastAsia" w:ascii="宋体" w:hAnsi="宋体" w:cs="宋体"/>
          <w:color w:val="auto"/>
          <w:sz w:val="24"/>
          <w:szCs w:val="24"/>
        </w:rPr>
        <w:t xml:space="preserve">。</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（2）单位负责人为同一人或者存在直接控股、管理关系的不同供应商，不得参加同一合同项下的政府采购活动（</w:t>
      </w:r>
      <w:r>
        <w:rPr>
          <w:rFonts w:hint="eastAsia" w:ascii="宋体" w:hAnsi="宋体" w:cs="宋体"/>
          <w:iCs/>
          <w:color w:val="000000"/>
          <w:sz w:val="24"/>
        </w:rPr>
        <w:t xml:space="preserve">格式附后</w:t>
      </w:r>
      <w:r>
        <w:rPr>
          <w:rFonts w:hint="eastAsia" w:ascii="宋体" w:hAnsi="宋体" w:cs="宋体"/>
          <w:sz w:val="24"/>
          <w:szCs w:val="24"/>
        </w:rPr>
        <w:t xml:space="preserve">）。</w:t>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pStyle w:val="782"/>
        <w:jc w:val="both"/>
        <w:spacing w:beforeAutospacing="0" w:afterAutospacing="0"/>
        <w:rPr>
          <w:rFonts w:hint="eastAsia" w:ascii="宋体" w:hAnsi="宋体" w:cs="宋体"/>
          <w:b/>
          <w:bCs/>
        </w:rPr>
      </w:pPr>
      <w:r>
        <w:rPr>
          <w:rFonts w:hint="eastAsia" w:ascii="宋体" w:hAnsi="宋体" w:cs="宋体"/>
          <w:b/>
          <w:bCs/>
          <w:color w:val="000000"/>
          <w:sz w:val="32"/>
          <w:szCs w:val="32"/>
          <w:u w:val="single"/>
        </w:rPr>
        <w:t xml:space="preserve">单位负责人为同一人或者存在直接控股、服务关系的不同供应商，不得参加同一合同项下的政府采购活动证明文件</w:t>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pStyle w:val="782"/>
        <w:jc w:val="center"/>
        <w:spacing w:beforeAutospacing="0" w:afterAutospacing="0" w:line="0" w:lineRule="atLeast"/>
      </w:pPr>
      <w:r>
        <w:rPr>
          <w:rFonts w:hint="eastAsia" w:ascii="宋体" w:hAnsi="宋体" w:cs="宋体"/>
          <w:b/>
          <w:bCs/>
          <w:color w:val="000000"/>
          <w:sz w:val="44"/>
          <w:szCs w:val="44"/>
        </w:rPr>
        <w:t xml:space="preserve">声  明</w:t>
      </w:r>
      <w:r/>
    </w:p>
    <w:p>
      <w:pPr>
        <w:pStyle w:val="782"/>
        <w:jc w:val="both"/>
        <w:spacing w:beforeAutospacing="0" w:afterAutospacing="0" w:line="0" w:lineRule="atLeast"/>
      </w:pPr>
      <w:r>
        <w:rPr>
          <w:rFonts w:hint="eastAsia" w:ascii="宋体" w:hAnsi="宋体" w:cs="宋体"/>
          <w:color w:val="000000"/>
          <w:szCs w:val="24"/>
        </w:rPr>
        <w:t xml:space="preserve">我单位不存在：单位负责人为同一人或者存在直接控股、管理关系的不同供应商，同时参加同一合同项下的政府采购活动。</w:t>
      </w:r>
      <w:r/>
    </w:p>
    <w:p>
      <w:pPr>
        <w:pStyle w:val="782"/>
        <w:jc w:val="center"/>
        <w:spacing w:beforeAutospacing="0" w:afterAutospacing="0"/>
      </w:pPr>
      <w:r>
        <w:t xml:space="preserve">  </w:t>
      </w:r>
      <w:r/>
    </w:p>
    <w:p>
      <w:pPr>
        <w:ind w:firstLine="3840"/>
        <w:spacing w:line="460" w:lineRule="exact"/>
        <w:rPr>
          <w:rFonts w:hint="eastAsia" w:ascii="宋体" w:hAnsi="宋体"/>
          <w:bCs/>
          <w:sz w:val="24"/>
        </w:rPr>
      </w:pPr>
      <w:r>
        <w:rPr>
          <w:rFonts w:hint="eastAsia" w:ascii="宋体" w:hAnsi="宋体"/>
          <w:bCs/>
          <w:sz w:val="24"/>
        </w:rPr>
        <w:t xml:space="preserve">供应商名称（公章）：</w:t>
      </w:r>
      <w:r/>
    </w:p>
    <w:p>
      <w:pPr>
        <w:spacing w:line="460" w:lineRule="exact"/>
        <w:rPr>
          <w:rFonts w:hint="eastAsia" w:ascii="宋体" w:hAnsi="宋体"/>
          <w:bCs/>
          <w:sz w:val="24"/>
        </w:rPr>
      </w:pPr>
      <w:r>
        <w:rPr>
          <w:rFonts w:hint="eastAsia" w:ascii="宋体" w:hAnsi="宋体"/>
          <w:bCs/>
          <w:sz w:val="24"/>
        </w:rPr>
        <w:t xml:space="preserve">                                      授权代表签字：______________________</w:t>
      </w:r>
      <w:r/>
    </w:p>
    <w:p>
      <w:pPr>
        <w:spacing w:line="460" w:lineRule="exact"/>
        <w:rPr>
          <w:rFonts w:hint="eastAsia" w:ascii="宋体" w:hAnsi="宋体"/>
          <w:bCs/>
          <w:sz w:val="24"/>
        </w:rPr>
      </w:pPr>
      <w:r>
        <w:rPr>
          <w:rFonts w:hint="eastAsia" w:ascii="宋体" w:hAnsi="宋体"/>
          <w:bCs/>
          <w:sz w:val="24"/>
        </w:rPr>
        <w:t xml:space="preserve">                                      日期：______年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iCs/>
          <w:color w:val="000000"/>
          <w:sz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rPr>
          <w:rFonts w:hint="eastAsia" w:ascii="黑体" w:hAnsi="黑体" w:eastAsia="黑体" w:cs="黑体"/>
          <w:iCs/>
          <w:color w:val="000000"/>
          <w:sz w:val="32"/>
          <w:u w:val="single"/>
        </w:rPr>
      </w:r>
    </w:p>
    <w:p>
      <w:pPr>
        <w:spacing w:before="100" w:after="100"/>
        <w:rPr>
          <w:rFonts w:hint="eastAsia" w:ascii="黑体" w:hAnsi="黑体" w:eastAsia="黑体" w:cs="黑体"/>
          <w:iCs/>
          <w:color w:val="000000"/>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Cs/>
          <w:color w:val="000000"/>
          <w:sz w:val="32"/>
          <w:u w:val="single"/>
        </w:rPr>
      </w:r>
      <w:r/>
    </w:p>
    <w:p>
      <w:pPr>
        <w:spacing w:before="100" w:after="100"/>
        <w:rPr>
          <w:rFonts w:hint="eastAsia" w:ascii="黑体" w:hAnsi="黑体" w:eastAsia="黑体" w:cs="黑体"/>
          <w:bCs/>
          <w:iCs/>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Cs/>
          <w:color w:val="000000"/>
          <w:sz w:val="32"/>
          <w:u w:val="single"/>
        </w:rPr>
        <w:t xml:space="preserve">七、法人授权书</w:t>
      </w:r>
      <w:r/>
    </w:p>
    <w:p>
      <w:pPr>
        <w:pStyle w:val="951"/>
        <w:jc w:val="center"/>
        <w:rPr>
          <w:rFonts w:hint="eastAsia" w:ascii="宋体" w:hAnsi="宋体" w:cs="宋体"/>
          <w:sz w:val="28"/>
          <w:szCs w:val="28"/>
        </w:rPr>
      </w:pPr>
      <w:r>
        <w:rPr>
          <w:rFonts w:hint="eastAsia" w:ascii="宋体" w:hAnsi="宋体" w:cs="宋体"/>
          <w:sz w:val="28"/>
          <w:szCs w:val="28"/>
        </w:rPr>
        <w:t xml:space="preserve">法人授权书</w:t>
      </w:r>
      <w:r/>
    </w:p>
    <w:p>
      <w:pPr>
        <w:ind w:firstLine="480"/>
        <w:spacing w:before="100" w:after="100"/>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本授权书声明：</w:t>
      </w:r>
      <w:r>
        <w:rPr>
          <w:rFonts w:eastAsia="Times New Roman"/>
          <w:iCs/>
          <w:color w:val="000000"/>
          <w:sz w:val="24"/>
        </w:rPr>
        <w:t xml:space="preserve">____________</w:t>
      </w:r>
      <w:r>
        <w:rPr>
          <w:rFonts w:ascii="宋体" w:hAnsi="宋体" w:cs="宋体"/>
          <w:iCs/>
          <w:color w:val="000000"/>
          <w:sz w:val="24"/>
        </w:rPr>
        <w:t xml:space="preserve">（投标人名称）授权</w:t>
      </w:r>
      <w:r>
        <w:rPr>
          <w:rFonts w:eastAsia="Times New Roman"/>
          <w:iCs/>
          <w:color w:val="000000"/>
          <w:sz w:val="24"/>
        </w:rPr>
        <w:t xml:space="preserve">________________</w:t>
      </w:r>
      <w:r>
        <w:rPr>
          <w:rFonts w:ascii="宋体" w:hAnsi="宋体" w:cs="宋体"/>
          <w:iCs/>
          <w:color w:val="000000"/>
          <w:sz w:val="24"/>
        </w:rPr>
        <w:t xml:space="preserve">（被授权人的姓名）为我方就</w:t>
      </w:r>
      <w:r>
        <w:rPr>
          <w:rFonts w:hint="eastAsia" w:ascii="宋体" w:hAnsi="宋体" w:cs="宋体"/>
          <w:sz w:val="24"/>
          <w:szCs w:val="24"/>
        </w:rPr>
        <w:t xml:space="preserve">JSZC-</w:t>
      </w:r>
      <w:r>
        <w:rPr>
          <w:rFonts w:ascii="宋体" w:hAnsi="宋体" w:cs="宋体"/>
          <w:iCs/>
          <w:color w:val="000000"/>
          <w:sz w:val="24"/>
          <w:u w:val="single"/>
        </w:rPr>
        <w:t xml:space="preserve">  </w:t>
      </w:r>
      <w:r>
        <w:rPr>
          <w:rFonts w:eastAsia="Times New Roman"/>
          <w:iCs/>
          <w:color w:val="000000"/>
          <w:sz w:val="24"/>
          <w:u w:val="single"/>
        </w:rPr>
        <w:t xml:space="preserve">        </w:t>
      </w:r>
      <w:r>
        <w:rPr>
          <w:rFonts w:ascii="宋体" w:hAnsi="宋体" w:cs="宋体"/>
          <w:iCs/>
          <w:color w:val="000000"/>
          <w:sz w:val="24"/>
        </w:rPr>
        <w:t xml:space="preserve">号项目采购活动的合法代理人，以本单位名义全权处理一切与该项目采购有关的事务。</w:t>
      </w:r>
      <w:r/>
    </w:p>
    <w:p>
      <w:pPr>
        <w:ind w:firstLine="480"/>
        <w:spacing w:before="100" w:after="100"/>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本授权书于</w:t>
      </w:r>
      <w:r>
        <w:rPr>
          <w:rFonts w:eastAsia="Times New Roman"/>
          <w:iCs/>
          <w:color w:val="000000"/>
          <w:sz w:val="24"/>
        </w:rPr>
        <w:t xml:space="preserve">______</w:t>
      </w:r>
      <w:r>
        <w:rPr>
          <w:rFonts w:ascii="宋体" w:hAnsi="宋体" w:cs="宋体"/>
          <w:iCs/>
          <w:color w:val="000000"/>
          <w:sz w:val="24"/>
        </w:rPr>
        <w:t xml:space="preserve">年</w:t>
      </w:r>
      <w:r>
        <w:rPr>
          <w:rFonts w:eastAsia="Times New Roman"/>
          <w:iCs/>
          <w:color w:val="000000"/>
          <w:sz w:val="24"/>
        </w:rPr>
        <w:t xml:space="preserve">____</w:t>
      </w:r>
      <w:r>
        <w:rPr>
          <w:rFonts w:ascii="宋体" w:hAnsi="宋体" w:cs="宋体"/>
          <w:iCs/>
          <w:color w:val="000000"/>
          <w:sz w:val="24"/>
        </w:rPr>
        <w:t xml:space="preserve">月</w:t>
      </w:r>
      <w:r>
        <w:rPr>
          <w:rFonts w:eastAsia="Times New Roman"/>
          <w:iCs/>
          <w:color w:val="000000"/>
          <w:sz w:val="24"/>
        </w:rPr>
        <w:t xml:space="preserve">____</w:t>
      </w:r>
      <w:r>
        <w:rPr>
          <w:rFonts w:ascii="宋体" w:hAnsi="宋体" w:cs="宋体"/>
          <w:iCs/>
          <w:color w:val="000000"/>
          <w:sz w:val="24"/>
        </w:rPr>
        <w:t xml:space="preserve">日起生效，特此声明。</w:t>
      </w:r>
      <w:r/>
    </w:p>
    <w:p>
      <w:pPr>
        <w:spacing w:before="100" w:after="100"/>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被授权人身份证号码：</w:t>
      </w:r>
      <w:r/>
    </w:p>
    <w:p>
      <w:pPr>
        <w:spacing w:before="100" w:after="100"/>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被授权人联系电话：（手机）</w:t>
      </w:r>
      <w:r/>
    </w:p>
    <w:p>
      <w:pPr>
        <w:ind w:firstLine="480"/>
        <w:spacing w:before="100" w:after="100"/>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授权单位名称：</w:t>
      </w:r>
      <w:r>
        <w:rPr>
          <w:rFonts w:ascii="宋体" w:hAnsi="宋体" w:cs="宋体"/>
          <w:iCs/>
          <w:color w:val="000000"/>
          <w:sz w:val="24"/>
          <w:u w:val="single"/>
        </w:rPr>
        <w:t xml:space="preserve">（加盖</w:t>
      </w:r>
      <w:r>
        <w:rPr>
          <w:rFonts w:eastAsia="Times New Roman"/>
          <w:iCs/>
          <w:color w:val="000000"/>
          <w:sz w:val="24"/>
          <w:u w:val="single"/>
        </w:rPr>
        <w:t xml:space="preserve">CA</w:t>
      </w:r>
      <w:r>
        <w:rPr>
          <w:rFonts w:ascii="宋体" w:hAnsi="宋体" w:cs="宋体"/>
          <w:iCs/>
          <w:color w:val="000000"/>
          <w:sz w:val="24"/>
          <w:u w:val="single"/>
        </w:rPr>
        <w:t xml:space="preserve">电子公章）</w:t>
      </w:r>
      <w:r/>
    </w:p>
    <w:p>
      <w:pPr>
        <w:ind w:firstLine="480"/>
        <w:spacing w:before="100" w:after="100"/>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单位地址：</w:t>
      </w:r>
      <w:r/>
    </w:p>
    <w:p>
      <w:pPr>
        <w:ind w:firstLine="480"/>
        <w:spacing w:before="100" w:after="100"/>
        <w:rPr>
          <w:iCs/>
        </w:rPr>
        <w:pBdr>
          <w:top w:val="none" w:color="000000" w:sz="0" w:space="0"/>
          <w:left w:val="none" w:color="000000" w:sz="0" w:space="0"/>
          <w:bottom w:val="none" w:color="000000" w:sz="0" w:space="0"/>
          <w:right w:val="none" w:color="000000" w:sz="0" w:space="0"/>
        </w:pBdr>
      </w:pPr>
      <w:r>
        <w:rPr>
          <w:rFonts w:ascii="宋体" w:hAnsi="宋体" w:cs="宋体"/>
          <w:iCs/>
          <w:color w:val="000000"/>
          <w:sz w:val="24"/>
        </w:rPr>
        <w:t xml:space="preserve">日期：</w:t>
      </w:r>
      <w:r/>
    </w:p>
    <w:p>
      <w:pPr>
        <w:pStyle w:val="951"/>
        <w:ind w:firstLine="643"/>
        <w:jc w:val="center"/>
        <w:spacing w:line="420" w:lineRule="auto"/>
        <w:rPr>
          <w:rFonts w:hint="eastAsia" w:ascii="宋体" w:hAnsi="宋体"/>
        </w:rPr>
      </w:pPr>
      <w:r>
        <w:rPr>
          <w:rFonts w:hint="eastAsia" w:ascii="宋体" w:hAnsi="宋体"/>
        </w:rPr>
      </w:r>
      <w:r/>
    </w:p>
    <w:p>
      <w:pPr>
        <w:pStyle w:val="1035"/>
        <w:ind w:firstLine="480"/>
        <w:spacing w:line="420" w:lineRule="auto"/>
        <w:rPr>
          <w:sz w:val="24"/>
          <w:szCs w:val="24"/>
        </w:rPr>
      </w:pPr>
      <w:r>
        <w:rPr>
          <w:rFonts w:hint="eastAsia"/>
          <w:sz w:val="24"/>
          <w:szCs w:val="24"/>
        </w:rPr>
        <w:t xml:space="preserve">         </w:t>
      </w:r>
      <w:r/>
    </w:p>
    <w:p>
      <w:pPr>
        <w:ind w:firstLine="640"/>
        <w:spacing w:before="50" w:after="50" w:line="420" w:lineRule="auto"/>
        <w:rPr>
          <w:rFonts w:ascii="黑体" w:eastAsia="黑体"/>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sz w:val="32"/>
          <w:szCs w:val="32"/>
        </w:rPr>
      </w:r>
      <w:r/>
    </w:p>
    <w:p>
      <w:pPr>
        <w:spacing w:before="260" w:after="260" w:line="98" w:lineRule="atLeast"/>
        <w:rPr>
          <w:rFonts w:hint="eastAsia" w:ascii="宋体" w:hAnsi="宋体"/>
        </w:rPr>
        <w:pBdr>
          <w:top w:val="none" w:color="000000" w:sz="0" w:space="0"/>
          <w:left w:val="none" w:color="000000" w:sz="0" w:space="0"/>
          <w:bottom w:val="none" w:color="000000" w:sz="0" w:space="0"/>
          <w:right w:val="none" w:color="000000" w:sz="0" w:space="0"/>
        </w:pBdr>
      </w:pPr>
      <w:r>
        <w:rPr>
          <w:rFonts w:ascii="黑体" w:hAnsi="黑体" w:eastAsia="黑体" w:cs="黑体"/>
          <w:b/>
          <w:iCs/>
          <w:color w:val="000000"/>
          <w:sz w:val="32"/>
        </w:rPr>
        <w:t xml:space="preserve">八、投标函</w:t>
      </w:r>
      <w:r/>
    </w:p>
    <w:p>
      <w:pPr>
        <w:pStyle w:val="951"/>
        <w:ind w:firstLine="643"/>
        <w:jc w:val="center"/>
        <w:spacing w:line="420" w:lineRule="auto"/>
        <w:rPr>
          <w:rFonts w:hint="eastAsia" w:ascii="宋体" w:hAnsi="宋体"/>
        </w:rPr>
      </w:pPr>
      <w:r>
        <w:rPr>
          <w:rFonts w:hint="eastAsia" w:ascii="宋体" w:hAnsi="宋体"/>
        </w:rPr>
        <w:t xml:space="preserve">投标函</w:t>
      </w:r>
      <w:r/>
    </w:p>
    <w:p>
      <w:pPr>
        <w:pStyle w:val="1010"/>
        <w:spacing w:before="0" w:after="0" w:line="420" w:lineRule="auto"/>
        <w:rPr>
          <w:rFonts w:hint="eastAsia" w:ascii="宋体" w:hAnsi="宋体"/>
          <w:szCs w:val="21"/>
          <w:u w:val="single"/>
        </w:rPr>
      </w:pPr>
      <w:r>
        <w:rPr>
          <w:rFonts w:hint="eastAsia" w:ascii="宋体" w:hAnsi="宋体"/>
          <w:szCs w:val="21"/>
        </w:rPr>
        <w:t xml:space="preserve">致：</w:t>
      </w:r>
      <w:r>
        <w:rPr>
          <w:rFonts w:hint="eastAsia" w:ascii="宋体" w:hAnsi="宋体"/>
          <w:szCs w:val="21"/>
          <w:u w:val="single"/>
        </w:rPr>
        <w:t xml:space="preserve">  （采购人全称）          </w:t>
      </w:r>
      <w:r/>
    </w:p>
    <w:p>
      <w:pPr>
        <w:pStyle w:val="1010"/>
        <w:spacing w:before="0" w:after="0" w:line="420" w:lineRule="auto"/>
        <w:rPr>
          <w:rFonts w:hint="eastAsia" w:ascii="宋体" w:hAnsi="宋体"/>
          <w:szCs w:val="21"/>
        </w:rPr>
      </w:pPr>
      <w:r>
        <w:rPr>
          <w:rFonts w:hint="eastAsia" w:ascii="宋体" w:hAnsi="宋体"/>
          <w:szCs w:val="21"/>
        </w:rPr>
        <w:t xml:space="preserve">根据贵方的</w:t>
      </w:r>
      <w:r>
        <w:rPr>
          <w:rFonts w:hint="eastAsia" w:ascii="宋体" w:hAnsi="宋体"/>
          <w:b/>
          <w:sz w:val="36"/>
          <w:u w:val="single"/>
        </w:rPr>
        <w:t xml:space="preserve">       </w:t>
      </w:r>
      <w:r>
        <w:rPr>
          <w:rFonts w:hint="eastAsia" w:ascii="宋体" w:hAnsi="宋体"/>
          <w:szCs w:val="21"/>
          <w:u w:val="single"/>
        </w:rPr>
        <w:t xml:space="preserve">（项目名称）</w:t>
      </w:r>
      <w:r>
        <w:rPr>
          <w:rFonts w:hint="eastAsia" w:ascii="宋体" w:hAnsi="宋体"/>
          <w:b/>
          <w:sz w:val="36"/>
          <w:u w:val="single"/>
        </w:rPr>
        <w:t xml:space="preserve">      </w:t>
      </w:r>
      <w:r>
        <w:rPr>
          <w:rFonts w:hint="eastAsia" w:ascii="宋体" w:hAnsi="宋体"/>
          <w:szCs w:val="21"/>
        </w:rPr>
        <w:t xml:space="preserve">（项目编号：</w:t>
      </w:r>
      <w:r>
        <w:rPr>
          <w:rFonts w:hint="eastAsia" w:ascii="宋体" w:hAnsi="宋体"/>
          <w:szCs w:val="21"/>
          <w:u w:val="single"/>
        </w:rPr>
        <w:t xml:space="preserve">          </w:t>
      </w:r>
      <w:r>
        <w:rPr>
          <w:rFonts w:hint="eastAsia" w:ascii="宋体" w:hAnsi="宋体"/>
          <w:szCs w:val="21"/>
        </w:rPr>
        <w:t xml:space="preserve">）</w:t>
      </w:r>
      <w:r>
        <w:rPr>
          <w:rFonts w:hint="eastAsia" w:ascii="宋体" w:hAnsi="宋体"/>
          <w:strike/>
          <w:szCs w:val="21"/>
        </w:rPr>
        <w:t xml:space="preserve">号</w:t>
      </w:r>
      <w:r>
        <w:rPr>
          <w:rFonts w:hint="eastAsia" w:ascii="宋体" w:hAnsi="宋体"/>
          <w:szCs w:val="21"/>
        </w:rPr>
        <w:t xml:space="preserve">招标文件，正式授权下述签字人_________________(姓名)代表我方______________（投标人的名称），全权处理本次项目投标的有关事宜。</w:t>
      </w:r>
      <w:r/>
    </w:p>
    <w:p>
      <w:pPr>
        <w:pStyle w:val="1010"/>
        <w:spacing w:before="0" w:after="0" w:line="420" w:lineRule="auto"/>
        <w:rPr>
          <w:rFonts w:hint="eastAsia" w:ascii="宋体" w:hAnsi="宋体"/>
          <w:szCs w:val="21"/>
        </w:rPr>
      </w:pPr>
      <w:r>
        <w:rPr>
          <w:rFonts w:hint="eastAsia" w:ascii="宋体" w:hAnsi="宋体"/>
          <w:szCs w:val="21"/>
        </w:rPr>
        <w:t xml:space="preserve">据此函，__________签字人兹宣布同意如下：</w:t>
      </w:r>
      <w:r/>
    </w:p>
    <w:p>
      <w:pPr>
        <w:pStyle w:val="1010"/>
        <w:spacing w:before="0" w:after="0" w:line="420" w:lineRule="auto"/>
        <w:rPr>
          <w:rFonts w:hint="eastAsia" w:ascii="宋体" w:hAnsi="宋体"/>
          <w:szCs w:val="21"/>
        </w:rPr>
      </w:pPr>
      <w:r>
        <w:rPr>
          <w:rFonts w:hint="eastAsia" w:ascii="宋体" w:hAnsi="宋体"/>
        </w:rPr>
        <w:t xml:space="preserve">1.我单位此次合同履行期限：供货期限：</w:t>
      </w:r>
      <w:r>
        <w:rPr>
          <w:rFonts w:hint="eastAsia" w:ascii="宋体" w:hAnsi="宋体" w:cs="宋体"/>
          <w:b/>
          <w:bCs/>
          <w:u w:val="single"/>
        </w:rPr>
        <w:t xml:space="preserve">30日历天（合同签订后30个日历天内完成设备供货及安装调试）</w:t>
      </w:r>
      <w:r>
        <w:rPr>
          <w:rFonts w:hint="eastAsia" w:ascii="宋体" w:hAnsi="宋体"/>
        </w:rPr>
        <w:t xml:space="preserve">；质量标准：</w:t>
      </w:r>
      <w:r>
        <w:rPr>
          <w:rFonts w:hint="eastAsia" w:ascii="Times New Roman" w:hAnsi="Times New Roman"/>
          <w:b/>
          <w:bCs/>
          <w:u w:val="single"/>
        </w:rPr>
        <w:t xml:space="preserve">合格</w:t>
      </w:r>
      <w:r>
        <w:rPr>
          <w:rFonts w:hint="eastAsia" w:ascii="宋体" w:hAnsi="宋体"/>
        </w:rPr>
        <w:t xml:space="preserve">。</w:t>
      </w:r>
      <w:r/>
    </w:p>
    <w:p>
      <w:pPr>
        <w:pStyle w:val="1010"/>
        <w:spacing w:before="0" w:after="0" w:line="420" w:lineRule="auto"/>
        <w:rPr>
          <w:rFonts w:hint="eastAsia" w:ascii="宋体" w:hAnsi="宋体"/>
          <w:szCs w:val="21"/>
        </w:rPr>
      </w:pPr>
      <w:r>
        <w:rPr>
          <w:rFonts w:hint="eastAsia" w:ascii="宋体" w:hAnsi="宋体"/>
        </w:rPr>
        <w:t xml:space="preserve">2.</w:t>
      </w:r>
      <w:r>
        <w:rPr>
          <w:rFonts w:hint="eastAsia" w:ascii="宋体" w:hAnsi="宋体"/>
          <w:szCs w:val="21"/>
        </w:rPr>
        <w:t xml:space="preserve">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p>
    <w:p>
      <w:pPr>
        <w:pStyle w:val="1010"/>
        <w:spacing w:before="0" w:after="0" w:line="420" w:lineRule="auto"/>
        <w:rPr>
          <w:rFonts w:hint="eastAsia" w:ascii="宋体" w:hAnsi="宋体"/>
          <w:szCs w:val="21"/>
        </w:rPr>
      </w:pPr>
      <w:r>
        <w:rPr>
          <w:rFonts w:hint="eastAsia" w:ascii="宋体" w:hAnsi="宋体"/>
          <w:szCs w:val="21"/>
        </w:rPr>
        <w:t xml:space="preserve">3.按招标文件规定的各项要求，向买方提供所需货物与服务。</w:t>
      </w:r>
      <w:r/>
    </w:p>
    <w:p>
      <w:pPr>
        <w:pStyle w:val="1010"/>
        <w:spacing w:before="0" w:after="0" w:line="420" w:lineRule="auto"/>
        <w:rPr>
          <w:rFonts w:hint="eastAsia" w:ascii="宋体" w:hAnsi="宋体"/>
          <w:szCs w:val="21"/>
        </w:rPr>
      </w:pPr>
      <w:r>
        <w:rPr>
          <w:rFonts w:hint="eastAsia" w:ascii="宋体" w:hAnsi="宋体"/>
          <w:szCs w:val="21"/>
        </w:rPr>
        <w:t xml:space="preserve">4.我们完全理解贵方不一定将合同授予最低报价的投标人。</w:t>
      </w:r>
      <w:r/>
    </w:p>
    <w:p>
      <w:pPr>
        <w:pStyle w:val="1010"/>
        <w:spacing w:before="0" w:after="0" w:line="420" w:lineRule="auto"/>
        <w:rPr>
          <w:rFonts w:hint="eastAsia" w:ascii="宋体" w:hAnsi="宋体"/>
          <w:szCs w:val="21"/>
        </w:rPr>
      </w:pPr>
      <w:r>
        <w:rPr>
          <w:rFonts w:hint="eastAsia" w:ascii="宋体" w:hAnsi="宋体"/>
          <w:szCs w:val="21"/>
        </w:rPr>
        <w:t xml:space="preserve">5.我们已详细审核全部招标文件及其有效补充文件，我们知道必须放弃提出含糊不清或误解问题的权利。</w:t>
      </w:r>
      <w:r/>
    </w:p>
    <w:p>
      <w:pPr>
        <w:pStyle w:val="1010"/>
        <w:spacing w:before="0" w:after="0" w:line="420" w:lineRule="auto"/>
        <w:rPr>
          <w:rFonts w:hint="eastAsia" w:ascii="宋体" w:hAnsi="宋体"/>
          <w:szCs w:val="21"/>
        </w:rPr>
      </w:pPr>
      <w:r>
        <w:rPr>
          <w:rFonts w:hint="eastAsia" w:ascii="宋体" w:hAnsi="宋体"/>
          <w:szCs w:val="21"/>
        </w:rPr>
        <w:t xml:space="preserve">6.我们同意从规定的开标日期起遵循本投标文件，并在规定的投标有效期(</w:t>
      </w:r>
      <w:r>
        <w:rPr>
          <w:rFonts w:hint="eastAsia" w:ascii="宋体" w:hAnsi="宋体" w:cs="宋体"/>
        </w:rPr>
        <w:t xml:space="preserve">开标之日后九十天</w:t>
      </w:r>
      <w:r>
        <w:rPr>
          <w:rFonts w:hint="eastAsia" w:ascii="宋体" w:hAnsi="宋体"/>
          <w:szCs w:val="21"/>
        </w:rPr>
        <w:t xml:space="preserve">)期满之前均具有约束力。</w:t>
      </w:r>
      <w:r/>
    </w:p>
    <w:p>
      <w:pPr>
        <w:pStyle w:val="1010"/>
        <w:spacing w:before="0" w:after="0" w:line="420" w:lineRule="auto"/>
        <w:rPr>
          <w:rFonts w:hint="eastAsia" w:ascii="宋体" w:hAnsi="宋体"/>
          <w:szCs w:val="21"/>
        </w:rPr>
      </w:pPr>
      <w:r>
        <w:rPr>
          <w:rFonts w:hint="eastAsia" w:ascii="宋体" w:hAnsi="宋体"/>
          <w:szCs w:val="21"/>
        </w:rPr>
        <w:t xml:space="preserve">7.如果在开标后规定的投标有效期内撤回投标或中标后拒绝签订合同，则按照国家相关法律法规受到相应处罚。</w:t>
      </w:r>
      <w:r/>
    </w:p>
    <w:p>
      <w:pPr>
        <w:pStyle w:val="1010"/>
        <w:spacing w:before="0" w:after="0" w:line="420" w:lineRule="auto"/>
        <w:rPr>
          <w:rFonts w:hint="eastAsia" w:ascii="宋体" w:hAnsi="宋体"/>
          <w:szCs w:val="21"/>
        </w:rPr>
      </w:pPr>
      <w:r>
        <w:rPr>
          <w:rFonts w:hint="eastAsia" w:ascii="宋体" w:hAnsi="宋体"/>
          <w:szCs w:val="21"/>
        </w:rPr>
        <w:t xml:space="preserve">8.同意向贵方提供贵方可能另外要求的与投标有关的任何证据或资料，并保证我方已提供和将要提供的文件是真实的、准确的。</w:t>
      </w:r>
      <w:r/>
    </w:p>
    <w:p>
      <w:pPr>
        <w:pStyle w:val="1010"/>
        <w:spacing w:before="0" w:after="0" w:line="420" w:lineRule="auto"/>
        <w:rPr>
          <w:rFonts w:hint="eastAsia" w:ascii="宋体" w:hAnsi="宋体"/>
          <w:szCs w:val="21"/>
        </w:rPr>
      </w:pPr>
      <w:r>
        <w:rPr>
          <w:rFonts w:hint="eastAsia" w:ascii="宋体" w:hAnsi="宋体"/>
          <w:szCs w:val="21"/>
        </w:rPr>
        <w:t xml:space="preserve">9.一旦我方中标,我方将根据招标文件的规定，严格履行合同的责任和义务,并保证在招标文件规定的时间完成项目，交付买方验收、使用。</w:t>
      </w:r>
      <w:r/>
    </w:p>
    <w:p>
      <w:pPr>
        <w:pStyle w:val="1010"/>
        <w:ind w:left="425"/>
        <w:spacing w:before="0" w:after="0" w:line="420" w:lineRule="auto"/>
        <w:rPr>
          <w:rFonts w:hint="eastAsia" w:ascii="宋体" w:hAnsi="宋体"/>
          <w:szCs w:val="21"/>
        </w:rPr>
      </w:pPr>
      <w:r>
        <w:rPr>
          <w:rFonts w:hint="eastAsia" w:ascii="宋体" w:hAnsi="宋体"/>
          <w:szCs w:val="21"/>
        </w:rPr>
        <w:t xml:space="preserve">10.与本投标有关的正式通讯地址为：</w:t>
      </w:r>
      <w:r/>
    </w:p>
    <w:p>
      <w:pPr>
        <w:pStyle w:val="1010"/>
        <w:ind w:left="420"/>
        <w:spacing w:before="0" w:after="0" w:line="420" w:lineRule="auto"/>
        <w:rPr>
          <w:rFonts w:hint="eastAsia" w:ascii="宋体" w:hAnsi="宋体"/>
          <w:szCs w:val="21"/>
        </w:rPr>
      </w:pPr>
      <w:r>
        <w:rPr>
          <w:rFonts w:hint="eastAsia" w:ascii="宋体" w:hAnsi="宋体"/>
          <w:szCs w:val="21"/>
        </w:rPr>
        <w:t xml:space="preserve">地          址：</w:t>
      </w:r>
      <w:r/>
    </w:p>
    <w:p>
      <w:pPr>
        <w:pStyle w:val="1010"/>
        <w:ind w:left="420"/>
        <w:spacing w:before="0" w:after="0" w:line="420" w:lineRule="auto"/>
        <w:rPr>
          <w:rFonts w:hint="eastAsia" w:ascii="宋体" w:hAnsi="宋体"/>
          <w:szCs w:val="21"/>
        </w:rPr>
      </w:pPr>
      <w:r>
        <w:rPr>
          <w:rFonts w:hint="eastAsia" w:ascii="宋体" w:hAnsi="宋体"/>
          <w:szCs w:val="21"/>
        </w:rPr>
        <w:t xml:space="preserve">邮          编：</w:t>
      </w:r>
      <w:r/>
    </w:p>
    <w:p>
      <w:pPr>
        <w:pStyle w:val="1010"/>
        <w:ind w:left="420"/>
        <w:spacing w:before="0" w:after="0" w:line="420" w:lineRule="auto"/>
        <w:rPr>
          <w:rFonts w:hint="eastAsia" w:ascii="宋体" w:hAnsi="宋体"/>
          <w:szCs w:val="21"/>
        </w:rPr>
      </w:pPr>
      <w:r>
        <w:rPr>
          <w:rFonts w:hint="eastAsia" w:ascii="宋体" w:hAnsi="宋体"/>
          <w:szCs w:val="21"/>
        </w:rPr>
        <w:t xml:space="preserve">电          话：</w:t>
      </w:r>
      <w:r/>
    </w:p>
    <w:p>
      <w:pPr>
        <w:pStyle w:val="1010"/>
        <w:ind w:left="420"/>
        <w:spacing w:before="0" w:after="0" w:line="420" w:lineRule="auto"/>
        <w:rPr>
          <w:rFonts w:hint="eastAsia" w:ascii="宋体" w:hAnsi="宋体"/>
          <w:szCs w:val="21"/>
        </w:rPr>
      </w:pPr>
      <w:r>
        <w:rPr>
          <w:rFonts w:hint="eastAsia" w:ascii="宋体" w:hAnsi="宋体"/>
          <w:szCs w:val="21"/>
        </w:rPr>
        <w:t xml:space="preserve">传          真：</w:t>
      </w:r>
      <w:r/>
    </w:p>
    <w:p>
      <w:pPr>
        <w:pStyle w:val="1010"/>
        <w:ind w:left="420"/>
        <w:spacing w:before="0" w:after="0" w:line="420" w:lineRule="auto"/>
        <w:rPr>
          <w:rFonts w:hint="eastAsia" w:ascii="宋体" w:hAnsi="宋体"/>
          <w:szCs w:val="21"/>
        </w:rPr>
      </w:pPr>
      <w:r>
        <w:rPr>
          <w:rFonts w:hint="eastAsia" w:ascii="宋体" w:hAnsi="宋体"/>
          <w:szCs w:val="21"/>
        </w:rPr>
        <w:t xml:space="preserve">投标人开户行：</w:t>
      </w:r>
      <w:r/>
    </w:p>
    <w:p>
      <w:pPr>
        <w:pStyle w:val="1010"/>
        <w:ind w:left="420"/>
        <w:spacing w:before="0" w:after="0" w:line="420" w:lineRule="auto"/>
        <w:rPr>
          <w:rFonts w:hint="eastAsia" w:ascii="宋体" w:hAnsi="宋体"/>
          <w:szCs w:val="21"/>
        </w:rPr>
      </w:pPr>
      <w:r>
        <w:rPr>
          <w:rFonts w:hint="eastAsia" w:ascii="宋体" w:hAnsi="宋体"/>
          <w:szCs w:val="21"/>
        </w:rPr>
        <w:t xml:space="preserve">账          户： </w:t>
      </w:r>
      <w:r/>
    </w:p>
    <w:p>
      <w:pPr>
        <w:pStyle w:val="1010"/>
        <w:ind w:left="420"/>
        <w:spacing w:before="0" w:after="0" w:line="420" w:lineRule="auto"/>
        <w:rPr>
          <w:rFonts w:hint="eastAsia" w:ascii="宋体" w:hAnsi="宋体"/>
          <w:szCs w:val="21"/>
        </w:rPr>
      </w:pPr>
      <w:r>
        <w:rPr>
          <w:rFonts w:hint="eastAsia" w:ascii="宋体" w:hAnsi="宋体"/>
          <w:szCs w:val="21"/>
        </w:rPr>
        <w:t xml:space="preserve">投标人授权代表姓名（签字）：</w:t>
      </w:r>
      <w:r/>
    </w:p>
    <w:p>
      <w:pPr>
        <w:pStyle w:val="1010"/>
        <w:ind w:left="420"/>
        <w:spacing w:before="0" w:after="0" w:line="420" w:lineRule="auto"/>
        <w:rPr>
          <w:rFonts w:hint="eastAsia" w:ascii="宋体" w:hAnsi="宋体"/>
          <w:szCs w:val="21"/>
        </w:rPr>
      </w:pPr>
      <w:r>
        <w:rPr>
          <w:rFonts w:hint="eastAsia" w:ascii="宋体" w:hAnsi="宋体"/>
          <w:szCs w:val="21"/>
        </w:rPr>
        <w:t xml:space="preserve">投标人授权代表电话（手机号码）：</w:t>
      </w:r>
      <w:r/>
    </w:p>
    <w:p>
      <w:pPr>
        <w:pStyle w:val="1010"/>
        <w:ind w:left="420"/>
        <w:spacing w:before="0" w:after="0" w:line="420" w:lineRule="auto"/>
        <w:rPr>
          <w:rFonts w:hint="eastAsia" w:ascii="宋体" w:hAnsi="宋体"/>
          <w:szCs w:val="21"/>
        </w:rPr>
      </w:pPr>
      <w:r>
        <w:rPr>
          <w:rFonts w:hint="eastAsia" w:ascii="宋体" w:hAnsi="宋体"/>
          <w:szCs w:val="21"/>
        </w:rPr>
        <w:t xml:space="preserve">投标人名称（公章）： </w:t>
      </w:r>
      <w:r/>
    </w:p>
    <w:p>
      <w:pPr>
        <w:pStyle w:val="1010"/>
        <w:ind w:left="420"/>
        <w:spacing w:before="0" w:after="0" w:line="420" w:lineRule="auto"/>
        <w:rPr>
          <w:rFonts w:hint="eastAsia" w:ascii="宋体" w:hAnsi="宋体"/>
          <w:szCs w:val="21"/>
        </w:rPr>
      </w:pPr>
      <w:r>
        <w:rPr>
          <w:rFonts w:hint="eastAsia" w:ascii="宋体" w:hAnsi="宋体"/>
          <w:szCs w:val="21"/>
        </w:rPr>
        <w:t xml:space="preserve">日           期：    年    月   日</w:t>
      </w:r>
      <w:r/>
    </w:p>
    <w:p>
      <w:pPr>
        <w:ind w:firstLine="880"/>
        <w:spacing w:line="420" w:lineRule="auto"/>
        <w:rPr>
          <w:rFonts w:ascii="黑体" w:eastAsia="黑体"/>
          <w:sz w:val="44"/>
        </w:rPr>
      </w:pPr>
      <w:r>
        <w:rPr>
          <w:rFonts w:hint="eastAsia" w:ascii="黑体" w:eastAsia="黑体"/>
          <w:sz w:val="44"/>
        </w:rPr>
        <w:t xml:space="preserve">    </w:t>
      </w:r>
      <w:r/>
    </w:p>
    <w:p>
      <w:pPr>
        <w:pStyle w:val="970"/>
        <w:ind w:left="1470" w:right="1470" w:firstLine="420"/>
        <w:spacing w:line="420" w:lineRule="auto"/>
        <w:rPr>
          <w:rFonts w:hint="default"/>
        </w:rPr>
      </w:pPr>
      <w:r>
        <w:rPr>
          <w:rFonts w:hint="default"/>
        </w:rPr>
      </w:r>
      <w:r/>
    </w:p>
    <w:p>
      <w:pPr>
        <w:ind w:firstLine="643"/>
        <w:jc w:val="center"/>
        <w:spacing w:before="50" w:after="145" w:line="420" w:lineRule="auto"/>
        <w:rPr>
          <w:rFonts w:ascii="宋体" w:cs="宋体"/>
          <w:b/>
          <w:bCs/>
          <w:sz w:val="32"/>
          <w:szCs w:val="32"/>
        </w:rPr>
      </w:pPr>
      <w:r>
        <w:rPr>
          <w:rFonts w:ascii="宋体" w:cs="宋体"/>
          <w:b/>
          <w:bCs/>
          <w:sz w:val="32"/>
          <w:szCs w:val="32"/>
        </w:rPr>
      </w:r>
      <w:r/>
    </w:p>
    <w:p>
      <w:pPr>
        <w:ind w:firstLine="643"/>
        <w:jc w:val="center"/>
        <w:spacing w:before="50" w:after="145" w:line="420" w:lineRule="auto"/>
        <w:rPr>
          <w:rFonts w:ascii="宋体" w:cs="宋体"/>
          <w:b/>
          <w:bCs/>
          <w:sz w:val="32"/>
          <w:szCs w:val="32"/>
        </w:rPr>
      </w:pPr>
      <w:r>
        <w:rPr>
          <w:rFonts w:ascii="宋体" w:cs="宋体"/>
          <w:b/>
          <w:bCs/>
          <w:sz w:val="32"/>
          <w:szCs w:val="32"/>
        </w:rPr>
      </w:r>
      <w:r/>
    </w:p>
    <w:p>
      <w:pPr>
        <w:ind w:firstLine="643"/>
        <w:jc w:val="center"/>
        <w:spacing w:before="50" w:after="145" w:line="420" w:lineRule="auto"/>
        <w:rPr>
          <w:rFonts w:ascii="宋体" w:cs="宋体"/>
          <w:b/>
          <w:bCs/>
          <w:sz w:val="32"/>
          <w:szCs w:val="32"/>
        </w:rPr>
      </w:pPr>
      <w:r>
        <w:rPr>
          <w:rFonts w:ascii="宋体" w:cs="宋体"/>
          <w:b/>
          <w:bCs/>
          <w:sz w:val="32"/>
          <w:szCs w:val="32"/>
        </w:rPr>
      </w:r>
      <w:r/>
    </w:p>
    <w:p>
      <w:pPr>
        <w:ind w:firstLine="643"/>
        <w:jc w:val="center"/>
        <w:spacing w:before="50" w:after="145" w:line="420" w:lineRule="auto"/>
        <w:rPr>
          <w:rFonts w:ascii="宋体" w:cs="宋体"/>
          <w:b/>
          <w:bCs/>
          <w:sz w:val="32"/>
          <w:szCs w:val="32"/>
        </w:rPr>
      </w:pPr>
      <w:r>
        <w:rPr>
          <w:rFonts w:ascii="宋体" w:cs="宋体"/>
          <w:b/>
          <w:bCs/>
          <w:sz w:val="32"/>
          <w:szCs w:val="32"/>
        </w:rPr>
      </w:r>
      <w:r/>
    </w:p>
    <w:p>
      <w:pPr>
        <w:ind w:firstLine="643"/>
        <w:jc w:val="center"/>
        <w:spacing w:before="50" w:after="145" w:line="420" w:lineRule="auto"/>
        <w:rPr>
          <w:rFonts w:ascii="宋体" w:cs="宋体"/>
          <w:b/>
          <w:bCs/>
          <w:sz w:val="32"/>
          <w:szCs w:val="32"/>
        </w:rPr>
      </w:pPr>
      <w:r>
        <w:rPr>
          <w:rFonts w:ascii="宋体" w:cs="宋体"/>
          <w:b/>
          <w:bCs/>
          <w:sz w:val="32"/>
          <w:szCs w:val="32"/>
        </w:rPr>
      </w:r>
      <w:r/>
    </w:p>
    <w:p>
      <w:pPr>
        <w:ind w:firstLine="643"/>
        <w:jc w:val="center"/>
        <w:spacing w:before="50" w:after="145" w:line="420" w:lineRule="auto"/>
        <w:rPr>
          <w:rFonts w:ascii="宋体" w:cs="宋体"/>
          <w:b/>
          <w:bCs/>
          <w:sz w:val="32"/>
          <w:szCs w:val="32"/>
        </w:rPr>
      </w:pPr>
      <w:r>
        <w:rPr>
          <w:rFonts w:ascii="宋体" w:cs="宋体"/>
          <w:b/>
          <w:bCs/>
          <w:sz w:val="32"/>
          <w:szCs w:val="32"/>
        </w:rPr>
      </w:r>
      <w:r/>
    </w:p>
    <w:p>
      <w:pPr>
        <w:ind w:firstLine="321"/>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九、</w:t>
      </w:r>
      <w:r>
        <w:rPr>
          <w:rFonts w:ascii="黑体" w:hAnsi="黑体" w:eastAsia="黑体" w:cs="黑体"/>
          <w:b/>
          <w:sz w:val="32"/>
        </w:rPr>
        <w:t xml:space="preserve">小微企业声明函（</w:t>
      </w:r>
      <w:r>
        <w:rPr>
          <w:rFonts w:hint="eastAsia" w:ascii="黑体" w:hAnsi="黑体" w:eastAsia="黑体" w:cs="黑体"/>
          <w:b/>
          <w:sz w:val="32"/>
        </w:rPr>
        <w:t xml:space="preserve">货物</w:t>
      </w:r>
      <w:r>
        <w:rPr>
          <w:rFonts w:ascii="黑体" w:hAnsi="黑体" w:eastAsia="黑体" w:cs="黑体"/>
          <w:b/>
          <w:sz w:val="32"/>
        </w:rPr>
        <w:t xml:space="preserve">）</w:t>
      </w:r>
      <w:r/>
    </w:p>
    <w:p>
      <w:pPr>
        <w:ind w:firstLine="360"/>
        <w:jc w:val="center"/>
        <w:spacing w:before="100" w:after="1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小微企业声明函</w:t>
      </w:r>
      <w:r/>
    </w:p>
    <w:p>
      <w:pPr>
        <w:ind w:firstLine="36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本公司（联合体）郑重声明，根据《政府采购促进中小企业发展管理办法》(财库[2020]46号)的规定，本公司（联合体）参加</w:t>
      </w:r>
      <w:r>
        <w:rPr>
          <w:rFonts w:ascii="宋体" w:hAnsi="宋体" w:cs="宋体"/>
          <w:sz w:val="24"/>
          <w:u w:val="single"/>
        </w:rPr>
        <w:t xml:space="preserve">        （单位名称）</w:t>
      </w:r>
      <w:r>
        <w:rPr>
          <w:rFonts w:ascii="宋体" w:hAnsi="宋体" w:cs="宋体"/>
          <w:sz w:val="24"/>
        </w:rPr>
        <w:t xml:space="preserve">组织的采购编号为</w:t>
      </w:r>
      <w:r>
        <w:rPr>
          <w:rFonts w:ascii="宋体" w:hAnsi="宋体" w:cs="宋体"/>
          <w:sz w:val="24"/>
          <w:u w:val="single"/>
        </w:rPr>
        <w:t xml:space="preserve">        </w:t>
      </w:r>
      <w:r>
        <w:rPr>
          <w:rFonts w:ascii="宋体" w:hAnsi="宋体" w:cs="宋体"/>
          <w:sz w:val="24"/>
        </w:rPr>
        <w:t xml:space="preserve">，</w:t>
      </w:r>
      <w:r>
        <w:rPr>
          <w:rFonts w:ascii="宋体" w:hAnsi="宋体" w:cs="宋体"/>
          <w:sz w:val="24"/>
          <w:u w:val="single"/>
        </w:rPr>
        <w:t xml:space="preserve">（项目名称）    </w:t>
      </w:r>
      <w:r>
        <w:rPr>
          <w:rFonts w:ascii="宋体" w:hAnsi="宋体" w:cs="宋体"/>
          <w:sz w:val="24"/>
        </w:rPr>
        <w:t xml:space="preserve">的采购活动，</w:t>
      </w:r>
      <w:r>
        <w:rPr>
          <w:rFonts w:hint="eastAsia" w:ascii="宋体" w:hAnsi="宋体" w:cs="宋体"/>
          <w:sz w:val="24"/>
        </w:rPr>
        <w:t xml:space="preserve">提供的货物全部由符合政策要求的小微企业制造</w:t>
      </w:r>
      <w:r>
        <w:rPr>
          <w:rFonts w:ascii="宋体" w:hAnsi="宋体" w:cs="宋体"/>
          <w:sz w:val="24"/>
        </w:rPr>
        <w:t xml:space="preserve">。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（标的名称）</w:t>
      </w:r>
      <w:r>
        <w:rPr>
          <w:rFonts w:ascii="宋体" w:hAnsi="宋体" w:cs="宋体"/>
          <w:i/>
          <w:sz w:val="24"/>
        </w:rPr>
        <w:t xml:space="preserve">，</w:t>
      </w:r>
      <w:r>
        <w:rPr>
          <w:rFonts w:ascii="宋体" w:hAnsi="宋体" w:cs="宋体"/>
          <w:sz w:val="24"/>
        </w:rPr>
        <w:t xml:space="preserve">属于</w:t>
      </w:r>
      <w:r>
        <w:rPr>
          <w:rFonts w:ascii="宋体" w:hAnsi="宋体" w:cs="宋体"/>
          <w:sz w:val="24"/>
          <w:u w:val="single"/>
        </w:rPr>
        <w:t xml:space="preserve">       </w:t>
      </w:r>
      <w:r>
        <w:rPr>
          <w:rFonts w:ascii="宋体" w:hAnsi="宋体" w:cs="宋体"/>
          <w:sz w:val="24"/>
        </w:rPr>
        <w:t xml:space="preserve">行业；</w:t>
      </w:r>
      <w:r>
        <w:rPr>
          <w:rFonts w:hint="eastAsia" w:ascii="宋体" w:hAnsi="宋体" w:cs="宋体"/>
          <w:sz w:val="24"/>
        </w:rPr>
        <w:t xml:space="preserve">制造商</w:t>
      </w:r>
      <w:r>
        <w:rPr>
          <w:rFonts w:ascii="宋体" w:hAnsi="宋体" w:cs="宋体"/>
          <w:sz w:val="24"/>
        </w:rPr>
        <w:t xml:space="preserve">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sz w:val="24"/>
          <w:u w:val="single"/>
        </w:rPr>
        <w:t xml:space="preserve">（小型企业、微型企业）；</w:t>
      </w:r>
      <w:r/>
    </w:p>
    <w:p>
      <w:pPr>
        <w:ind w:firstLine="36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（标的名称）</w:t>
      </w:r>
      <w:r>
        <w:rPr>
          <w:rFonts w:ascii="宋体" w:hAnsi="宋体" w:cs="宋体"/>
          <w:i/>
          <w:sz w:val="24"/>
        </w:rPr>
        <w:t xml:space="preserve">，</w:t>
      </w:r>
      <w:r>
        <w:rPr>
          <w:rFonts w:ascii="宋体" w:hAnsi="宋体" w:cs="宋体"/>
          <w:sz w:val="24"/>
        </w:rPr>
        <w:t xml:space="preserve">属于</w:t>
      </w:r>
      <w:r>
        <w:rPr>
          <w:rFonts w:ascii="宋体" w:hAnsi="宋体" w:cs="宋体"/>
          <w:sz w:val="24"/>
          <w:u w:val="single"/>
        </w:rPr>
        <w:t xml:space="preserve">       </w:t>
      </w:r>
      <w:r>
        <w:rPr>
          <w:rFonts w:ascii="宋体" w:hAnsi="宋体" w:cs="宋体"/>
          <w:sz w:val="24"/>
        </w:rPr>
        <w:t xml:space="preserve">行业；</w:t>
      </w:r>
      <w:r>
        <w:rPr>
          <w:rFonts w:hint="eastAsia" w:ascii="宋体" w:hAnsi="宋体" w:cs="宋体"/>
          <w:sz w:val="24"/>
        </w:rPr>
        <w:t xml:space="preserve">制造商</w:t>
      </w:r>
      <w:r>
        <w:rPr>
          <w:rFonts w:ascii="宋体" w:hAnsi="宋体" w:cs="宋体"/>
          <w:sz w:val="24"/>
        </w:rPr>
        <w:t xml:space="preserve">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sz w:val="24"/>
          <w:u w:val="single"/>
        </w:rPr>
        <w:t xml:space="preserve">（小型企业、微型企业）；</w:t>
      </w:r>
      <w:r/>
    </w:p>
    <w:p>
      <w:pPr>
        <w:ind w:firstLine="36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36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36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本企业对上述声明内容的真实性负责。如有虚假，将依法承担相应责任</w:t>
      </w:r>
      <w:r/>
    </w:p>
    <w:p>
      <w:pPr>
        <w:ind w:right="72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right="180" w:firstLine="360"/>
        <w:jc w:val="right"/>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right="480" w:firstLine="540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36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spacing w:before="100" w:after="100"/>
        <w:rPr>
          <w:rFonts w:hint="eastAsia" w:ascii="黑体" w:hAnsi="黑体" w:eastAsia="黑体" w:cs="黑体"/>
          <w:b/>
          <w:sz w:val="32"/>
        </w:rPr>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w:t>
      </w:r>
      <w:r>
        <w:rPr>
          <w:rFonts w:hint="eastAsia" w:ascii="宋体" w:hAnsi="宋体" w:cs="宋体"/>
          <w:sz w:val="24"/>
        </w:rPr>
        <w:t xml:space="preserve">（如项目全面面向中小企业，则资格审查不通过）</w:t>
      </w:r>
      <w:r>
        <w:rPr>
          <w:rFonts w:ascii="宋体" w:hAnsi="宋体" w:cs="宋体"/>
          <w:sz w:val="24"/>
        </w:rPr>
        <w:t xml:space="preserve">。</w:t>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十、残疾人福利性单位声明函</w:t>
      </w:r>
      <w:r/>
    </w:p>
    <w:p>
      <w:pPr>
        <w:jc w:val="cente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jc w:val="cente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残疾人福利性单位声明函</w:t>
      </w:r>
      <w:r/>
    </w:p>
    <w:p>
      <w:pPr>
        <w:jc w:val="cente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 xml:space="preserve">项目采购活动提供本单位制造的货物，或者提供其他残疾人福利性单位制造的货物（不包括使用非残疾人福利性单位注册商标的货物）。</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（备注：1、供应商如不提供此声明函，价格将不做相应扣除。2、中标供应商为残疾人福利单位的，此声明函将随中标结果同时公告，接受社会监督）</w:t>
      </w:r>
      <w:r/>
    </w:p>
    <w:p>
      <w:pPr>
        <w:ind w:firstLine="624"/>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1560" w:firstLine="624"/>
        <w:jc w:val="cente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rPr>
          <w:rFonts w:ascii="宋体" w:hAnsi="宋体" w:cs="宋体"/>
          <w:color w:val="000000"/>
          <w:sz w:val="24"/>
        </w:rPr>
        <w:t xml:space="preserve">        供应商全称（加盖CA电子公章）：</w:t>
      </w:r>
      <w:r/>
    </w:p>
    <w:p>
      <w:pPr>
        <w:ind w:right="1560" w:firstLine="480"/>
        <w:jc w:val="cente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  期：</w:t>
      </w:r>
      <w:r/>
    </w:p>
    <w:p>
      <w:pPr>
        <w:jc w:val="cente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44"/>
        </w:rPr>
        <w:t xml:space="preserve"> </w:t>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spacing w:before="100" w:after="100"/>
        <w:rPr>
          <w:rFonts w:ascii="宋体" w:cs="宋体"/>
          <w:b/>
          <w:bCs/>
          <w:sz w:val="32"/>
          <w:szCs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w:t>
      </w:r>
      <w:r>
        <w:rPr>
          <w:rFonts w:hint="eastAsia" w:ascii="黑体" w:hAnsi="黑体" w:eastAsia="黑体" w:cs="黑体"/>
          <w:b/>
          <w:color w:val="000000"/>
          <w:sz w:val="32"/>
        </w:rPr>
        <w:t xml:space="preserve">一</w:t>
      </w:r>
      <w:r>
        <w:rPr>
          <w:rFonts w:ascii="黑体" w:hAnsi="黑体" w:eastAsia="黑体" w:cs="黑体"/>
          <w:b/>
          <w:color w:val="000000"/>
          <w:sz w:val="32"/>
        </w:rPr>
        <w:t xml:space="preserve">、</w:t>
      </w:r>
      <w:r>
        <w:rPr>
          <w:rFonts w:hint="eastAsia" w:ascii="黑体" w:hAnsi="黑体" w:eastAsia="黑体" w:cs="黑体"/>
          <w:b/>
          <w:color w:val="000000"/>
          <w:sz w:val="32"/>
        </w:rPr>
        <w:t xml:space="preserve">投标分项报价表</w:t>
      </w:r>
      <w:r/>
    </w:p>
    <w:p>
      <w:pPr>
        <w:pStyle w:val="951"/>
        <w:jc w:val="center"/>
        <w:spacing w:line="420" w:lineRule="auto"/>
        <w:rPr>
          <w:rFonts w:hint="eastAsia" w:ascii="宋体" w:hAnsi="宋体"/>
        </w:rPr>
      </w:pPr>
      <w:r>
        <w:rPr>
          <w:rFonts w:hint="eastAsia" w:ascii="宋体" w:hAnsi="宋体"/>
        </w:rPr>
        <w:t xml:space="preserve">投标分项报价表</w:t>
      </w:r>
      <w:r/>
    </w:p>
    <w:tbl>
      <w:tblPr>
        <w:tblStyle w:val="755"/>
        <w:tblW w:w="4568" w:type="pct"/>
        <w:jc w:val="center"/>
        <w:tblLayout w:type="fixed"/>
        <w:tblCellMar>
          <w:left w:w="108" w:type="dxa"/>
          <w:top w:w="0" w:type="dxa"/>
          <w:right w:w="108" w:type="dxa"/>
          <w:bottom w:w="0" w:type="dxa"/>
        </w:tblCellMar>
        <w:tblLook w:val="04A0" w:firstRow="1" w:lastRow="0" w:firstColumn="1" w:lastColumn="0" w:noHBand="0" w:noVBand="1"/>
      </w:tblPr>
      <w:tblGrid>
        <w:gridCol w:w="489"/>
        <w:gridCol w:w="2475"/>
        <w:gridCol w:w="1236"/>
        <w:gridCol w:w="709"/>
        <w:gridCol w:w="816"/>
        <w:gridCol w:w="1275"/>
        <w:gridCol w:w="1377"/>
      </w:tblGrid>
      <w:tr>
        <w:trPr>
          <w:jc w:val="center"/>
          <w:trHeight w:val="523" w:hRule="exact"/>
        </w:trPr>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b/>
                <w:bCs/>
                <w:color w:val="000000"/>
              </w:rPr>
            </w:pPr>
            <w:r>
              <w:rPr>
                <w:b/>
                <w:bCs/>
                <w:color w:val="000000"/>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b/>
                <w:bCs/>
                <w:color w:val="000000"/>
              </w:rPr>
            </w:pPr>
            <w:r>
              <w:rPr>
                <w:b/>
                <w:bCs/>
                <w:color w:val="000000"/>
                <w:lang w:bidi="ar"/>
              </w:rPr>
              <w:t xml:space="preserve">货物名称</w:t>
            </w:r>
            <w:r/>
          </w:p>
        </w:tc>
        <w:tc>
          <w:tcPr>
            <w:shd w:val="clear" w:color="auto" w:fill="ffffff"/>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b/>
                <w:bCs/>
                <w:color w:val="000000"/>
              </w:rPr>
            </w:pPr>
            <w:r>
              <w:rPr>
                <w:rFonts w:hint="eastAsia"/>
                <w:b/>
                <w:bCs/>
                <w:color w:val="000000"/>
                <w:lang w:bidi="ar"/>
              </w:rPr>
              <w:t xml:space="preserve">所投</w:t>
            </w:r>
            <w:r>
              <w:rPr>
                <w:b/>
                <w:bCs/>
                <w:color w:val="000000"/>
                <w:lang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b/>
                <w:bCs/>
                <w:color w:val="000000"/>
              </w:rPr>
            </w:pPr>
            <w:r>
              <w:rPr>
                <w:b/>
                <w:bCs/>
                <w:color w:val="000000"/>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b/>
                <w:bCs/>
                <w:color w:val="000000"/>
              </w:rPr>
            </w:pPr>
            <w:r>
              <w:rPr>
                <w:b/>
                <w:bCs/>
                <w:color w:val="000000"/>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b/>
                <w:bCs/>
                <w:color w:val="000000"/>
                <w:lang w:bidi="ar"/>
              </w:rPr>
            </w:pPr>
            <w:r>
              <w:rPr>
                <w:b/>
                <w:bCs/>
                <w:color w:val="000000"/>
                <w:lang w:bidi="ar"/>
              </w:rPr>
              <w:t xml:space="preserve">综合单价</w:t>
            </w:r>
            <w:r>
              <w:rPr>
                <w:rFonts w:hint="eastAsia"/>
                <w:b/>
                <w:bCs/>
                <w:color w:val="000000"/>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widowControl/>
              <w:rPr>
                <w:b/>
                <w:bCs/>
                <w:color w:val="000000"/>
                <w:lang w:bidi="ar"/>
              </w:rPr>
            </w:pPr>
            <w:r>
              <w:rPr>
                <w:b/>
                <w:bCs/>
                <w:color w:val="000000"/>
                <w:lang w:bidi="ar"/>
              </w:rPr>
              <w:t xml:space="preserve">合价</w:t>
            </w:r>
            <w:r>
              <w:rPr>
                <w:rFonts w:hint="eastAsia"/>
                <w:b/>
                <w:bCs/>
                <w:color w:val="000000"/>
                <w:lang w:bidi="ar"/>
              </w:rPr>
              <w:t xml:space="preserve">（元）</w:t>
            </w:r>
            <w:r/>
          </w:p>
        </w:tc>
      </w:tr>
      <w:tr>
        <w:trPr>
          <w:jc w:val="center"/>
          <w:trHeight w:val="403" w:hRule="exact"/>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b/>
                <w:bCs/>
                <w:color w:val="000000"/>
                <w:lang w:bidi="ar"/>
              </w:rPr>
            </w:pPr>
            <w:r>
              <w:rPr>
                <w:b/>
                <w:bCs/>
                <w:color w:val="000000"/>
                <w:lang w:bidi="ar"/>
              </w:rPr>
              <w:t xml:space="preserve">一、杆件及灯头、灯具</w:t>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基础型智慧灯杆1</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315"/>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42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基础型智慧灯杆2</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4</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增强型智慧灯杆</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22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综合杆-信号灯合杆</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7</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综合杆-电子警察合杆1</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4</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综合杆-电子警察合杆2</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综合杆-分道牌合杆</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综合杆-指路牌合杆</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9</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综合杆-组合禁令合杆</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中杆灯-信号灯1</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11</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中杆灯-信号灯2</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lang w:bidi="ar"/>
              </w:rPr>
            </w:pPr>
            <w:r>
              <w:rPr>
                <w:rFonts w:hint="eastAsia"/>
                <w:color w:val="000000"/>
                <w:lang w:bidi="ar"/>
              </w:rPr>
              <w:t xml:space="preserve">12</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中杆灯</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10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lang w:bidi="ar"/>
              </w:rPr>
            </w:pPr>
            <w:r>
              <w:rPr>
                <w:rFonts w:hint="eastAsia"/>
                <w:color w:val="000000"/>
                <w:lang w:bidi="ar"/>
              </w:rPr>
              <w:t xml:space="preserve">13</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综合杆-悬臂杆1</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20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lang w:bidi="ar"/>
              </w:rPr>
            </w:pPr>
            <w:r>
              <w:rPr>
                <w:rFonts w:hint="eastAsia"/>
                <w:color w:val="000000"/>
                <w:lang w:bidi="ar"/>
              </w:rPr>
              <w:t xml:space="preserve">14</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综合杆-悬臂杆2</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gridSpan w:val="5"/>
            <w:tcBorders>
              <w:top w:val="single" w:color="000000" w:sz="4" w:space="0"/>
              <w:left w:val="single" w:color="000000" w:sz="4" w:space="0"/>
              <w:bottom w:val="single" w:color="000000" w:sz="4" w:space="0"/>
              <w:right w:val="single" w:color="000000" w:sz="4" w:space="0"/>
            </w:tcBorders>
            <w:tcW w:w="3417" w:type="pct"/>
            <w:vAlign w:val="center"/>
            <w:textDirection w:val="lrTb"/>
            <w:noWrap w:val="false"/>
          </w:tcPr>
          <w:p>
            <w:pPr>
              <w:jc w:val="left"/>
              <w:widowControl/>
              <w:rPr>
                <w:b/>
                <w:bCs/>
                <w:color w:val="000000"/>
              </w:rPr>
            </w:pPr>
            <w:r>
              <w:rPr>
                <w:b/>
                <w:bCs/>
                <w:color w:val="000000"/>
                <w:lang w:bidi="ar"/>
              </w:rPr>
              <w:t xml:space="preserve">二</w:t>
            </w:r>
            <w:r>
              <w:rPr>
                <w:rFonts w:hint="eastAsia"/>
                <w:b/>
                <w:bCs/>
                <w:color w:val="000000"/>
                <w:lang w:bidi="ar"/>
              </w:rPr>
              <w:t xml:space="preserve">、智能化平台设备</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left"/>
              <w:widowControl/>
              <w:rPr>
                <w:b/>
                <w:bCs/>
                <w:color w:val="000000"/>
                <w:lang w:bidi="ar"/>
              </w:rPr>
            </w:pPr>
            <w:r>
              <w:rPr>
                <w:b/>
                <w:bCs/>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left"/>
              <w:widowControl/>
              <w:rPr>
                <w:b/>
                <w:bCs/>
                <w:color w:val="000000"/>
                <w:lang w:bidi="ar"/>
              </w:rPr>
            </w:pPr>
            <w:r>
              <w:rPr>
                <w:b/>
                <w:bCs/>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auto"/>
              </w:rPr>
            </w:pPr>
            <w:r>
              <w:rPr>
                <w:color w:val="auto"/>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auto"/>
              </w:rPr>
            </w:pPr>
            <w:r>
              <w:rPr>
                <w:color w:val="auto"/>
              </w:rPr>
              <w:t xml:space="preserve">AI单</w:t>
            </w:r>
            <w:r>
              <w:rPr>
                <w:rFonts w:hint="eastAsia"/>
                <w:color w:val="auto"/>
              </w:rPr>
              <w:t xml:space="preserve">灯传感控制系统</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170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远程监控终端设备</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4G物联网卡</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固定件</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170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视频监控</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22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LED信息显示屏</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22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IP音柱</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22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户外AP</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22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gridSpan w:val="5"/>
            <w:tcBorders>
              <w:top w:val="single" w:color="000000" w:sz="4" w:space="0"/>
              <w:left w:val="single" w:color="000000" w:sz="4" w:space="0"/>
              <w:bottom w:val="single" w:color="000000" w:sz="4" w:space="0"/>
              <w:right w:val="none" w:color="000000" w:sz="4" w:space="0"/>
            </w:tcBorders>
            <w:tcW w:w="3417" w:type="pct"/>
            <w:vAlign w:val="center"/>
            <w:textDirection w:val="lrTb"/>
            <w:noWrap w:val="false"/>
          </w:tcPr>
          <w:p>
            <w:pPr>
              <w:widowControl/>
              <w:rPr>
                <w:b/>
                <w:bCs/>
                <w:color w:val="000000"/>
              </w:rPr>
            </w:pPr>
            <w:r>
              <w:rPr>
                <w:b/>
                <w:bCs/>
                <w:color w:val="000000"/>
                <w:lang w:bidi="ar"/>
              </w:rPr>
              <w:t xml:space="preserve">三、施工及配套设备、辅材</w:t>
            </w:r>
            <w:r/>
          </w:p>
        </w:tc>
        <w:tc>
          <w:tcPr>
            <w:tcBorders>
              <w:top w:val="single" w:color="000000" w:sz="4" w:space="0"/>
              <w:left w:val="single" w:color="000000" w:sz="4" w:space="0"/>
              <w:bottom w:val="single" w:color="000000" w:sz="4" w:space="0"/>
              <w:right w:val="none" w:color="000000" w:sz="4" w:space="0"/>
            </w:tcBorders>
            <w:tcW w:w="761" w:type="pct"/>
            <w:textDirection w:val="lrTb"/>
            <w:noWrap w:val="false"/>
          </w:tcPr>
          <w:p>
            <w:pPr>
              <w:jc w:val="left"/>
              <w:widowControl/>
              <w:rPr>
                <w:b/>
                <w:bCs/>
                <w:color w:val="000000"/>
                <w:lang w:bidi="ar"/>
              </w:rPr>
            </w:pPr>
            <w:r>
              <w:rPr>
                <w:b/>
                <w:bCs/>
                <w:color w:val="000000"/>
                <w:lang w:bidi="ar"/>
              </w:rPr>
            </w:r>
            <w:r/>
          </w:p>
        </w:tc>
        <w:tc>
          <w:tcPr>
            <w:tcBorders>
              <w:top w:val="single" w:color="000000" w:sz="4" w:space="0"/>
              <w:left w:val="single" w:color="000000" w:sz="4" w:space="0"/>
              <w:bottom w:val="single" w:color="000000" w:sz="4" w:space="0"/>
              <w:right w:val="none" w:color="000000" w:sz="4" w:space="0"/>
            </w:tcBorders>
            <w:tcW w:w="821" w:type="pct"/>
            <w:textDirection w:val="lrTb"/>
            <w:noWrap w:val="false"/>
          </w:tcPr>
          <w:p>
            <w:pPr>
              <w:jc w:val="left"/>
              <w:widowControl/>
              <w:rPr>
                <w:b/>
                <w:bCs/>
                <w:color w:val="000000"/>
                <w:lang w:bidi="ar"/>
              </w:rPr>
            </w:pPr>
            <w:r>
              <w:rPr>
                <w:b/>
                <w:bCs/>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组合型成套箱式变电站</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台</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6</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箱变基础</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座</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6</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智能真空断路器</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6</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电力变压器系统</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系统</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6</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电缆试验</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根</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6</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路灯配电箱配电箱</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台</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光交箱</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台</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壁挂式控制箱</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台</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44</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9</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交换机</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台</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44</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防雷器</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台</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44</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11</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断路器</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台</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44</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12</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电力电缆</w:t>
            </w: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m</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7000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13</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电力电缆</w:t>
            </w: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m</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200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14</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电力电缆</w:t>
            </w: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m</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600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15</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主光缆</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m</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6000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10000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lang w:bidi="ar"/>
              </w:rPr>
            </w:pPr>
            <w:r>
              <w:rPr>
                <w:rFonts w:hint="eastAsia"/>
                <w:color w:val="00000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室外防水网线</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3000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lang w:bidi="ar"/>
              </w:rPr>
            </w:pPr>
            <w:r>
              <w:rPr>
                <w:rFonts w:hint="eastAsia"/>
                <w:color w:val="00000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电源线</w:t>
            </w: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3000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lang w:bidi="ar"/>
              </w:rPr>
            </w:pPr>
            <w:r>
              <w:rPr>
                <w:rFonts w:hint="eastAsia"/>
                <w:color w:val="00000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电源线</w:t>
            </w:r>
            <w:r>
              <w:rPr>
                <w:rFonts w:hint="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3000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lang w:bidi="ar"/>
              </w:rPr>
            </w:pPr>
            <w:r>
              <w:rPr>
                <w:rFonts w:hint="eastAsia"/>
                <w:color w:val="00000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3000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lang w:bidi="ar"/>
              </w:rPr>
            </w:pPr>
            <w:r>
              <w:rPr>
                <w:rFonts w:hint="eastAsia"/>
                <w:color w:val="00000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水平导向钻进</w:t>
            </w: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6000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lang w:bidi="ar"/>
              </w:rPr>
            </w:pPr>
            <w:r>
              <w:rPr>
                <w:rFonts w:hint="eastAsia"/>
                <w:color w:val="00000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水平导向钻进</w:t>
            </w:r>
            <w:r>
              <w:rPr>
                <w:rFonts w:hint="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600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lang w:bidi="ar"/>
              </w:rPr>
            </w:pPr>
            <w:r>
              <w:rPr>
                <w:rFonts w:hint="eastAsia"/>
                <w:color w:val="00000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埋地敷设</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2000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lang w:bidi="ar"/>
              </w:rPr>
            </w:pPr>
            <w:r>
              <w:rPr>
                <w:rFonts w:hint="eastAsia"/>
                <w:color w:val="00000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120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lang w:bidi="ar"/>
              </w:rPr>
            </w:pPr>
            <w:r>
              <w:rPr>
                <w:rFonts w:hint="eastAsia"/>
                <w:color w:val="00000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运营商链路租赁费</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22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gridSpan w:val="5"/>
            <w:tcBorders>
              <w:top w:val="single" w:color="000000" w:sz="4" w:space="0"/>
              <w:left w:val="single" w:color="000000" w:sz="4" w:space="0"/>
              <w:bottom w:val="single" w:color="000000" w:sz="4" w:space="0"/>
              <w:right w:val="none" w:color="000000" w:sz="4" w:space="0"/>
            </w:tcBorders>
            <w:tcW w:w="3417" w:type="pct"/>
            <w:vAlign w:val="center"/>
            <w:textDirection w:val="lrTb"/>
            <w:noWrap w:val="false"/>
          </w:tcPr>
          <w:p>
            <w:pPr>
              <w:jc w:val="left"/>
              <w:widowControl/>
              <w:rPr>
                <w:b/>
                <w:bCs/>
                <w:color w:val="000000"/>
              </w:rPr>
            </w:pPr>
            <w:r>
              <w:rPr>
                <w:b/>
                <w:bCs/>
                <w:color w:val="000000"/>
                <w:lang w:bidi="ar"/>
              </w:rPr>
              <w:t xml:space="preserve">四、信号灯</w:t>
            </w:r>
            <w:r/>
          </w:p>
        </w:tc>
        <w:tc>
          <w:tcPr>
            <w:tcBorders>
              <w:top w:val="single" w:color="000000" w:sz="4" w:space="0"/>
              <w:left w:val="single" w:color="000000" w:sz="4" w:space="0"/>
              <w:bottom w:val="single" w:color="000000" w:sz="4" w:space="0"/>
              <w:right w:val="none" w:color="000000" w:sz="4" w:space="0"/>
            </w:tcBorders>
            <w:tcW w:w="761" w:type="pct"/>
            <w:textDirection w:val="lrTb"/>
            <w:noWrap w:val="false"/>
          </w:tcPr>
          <w:p>
            <w:pPr>
              <w:jc w:val="left"/>
              <w:widowControl/>
              <w:rPr>
                <w:b/>
                <w:bCs/>
                <w:color w:val="000000"/>
                <w:lang w:bidi="ar"/>
              </w:rPr>
            </w:pPr>
            <w:r>
              <w:rPr>
                <w:b/>
                <w:bCs/>
                <w:color w:val="000000"/>
                <w:lang w:bidi="ar"/>
              </w:rPr>
            </w:r>
            <w:r/>
          </w:p>
        </w:tc>
        <w:tc>
          <w:tcPr>
            <w:tcBorders>
              <w:top w:val="single" w:color="000000" w:sz="4" w:space="0"/>
              <w:left w:val="single" w:color="000000" w:sz="4" w:space="0"/>
              <w:bottom w:val="single" w:color="000000" w:sz="4" w:space="0"/>
              <w:right w:val="none" w:color="000000" w:sz="4" w:space="0"/>
            </w:tcBorders>
            <w:tcW w:w="821" w:type="pct"/>
            <w:textDirection w:val="lrTb"/>
            <w:noWrap w:val="false"/>
          </w:tcPr>
          <w:p>
            <w:pPr>
              <w:jc w:val="left"/>
              <w:widowControl/>
              <w:rPr>
                <w:b/>
                <w:bCs/>
                <w:color w:val="000000"/>
                <w:lang w:bidi="ar"/>
              </w:rPr>
            </w:pPr>
            <w:r>
              <w:rPr>
                <w:b/>
                <w:bCs/>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满屏信号灯</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11</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箭头信号灯</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11</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倒计时</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11</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人行信号灯</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22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信号灯控制箱</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套</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3</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红绿灯信号检测器</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台</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3</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配线</w:t>
            </w: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m</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440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配线</w:t>
            </w: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m</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12120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9</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配线</w:t>
            </w: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m</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9600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color w:val="000000"/>
              </w:rPr>
            </w:pPr>
            <w:r>
              <w:t xml:space="preserve">配线</w:t>
            </w: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rPr>
                <w:color w:val="000000"/>
              </w:rPr>
            </w:pPr>
            <w:r>
              <w:t xml:space="preserve">m</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000000"/>
              </w:rPr>
            </w:pPr>
            <w:r>
              <w:t xml:space="preserve">4400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gridSpan w:val="5"/>
            <w:tcBorders>
              <w:top w:val="single" w:color="000000" w:sz="4" w:space="0"/>
              <w:left w:val="single" w:color="000000" w:sz="4" w:space="0"/>
              <w:bottom w:val="single" w:color="000000" w:sz="4" w:space="0"/>
              <w:right w:val="single" w:color="auto" w:sz="4" w:space="0"/>
            </w:tcBorders>
            <w:tcW w:w="3417" w:type="pct"/>
            <w:vAlign w:val="center"/>
            <w:textDirection w:val="lrTb"/>
            <w:noWrap w:val="false"/>
          </w:tcPr>
          <w:p>
            <w:pPr>
              <w:jc w:val="left"/>
              <w:widowControl/>
              <w:rPr>
                <w:b/>
                <w:bCs/>
                <w:color w:val="000000"/>
              </w:rPr>
            </w:pPr>
            <w:r>
              <w:rPr>
                <w:b/>
                <w:bCs/>
                <w:color w:val="000000"/>
                <w:lang w:bidi="ar"/>
              </w:rPr>
              <w:t xml:space="preserve">五、电子警察</w:t>
            </w:r>
            <w:r/>
          </w:p>
        </w:tc>
        <w:tc>
          <w:tcPr>
            <w:tcBorders>
              <w:top w:val="single" w:color="auto" w:sz="4" w:space="0"/>
              <w:left w:val="single" w:color="auto" w:sz="4" w:space="0"/>
              <w:bottom w:val="single" w:color="auto" w:sz="4" w:space="0"/>
              <w:right w:val="single" w:color="auto" w:sz="4" w:space="0"/>
            </w:tcBorders>
            <w:tcW w:w="761" w:type="pct"/>
            <w:textDirection w:val="lrTb"/>
            <w:noWrap w:val="false"/>
          </w:tcPr>
          <w:p>
            <w:pPr>
              <w:jc w:val="left"/>
              <w:widowControl/>
              <w:rPr>
                <w:b/>
                <w:bCs/>
                <w:color w:val="000000"/>
                <w:lang w:bidi="ar"/>
              </w:rPr>
            </w:pPr>
            <w:r>
              <w:rPr>
                <w:b/>
                <w:bCs/>
                <w:color w:val="000000"/>
                <w:lang w:bidi="ar"/>
              </w:rPr>
            </w:r>
            <w:r/>
          </w:p>
        </w:tc>
        <w:tc>
          <w:tcPr>
            <w:tcBorders>
              <w:top w:val="single" w:color="auto" w:sz="4" w:space="0"/>
              <w:left w:val="single" w:color="auto" w:sz="4" w:space="0"/>
              <w:bottom w:val="single" w:color="auto" w:sz="4" w:space="0"/>
              <w:right w:val="single" w:color="auto" w:sz="4" w:space="0"/>
            </w:tcBorders>
            <w:tcW w:w="821" w:type="pct"/>
            <w:textDirection w:val="lrTb"/>
            <w:noWrap w:val="false"/>
          </w:tcPr>
          <w:p>
            <w:pPr>
              <w:jc w:val="left"/>
              <w:widowControl/>
              <w:rPr>
                <w:b/>
                <w:bCs/>
                <w:color w:val="000000"/>
                <w:lang w:bidi="ar"/>
              </w:rPr>
            </w:pPr>
            <w:r>
              <w:rPr>
                <w:b/>
                <w:bCs/>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900万电警抓拍单元</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14</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900W卡口抓拍单元</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20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LED频闪补光灯</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62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卡口闪光灯</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34</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存储设备</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4</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pPr>
            <w:r>
              <w:rPr>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400W违停检测球机</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highlight w:val="yellow"/>
                <w:lang w:bidi="ar"/>
              </w:rPr>
            </w:pPr>
            <w:r>
              <w:rPr>
                <w:color w:val="000000"/>
                <w:highlight w:val="yellow"/>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highlight w:val="yellow"/>
                <w:lang w:bidi="ar"/>
              </w:rPr>
            </w:pPr>
            <w:r>
              <w:rPr>
                <w:color w:val="000000"/>
                <w:highlight w:val="yellow"/>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交换机</w:t>
            </w: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4</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交换机</w:t>
            </w:r>
            <w:r>
              <w:rPr>
                <w:rFonts w:hint="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18</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监控控制箱</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4</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rPr>
                <w:rFonts w:hint="eastAsia"/>
              </w:rPr>
              <w:t xml:space="preserve">44</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壁挂箱</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电缆</w:t>
            </w: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7600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电缆</w:t>
            </w:r>
            <w:r>
              <w:rPr>
                <w:rFonts w:hint="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5800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配线</w:t>
            </w: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540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配线</w:t>
            </w:r>
            <w:r>
              <w:rPr>
                <w:rFonts w:hint="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3500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配线</w:t>
            </w:r>
            <w:r>
              <w:rPr>
                <w:rFonts w:hint="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1200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right"/>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right"/>
              <w:widowControl/>
              <w:rPr>
                <w:color w:val="000000"/>
                <w:lang w:bidi="ar"/>
              </w:rPr>
            </w:pPr>
            <w:r>
              <w:rPr>
                <w:color w:val="000000"/>
                <w:lang w:bidi="ar"/>
              </w:rPr>
            </w:r>
            <w:r/>
          </w:p>
        </w:tc>
      </w:tr>
      <w:tr>
        <w:trPr>
          <w:jc w:val="center"/>
          <w:trHeight w:val="403" w:hRule="exact"/>
        </w:trPr>
        <w:tc>
          <w:tcPr>
            <w:gridSpan w:val="5"/>
            <w:tcBorders>
              <w:top w:val="single" w:color="auto" w:sz="4" w:space="0"/>
              <w:left w:val="single" w:color="auto" w:sz="4" w:space="0"/>
              <w:bottom w:val="single" w:color="auto" w:sz="4" w:space="0"/>
              <w:right w:val="single" w:color="auto" w:sz="4" w:space="0"/>
            </w:tcBorders>
            <w:tcW w:w="3417" w:type="pct"/>
            <w:vAlign w:val="center"/>
            <w:textDirection w:val="lrTb"/>
            <w:noWrap w:val="false"/>
          </w:tcPr>
          <w:p>
            <w:pPr>
              <w:jc w:val="left"/>
              <w:widowControl/>
              <w:rPr>
                <w:b/>
                <w:bCs/>
                <w:color w:val="000000"/>
              </w:rPr>
            </w:pPr>
            <w:r>
              <w:rPr>
                <w:b/>
                <w:bCs/>
                <w:color w:val="000000"/>
                <w:lang w:bidi="ar"/>
              </w:rPr>
              <w:t xml:space="preserve">六、主动发光标牌</w:t>
            </w:r>
            <w:r/>
          </w:p>
        </w:tc>
        <w:tc>
          <w:tcPr>
            <w:tcBorders>
              <w:top w:val="single" w:color="auto" w:sz="4" w:space="0"/>
              <w:left w:val="single" w:color="auto" w:sz="4" w:space="0"/>
              <w:bottom w:val="single" w:color="auto" w:sz="4" w:space="0"/>
              <w:right w:val="single" w:color="auto" w:sz="4" w:space="0"/>
            </w:tcBorders>
            <w:tcW w:w="761" w:type="pct"/>
            <w:textDirection w:val="lrTb"/>
            <w:noWrap w:val="false"/>
          </w:tcPr>
          <w:p>
            <w:pPr>
              <w:jc w:val="left"/>
              <w:widowControl/>
              <w:rPr>
                <w:b/>
                <w:bCs/>
                <w:color w:val="000000"/>
              </w:rPr>
            </w:pPr>
            <w:r>
              <w:rPr>
                <w:b/>
                <w:bCs/>
                <w:color w:val="000000"/>
              </w:rPr>
            </w:r>
            <w:r/>
          </w:p>
        </w:tc>
        <w:tc>
          <w:tcPr>
            <w:tcBorders>
              <w:top w:val="single" w:color="auto" w:sz="4" w:space="0"/>
              <w:left w:val="single" w:color="auto" w:sz="4" w:space="0"/>
              <w:bottom w:val="single" w:color="auto" w:sz="4" w:space="0"/>
              <w:right w:val="single" w:color="auto" w:sz="4" w:space="0"/>
            </w:tcBorders>
            <w:tcW w:w="821" w:type="pct"/>
            <w:textDirection w:val="lrTb"/>
            <w:noWrap w:val="false"/>
          </w:tcPr>
          <w:p>
            <w:pPr>
              <w:jc w:val="left"/>
              <w:widowControl/>
              <w:rPr>
                <w:b/>
                <w:bCs/>
                <w:color w:val="000000"/>
              </w:rPr>
            </w:pPr>
            <w:r>
              <w:rPr>
                <w:b/>
                <w:bCs/>
                <w:color w:val="000000"/>
              </w:rPr>
            </w:r>
            <w:r/>
          </w:p>
        </w:tc>
      </w:tr>
      <w:tr>
        <w:trPr>
          <w:jc w:val="center"/>
          <w:trHeight w:val="403" w:hRule="exact"/>
        </w:trPr>
        <w:tc>
          <w:tcPr>
            <w:tcBorders>
              <w:top w:val="single" w:color="auto"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指路标牌</w:t>
            </w:r>
            <w:r/>
          </w:p>
        </w:tc>
        <w:tc>
          <w:tcPr>
            <w:shd w:val="clear" w:color="auto" w:fill="auto"/>
            <w:tcBorders>
              <w:top w:val="single" w:color="auto"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pPr>
            <w:r/>
            <w:r/>
          </w:p>
        </w:tc>
        <w:tc>
          <w:tcPr>
            <w:shd w:val="clear" w:color="auto" w:fill="auto"/>
            <w:tcBorders>
              <w:top w:val="single" w:color="auto"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块</w:t>
            </w:r>
            <w:r/>
          </w:p>
        </w:tc>
        <w:tc>
          <w:tcPr>
            <w:shd w:val="clear" w:color="auto" w:fill="auto"/>
            <w:tcBorders>
              <w:top w:val="single" w:color="auto"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2</w:t>
            </w:r>
            <w:r/>
          </w:p>
        </w:tc>
        <w:tc>
          <w:tcPr>
            <w:tcBorders>
              <w:top w:val="single" w:color="auto" w:sz="4" w:space="0"/>
              <w:left w:val="single" w:color="000000" w:sz="4" w:space="0"/>
              <w:bottom w:val="single" w:color="000000" w:sz="4" w:space="0"/>
              <w:right w:val="single" w:color="000000" w:sz="4" w:space="0"/>
            </w:tcBorders>
            <w:tcW w:w="761" w:type="pct"/>
            <w:textDirection w:val="lrTb"/>
            <w:noWrap w:val="false"/>
          </w:tcPr>
          <w:p>
            <w:pPr>
              <w:jc w:val="center"/>
              <w:widowControl/>
              <w:rPr>
                <w:color w:val="000000"/>
                <w:lang w:bidi="ar"/>
              </w:rPr>
            </w:pPr>
            <w:r>
              <w:rPr>
                <w:color w:val="000000"/>
                <w:lang w:bidi="ar"/>
              </w:rPr>
            </w:r>
            <w:r/>
          </w:p>
        </w:tc>
        <w:tc>
          <w:tcPr>
            <w:tcBorders>
              <w:top w:val="single" w:color="auto" w:sz="4" w:space="0"/>
              <w:left w:val="single" w:color="000000" w:sz="4" w:space="0"/>
              <w:bottom w:val="single" w:color="000000" w:sz="4" w:space="0"/>
              <w:right w:val="single" w:color="000000" w:sz="4" w:space="0"/>
            </w:tcBorders>
            <w:tcW w:w="821" w:type="pct"/>
            <w:textDirection w:val="lrTb"/>
            <w:noWrap w:val="false"/>
          </w:tcPr>
          <w:p>
            <w:pPr>
              <w:jc w:val="center"/>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分道行驶标牌</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center"/>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center"/>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center"/>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center"/>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组合禁令标牌</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center"/>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center"/>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人行横道标志牌</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16</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center"/>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center"/>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机非分道标志牌</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center"/>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center"/>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机非分道标志牌杆件</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center"/>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center"/>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允许掉头标志牌</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6</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center"/>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center"/>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rPr>
            </w:pPr>
            <w:r>
              <w:rPr>
                <w:color w:val="00000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32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center"/>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center"/>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lang w:bidi="ar"/>
              </w:rPr>
            </w:pPr>
            <w:r>
              <w:rPr>
                <w:rFonts w:hint="eastAsia"/>
                <w:color w:val="00000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1500</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center"/>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center"/>
              <w:widowControl/>
              <w:rPr>
                <w:color w:val="000000"/>
                <w:lang w:bidi="ar"/>
              </w:rPr>
            </w:pPr>
            <w:r>
              <w:rPr>
                <w:color w:val="000000"/>
                <w:lang w:bidi="ar"/>
              </w:rPr>
            </w:r>
            <w:r/>
          </w:p>
        </w:tc>
      </w:tr>
      <w:tr>
        <w:trPr>
          <w:jc w:val="center"/>
          <w:trHeight w:val="403" w:hRule="exact"/>
        </w:trPr>
        <w:tc>
          <w:tcPr>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color w:val="000000"/>
                <w:lang w:bidi="ar"/>
              </w:rPr>
            </w:pPr>
            <w:r>
              <w:rPr>
                <w:rFonts w:hint="eastAsia"/>
                <w:color w:val="00000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pPr>
            <w:r>
              <w:t xml:space="preserve">NB模块（物联网模块）</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810"/>
              <w:ind w:left="292"/>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widowControl/>
            </w:pPr>
            <w: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t xml:space="preserve">32</w:t>
            </w:r>
            <w:r/>
          </w:p>
        </w:tc>
        <w:tc>
          <w:tcPr>
            <w:tcBorders>
              <w:top w:val="single" w:color="000000" w:sz="4" w:space="0"/>
              <w:left w:val="single" w:color="000000" w:sz="4" w:space="0"/>
              <w:bottom w:val="single" w:color="000000" w:sz="4" w:space="0"/>
              <w:right w:val="single" w:color="000000" w:sz="4" w:space="0"/>
            </w:tcBorders>
            <w:tcW w:w="761" w:type="pct"/>
            <w:textDirection w:val="lrTb"/>
            <w:noWrap w:val="false"/>
          </w:tcPr>
          <w:p>
            <w:pPr>
              <w:jc w:val="center"/>
              <w:widowControl/>
              <w:rPr>
                <w:color w:val="000000"/>
                <w:lang w:bidi="ar"/>
              </w:rPr>
            </w:pPr>
            <w:r>
              <w:rPr>
                <w:color w:val="000000"/>
                <w:lang w:bidi="ar"/>
              </w:rPr>
            </w:r>
            <w:r/>
          </w:p>
        </w:tc>
        <w:tc>
          <w:tcPr>
            <w:tcBorders>
              <w:top w:val="single" w:color="000000" w:sz="4" w:space="0"/>
              <w:left w:val="single" w:color="000000" w:sz="4" w:space="0"/>
              <w:bottom w:val="single" w:color="000000" w:sz="4" w:space="0"/>
              <w:right w:val="single" w:color="000000" w:sz="4" w:space="0"/>
            </w:tcBorders>
            <w:tcW w:w="821" w:type="pct"/>
            <w:textDirection w:val="lrTb"/>
            <w:noWrap w:val="false"/>
          </w:tcPr>
          <w:p>
            <w:pPr>
              <w:jc w:val="center"/>
              <w:widowControl/>
              <w:rPr>
                <w:color w:val="000000"/>
                <w:lang w:bidi="ar"/>
              </w:rPr>
            </w:pPr>
            <w:r>
              <w:rPr>
                <w:color w:val="000000"/>
                <w:lang w:bidi="ar"/>
              </w:rPr>
            </w:r>
            <w:r/>
          </w:p>
        </w:tc>
      </w:tr>
      <w:tr>
        <w:trPr>
          <w:jc w:val="center"/>
          <w:trHeight w:val="578" w:hRule="exact"/>
        </w:trPr>
        <w:tc>
          <w:tcPr>
            <w:gridSpan w:val="2"/>
            <w:tcBorders>
              <w:top w:val="single" w:color="000000" w:sz="4" w:space="0"/>
              <w:left w:val="single" w:color="000000" w:sz="4" w:space="0"/>
              <w:bottom w:val="single" w:color="000000" w:sz="4" w:space="0"/>
              <w:right w:val="single" w:color="000000" w:sz="4" w:space="0"/>
            </w:tcBorders>
            <w:tcW w:w="1769" w:type="pct"/>
            <w:vAlign w:val="center"/>
            <w:textDirection w:val="lrTb"/>
            <w:noWrap w:val="false"/>
          </w:tcPr>
          <w:p>
            <w:pPr>
              <w:jc w:val="center"/>
              <w:widowControl/>
              <w:rPr>
                <w:b/>
                <w:color w:val="000000"/>
                <w:lang w:bidi="ar"/>
              </w:rPr>
            </w:pPr>
            <w:r>
              <w:rPr>
                <w:b/>
                <w:color w:val="000000"/>
                <w:lang w:bidi="ar"/>
              </w:rPr>
              <w:t xml:space="preserve">总价</w:t>
            </w:r>
            <w:r>
              <w:rPr>
                <w:rFonts w:hint="eastAsia"/>
                <w:b/>
                <w:color w:val="000000"/>
                <w:lang w:bidi="ar"/>
              </w:rPr>
              <w:t xml:space="preserve">（元）</w:t>
            </w:r>
            <w:r/>
          </w:p>
        </w:tc>
        <w:tc>
          <w:tcPr>
            <w:gridSpan w:val="5"/>
            <w:tcBorders>
              <w:top w:val="single" w:color="000000" w:sz="4" w:space="0"/>
              <w:left w:val="single" w:color="000000" w:sz="4" w:space="0"/>
              <w:bottom w:val="single" w:color="000000" w:sz="4" w:space="0"/>
              <w:right w:val="single" w:color="000000" w:sz="4" w:space="0"/>
            </w:tcBorders>
            <w:tcW w:w="3230" w:type="pct"/>
            <w:vAlign w:val="center"/>
            <w:textDirection w:val="lrTb"/>
            <w:noWrap w:val="false"/>
          </w:tcPr>
          <w:p>
            <w:pPr>
              <w:jc w:val="center"/>
              <w:widowControl/>
              <w:rPr>
                <w:b/>
                <w:color w:val="000000"/>
                <w:lang w:bidi="ar"/>
              </w:rPr>
            </w:pPr>
            <w:r>
              <w:rPr>
                <w:b/>
                <w:color w:val="000000"/>
                <w:lang w:bidi="ar"/>
              </w:rPr>
              <w:t xml:space="preserve">大写</w:t>
            </w:r>
            <w:r>
              <w:rPr>
                <w:rFonts w:hint="eastAsia"/>
                <w:b/>
                <w:color w:val="000000"/>
                <w:u w:val="single"/>
                <w:lang w:bidi="ar"/>
              </w:rPr>
              <w:t xml:space="preserve">                 （小写￥      元）</w:t>
            </w:r>
            <w:r/>
          </w:p>
        </w:tc>
      </w:tr>
    </w:tbl>
    <w:p>
      <w:r/>
      <w:r/>
    </w:p>
    <w:p>
      <w:pPr>
        <w:ind w:firstLine="4142"/>
        <w:jc w:val="left"/>
        <w:spacing w:line="420" w:lineRule="auto"/>
        <w:rPr>
          <w:rFonts w:hint="eastAsia" w:ascii="宋体" w:hAnsi="宋体"/>
          <w:bCs/>
          <w:color w:val="000000"/>
          <w:sz w:val="24"/>
        </w:rPr>
      </w:pPr>
      <w:r>
        <w:rPr>
          <w:rFonts w:hint="eastAsia" w:ascii="宋体" w:hAnsi="宋体"/>
          <w:bCs/>
          <w:color w:val="000000"/>
          <w:sz w:val="24"/>
        </w:rPr>
        <w:t xml:space="preserve">供应商名称（公章）：</w:t>
      </w:r>
      <w:r/>
    </w:p>
    <w:p>
      <w:pPr>
        <w:ind w:firstLine="4142"/>
        <w:jc w:val="left"/>
        <w:spacing w:line="420" w:lineRule="auto"/>
        <w:rPr>
          <w:rFonts w:hint="eastAsia" w:ascii="宋体" w:hAnsi="宋体"/>
          <w:bCs/>
          <w:color w:val="000000"/>
          <w:sz w:val="24"/>
        </w:rPr>
      </w:pPr>
      <w:r>
        <w:rPr>
          <w:rFonts w:hint="eastAsia" w:ascii="宋体" w:hAnsi="宋体"/>
          <w:bCs/>
          <w:color w:val="000000"/>
          <w:sz w:val="24"/>
        </w:rPr>
        <w:t xml:space="preserve">法定代表人或者授权代表（签字或盖章）：</w:t>
      </w:r>
      <w:r/>
    </w:p>
    <w:p>
      <w:pPr>
        <w:jc w:val="center"/>
        <w:spacing w:line="420" w:lineRule="auto"/>
        <w:rPr>
          <w:rFonts w:hint="eastAsia" w:ascii="宋体" w:hAnsi="宋体" w:cs="宋体"/>
          <w:b/>
          <w:color w:val="000000"/>
          <w:sz w:val="32"/>
        </w:rPr>
      </w:pPr>
      <w:r>
        <w:rPr>
          <w:rFonts w:hint="eastAsia" w:ascii="宋体" w:hAnsi="宋体"/>
          <w:bCs/>
          <w:sz w:val="24"/>
        </w:rPr>
        <w:t xml:space="preserve">                                 日期：</w:t>
      </w:r>
      <w:r>
        <w:rPr>
          <w:rFonts w:hint="eastAsia" w:ascii="宋体" w:cs="宋体"/>
          <w:sz w:val="24"/>
        </w:rPr>
        <w:t xml:space="preserve">    年   月   日</w:t>
      </w:r>
      <w:r/>
    </w:p>
    <w:p>
      <w:pPr>
        <w:spacing w:before="50" w:after="145" w:line="420" w:lineRule="auto"/>
        <w:rPr>
          <w:rFonts w:ascii="宋体" w:cs="宋体"/>
          <w:b/>
          <w:bCs/>
          <w:sz w:val="32"/>
          <w:szCs w:val="32"/>
        </w:rPr>
      </w:pPr>
      <w:r>
        <w:rPr>
          <w:rFonts w:ascii="宋体" w:hAnsi="宋体" w:cs="宋体"/>
          <w:b/>
          <w:color w:val="000000"/>
          <w:sz w:val="32"/>
        </w:rPr>
        <w:t xml:space="preserve">十二、技术参数响应及偏离表</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技术参数响应及偏离表</w:t>
      </w:r>
      <w:r/>
    </w:p>
    <w:p>
      <w:pPr>
        <w:ind w:firstLine="480"/>
        <w:pBdr>
          <w:top w:val="none" w:color="000000" w:sz="0" w:space="0"/>
          <w:left w:val="none" w:color="000000" w:sz="0" w:space="0"/>
          <w:bottom w:val="none" w:color="000000" w:sz="0" w:space="0"/>
          <w:right w:val="none" w:color="000000" w:sz="0" w:space="0"/>
        </w:pBdr>
      </w:p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投标人全称（加盖公章）：       </w:t>
      </w:r>
      <w:r/>
    </w:p>
    <w:tbl>
      <w:tblPr>
        <w:tblStyle w:val="755"/>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1522"/>
        <w:gridCol w:w="1522"/>
        <w:gridCol w:w="3698"/>
        <w:gridCol w:w="1522"/>
      </w:tblGrid>
      <w:tr>
        <w:trPr>
          <w:cantSplit/>
        </w:trPr>
        <w:tc>
          <w:tcPr>
            <w:tcW w:w="491"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830"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招标要求</w:t>
            </w:r>
            <w:r/>
          </w:p>
        </w:tc>
        <w:tc>
          <w:tcPr>
            <w:tcW w:w="830"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w:t>
            </w:r>
            <w:r/>
          </w:p>
        </w:tc>
        <w:tc>
          <w:tcPr>
            <w:tcW w:w="2017" w:type="pct"/>
            <w:vAlign w:val="center"/>
            <w:textDirection w:val="lrTb"/>
            <w:noWrap w:val="false"/>
          </w:tcPr>
          <w:p>
            <w:pPr>
              <w:rPr>
                <w:rFonts w:hint="eastAsia" w:ascii="宋体" w:hAnsi="宋体"/>
                <w:sz w:val="24"/>
                <w:szCs w:val="24"/>
              </w:rPr>
            </w:pPr>
            <w:r>
              <w:rPr>
                <w:rFonts w:hint="eastAsia" w:ascii="宋体" w:hAnsi="宋体"/>
                <w:sz w:val="24"/>
                <w:szCs w:val="24"/>
              </w:rPr>
              <w:t xml:space="preserve">正偏离、负偏离、等同于</w:t>
            </w:r>
            <w:r/>
          </w:p>
        </w:tc>
        <w:tc>
          <w:tcPr>
            <w:tcW w:w="830"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佐证材料</w:t>
            </w:r>
            <w:r/>
          </w:p>
          <w:p>
            <w:pPr>
              <w:rPr>
                <w:rFonts w:hint="eastAsia" w:ascii="宋体" w:hAnsi="宋体"/>
                <w:sz w:val="24"/>
                <w:szCs w:val="24"/>
              </w:rPr>
            </w:pPr>
            <w:r>
              <w:rPr>
                <w:rFonts w:hint="eastAsia" w:ascii="宋体" w:hAnsi="宋体"/>
                <w:sz w:val="24"/>
                <w:szCs w:val="24"/>
              </w:rPr>
              <w:t xml:space="preserve">对应页码</w:t>
            </w:r>
            <w:r/>
          </w:p>
        </w:tc>
      </w:tr>
      <w:tr>
        <w:trPr>
          <w:cantSplit/>
          <w:trHeight w:val="640"/>
        </w:trPr>
        <w:tc>
          <w:tcPr>
            <w:tcW w:w="491"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2017"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91"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2017"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91"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2017"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91"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2017"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91"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2017"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91"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2017"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91"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2017"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491"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2017" w:type="pct"/>
            <w:textDirection w:val="lrTb"/>
            <w:noWrap w:val="false"/>
          </w:tcPr>
          <w:p>
            <w:pPr>
              <w:jc w:val="center"/>
              <w:rPr>
                <w:rFonts w:hint="eastAsia" w:ascii="宋体" w:hAnsi="宋体"/>
                <w:sz w:val="24"/>
                <w:szCs w:val="24"/>
              </w:rPr>
            </w:pPr>
            <w:r>
              <w:rPr>
                <w:rFonts w:hint="eastAsia" w:ascii="宋体" w:hAnsi="宋体"/>
                <w:sz w:val="24"/>
                <w:szCs w:val="24"/>
              </w:rPr>
            </w:r>
            <w:r/>
          </w:p>
        </w:tc>
        <w:tc>
          <w:tcPr>
            <w:tcW w:w="830" w:type="pct"/>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jc w:val="center"/>
        <w:rPr>
          <w:rFonts w:hint="eastAsia" w:ascii="宋体" w:hAnsi="宋体"/>
          <w:sz w:val="24"/>
          <w:szCs w:val="24"/>
        </w:rPr>
      </w:pPr>
      <w:r>
        <w:rPr>
          <w:rFonts w:hint="eastAsia" w:ascii="宋体" w:hAnsi="宋体"/>
          <w:sz w:val="24"/>
          <w:szCs w:val="24"/>
        </w:rPr>
        <w:t xml:space="preserve">                          法定代表人或授权代表签字：</w:t>
      </w:r>
      <w:r/>
    </w:p>
    <w:p>
      <w:pPr>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spacing w:line="440" w:lineRule="exact"/>
      </w:pPr>
      <w:r>
        <w:rPr>
          <w:rFonts w:ascii="宋体" w:hAnsi="宋体" w:cs="宋体"/>
          <w:color w:val="000000"/>
          <w:sz w:val="24"/>
        </w:rPr>
        <w:t xml:space="preserve">注：</w:t>
      </w:r>
      <w:r>
        <w:rPr>
          <w:rFonts w:hint="eastAsia" w:ascii="宋体" w:hAnsi="宋体"/>
          <w:sz w:val="24"/>
          <w:szCs w:val="24"/>
        </w:rPr>
        <w:t xml:space="preserve">1、“正偏离、负偏离、等同于”条款须</w:t>
      </w:r>
      <w:r>
        <w:rPr>
          <w:rFonts w:hint="eastAsia" w:ascii="宋体" w:hAnsi="宋体"/>
          <w:bCs/>
          <w:sz w:val="24"/>
        </w:rPr>
        <w:t xml:space="preserve">逐条列明，其他与招标文件第四章一致条款可不描述（不描述条款，视为承诺与招标文件第四章一致）。</w:t>
      </w:r>
      <w:r/>
    </w:p>
    <w:p>
      <w:pPr>
        <w:ind w:firstLine="480"/>
        <w:spacing w:line="440" w:lineRule="exact"/>
        <w:rPr>
          <w:rFonts w:hint="eastAsia" w:ascii="宋体" w:hAnsi="宋体"/>
          <w:sz w:val="24"/>
          <w:szCs w:val="24"/>
        </w:rPr>
      </w:pPr>
      <w:r>
        <w:rPr>
          <w:rFonts w:hint="eastAsia" w:ascii="宋体" w:hAnsi="宋体"/>
          <w:sz w:val="24"/>
          <w:szCs w:val="24"/>
        </w:rPr>
        <w:t xml:space="preserve">2、行数不够，可自行添加。</w:t>
      </w:r>
      <w:r/>
    </w:p>
    <w:p>
      <w:pPr>
        <w:ind w:firstLine="480"/>
        <w:spacing w:line="440" w:lineRule="exact"/>
        <w:rPr>
          <w:rFonts w:hint="eastAsia" w:ascii="宋体" w:hAnsi="宋体"/>
          <w:sz w:val="24"/>
          <w:szCs w:val="24"/>
        </w:rPr>
      </w:pPr>
      <w:r>
        <w:rPr>
          <w:rFonts w:hint="eastAsia" w:ascii="宋体" w:hAnsi="宋体"/>
          <w:sz w:val="24"/>
          <w:szCs w:val="24"/>
        </w:rPr>
        <w:t xml:space="preserve">3、依据本项目招标文件第四章项目需求中技术参数条款，要求投标人投标时提供佐证证明材料，请投标人在此表后附技术参数佐证材料，不提供或提供的证明材料不符合招标文件要求的，视为负偏离。</w:t>
      </w:r>
      <w:r/>
    </w:p>
    <w:p>
      <w:pPr>
        <w:spacing w:before="50" w:after="145" w:line="420" w:lineRule="auto"/>
        <w:rPr>
          <w:rFonts w:ascii="宋体" w:cs="宋体"/>
          <w:b/>
          <w:bCs/>
          <w:sz w:val="32"/>
          <w:szCs w:val="32"/>
        </w:rPr>
      </w:pPr>
      <w:r>
        <w:rPr>
          <w:rFonts w:ascii="宋体" w:cs="宋体"/>
          <w:b/>
          <w:bCs/>
          <w:sz w:val="32"/>
          <w:szCs w:val="32"/>
        </w:rPr>
      </w:r>
      <w:r/>
    </w:p>
    <w:p>
      <w:pPr>
        <w:spacing w:before="50" w:after="145" w:line="420" w:lineRule="auto"/>
        <w:rPr>
          <w:rFonts w:ascii="宋体" w:cs="宋体"/>
          <w:b/>
          <w:bCs/>
          <w:sz w:val="32"/>
          <w:szCs w:val="32"/>
        </w:rPr>
      </w:pPr>
      <w:r>
        <w:rPr>
          <w:rFonts w:ascii="宋体" w:cs="宋体"/>
          <w:b/>
          <w:bCs/>
          <w:sz w:val="32"/>
          <w:szCs w:val="32"/>
        </w:rPr>
      </w:r>
      <w:r/>
    </w:p>
    <w:p>
      <w:pPr>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十三、商务条款响应及偏离表</w:t>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商务条款响应及偏离表</w:t>
      </w:r>
      <w:r/>
    </w:p>
    <w:p>
      <w:pPr>
        <w:pBdr>
          <w:top w:val="none" w:color="000000" w:sz="0" w:space="0"/>
          <w:left w:val="none" w:color="000000" w:sz="0" w:space="0"/>
          <w:bottom w:val="none" w:color="000000" w:sz="0" w:space="0"/>
          <w:right w:val="none" w:color="000000" w:sz="0" w:space="0"/>
        </w:pBdr>
      </w:pPr>
      <w:r/>
      <w:r/>
    </w:p>
    <w:tbl>
      <w:tblPr>
        <w:tblStyle w:val="7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6"/>
        <w:gridCol w:w="2053"/>
        <w:gridCol w:w="2129"/>
        <w:gridCol w:w="2661"/>
      </w:tblGrid>
      <w:tr>
        <w:trPr>
          <w:trHeight w:val="642"/>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招标文件要求</w:t>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是否响应</w:t>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投标人的承诺或说明</w:t>
            </w:r>
            <w:r/>
          </w:p>
        </w:tc>
      </w:tr>
      <w:tr>
        <w:trPr>
          <w:trHeight w:val="760"/>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质保期</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r>
      <w:tr>
        <w:trPr>
          <w:trHeight w:val="719"/>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售后技术服务要求</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r>
      <w:tr>
        <w:trPr>
          <w:trHeight w:val="774"/>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合同履行期限</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ind w:left="43"/>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ind w:left="43"/>
              <w:jc w:val="center"/>
              <w:spacing w:before="208"/>
              <w:pBdr>
                <w:top w:val="none" w:color="000000" w:sz="0" w:space="0"/>
                <w:left w:val="none" w:color="000000" w:sz="0" w:space="0"/>
                <w:bottom w:val="none" w:color="000000" w:sz="0" w:space="0"/>
                <w:right w:val="none" w:color="000000" w:sz="0" w:space="0"/>
              </w:pBdr>
            </w:pPr>
            <w:r/>
            <w:r/>
          </w:p>
        </w:tc>
      </w:tr>
      <w:tr>
        <w:trPr>
          <w:trHeight w:val="673"/>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交验方式</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ind w:left="43"/>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ind w:left="43"/>
              <w:jc w:val="center"/>
              <w:spacing w:before="208"/>
              <w:pBdr>
                <w:top w:val="none" w:color="000000" w:sz="0" w:space="0"/>
                <w:left w:val="none" w:color="000000" w:sz="0" w:space="0"/>
                <w:bottom w:val="none" w:color="000000" w:sz="0" w:space="0"/>
                <w:right w:val="none" w:color="000000" w:sz="0" w:space="0"/>
              </w:pBdr>
            </w:pPr>
            <w:r/>
            <w:r/>
          </w:p>
        </w:tc>
      </w:tr>
      <w:tr>
        <w:trPr>
          <w:trHeight w:val="820"/>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付款方式</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r>
      <w:tr>
        <w:trPr>
          <w:trHeight w:val="340"/>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投标货币</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r>
      <w:tr>
        <w:trPr>
          <w:trHeight w:val="934"/>
        </w:trPr>
        <w:tc>
          <w:tcPr>
            <w:tcMar>
              <w:left w:w="108" w:type="dxa"/>
              <w:top w:w="0" w:type="dxa"/>
              <w:right w:w="108" w:type="dxa"/>
              <w:bottom w:w="0" w:type="dxa"/>
            </w:tcMar>
            <w:tcW w:w="2415"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其他</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r>
      <w:tr>
        <w:trPr>
          <w:trHeight w:val="934"/>
        </w:trPr>
        <w:tc>
          <w:tcPr>
            <w:tcMar>
              <w:left w:w="108" w:type="dxa"/>
              <w:top w:w="0" w:type="dxa"/>
              <w:right w:w="108" w:type="dxa"/>
              <w:bottom w:w="0" w:type="dxa"/>
            </w:tcMar>
            <w:tcW w:w="2415" w:type="dxa"/>
            <w:textDirection w:val="lrTb"/>
            <w:noWrap w:val="false"/>
          </w:tcPr>
          <w:p>
            <w:pPr>
              <w:jc w:val="center"/>
              <w:spacing w:before="208"/>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p>
        </w:tc>
        <w:tc>
          <w:tcPr>
            <w:tcMar>
              <w:left w:w="108" w:type="dxa"/>
              <w:top w:w="0" w:type="dxa"/>
              <w:right w:w="108" w:type="dxa"/>
              <w:bottom w:w="0" w:type="dxa"/>
            </w:tcMar>
            <w:tcW w:w="214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textDirection w:val="lrTb"/>
            <w:noWrap w:val="false"/>
          </w:tcPr>
          <w:p>
            <w:pPr>
              <w:jc w:val="center"/>
              <w:spacing w:before="208"/>
              <w:pBdr>
                <w:top w:val="none" w:color="000000" w:sz="0" w:space="0"/>
                <w:left w:val="none" w:color="000000" w:sz="0" w:space="0"/>
                <w:bottom w:val="none" w:color="000000" w:sz="0" w:space="0"/>
                <w:right w:val="none" w:color="000000" w:sz="0" w:space="0"/>
              </w:pBdr>
            </w:pPr>
            <w:r/>
            <w:r/>
          </w:p>
        </w:tc>
      </w:tr>
    </w:tbl>
    <w:p>
      <w:pPr>
        <w:ind w:firstLine="52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ascii="宋体" w:hAnsi="宋体" w:cs="宋体"/>
          <w:color w:val="000000"/>
          <w:sz w:val="24"/>
        </w:rPr>
        <w:t xml:space="preserve">供应商全称（加盖CA电子公章）：</w:t>
      </w:r>
      <w:r/>
    </w:p>
    <w:p>
      <w:pPr>
        <w:ind w:firstLine="360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4591"/>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法定代表人或授权代表（签字或盖章）：</w:t>
      </w:r>
      <w:r/>
    </w:p>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bCs/>
          <w:sz w:val="24"/>
        </w:rPr>
        <w:t xml:space="preserve">   日期：</w:t>
      </w:r>
      <w:r>
        <w:rPr>
          <w:rFonts w:hint="eastAsia" w:ascii="宋体" w:cs="宋体"/>
          <w:sz w:val="24"/>
        </w:rPr>
        <w:t xml:space="preserve">    年   月   日</w:t>
      </w:r>
      <w:r/>
    </w:p>
    <w:p>
      <w:pPr>
        <w:spacing w:before="50" w:after="145" w:line="420" w:lineRule="auto"/>
        <w:rPr>
          <w:rFonts w:ascii="宋体" w:cs="宋体"/>
          <w:b/>
          <w:bCs/>
          <w:sz w:val="32"/>
          <w:szCs w:val="32"/>
        </w:rPr>
      </w:pPr>
      <w:r>
        <w:rPr>
          <w:rFonts w:ascii="宋体" w:cs="宋体"/>
          <w:b/>
          <w:bCs/>
          <w:sz w:val="32"/>
          <w:szCs w:val="32"/>
        </w:rPr>
      </w:r>
      <w:r/>
    </w:p>
    <w:p>
      <w:pPr>
        <w:spacing w:before="50" w:after="145" w:line="420" w:lineRule="auto"/>
        <w:rPr>
          <w:rFonts w:ascii="宋体" w:cs="宋体"/>
          <w:b/>
          <w:bCs/>
          <w:sz w:val="32"/>
          <w:szCs w:val="32"/>
        </w:rPr>
      </w:pPr>
      <w:r>
        <w:rPr>
          <w:rFonts w:ascii="宋体" w:cs="宋体"/>
          <w:b/>
          <w:bCs/>
          <w:sz w:val="32"/>
          <w:szCs w:val="32"/>
        </w:rPr>
      </w:r>
      <w:r/>
    </w:p>
    <w:p>
      <w:pPr>
        <w:spacing w:before="50" w:after="145" w:line="420" w:lineRule="auto"/>
        <w:rPr>
          <w:rFonts w:ascii="宋体" w:cs="宋体"/>
          <w:b/>
          <w:bCs/>
          <w:sz w:val="32"/>
          <w:szCs w:val="32"/>
        </w:rPr>
      </w:pPr>
      <w:r>
        <w:rPr>
          <w:rFonts w:ascii="宋体" w:cs="宋体"/>
          <w:b/>
          <w:bCs/>
          <w:sz w:val="32"/>
          <w:szCs w:val="32"/>
        </w:rPr>
      </w:r>
      <w:r/>
    </w:p>
    <w:p>
      <w:pPr>
        <w:spacing w:before="50" w:after="145" w:line="420" w:lineRule="auto"/>
        <w:rPr>
          <w:rFonts w:ascii="宋体" w:cs="宋体"/>
          <w:b/>
          <w:bCs/>
          <w:sz w:val="32"/>
          <w:szCs w:val="32"/>
        </w:rPr>
      </w:pPr>
      <w:r>
        <w:rPr>
          <w:rFonts w:ascii="宋体" w:cs="宋体"/>
          <w:b/>
          <w:bCs/>
          <w:sz w:val="32"/>
          <w:szCs w:val="32"/>
        </w:rPr>
      </w:r>
      <w:r/>
    </w:p>
    <w:p>
      <w:pPr>
        <w:rPr>
          <w:rFonts w:ascii="宋体" w:cs="宋体"/>
          <w:b/>
          <w:bCs/>
          <w:sz w:val="32"/>
          <w:szCs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十</w:t>
      </w:r>
      <w:r>
        <w:rPr>
          <w:rFonts w:hint="eastAsia" w:ascii="宋体" w:hAnsi="宋体" w:cs="宋体"/>
          <w:b/>
          <w:color w:val="000000"/>
          <w:sz w:val="32"/>
        </w:rPr>
        <w:t xml:space="preserve">四</w:t>
      </w:r>
      <w:r>
        <w:rPr>
          <w:rFonts w:ascii="宋体" w:hAnsi="宋体" w:cs="宋体"/>
          <w:b/>
          <w:color w:val="000000"/>
          <w:sz w:val="32"/>
        </w:rPr>
        <w:t xml:space="preserve">、</w:t>
      </w:r>
      <w:r>
        <w:rPr>
          <w:rFonts w:hint="eastAsia" w:ascii="宋体" w:hAnsi="宋体" w:cs="宋体"/>
          <w:b/>
          <w:color w:val="000000"/>
          <w:sz w:val="32"/>
        </w:rPr>
        <w:t xml:space="preserve">开标一览表</w:t>
      </w:r>
      <w:r/>
    </w:p>
    <w:p>
      <w:pPr>
        <w:pStyle w:val="951"/>
        <w:ind w:firstLine="643"/>
        <w:jc w:val="center"/>
        <w:spacing w:line="420" w:lineRule="auto"/>
        <w:rPr>
          <w:rFonts w:hint="eastAsia" w:ascii="宋体" w:hAnsi="宋体"/>
        </w:rPr>
      </w:pPr>
      <w:r>
        <w:rPr>
          <w:rFonts w:hint="eastAsia" w:ascii="宋体" w:hAnsi="宋体"/>
        </w:rPr>
        <w:t xml:space="preserve">开标一览表</w:t>
      </w:r>
      <w:r/>
    </w:p>
    <w:p>
      <w:pPr>
        <w:spacing w:line="420" w:lineRule="auto"/>
        <w:rPr>
          <w:rFonts w:hint="eastAsia" w:ascii="宋体" w:hAnsi="宋体" w:cs="宋体"/>
          <w:sz w:val="24"/>
          <w:szCs w:val="24"/>
        </w:rPr>
      </w:pPr>
      <w:r>
        <w:rPr>
          <w:rFonts w:hint="eastAsia" w:ascii="宋体" w:hAnsi="宋体" w:cs="宋体"/>
          <w:sz w:val="24"/>
          <w:szCs w:val="24"/>
        </w:rPr>
        <w:t xml:space="preserve">项目编号：</w:t>
      </w:r>
      <w:r/>
    </w:p>
    <w:tbl>
      <w:tblPr>
        <w:tblStyle w:val="755"/>
        <w:tblW w:w="101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6"/>
        <w:gridCol w:w="7749"/>
      </w:tblGrid>
      <w:tr>
        <w:trPr>
          <w:cantSplit/>
          <w:jc w:val="center"/>
          <w:trHeight w:val="789"/>
        </w:trPr>
        <w:tc>
          <w:tcPr>
            <w:tcW w:w="2396" w:type="dxa"/>
            <w:vAlign w:val="center"/>
            <w:textDirection w:val="lrTb"/>
            <w:noWrap/>
          </w:tcPr>
          <w:p>
            <w:pPr>
              <w:jc w:val="center"/>
              <w:spacing w:line="420" w:lineRule="auto"/>
              <w:rPr>
                <w:rFonts w:ascii="宋体" w:cs="宋体"/>
                <w:sz w:val="24"/>
                <w:szCs w:val="24"/>
              </w:rPr>
            </w:pPr>
            <w:r>
              <w:rPr>
                <w:rFonts w:hint="eastAsia" w:ascii="宋体" w:cs="宋体"/>
                <w:sz w:val="24"/>
                <w:szCs w:val="24"/>
              </w:rPr>
              <w:t xml:space="preserve">项目名称</w:t>
            </w:r>
            <w:r/>
          </w:p>
        </w:tc>
        <w:tc>
          <w:tcPr>
            <w:tcW w:w="7749" w:type="dxa"/>
            <w:vAlign w:val="center"/>
            <w:textDirection w:val="lrTb"/>
            <w:noWrap/>
          </w:tcPr>
          <w:p>
            <w:pPr>
              <w:pStyle w:val="950"/>
              <w:spacing w:line="420" w:lineRule="auto"/>
              <w:rPr>
                <w:rFonts w:ascii="宋体" w:eastAsia="宋体" w:cs="宋体"/>
                <w:b w:val="0"/>
                <w:bCs w:val="0"/>
                <w:sz w:val="24"/>
                <w:szCs w:val="24"/>
              </w:rPr>
            </w:pPr>
            <w:r>
              <w:rPr>
                <w:rFonts w:hint="eastAsia" w:ascii="宋体" w:eastAsia="宋体" w:cs="宋体"/>
                <w:b w:val="0"/>
                <w:bCs w:val="0"/>
                <w:sz w:val="24"/>
                <w:szCs w:val="24"/>
              </w:rPr>
              <w:t xml:space="preserve">滨海县城东大道（迎宾大道-东海大道）智慧化灯杆等采购及安装项目</w:t>
            </w:r>
            <w:r/>
          </w:p>
        </w:tc>
      </w:tr>
      <w:tr>
        <w:trPr>
          <w:cantSplit/>
          <w:jc w:val="center"/>
          <w:trHeight w:val="1600"/>
        </w:trPr>
        <w:tc>
          <w:tcPr>
            <w:tcW w:w="2396" w:type="dxa"/>
            <w:vAlign w:val="center"/>
            <w:textDirection w:val="lrTb"/>
            <w:noWrap/>
          </w:tcPr>
          <w:p>
            <w:pPr>
              <w:spacing w:line="420" w:lineRule="auto"/>
              <w:rPr>
                <w:rFonts w:ascii="宋体" w:cs="宋体"/>
                <w:sz w:val="24"/>
                <w:szCs w:val="24"/>
              </w:rPr>
            </w:pPr>
            <w:r>
              <w:rPr>
                <w:rFonts w:hint="eastAsia" w:ascii="宋体" w:cs="宋体"/>
                <w:sz w:val="24"/>
                <w:szCs w:val="24"/>
              </w:rPr>
              <w:t xml:space="preserve">投标报价总价（元）</w:t>
            </w:r>
            <w:r/>
          </w:p>
        </w:tc>
        <w:tc>
          <w:tcPr>
            <w:tcW w:w="7749" w:type="dxa"/>
            <w:vAlign w:val="center"/>
            <w:textDirection w:val="lrTb"/>
            <w:noWrap/>
          </w:tcPr>
          <w:p>
            <w:pPr>
              <w:ind w:firstLine="480"/>
              <w:spacing w:line="520" w:lineRule="exact"/>
              <w:rPr>
                <w:rFonts w:hint="eastAsia" w:ascii="宋体" w:hAnsi="宋体" w:cs="宋体"/>
                <w:sz w:val="24"/>
                <w:szCs w:val="24"/>
              </w:rPr>
            </w:pPr>
            <w:r>
              <w:rPr>
                <w:rFonts w:hint="eastAsia" w:ascii="宋体" w:hAnsi="宋体" w:cs="宋体"/>
                <w:sz w:val="24"/>
                <w:szCs w:val="24"/>
              </w:rPr>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总价人民币大写：</w:t>
            </w:r>
            <w:r>
              <w:rPr>
                <w:rFonts w:hint="eastAsia" w:ascii="宋体" w:hAnsi="宋体" w:cs="宋体"/>
                <w:sz w:val="24"/>
                <w:szCs w:val="24"/>
                <w:u w:val="single"/>
              </w:rPr>
              <w:t xml:space="preserve">               </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785"/>
              <w:ind w:firstLine="480"/>
            </w:pPr>
            <w:r/>
            <w:r/>
          </w:p>
        </w:tc>
      </w:tr>
      <w:tr>
        <w:trPr>
          <w:cantSplit/>
          <w:jc w:val="center"/>
          <w:trHeight w:val="790"/>
        </w:trPr>
        <w:tc>
          <w:tcPr>
            <w:gridSpan w:val="2"/>
            <w:tcW w:w="10145" w:type="dxa"/>
            <w:vAlign w:val="center"/>
            <w:textDirection w:val="lrTb"/>
            <w:noWrap/>
          </w:tcPr>
          <w:p>
            <w:pPr>
              <w:pStyle w:val="785"/>
              <w:ind w:left="0" w:firstLine="0"/>
              <w:jc w:val="left"/>
            </w:pPr>
            <w:r>
              <w:rPr>
                <w:rFonts w:hint="eastAsia" w:ascii="宋体"/>
                <w:color w:val="000000"/>
              </w:rPr>
              <w:t xml:space="preserve">是否提供《企业类型声明函》：</w:t>
            </w:r>
            <w:r>
              <w:rPr>
                <w:rFonts w:hint="eastAsia" w:ascii="宋体"/>
                <w:color w:val="000000"/>
                <w:u w:val="single"/>
              </w:rPr>
              <w:t xml:space="preserve">  是/否   </w:t>
            </w:r>
            <w:r>
              <w:rPr>
                <w:rFonts w:hint="eastAsia" w:ascii="宋体"/>
                <w:color w:val="000000"/>
              </w:rPr>
              <w:t xml:space="preserve">           见</w:t>
            </w:r>
            <w:r>
              <w:rPr>
                <w:rFonts w:hint="eastAsia" w:ascii="宋体"/>
                <w:color w:val="000000"/>
                <w:u w:val="single"/>
              </w:rPr>
              <w:t xml:space="preserve">（          ）</w:t>
            </w:r>
            <w:r>
              <w:rPr>
                <w:rFonts w:hint="eastAsia" w:ascii="宋体"/>
                <w:color w:val="000000"/>
              </w:rPr>
              <w:t xml:space="preserve">页</w:t>
            </w:r>
            <w:r/>
          </w:p>
        </w:tc>
      </w:tr>
    </w:tbl>
    <w:p>
      <w:pPr>
        <w:spacing w:line="520" w:lineRule="exact"/>
        <w:rPr>
          <w:rFonts w:hint="eastAsia" w:ascii="宋体" w:hAnsi="宋体" w:cs="宋体"/>
          <w:color w:val="ff0000"/>
          <w:sz w:val="24"/>
          <w:szCs w:val="24"/>
        </w:rPr>
      </w:pPr>
      <w:r>
        <w:rPr>
          <w:rFonts w:hint="eastAsia" w:ascii="宋体" w:hAnsi="宋体" w:cs="宋体"/>
          <w:color w:val="ff0000"/>
          <w:sz w:val="24"/>
          <w:szCs w:val="24"/>
        </w:rPr>
      </w:r>
      <w:r/>
    </w:p>
    <w:p>
      <w:pPr>
        <w:spacing w:line="420" w:lineRule="auto"/>
        <w:rPr>
          <w:rFonts w:ascii="宋体" w:cs="宋体"/>
          <w:sz w:val="24"/>
        </w:rPr>
      </w:pPr>
      <w:r>
        <w:rPr>
          <w:rFonts w:hint="eastAsia" w:ascii="宋体" w:cs="宋体"/>
          <w:sz w:val="24"/>
        </w:rPr>
        <w:t xml:space="preserve">                                               </w:t>
      </w:r>
      <w:r>
        <w:rPr>
          <w:rFonts w:ascii="宋体" w:hAnsi="宋体" w:cs="宋体"/>
          <w:color w:val="000000"/>
          <w:sz w:val="24"/>
        </w:rPr>
        <w:t xml:space="preserve">供应商全称（加盖CA电子公章）</w:t>
      </w:r>
      <w:r/>
    </w:p>
    <w:p>
      <w:pPr>
        <w:jc w:val="right"/>
        <w:spacing w:line="420" w:lineRule="auto"/>
        <w:rPr>
          <w:rFonts w:ascii="宋体" w:cs="宋体"/>
          <w:sz w:val="24"/>
        </w:rPr>
      </w:pPr>
      <w:r>
        <w:rPr>
          <w:rFonts w:hint="eastAsia" w:ascii="宋体" w:cs="宋体"/>
          <w:sz w:val="24"/>
        </w:rPr>
        <w:t xml:space="preserve"> 日期：    年   月   日</w:t>
      </w:r>
      <w:r/>
    </w:p>
    <w:p>
      <w:pPr>
        <w:ind w:firstLine="480"/>
        <w:spacing w:line="420" w:lineRule="auto"/>
        <w:rPr>
          <w:rFonts w:ascii="宋体" w:cs="宋体"/>
          <w:sz w:val="24"/>
        </w:rPr>
      </w:pPr>
      <w:r>
        <w:rPr>
          <w:rFonts w:hint="eastAsia" w:ascii="宋体" w:cs="宋体"/>
          <w:sz w:val="24"/>
        </w:rPr>
        <w:t xml:space="preserve">填写说明：</w:t>
      </w:r>
      <w:r/>
    </w:p>
    <w:p>
      <w:pPr>
        <w:ind w:firstLine="480"/>
        <w:spacing w:line="420" w:lineRule="auto"/>
        <w:rPr>
          <w:rFonts w:ascii="宋体" w:cs="宋体"/>
          <w:sz w:val="24"/>
        </w:rPr>
      </w:pPr>
      <w:r>
        <w:rPr>
          <w:rFonts w:hint="eastAsia" w:ascii="宋体" w:hAnsi="宋体" w:cs="宋体"/>
          <w:sz w:val="24"/>
          <w:szCs w:val="24"/>
        </w:rPr>
        <w:t xml:space="preserve">1、开标</w:t>
      </w:r>
      <w:r>
        <w:rPr>
          <w:rFonts w:hAnsi="宋体"/>
          <w:sz w:val="24"/>
          <w:szCs w:val="24"/>
        </w:rPr>
        <w:t xml:space="preserve">一览表不得填报选择性报价，不得高于最高限价，否则将作为无效投标；报价小数点后可保留两位小数，第三位不论大小一律不计</w:t>
      </w:r>
      <w:r>
        <w:rPr>
          <w:rFonts w:hint="eastAsia" w:ascii="宋体" w:cs="宋体"/>
          <w:sz w:val="24"/>
        </w:rPr>
        <w:t xml:space="preserve">。</w:t>
      </w:r>
      <w:r/>
    </w:p>
    <w:p>
      <w:pPr>
        <w:ind w:firstLine="480"/>
        <w:spacing w:line="420" w:lineRule="auto"/>
        <w:rPr>
          <w:rFonts w:ascii="宋体" w:cs="宋体"/>
          <w:sz w:val="24"/>
        </w:rPr>
      </w:pPr>
      <w:r>
        <w:rPr>
          <w:rFonts w:hint="eastAsia" w:ascii="宋体" w:cs="宋体"/>
          <w:sz w:val="24"/>
        </w:rPr>
        <w:t xml:space="preserve">2、请按表中规定格式完整、清晰、正确填写。</w:t>
      </w:r>
      <w:r/>
    </w:p>
    <w:p>
      <w:pPr>
        <w:ind w:firstLine="480"/>
        <w:spacing w:line="420" w:lineRule="auto"/>
        <w:rPr>
          <w:rFonts w:ascii="宋体" w:cs="宋体"/>
          <w:sz w:val="24"/>
        </w:rPr>
      </w:pPr>
      <w:r>
        <w:rPr>
          <w:rFonts w:hint="eastAsia" w:ascii="宋体" w:cs="宋体"/>
          <w:sz w:val="24"/>
        </w:rPr>
        <w:t xml:space="preserve">3、</w:t>
      </w:r>
      <w:r>
        <w:rPr>
          <w:rFonts w:hint="eastAsia" w:ascii="宋体" w:hAnsi="宋体" w:cs="宋体"/>
          <w:sz w:val="24"/>
          <w:szCs w:val="24"/>
        </w:rPr>
        <w:t xml:space="preserve">开标一览表的格式及内容以苏采云系统中开标一览表为准。</w:t>
      </w:r>
      <w:r/>
    </w:p>
    <w:p>
      <w:pPr>
        <w:spacing w:line="420" w:lineRule="auto"/>
        <w:rPr>
          <w:rFonts w:hint="eastAsia" w:ascii="宋体" w:hAnsi="宋体"/>
          <w:bCs/>
          <w:sz w:val="24"/>
        </w:rPr>
      </w:pPr>
      <w:r>
        <w:rPr>
          <w:rFonts w:hint="eastAsia" w:ascii="宋体" w:hAnsi="宋体"/>
          <w:bCs/>
          <w:sz w:val="24"/>
        </w:rPr>
      </w:r>
      <w:r/>
    </w:p>
    <w:p>
      <w:pP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十五、</w:t>
      </w:r>
      <w:r>
        <w:rPr>
          <w:rFonts w:hint="eastAsia" w:ascii="宋体" w:hAnsi="宋体" w:cs="宋体"/>
          <w:b/>
          <w:color w:val="000000"/>
          <w:sz w:val="32"/>
        </w:rPr>
        <w:t xml:space="preserve">综合评分法要求提供供评委打分材料</w:t>
      </w:r>
      <w:r/>
    </w:p>
    <w:p>
      <w:pPr>
        <w:ind w:firstLine="480"/>
        <w:spacing w:line="440" w:lineRule="exact"/>
        <w:rPr>
          <w:rFonts w:hint="eastAsia" w:ascii="宋体" w:hAnsi="宋体"/>
          <w:sz w:val="24"/>
          <w:szCs w:val="24"/>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sz w:val="24"/>
          <w:szCs w:val="24"/>
        </w:rPr>
        <w:t xml:space="preserve">（详见招标文件第五章评分标准）</w:t>
      </w:r>
      <w:bookmarkEnd w:id="74"/>
      <w:bookmarkEnd w:id="75"/>
      <w:bookmarkEnd w:id="76"/>
      <w:r/>
    </w:p>
    <w:p>
      <w:pPr>
        <w:jc w:val="left"/>
        <w:spacing w:line="420" w:lineRule="auto"/>
        <w:widowControl/>
        <w:rPr>
          <w:rFonts w:hint="eastAsia" w:ascii="宋体" w:hAnsi="宋体"/>
          <w:sz w:val="24"/>
          <w:szCs w:val="24"/>
        </w:rPr>
      </w:pPr>
      <w:r/>
      <w:bookmarkStart w:id="77" w:name="_Toc120614284"/>
      <w:r>
        <w:rPr>
          <w:rFonts w:hint="eastAsia" w:ascii="宋体" w:hAnsi="宋体" w:cs="宋体"/>
          <w:b/>
          <w:bCs/>
          <w:color w:val="000000"/>
          <w:sz w:val="32"/>
          <w:szCs w:val="32"/>
        </w:rPr>
        <w:t xml:space="preserve">十六、盐城市政府采购事前信用承诺书</w:t>
      </w:r>
      <w:bookmarkEnd w:id="65"/>
      <w:bookmarkEnd w:id="66"/>
      <w:bookmarkEnd w:id="77"/>
      <w:r/>
    </w:p>
    <w:p>
      <w:pPr>
        <w:pStyle w:val="951"/>
        <w:ind w:firstLine="643"/>
        <w:jc w:val="center"/>
        <w:spacing w:line="360" w:lineRule="auto"/>
        <w:rPr>
          <w:rFonts w:hint="eastAsia" w:ascii="宋体" w:hAnsi="宋体"/>
        </w:rPr>
      </w:pPr>
      <w:r>
        <w:rPr>
          <w:rFonts w:hint="eastAsia" w:ascii="宋体" w:hAnsi="宋体"/>
        </w:rPr>
        <w:t xml:space="preserve">盐城市政府采购事前信用承诺书</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p>
    <w:p>
      <w:pPr>
        <w:jc w:val="left"/>
        <w:spacing w:line="360" w:lineRule="auto"/>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line="360" w:lineRule="auto"/>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p>
    <w:p>
      <w:pPr>
        <w:jc w:val="left"/>
        <w:spacing w:line="360" w:lineRule="auto"/>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p>
    <w:p>
      <w:pPr>
        <w:jc w:val="center"/>
        <w:spacing w:line="360" w:lineRule="auto"/>
        <w:widowControl/>
        <w:rPr>
          <w:rFonts w:hint="eastAsia" w:ascii="宋体" w:hAnsi="宋体"/>
          <w:sz w:val="24"/>
          <w:szCs w:val="24"/>
        </w:rPr>
      </w:pPr>
      <w:r>
        <w:rPr>
          <w:rFonts w:hint="eastAsia" w:ascii="宋体" w:hAnsi="宋体"/>
          <w:sz w:val="24"/>
          <w:szCs w:val="24"/>
        </w:rPr>
        <w:t xml:space="preserve">                               法定代表人签名：</w:t>
      </w:r>
      <w:r/>
    </w:p>
    <w:p>
      <w:pPr>
        <w:jc w:val="center"/>
        <w:spacing w:line="360" w:lineRule="auto"/>
        <w:widowControl/>
        <w:rPr>
          <w:rFonts w:hint="eastAsia" w:ascii="宋体" w:hAnsi="宋体"/>
          <w:sz w:val="24"/>
          <w:szCs w:val="24"/>
        </w:rPr>
      </w:pPr>
      <w:r>
        <w:rPr>
          <w:rFonts w:hint="eastAsia" w:ascii="宋体" w:hAnsi="宋体"/>
          <w:sz w:val="24"/>
          <w:szCs w:val="24"/>
        </w:rPr>
        <w:t xml:space="preserve">                   单位名称（加盖CA电子公章）：</w:t>
      </w:r>
      <w:r/>
    </w:p>
    <w:p>
      <w:pPr>
        <w:jc w:val="center"/>
        <w:spacing w:line="360" w:lineRule="auto"/>
        <w:widowControl/>
      </w:pPr>
      <w:r>
        <w:rPr>
          <w:rFonts w:hint="eastAsia" w:ascii="宋体" w:hAnsi="宋体"/>
          <w:sz w:val="24"/>
          <w:szCs w:val="24"/>
        </w:rPr>
        <w:t xml:space="preserve">     </w:t>
      </w:r>
      <w:r>
        <w:rPr>
          <w:rFonts w:hint="eastAsia" w:ascii="宋体" w:hAnsi="宋体"/>
          <w:bCs/>
          <w:sz w:val="24"/>
        </w:rPr>
        <w:t xml:space="preserve">日      期：</w:t>
      </w:r>
      <w:r>
        <w:rPr>
          <w:rFonts w:hint="eastAsia" w:ascii="宋体" w:cs="宋体"/>
          <w:sz w:val="24"/>
        </w:rPr>
        <w:t xml:space="preserve">    年   月   日</w:t>
      </w:r>
      <w:r/>
    </w:p>
    <w:p>
      <w:pPr>
        <w:pStyle w:val="953"/>
        <w:ind w:firstLine="480"/>
        <w:spacing w:before="0" w:after="0" w:line="520" w:lineRule="exact"/>
        <w:rPr>
          <w:rFonts w:hint="eastAsia" w:ascii="宋体" w:hAnsi="宋体" w:eastAsia="宋体" w:cs="宋体"/>
          <w:b w:val="0"/>
          <w:sz w:val="24"/>
          <w:szCs w:val="21"/>
        </w:rPr>
      </w:pPr>
      <w:r>
        <w:rPr>
          <w:rFonts w:hint="eastAsia" w:ascii="宋体" w:hAnsi="宋体" w:eastAsia="宋体" w:cs="宋体"/>
          <w:b w:val="0"/>
          <w:sz w:val="24"/>
          <w:szCs w:val="21"/>
        </w:rPr>
      </w:r>
      <w:r/>
    </w:p>
    <w:p>
      <w:pPr>
        <w:spacing w:line="360" w:lineRule="auto"/>
        <w:widowControl/>
        <w:rPr>
          <w:rFonts w:hint="eastAsia" w:ascii="宋体" w:hAnsi="宋体" w:cs="宋体"/>
          <w:b/>
          <w:bCs/>
          <w:color w:val="000000"/>
          <w:sz w:val="32"/>
          <w:szCs w:val="32"/>
        </w:rPr>
      </w:pPr>
      <w:r>
        <w:rPr>
          <w:rFonts w:hint="eastAsia" w:ascii="宋体" w:hAnsi="宋体" w:cs="宋体"/>
          <w:b/>
          <w:bCs/>
          <w:color w:val="000000"/>
          <w:sz w:val="32"/>
          <w:szCs w:val="32"/>
        </w:rPr>
      </w:r>
      <w:r/>
    </w:p>
    <w:p>
      <w:pPr>
        <w:spacing w:line="360" w:lineRule="auto"/>
        <w:widowControl/>
        <w:rPr>
          <w:rFonts w:hint="eastAsia" w:ascii="宋体" w:hAnsi="宋体"/>
          <w:sz w:val="24"/>
          <w:szCs w:val="24"/>
        </w:rPr>
      </w:pPr>
      <w:r>
        <w:rPr>
          <w:rFonts w:hint="eastAsia" w:ascii="宋体" w:hAnsi="宋体" w:cs="宋体"/>
          <w:b/>
          <w:bCs/>
          <w:color w:val="000000"/>
          <w:sz w:val="32"/>
          <w:szCs w:val="32"/>
        </w:rPr>
        <w:t xml:space="preserve">十七、投标人认为有必要提供的其他材料      </w:t>
      </w:r>
      <w:r>
        <w:rPr>
          <w:rFonts w:hint="eastAsia" w:ascii="宋体" w:hAnsi="宋体"/>
          <w:sz w:val="24"/>
          <w:szCs w:val="24"/>
        </w:rPr>
        <w:t xml:space="preserve">                </w:t>
      </w:r>
      <w:r/>
    </w:p>
    <w:sectPr>
      <w:footerReference w:type="defaul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howcard Gothic">
    <w:panose1 w:val="04020904020102020604"/>
  </w:font>
  <w:font w:name="Segoe UI Symbol">
    <w:panose1 w:val="020B0502040204020203"/>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楷体_GB2312">
    <w:panose1 w:val="02010609060101010101"/>
  </w:font>
  <w:font w:name="Courier New">
    <w:panose1 w:val="02070309020205020404"/>
  </w:font>
  <w:font w:name="Tahoma">
    <w:panose1 w:val="020B060403050404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999"/>
        <w:rFonts w:hint="eastAsia" w:ascii="宋体" w:hAnsi="宋体"/>
      </w:rPr>
      <w:framePr w:wrap="around" w:vAnchor="text" w:hAnchor="margin" w:xAlign="center" w:y="1"/>
    </w:pPr>
    <w:r>
      <w:rPr>
        <w:rFonts w:ascii="宋体" w:hAnsi="宋体"/>
      </w:rPr>
      <w:fldChar w:fldCharType="begin"/>
    </w:r>
    <w:r>
      <w:rPr>
        <w:rStyle w:val="999"/>
        <w:rFonts w:ascii="宋体" w:hAnsi="宋体"/>
      </w:rPr>
      <w:instrText xml:space="preserve">PAGE  </w:instrText>
    </w:r>
    <w:r>
      <w:rPr>
        <w:rFonts w:ascii="宋体" w:hAnsi="宋体"/>
      </w:rPr>
      <w:fldChar w:fldCharType="separate"/>
    </w:r>
    <w:r>
      <w:rPr>
        <w:rStyle w:val="999"/>
        <w:rFonts w:ascii="宋体" w:hAnsi="宋体"/>
      </w:rPr>
      <w:t xml:space="preserve">49</w:t>
    </w:r>
    <w:r>
      <w:rPr>
        <w:rFonts w:ascii="宋体" w:hAnsi="宋体"/>
      </w:rPr>
      <w:fldChar w:fldCharType="end"/>
    </w:r>
    <w:r/>
  </w:p>
  <w:p>
    <w:pPr>
      <w:pStyle w:val="980"/>
      <w:jc w:val="center"/>
      <w:rPr>
        <w:b/>
        <w:i/>
      </w:rPr>
    </w:pPr>
    <w:r>
      <w:rPr>
        <w:b/>
        <w:i/>
        <w:sz w:val="20"/>
      </w:rPr>
      <w:t xml:space="preserve"> </w:t>
    </w:r>
    <w:r/>
  </w:p>
  <w:p>
    <w:pP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p>
  <w:p>
    <w:pPr>
      <w:pStyle w:val="98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97" w:firstLine="540"/>
      <w:spacing w:line="179" w:lineRule="auto"/>
      <w:rPr>
        <w:rFonts w:eastAsia="Times New Roman"/>
        <w:sz w:val="28"/>
        <w:szCs w:val="28"/>
      </w:rPr>
    </w:pPr>
    <w:r>
      <w:rPr>
        <w:rFonts w:eastAsia="Times New Roman"/>
        <w:spacing w:val="-5"/>
        <w:sz w:val="28"/>
        <w:szCs w:val="28"/>
      </w:rPr>
      <w:t xml:space="preserve">—</w:t>
    </w:r>
    <w:r>
      <w:rPr>
        <w:rFonts w:eastAsia="Times New Roman"/>
        <w:spacing w:val="30"/>
        <w:sz w:val="28"/>
        <w:szCs w:val="28"/>
      </w:rPr>
      <w:t xml:space="preserve"> </w:t>
    </w:r>
    <w:r>
      <w:rPr>
        <w:rFonts w:eastAsia="Times New Roman"/>
        <w:spacing w:val="-5"/>
        <w:sz w:val="28"/>
        <w:szCs w:val="28"/>
      </w:rPr>
      <w:t xml:space="preserve">10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222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5"/>
      <w:isLgl w:val="false"/>
      <w:suff w:val="nothing"/>
      <w:lvlText w:val=""/>
      <w:lvlJc w:val="left"/>
      <w:pPr>
        <w:ind w:left="0" w:firstLine="0"/>
      </w:pPr>
      <w:rPr>
        <w:rFonts w:hint="eastAsia"/>
      </w:rPr>
    </w:lvl>
    <w:lvl w:ilvl="6">
      <w:start w:val="1"/>
      <w:numFmt w:val="decimal"/>
      <w:pStyle w:val="956"/>
      <w:isLgl w:val="false"/>
      <w:suff w:val="nothing"/>
      <w:lvlText w:val=""/>
      <w:lvlJc w:val="left"/>
      <w:pPr>
        <w:ind w:left="0" w:firstLine="0"/>
      </w:pPr>
      <w:rPr>
        <w:rFonts w:hint="eastAsia"/>
      </w:rPr>
    </w:lvl>
    <w:lvl w:ilvl="7">
      <w:start w:val="1"/>
      <w:numFmt w:val="decimal"/>
      <w:pStyle w:val="957"/>
      <w:isLgl w:val="false"/>
      <w:suff w:val="nothing"/>
      <w:lvlText w:val=""/>
      <w:lvlJc w:val="left"/>
      <w:pPr>
        <w:ind w:left="0" w:firstLine="0"/>
      </w:pPr>
      <w:rPr>
        <w:rFonts w:hint="eastAsia"/>
      </w:rPr>
    </w:lvl>
    <w:lvl w:ilvl="8">
      <w:start w:val="1"/>
      <w:numFmt w:val="decimal"/>
      <w:pStyle w:val="958"/>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9"/>
      <w:numFmt w:val="bullet"/>
      <w:isLgl w:val="false"/>
      <w:suff w:val="tab"/>
      <w:lvlText w:val="★"/>
      <w:lvlJc w:val="left"/>
      <w:pPr>
        <w:ind w:left="780" w:hanging="360"/>
      </w:pPr>
      <w:rPr>
        <w:rFonts w:hint="default" w:ascii="Segoe UI Symbol" w:hAnsi="Segoe UI Symbol" w:eastAsia="宋体" w:cs="Segoe UI Symbol"/>
        <w:color w:val="auto"/>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pStyle w:val="10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9">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9"/>
      <w:numFmt w:val="bullet"/>
      <w:isLgl w:val="false"/>
      <w:suff w:val="tab"/>
      <w:lvlText w:val="★"/>
      <w:lvlJc w:val="left"/>
      <w:pPr>
        <w:ind w:left="780" w:hanging="360"/>
      </w:pPr>
      <w:rPr>
        <w:rFonts w:hint="eastAsia" w:ascii="等线" w:hAnsi="等线" w:eastAsia="等线" w:cstheme="minorBidi"/>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isLgl w:val="false"/>
      <w:suff w:val="tab"/>
      <w:lvlText w:val="%1."/>
      <w:lvlJc w:val="left"/>
      <w:pPr>
        <w:ind w:left="420" w:hanging="420"/>
      </w:pPr>
      <w:rPr>
        <w:rFonts w:hint="default" w:ascii="Times New Roman" w:hAnsi="Times New Roman" w:eastAsia="仿宋"/>
        <w:sz w:val="21"/>
      </w:rPr>
    </w:lvl>
    <w:lvl w:ilvl="1">
      <w:start w:val="9"/>
      <w:numFmt w:val="bullet"/>
      <w:isLgl w:val="false"/>
      <w:suff w:val="tab"/>
      <w:lvlText w:val="★"/>
      <w:lvlJc w:val="left"/>
      <w:pPr>
        <w:ind w:left="780" w:hanging="360"/>
      </w:pPr>
      <w:rPr>
        <w:rFonts w:hint="default" w:ascii="Segoe UI Symbol" w:hAnsi="Segoe UI Symbol" w:eastAsia="宋体" w:cs="Segoe UI Symbol"/>
        <w:color w:val="auto"/>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28"/>
  </w:num>
  <w:num w:numId="4">
    <w:abstractNumId w:val="1"/>
  </w:num>
  <w:num w:numId="5">
    <w:abstractNumId w:val="18"/>
  </w:num>
  <w:num w:numId="6">
    <w:abstractNumId w:val="26"/>
  </w:num>
  <w:num w:numId="7">
    <w:abstractNumId w:val="33"/>
  </w:num>
  <w:num w:numId="8">
    <w:abstractNumId w:val="23"/>
  </w:num>
  <w:num w:numId="9">
    <w:abstractNumId w:val="37"/>
  </w:num>
  <w:num w:numId="10">
    <w:abstractNumId w:val="17"/>
  </w:num>
  <w:num w:numId="11">
    <w:abstractNumId w:val="7"/>
  </w:num>
  <w:num w:numId="12">
    <w:abstractNumId w:val="4"/>
  </w:num>
  <w:num w:numId="13">
    <w:abstractNumId w:val="22"/>
  </w:num>
  <w:num w:numId="14">
    <w:abstractNumId w:val="9"/>
  </w:num>
  <w:num w:numId="15">
    <w:abstractNumId w:val="12"/>
  </w:num>
  <w:num w:numId="16">
    <w:abstractNumId w:val="5"/>
  </w:num>
  <w:num w:numId="17">
    <w:abstractNumId w:val="34"/>
  </w:num>
  <w:num w:numId="18">
    <w:abstractNumId w:val="14"/>
  </w:num>
  <w:num w:numId="19">
    <w:abstractNumId w:val="20"/>
  </w:num>
  <w:num w:numId="20">
    <w:abstractNumId w:val="13"/>
  </w:num>
  <w:num w:numId="21">
    <w:abstractNumId w:val="8"/>
  </w:num>
  <w:num w:numId="22">
    <w:abstractNumId w:val="11"/>
  </w:num>
  <w:num w:numId="23">
    <w:abstractNumId w:val="6"/>
  </w:num>
  <w:num w:numId="24">
    <w:abstractNumId w:val="31"/>
  </w:num>
  <w:num w:numId="25">
    <w:abstractNumId w:val="30"/>
  </w:num>
  <w:num w:numId="26">
    <w:abstractNumId w:val="29"/>
  </w:num>
  <w:num w:numId="27">
    <w:abstractNumId w:val="15"/>
  </w:num>
  <w:num w:numId="28">
    <w:abstractNumId w:val="21"/>
  </w:num>
  <w:num w:numId="29">
    <w:abstractNumId w:val="32"/>
  </w:num>
  <w:num w:numId="30">
    <w:abstractNumId w:val="27"/>
  </w:num>
  <w:num w:numId="31">
    <w:abstractNumId w:val="19"/>
  </w:num>
  <w:num w:numId="32">
    <w:abstractNumId w:val="25"/>
  </w:num>
  <w:num w:numId="33">
    <w:abstractNumId w:val="24"/>
  </w:num>
  <w:num w:numId="34">
    <w:abstractNumId w:val="36"/>
  </w:num>
  <w:num w:numId="35">
    <w:abstractNumId w:val="16"/>
  </w:num>
  <w:num w:numId="36">
    <w:abstractNumId w:val="10"/>
  </w:num>
  <w:num w:numId="37">
    <w:abstractNumId w:val="0"/>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4"/>
    <w:link w:val="745"/>
    <w:uiPriority w:val="9"/>
    <w:rPr>
      <w:rFonts w:ascii="Arial" w:hAnsi="Arial" w:eastAsia="Arial" w:cs="Arial"/>
      <w:sz w:val="40"/>
      <w:szCs w:val="40"/>
    </w:rPr>
  </w:style>
  <w:style w:type="character" w:styleId="15">
    <w:name w:val="Heading 2 Char"/>
    <w:basedOn w:val="754"/>
    <w:link w:val="746"/>
    <w:uiPriority w:val="9"/>
    <w:rPr>
      <w:rFonts w:ascii="Arial" w:hAnsi="Arial" w:eastAsia="Arial" w:cs="Arial"/>
      <w:sz w:val="34"/>
    </w:rPr>
  </w:style>
  <w:style w:type="character" w:styleId="17">
    <w:name w:val="Heading 3 Char"/>
    <w:basedOn w:val="754"/>
    <w:link w:val="747"/>
    <w:uiPriority w:val="9"/>
    <w:rPr>
      <w:rFonts w:ascii="Arial" w:hAnsi="Arial" w:eastAsia="Arial" w:cs="Arial"/>
      <w:sz w:val="30"/>
      <w:szCs w:val="30"/>
    </w:rPr>
  </w:style>
  <w:style w:type="character" w:styleId="19">
    <w:name w:val="Heading 4 Char"/>
    <w:basedOn w:val="754"/>
    <w:link w:val="748"/>
    <w:uiPriority w:val="9"/>
    <w:rPr>
      <w:rFonts w:ascii="Arial" w:hAnsi="Arial" w:eastAsia="Arial" w:cs="Arial"/>
      <w:b/>
      <w:bCs/>
      <w:sz w:val="26"/>
      <w:szCs w:val="26"/>
    </w:rPr>
  </w:style>
  <w:style w:type="character" w:styleId="21">
    <w:name w:val="Heading 5 Char"/>
    <w:basedOn w:val="754"/>
    <w:link w:val="749"/>
    <w:uiPriority w:val="9"/>
    <w:rPr>
      <w:rFonts w:ascii="Arial" w:hAnsi="Arial" w:eastAsia="Arial" w:cs="Arial"/>
      <w:b/>
      <w:bCs/>
      <w:sz w:val="24"/>
      <w:szCs w:val="24"/>
    </w:rPr>
  </w:style>
  <w:style w:type="character" w:styleId="23">
    <w:name w:val="Heading 6 Char"/>
    <w:basedOn w:val="754"/>
    <w:link w:val="750"/>
    <w:uiPriority w:val="9"/>
    <w:rPr>
      <w:rFonts w:ascii="Arial" w:hAnsi="Arial" w:eastAsia="Arial" w:cs="Arial"/>
      <w:b/>
      <w:bCs/>
      <w:sz w:val="22"/>
      <w:szCs w:val="22"/>
    </w:rPr>
  </w:style>
  <w:style w:type="character" w:styleId="25">
    <w:name w:val="Heading 7 Char"/>
    <w:basedOn w:val="754"/>
    <w:link w:val="751"/>
    <w:uiPriority w:val="9"/>
    <w:rPr>
      <w:rFonts w:ascii="Arial" w:hAnsi="Arial" w:eastAsia="Arial" w:cs="Arial"/>
      <w:b/>
      <w:bCs/>
      <w:i/>
      <w:iCs/>
      <w:sz w:val="22"/>
      <w:szCs w:val="22"/>
    </w:rPr>
  </w:style>
  <w:style w:type="character" w:styleId="27">
    <w:name w:val="Heading 8 Char"/>
    <w:basedOn w:val="754"/>
    <w:link w:val="752"/>
    <w:uiPriority w:val="9"/>
    <w:rPr>
      <w:rFonts w:ascii="Arial" w:hAnsi="Arial" w:eastAsia="Arial" w:cs="Arial"/>
      <w:i/>
      <w:iCs/>
      <w:sz w:val="22"/>
      <w:szCs w:val="22"/>
    </w:rPr>
  </w:style>
  <w:style w:type="character" w:styleId="29">
    <w:name w:val="Heading 9 Char"/>
    <w:basedOn w:val="754"/>
    <w:link w:val="753"/>
    <w:uiPriority w:val="9"/>
    <w:rPr>
      <w:rFonts w:ascii="Arial" w:hAnsi="Arial" w:eastAsia="Arial" w:cs="Arial"/>
      <w:i/>
      <w:iCs/>
      <w:sz w:val="21"/>
      <w:szCs w:val="21"/>
    </w:rPr>
  </w:style>
  <w:style w:type="character" w:styleId="34">
    <w:name w:val="Title Char"/>
    <w:basedOn w:val="754"/>
    <w:link w:val="783"/>
    <w:uiPriority w:val="10"/>
    <w:rPr>
      <w:sz w:val="48"/>
      <w:szCs w:val="48"/>
    </w:rPr>
  </w:style>
  <w:style w:type="character" w:styleId="36">
    <w:name w:val="Subtitle Char"/>
    <w:basedOn w:val="754"/>
    <w:link w:val="776"/>
    <w:uiPriority w:val="11"/>
    <w:rPr>
      <w:sz w:val="24"/>
      <w:szCs w:val="24"/>
    </w:rPr>
  </w:style>
  <w:style w:type="character" w:styleId="38">
    <w:name w:val="Quote Char"/>
    <w:link w:val="814"/>
    <w:uiPriority w:val="29"/>
    <w:rPr>
      <w:i/>
    </w:rPr>
  </w:style>
  <w:style w:type="character" w:styleId="40">
    <w:name w:val="Intense Quote Char"/>
    <w:link w:val="816"/>
    <w:uiPriority w:val="30"/>
    <w:rPr>
      <w:i/>
    </w:rPr>
  </w:style>
  <w:style w:type="character" w:styleId="42">
    <w:name w:val="Header Char"/>
    <w:basedOn w:val="754"/>
    <w:link w:val="773"/>
    <w:uiPriority w:val="99"/>
  </w:style>
  <w:style w:type="character" w:styleId="46">
    <w:name w:val="Caption Char"/>
    <w:basedOn w:val="758"/>
    <w:link w:val="771"/>
    <w:uiPriority w:val="99"/>
  </w:style>
  <w:style w:type="table" w:styleId="49">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7"/>
    <w:uiPriority w:val="99"/>
    <w:rPr>
      <w:sz w:val="18"/>
    </w:rPr>
  </w:style>
  <w:style w:type="character" w:styleId="178">
    <w:name w:val="Endnote Text Char"/>
    <w:link w:val="770"/>
    <w:uiPriority w:val="99"/>
    <w:rPr>
      <w:sz w:val="20"/>
    </w:rPr>
  </w:style>
  <w:style w:type="paragraph" w:styleId="189">
    <w:name w:val="TOC Heading"/>
    <w:uiPriority w:val="39"/>
    <w:unhideWhenUsed/>
  </w:style>
  <w:style w:type="paragraph" w:styleId="74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45">
    <w:name w:val="Heading 1"/>
    <w:basedOn w:val="744"/>
    <w:next w:val="744"/>
    <w:link w:val="801"/>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802"/>
    <w:uiPriority w:val="9"/>
    <w:unhideWhenUsed/>
    <w:qFormat/>
    <w:pPr>
      <w:keepLines/>
      <w:keepNext/>
      <w:spacing w:before="360" w:after="200"/>
      <w:outlineLvl w:val="1"/>
    </w:pPr>
    <w:rPr>
      <w:rFonts w:ascii="Arial" w:hAnsi="Arial" w:eastAsia="Arial" w:cs="Arial"/>
      <w:sz w:val="34"/>
    </w:rPr>
  </w:style>
  <w:style w:type="paragraph" w:styleId="747">
    <w:name w:val="Heading 3"/>
    <w:basedOn w:val="744"/>
    <w:link w:val="803"/>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link w:val="80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805"/>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806"/>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808"/>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809"/>
    <w:uiPriority w:val="9"/>
    <w:unhideWhenUsed/>
    <w:qFormat/>
    <w:pPr>
      <w:keepLines/>
      <w:keepNext/>
      <w:spacing w:before="320" w:after="200"/>
      <w:outlineLvl w:val="8"/>
    </w:pPr>
    <w:rPr>
      <w:rFonts w:ascii="Arial" w:hAnsi="Arial" w:eastAsia="Arial" w:cs="Arial"/>
      <w:i/>
      <w:iCs/>
    </w:rPr>
  </w:style>
  <w:style w:type="character" w:styleId="754" w:default="1">
    <w:name w:val="Default Paragraph Font"/>
    <w:uiPriority w:val="1"/>
    <w:semiHidden/>
    <w:unhideWhenUsed/>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spacing w:after="57"/>
    </w:pPr>
  </w:style>
  <w:style w:type="paragraph" w:styleId="757">
    <w:name w:val="Normal Indent"/>
    <w:basedOn w:val="744"/>
    <w:next w:val="744"/>
    <w:uiPriority w:val="99"/>
    <w:unhideWhenUsed/>
    <w:qFormat/>
    <w:pPr>
      <w:ind w:firstLine="420"/>
    </w:pPr>
  </w:style>
  <w:style w:type="paragraph" w:styleId="758">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Document Map"/>
    <w:basedOn w:val="744"/>
    <w:uiPriority w:val="0"/>
    <w:qFormat/>
    <w:pPr>
      <w:shd w:val="clear" w:color="auto" w:fill="000080"/>
    </w:pPr>
  </w:style>
  <w:style w:type="paragraph" w:styleId="760">
    <w:name w:val="annotation text"/>
    <w:basedOn w:val="744"/>
    <w:uiPriority w:val="99"/>
    <w:semiHidden/>
    <w:unhideWhenUsed/>
    <w:qFormat/>
    <w:pPr>
      <w:jc w:val="left"/>
    </w:pPr>
  </w:style>
  <w:style w:type="paragraph" w:styleId="761">
    <w:name w:val="Body Text"/>
    <w:basedOn w:val="744"/>
    <w:next w:val="762"/>
    <w:uiPriority w:val="0"/>
    <w:qFormat/>
    <w:pPr>
      <w:spacing w:after="120"/>
    </w:pPr>
  </w:style>
  <w:style w:type="paragraph" w:styleId="762" w:customStyle="1">
    <w:name w:val="_Style 2"/>
    <w:basedOn w:val="744"/>
    <w:uiPriority w:val="0"/>
    <w:qFormat/>
    <w:pPr>
      <w:ind w:firstLine="200"/>
    </w:pPr>
    <w:rPr>
      <w:rFonts w:ascii="Calibri" w:hAnsi="Calibri"/>
      <w:sz w:val="28"/>
      <w:szCs w:val="22"/>
    </w:rPr>
  </w:style>
  <w:style w:type="paragraph" w:styleId="763">
    <w:name w:val="Body Text Indent"/>
    <w:basedOn w:val="744"/>
    <w:uiPriority w:val="99"/>
    <w:qFormat/>
    <w:pPr>
      <w:ind w:firstLine="560"/>
      <w:spacing w:line="460" w:lineRule="exact"/>
    </w:pPr>
    <w:rPr>
      <w:rFonts w:ascii="仿宋_GB2312" w:hAnsi="Tahoma" w:eastAsia="仿宋_GB2312"/>
      <w:sz w:val="28"/>
    </w:rPr>
  </w:style>
  <w:style w:type="paragraph" w:styleId="764">
    <w:name w:val="Block Text"/>
    <w:basedOn w:val="744"/>
    <w:uiPriority w:val="0"/>
    <w:unhideWhenUsed/>
    <w:qFormat/>
    <w:pPr>
      <w:ind w:left="1440" w:right="700"/>
      <w:spacing w:after="120"/>
    </w:pPr>
    <w:rPr>
      <w:rFonts w:hint="eastAsia"/>
      <w:szCs w:val="22"/>
    </w:rPr>
  </w:style>
  <w:style w:type="paragraph" w:styleId="765">
    <w:name w:val="toc 5"/>
    <w:basedOn w:val="744"/>
    <w:next w:val="744"/>
    <w:uiPriority w:val="39"/>
    <w:unhideWhenUsed/>
    <w:qFormat/>
    <w:pPr>
      <w:ind w:left="1134"/>
      <w:spacing w:after="57"/>
    </w:pPr>
  </w:style>
  <w:style w:type="paragraph" w:styleId="766">
    <w:name w:val="toc 3"/>
    <w:basedOn w:val="744"/>
    <w:next w:val="744"/>
    <w:uiPriority w:val="39"/>
    <w:unhideWhenUsed/>
    <w:qFormat/>
    <w:pPr>
      <w:ind w:left="567"/>
      <w:spacing w:after="57"/>
    </w:pPr>
  </w:style>
  <w:style w:type="paragraph" w:styleId="767">
    <w:name w:val="Plain Text"/>
    <w:basedOn w:val="744"/>
    <w:uiPriority w:val="0"/>
    <w:qFormat/>
    <w:rPr>
      <w:rFonts w:ascii="宋体" w:hAnsi="Courier New"/>
      <w:szCs w:val="22"/>
    </w:rPr>
  </w:style>
  <w:style w:type="paragraph" w:styleId="768">
    <w:name w:val="toc 8"/>
    <w:basedOn w:val="744"/>
    <w:next w:val="744"/>
    <w:uiPriority w:val="39"/>
    <w:unhideWhenUsed/>
    <w:qFormat/>
    <w:pPr>
      <w:ind w:left="1984"/>
      <w:spacing w:after="57"/>
    </w:pPr>
  </w:style>
  <w:style w:type="paragraph" w:styleId="769">
    <w:name w:val="Body Text Indent 2"/>
    <w:basedOn w:val="744"/>
    <w:uiPriority w:val="0"/>
    <w:qFormat/>
    <w:pPr>
      <w:ind w:left="-1" w:firstLine="480"/>
      <w:spacing w:line="400" w:lineRule="exact"/>
    </w:pPr>
    <w:rPr>
      <w:rFonts w:ascii="楷体_GB2312" w:eastAsia="楷体_GB2312"/>
      <w:sz w:val="24"/>
    </w:rPr>
  </w:style>
  <w:style w:type="paragraph" w:styleId="770">
    <w:name w:val="endnote text"/>
    <w:basedOn w:val="744"/>
    <w:link w:val="947"/>
    <w:uiPriority w:val="99"/>
    <w:semiHidden/>
    <w:unhideWhenUsed/>
    <w:qFormat/>
    <w:rPr>
      <w:sz w:val="20"/>
    </w:rPr>
  </w:style>
  <w:style w:type="paragraph" w:styleId="771">
    <w:name w:val="Footer"/>
    <w:basedOn w:val="744"/>
    <w:link w:val="820"/>
    <w:uiPriority w:val="99"/>
    <w:unhideWhenUsed/>
    <w:qFormat/>
    <w:pPr>
      <w:tabs>
        <w:tab w:val="center" w:pos="7143" w:leader="none"/>
        <w:tab w:val="right" w:pos="14287" w:leader="none"/>
      </w:tabs>
    </w:pPr>
  </w:style>
  <w:style w:type="paragraph" w:styleId="772">
    <w:name w:val="envelope return"/>
    <w:basedOn w:val="744"/>
    <w:uiPriority w:val="0"/>
    <w:qFormat/>
    <w:rPr>
      <w:rFonts w:ascii="Arial" w:hAnsi="Arial"/>
    </w:rPr>
  </w:style>
  <w:style w:type="paragraph" w:styleId="773">
    <w:name w:val="Header"/>
    <w:basedOn w:val="744"/>
    <w:link w:val="818"/>
    <w:uiPriority w:val="99"/>
    <w:unhideWhenUsed/>
    <w:qFormat/>
    <w:pPr>
      <w:tabs>
        <w:tab w:val="center" w:pos="7143" w:leader="none"/>
        <w:tab w:val="right" w:pos="14287" w:leader="none"/>
      </w:tabs>
    </w:pPr>
  </w:style>
  <w:style w:type="paragraph" w:styleId="774">
    <w:name w:val="toc 1"/>
    <w:basedOn w:val="744"/>
    <w:next w:val="744"/>
    <w:uiPriority w:val="39"/>
    <w:unhideWhenUsed/>
    <w:qFormat/>
    <w:pPr>
      <w:spacing w:after="57"/>
    </w:pPr>
  </w:style>
  <w:style w:type="paragraph" w:styleId="775">
    <w:name w:val="toc 4"/>
    <w:basedOn w:val="744"/>
    <w:next w:val="744"/>
    <w:uiPriority w:val="39"/>
    <w:unhideWhenUsed/>
    <w:qFormat/>
    <w:pPr>
      <w:ind w:left="850"/>
      <w:spacing w:after="57"/>
    </w:pPr>
  </w:style>
  <w:style w:type="paragraph" w:styleId="776">
    <w:name w:val="Subtitle"/>
    <w:basedOn w:val="744"/>
    <w:next w:val="744"/>
    <w:link w:val="813"/>
    <w:uiPriority w:val="11"/>
    <w:qFormat/>
    <w:pPr>
      <w:spacing w:before="200" w:after="200"/>
    </w:pPr>
    <w:rPr>
      <w:sz w:val="24"/>
      <w:szCs w:val="24"/>
    </w:rPr>
  </w:style>
  <w:style w:type="paragraph" w:styleId="777">
    <w:name w:val="footnote text"/>
    <w:basedOn w:val="744"/>
    <w:link w:val="946"/>
    <w:uiPriority w:val="99"/>
    <w:semiHidden/>
    <w:unhideWhenUsed/>
    <w:qFormat/>
    <w:pPr>
      <w:spacing w:after="40"/>
    </w:pPr>
    <w:rPr>
      <w:sz w:val="18"/>
    </w:rPr>
  </w:style>
  <w:style w:type="paragraph" w:styleId="778">
    <w:name w:val="toc 6"/>
    <w:basedOn w:val="744"/>
    <w:next w:val="744"/>
    <w:uiPriority w:val="39"/>
    <w:unhideWhenUsed/>
    <w:qFormat/>
    <w:pPr>
      <w:ind w:left="1417"/>
      <w:spacing w:after="57"/>
    </w:pPr>
  </w:style>
  <w:style w:type="paragraph" w:styleId="779">
    <w:name w:val="table of figures"/>
    <w:basedOn w:val="744"/>
    <w:next w:val="744"/>
    <w:uiPriority w:val="99"/>
    <w:unhideWhenUsed/>
    <w:qFormat/>
  </w:style>
  <w:style w:type="paragraph" w:styleId="780">
    <w:name w:val="toc 2"/>
    <w:basedOn w:val="744"/>
    <w:next w:val="744"/>
    <w:uiPriority w:val="39"/>
    <w:unhideWhenUsed/>
    <w:qFormat/>
    <w:pPr>
      <w:ind w:left="283"/>
      <w:spacing w:after="57"/>
    </w:pPr>
  </w:style>
  <w:style w:type="paragraph" w:styleId="781">
    <w:name w:val="toc 9"/>
    <w:basedOn w:val="744"/>
    <w:next w:val="744"/>
    <w:uiPriority w:val="39"/>
    <w:unhideWhenUsed/>
    <w:qFormat/>
    <w:pPr>
      <w:ind w:left="2268"/>
      <w:spacing w:after="57"/>
    </w:pPr>
  </w:style>
  <w:style w:type="paragraph" w:styleId="782">
    <w:name w:val="Normal (Web)"/>
    <w:basedOn w:val="744"/>
    <w:uiPriority w:val="0"/>
    <w:qFormat/>
    <w:pPr>
      <w:jc w:val="left"/>
      <w:spacing w:beforeAutospacing="1" w:afterAutospacing="1"/>
    </w:pPr>
    <w:rPr>
      <w:sz w:val="24"/>
    </w:rPr>
  </w:style>
  <w:style w:type="paragraph" w:styleId="783">
    <w:name w:val="Title"/>
    <w:basedOn w:val="744"/>
    <w:next w:val="744"/>
    <w:link w:val="812"/>
    <w:uiPriority w:val="10"/>
    <w:qFormat/>
    <w:pPr>
      <w:contextualSpacing/>
      <w:spacing w:before="300" w:after="200"/>
    </w:pPr>
    <w:rPr>
      <w:sz w:val="48"/>
      <w:szCs w:val="48"/>
    </w:rPr>
  </w:style>
  <w:style w:type="paragraph" w:styleId="784">
    <w:name w:val="Body Text First Indent"/>
    <w:basedOn w:val="744"/>
    <w:next w:val="744"/>
    <w:uiPriority w:val="99"/>
    <w:qFormat/>
    <w:pPr>
      <w:ind w:firstLine="200"/>
      <w:spacing w:line="360" w:lineRule="auto"/>
    </w:pPr>
    <w:rPr>
      <w:rFonts w:ascii="仿宋_GB2312" w:eastAsia="仿宋_GB2312"/>
      <w:sz w:val="30"/>
      <w:szCs w:val="30"/>
    </w:rPr>
  </w:style>
  <w:style w:type="paragraph" w:styleId="785">
    <w:name w:val="Body Text First Indent 2"/>
    <w:basedOn w:val="763"/>
    <w:uiPriority w:val="0"/>
    <w:unhideWhenUsed/>
    <w:qFormat/>
    <w:pPr>
      <w:ind w:left="420" w:firstLine="420"/>
      <w:spacing w:after="120" w:line="360" w:lineRule="auto"/>
    </w:pPr>
    <w:rPr>
      <w:rFonts w:ascii="Times New Roman" w:hAnsi="Times New Roman" w:eastAsia="宋体"/>
      <w:sz w:val="24"/>
      <w:szCs w:val="22"/>
    </w:r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Strong"/>
    <w:basedOn w:val="754"/>
    <w:uiPriority w:val="22"/>
    <w:qFormat/>
    <w:rPr>
      <w:b/>
      <w:bCs/>
    </w:r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paragraph" w:styleId="791" w:customStyle="1">
    <w:name w:val="样式 标题 3 + (中文) 黑体 小四 非加粗 段前: 7.8 磅 段后: 0 磅 行距: 固定值 20 磅_0"/>
    <w:basedOn w:val="792"/>
    <w:uiPriority w:val="0"/>
    <w:qFormat/>
    <w:pPr>
      <w:spacing w:before="0" w:after="0" w:line="400" w:lineRule="exact"/>
    </w:pPr>
    <w:rPr>
      <w:rFonts w:ascii="Times New Roman" w:hAnsi="Times New Roman" w:eastAsia="黑体" w:cs="宋体"/>
      <w:b w:val="0"/>
      <w:bCs w:val="0"/>
      <w:sz w:val="21"/>
      <w:szCs w:val="20"/>
    </w:rPr>
  </w:style>
  <w:style w:type="paragraph" w:styleId="792" w:customStyle="1">
    <w:name w:val="标题 3_0"/>
    <w:basedOn w:val="793"/>
    <w:next w:val="794"/>
    <w:uiPriority w:val="0"/>
    <w:qFormat/>
    <w:pPr>
      <w:keepLines/>
      <w:keepNext/>
      <w:spacing w:before="260" w:after="260" w:line="416" w:lineRule="auto"/>
      <w:outlineLvl w:val="2"/>
    </w:pPr>
    <w:rPr>
      <w:rFonts w:eastAsia="宋体"/>
      <w:b/>
      <w:bCs/>
      <w:sz w:val="32"/>
      <w:szCs w:val="32"/>
    </w:rPr>
  </w:style>
  <w:style w:type="paragraph" w:styleId="793" w:customStyle="1">
    <w:name w:val="正文_0"/>
    <w:uiPriority w:val="0"/>
    <w:qFormat/>
    <w:pPr>
      <w:jc w:val="both"/>
      <w:widowControl w:val="off"/>
    </w:pPr>
    <w:rPr>
      <w:rFonts w:ascii="Calibri" w:hAnsi="Calibri" w:eastAsia="仿宋_GB2312" w:cs="Times New Roman"/>
      <w:sz w:val="21"/>
      <w:szCs w:val="22"/>
      <w:lang w:val="en-US" w:eastAsia="zh-CN" w:bidi="ar-SA"/>
    </w:rPr>
  </w:style>
  <w:style w:type="paragraph" w:styleId="794" w:customStyle="1">
    <w:name w:val="正文_1"/>
    <w:next w:val="785"/>
    <w:uiPriority w:val="0"/>
    <w:qFormat/>
    <w:pPr>
      <w:jc w:val="both"/>
      <w:widowControl w:val="off"/>
    </w:pPr>
    <w:rPr>
      <w:rFonts w:ascii="Calibri" w:hAnsi="Calibri" w:eastAsia="仿宋_GB2312" w:cs="Times New Roman"/>
      <w:sz w:val="21"/>
      <w:szCs w:val="22"/>
      <w:lang w:val="en-US" w:eastAsia="zh-CN" w:bidi="ar-SA"/>
    </w:rPr>
  </w:style>
  <w:style w:type="paragraph" w:styleId="795" w:customStyle="1">
    <w:name w:val="文档结构图1"/>
    <w:basedOn w:val="744"/>
    <w:link w:val="966"/>
    <w:uiPriority w:val="0"/>
    <w:semiHidden/>
    <w:qFormat/>
    <w:pPr>
      <w:shd w:val="clear" w:color="auto" w:fill="000080"/>
    </w:pPr>
  </w:style>
  <w:style w:type="paragraph" w:styleId="796" w:customStyle="1">
    <w:name w:val="正文首行缩进 211"/>
    <w:basedOn w:val="797"/>
    <w:uiPriority w:val="99"/>
    <w:qFormat/>
    <w:pPr>
      <w:ind w:firstLine="420"/>
      <w:spacing w:line="360" w:lineRule="auto"/>
    </w:pPr>
    <w:rPr>
      <w:rFonts w:ascii="宋体" w:hAnsi="宋体" w:eastAsia="宋体"/>
      <w:sz w:val="21"/>
      <w:szCs w:val="20"/>
    </w:rPr>
  </w:style>
  <w:style w:type="paragraph" w:styleId="797" w:customStyle="1">
    <w:name w:val="正文文本缩进1"/>
    <w:basedOn w:val="744"/>
    <w:uiPriority w:val="0"/>
    <w:qFormat/>
    <w:pPr>
      <w:ind w:firstLine="645"/>
    </w:pPr>
    <w:rPr>
      <w:rFonts w:ascii="楷体_GB2312" w:eastAsia="楷体_GB2312"/>
      <w:sz w:val="32"/>
      <w:szCs w:val="32"/>
    </w:rPr>
  </w:style>
  <w:style w:type="paragraph" w:styleId="798"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799" w:customStyle="1">
    <w:name w:val="正文首行缩进1"/>
    <w:basedOn w:val="800"/>
    <w:next w:val="744"/>
    <w:link w:val="994"/>
    <w:uiPriority w:val="0"/>
    <w:qFormat/>
    <w:pPr>
      <w:ind w:firstLine="200"/>
      <w:spacing w:line="360" w:lineRule="auto"/>
    </w:pPr>
    <w:rPr>
      <w:rFonts w:ascii="仿宋_GB2312" w:eastAsia="仿宋_GB2312"/>
      <w:sz w:val="30"/>
      <w:szCs w:val="30"/>
    </w:rPr>
  </w:style>
  <w:style w:type="paragraph" w:styleId="800" w:customStyle="1">
    <w:name w:val="正文文本1"/>
    <w:basedOn w:val="744"/>
    <w:next w:val="762"/>
    <w:uiPriority w:val="0"/>
    <w:qFormat/>
    <w:rPr>
      <w:rFonts w:ascii="楷体_GB2312" w:hAnsi="Arial" w:eastAsia="楷体_GB2312"/>
      <w:sz w:val="28"/>
      <w:szCs w:val="28"/>
    </w:rPr>
  </w:style>
  <w:style w:type="character" w:styleId="801" w:customStyle="1">
    <w:name w:val="标题 1 字符"/>
    <w:link w:val="745"/>
    <w:uiPriority w:val="9"/>
    <w:qFormat/>
    <w:rPr>
      <w:rFonts w:ascii="Arial" w:hAnsi="Arial" w:eastAsia="Arial" w:cs="Arial"/>
      <w:sz w:val="40"/>
      <w:szCs w:val="40"/>
    </w:rPr>
  </w:style>
  <w:style w:type="character" w:styleId="802" w:customStyle="1">
    <w:name w:val="标题 2 字符"/>
    <w:link w:val="746"/>
    <w:uiPriority w:val="9"/>
    <w:qFormat/>
    <w:rPr>
      <w:rFonts w:ascii="Arial" w:hAnsi="Arial" w:eastAsia="Arial" w:cs="Arial"/>
      <w:sz w:val="34"/>
    </w:rPr>
  </w:style>
  <w:style w:type="character" w:styleId="803" w:customStyle="1">
    <w:name w:val="标题 3 字符"/>
    <w:link w:val="747"/>
    <w:uiPriority w:val="9"/>
    <w:qFormat/>
    <w:rPr>
      <w:rFonts w:ascii="Arial" w:hAnsi="Arial" w:eastAsia="Arial" w:cs="Arial"/>
      <w:sz w:val="30"/>
      <w:szCs w:val="30"/>
    </w:rPr>
  </w:style>
  <w:style w:type="character" w:styleId="804" w:customStyle="1">
    <w:name w:val="标题 4 字符"/>
    <w:link w:val="748"/>
    <w:uiPriority w:val="9"/>
    <w:qFormat/>
    <w:rPr>
      <w:rFonts w:ascii="Arial" w:hAnsi="Arial" w:eastAsia="Arial" w:cs="Arial"/>
      <w:b/>
      <w:bCs/>
      <w:sz w:val="26"/>
      <w:szCs w:val="26"/>
    </w:rPr>
  </w:style>
  <w:style w:type="character" w:styleId="805" w:customStyle="1">
    <w:name w:val="标题 5 字符"/>
    <w:link w:val="749"/>
    <w:uiPriority w:val="9"/>
    <w:qFormat/>
    <w:rPr>
      <w:rFonts w:ascii="Arial" w:hAnsi="Arial" w:eastAsia="Arial" w:cs="Arial"/>
      <w:b/>
      <w:bCs/>
      <w:sz w:val="24"/>
      <w:szCs w:val="24"/>
    </w:rPr>
  </w:style>
  <w:style w:type="character" w:styleId="806" w:customStyle="1">
    <w:name w:val="标题 6 字符"/>
    <w:link w:val="750"/>
    <w:uiPriority w:val="9"/>
    <w:qFormat/>
    <w:rPr>
      <w:rFonts w:ascii="Arial" w:hAnsi="Arial" w:eastAsia="Arial" w:cs="Arial"/>
      <w:b/>
      <w:bCs/>
      <w:sz w:val="22"/>
      <w:szCs w:val="22"/>
    </w:rPr>
  </w:style>
  <w:style w:type="character" w:styleId="807" w:customStyle="1">
    <w:name w:val="标题 7 字符"/>
    <w:link w:val="751"/>
    <w:uiPriority w:val="9"/>
    <w:qFormat/>
    <w:rPr>
      <w:rFonts w:ascii="Arial" w:hAnsi="Arial" w:eastAsia="Arial" w:cs="Arial"/>
      <w:b/>
      <w:bCs/>
      <w:i/>
      <w:iCs/>
      <w:sz w:val="22"/>
      <w:szCs w:val="22"/>
    </w:rPr>
  </w:style>
  <w:style w:type="character" w:styleId="808" w:customStyle="1">
    <w:name w:val="标题 8 字符"/>
    <w:link w:val="752"/>
    <w:uiPriority w:val="9"/>
    <w:qFormat/>
    <w:rPr>
      <w:rFonts w:ascii="Arial" w:hAnsi="Arial" w:eastAsia="Arial" w:cs="Arial"/>
      <w:i/>
      <w:iCs/>
      <w:sz w:val="22"/>
      <w:szCs w:val="22"/>
    </w:rPr>
  </w:style>
  <w:style w:type="character" w:styleId="809" w:customStyle="1">
    <w:name w:val="标题 9 字符"/>
    <w:link w:val="753"/>
    <w:uiPriority w:val="9"/>
    <w:qFormat/>
    <w:rPr>
      <w:rFonts w:ascii="Arial" w:hAnsi="Arial" w:eastAsia="Arial" w:cs="Arial"/>
      <w:i/>
      <w:iCs/>
      <w:sz w:val="21"/>
      <w:szCs w:val="21"/>
    </w:rPr>
  </w:style>
  <w:style w:type="paragraph" w:styleId="810">
    <w:name w:val="List Paragraph"/>
    <w:basedOn w:val="744"/>
    <w:uiPriority w:val="34"/>
    <w:qFormat/>
    <w:pPr>
      <w:contextualSpacing/>
      <w:ind w:left="720"/>
    </w:pPr>
  </w:style>
  <w:style w:type="paragraph" w:styleId="811">
    <w:name w:val="No Spacing"/>
    <w:uiPriority w:val="1"/>
    <w:qFormat/>
    <w:rPr>
      <w:rFonts w:ascii="Times New Roman" w:hAnsi="Times New Roman" w:eastAsia="宋体" w:cs="Times New Roman"/>
      <w:lang w:val="en-US" w:eastAsia="zh-CN" w:bidi="ar-SA"/>
    </w:rPr>
  </w:style>
  <w:style w:type="character" w:styleId="812" w:customStyle="1">
    <w:name w:val="标题 字符"/>
    <w:link w:val="783"/>
    <w:uiPriority w:val="10"/>
    <w:qFormat/>
    <w:rPr>
      <w:sz w:val="48"/>
      <w:szCs w:val="48"/>
    </w:rPr>
  </w:style>
  <w:style w:type="character" w:styleId="813" w:customStyle="1">
    <w:name w:val="副标题 字符"/>
    <w:link w:val="776"/>
    <w:uiPriority w:val="11"/>
    <w:qFormat/>
    <w:rPr>
      <w:sz w:val="24"/>
      <w:szCs w:val="24"/>
    </w:rPr>
  </w:style>
  <w:style w:type="paragraph" w:styleId="814">
    <w:name w:val="Quote"/>
    <w:basedOn w:val="744"/>
    <w:next w:val="744"/>
    <w:link w:val="815"/>
    <w:uiPriority w:val="29"/>
    <w:qFormat/>
    <w:pPr>
      <w:ind w:left="720" w:right="720"/>
    </w:pPr>
    <w:rPr>
      <w:i/>
    </w:rPr>
  </w:style>
  <w:style w:type="character" w:styleId="815" w:customStyle="1">
    <w:name w:val="引用 字符"/>
    <w:link w:val="814"/>
    <w:uiPriority w:val="29"/>
    <w:qFormat/>
    <w:rPr>
      <w:i/>
    </w:rPr>
  </w:style>
  <w:style w:type="paragraph" w:styleId="816">
    <w:name w:val="Intense Quote"/>
    <w:basedOn w:val="744"/>
    <w:next w:val="744"/>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页眉 字符"/>
    <w:link w:val="773"/>
    <w:uiPriority w:val="99"/>
    <w:qFormat/>
  </w:style>
  <w:style w:type="character" w:styleId="819" w:customStyle="1">
    <w:name w:val="Footer Char"/>
    <w:uiPriority w:val="99"/>
    <w:qFormat/>
  </w:style>
  <w:style w:type="character" w:styleId="820" w:customStyle="1">
    <w:name w:val="页脚 字符"/>
    <w:link w:val="771"/>
    <w:uiPriority w:val="99"/>
    <w:qFormat/>
  </w:style>
  <w:style w:type="table" w:styleId="82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脚注文本 字符"/>
    <w:link w:val="777"/>
    <w:uiPriority w:val="99"/>
    <w:qFormat/>
    <w:rPr>
      <w:sz w:val="18"/>
    </w:rPr>
  </w:style>
  <w:style w:type="character" w:styleId="947" w:customStyle="1">
    <w:name w:val="尾注文本 字符"/>
    <w:link w:val="770"/>
    <w:uiPriority w:val="99"/>
    <w:qFormat/>
    <w:rPr>
      <w:sz w:val="20"/>
    </w:rPr>
  </w:style>
  <w:style w:type="paragraph" w:styleId="948" w:customStyle="1">
    <w:name w:val="TOC 标题1"/>
    <w:uiPriority w:val="39"/>
    <w:unhideWhenUsed/>
    <w:qFormat/>
    <w:rPr>
      <w:rFonts w:ascii="Times New Roman" w:hAnsi="Times New Roman" w:eastAsia="宋体" w:cs="Times New Roman"/>
      <w:lang w:val="en-US" w:eastAsia="zh-CN" w:bidi="ar-SA"/>
    </w:rPr>
  </w:style>
  <w:style w:type="paragraph" w:styleId="949" w:customStyle="1">
    <w:name w:val="标题 11"/>
    <w:basedOn w:val="744"/>
    <w:next w:val="744"/>
    <w:uiPriority w:val="0"/>
    <w:qFormat/>
    <w:pPr>
      <w:jc w:val="center"/>
      <w:keepNext/>
      <w:outlineLvl w:val="0"/>
    </w:pPr>
    <w:rPr>
      <w:rFonts w:ascii="楷体_GB2312" w:eastAsia="楷体_GB2312"/>
      <w:sz w:val="28"/>
      <w:szCs w:val="28"/>
    </w:rPr>
  </w:style>
  <w:style w:type="paragraph" w:styleId="950" w:customStyle="1">
    <w:name w:val="标题 21"/>
    <w:basedOn w:val="744"/>
    <w:next w:val="74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1" w:customStyle="1">
    <w:name w:val="标题 31"/>
    <w:basedOn w:val="744"/>
    <w:next w:val="744"/>
    <w:link w:val="961"/>
    <w:uiPriority w:val="0"/>
    <w:qFormat/>
    <w:pPr>
      <w:keepLines/>
      <w:keepNext/>
      <w:spacing w:before="260" w:after="260" w:line="416" w:lineRule="auto"/>
      <w:outlineLvl w:val="2"/>
    </w:pPr>
    <w:rPr>
      <w:b/>
      <w:bCs/>
      <w:sz w:val="32"/>
      <w:szCs w:val="32"/>
    </w:rPr>
  </w:style>
  <w:style w:type="paragraph" w:styleId="952" w:customStyle="1">
    <w:name w:val="正文缩进1"/>
    <w:basedOn w:val="744"/>
    <w:link w:val="962"/>
    <w:uiPriority w:val="0"/>
    <w:qFormat/>
    <w:pPr>
      <w:ind w:firstLine="420"/>
    </w:pPr>
  </w:style>
  <w:style w:type="paragraph" w:styleId="953" w:customStyle="1">
    <w:name w:val="标题 41"/>
    <w:basedOn w:val="744"/>
    <w:next w:val="744"/>
    <w:link w:val="963"/>
    <w:uiPriority w:val="0"/>
    <w:qFormat/>
    <w:pPr>
      <w:keepLines/>
      <w:keepNext/>
      <w:spacing w:before="280" w:after="290" w:line="376" w:lineRule="auto"/>
      <w:outlineLvl w:val="3"/>
    </w:pPr>
    <w:rPr>
      <w:rFonts w:ascii="Arial" w:hAnsi="Arial" w:eastAsia="黑体" w:cs="Arial"/>
      <w:b/>
      <w:bCs/>
      <w:sz w:val="28"/>
      <w:szCs w:val="28"/>
    </w:rPr>
  </w:style>
  <w:style w:type="paragraph" w:styleId="954" w:customStyle="1">
    <w:name w:val="标题 51"/>
    <w:basedOn w:val="744"/>
    <w:next w:val="952"/>
    <w:uiPriority w:val="0"/>
    <w:qFormat/>
    <w:pPr>
      <w:keepNext/>
      <w:outlineLvl w:val="4"/>
    </w:pPr>
    <w:rPr>
      <w:rFonts w:ascii="宋体"/>
      <w:color w:val="000000"/>
      <w:sz w:val="28"/>
      <w:szCs w:val="28"/>
    </w:rPr>
  </w:style>
  <w:style w:type="paragraph" w:styleId="955" w:customStyle="1">
    <w:name w:val="标题 61"/>
    <w:basedOn w:val="744"/>
    <w:next w:val="74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6" w:customStyle="1">
    <w:name w:val="标题 71"/>
    <w:basedOn w:val="744"/>
    <w:next w:val="744"/>
    <w:uiPriority w:val="0"/>
    <w:qFormat/>
    <w:pPr>
      <w:numPr>
        <w:ilvl w:val="6"/>
        <w:numId w:val="1"/>
      </w:numPr>
      <w:keepLines/>
      <w:keepNext/>
      <w:spacing w:before="240" w:after="64" w:line="320" w:lineRule="auto"/>
      <w:outlineLvl w:val="6"/>
    </w:pPr>
    <w:rPr>
      <w:b/>
      <w:bCs/>
      <w:sz w:val="24"/>
      <w:szCs w:val="24"/>
    </w:rPr>
  </w:style>
  <w:style w:type="paragraph" w:styleId="957" w:customStyle="1">
    <w:name w:val="标题 81"/>
    <w:basedOn w:val="744"/>
    <w:next w:val="74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8" w:customStyle="1">
    <w:name w:val="标题 91"/>
    <w:basedOn w:val="744"/>
    <w:next w:val="744"/>
    <w:uiPriority w:val="0"/>
    <w:qFormat/>
    <w:pPr>
      <w:numPr>
        <w:ilvl w:val="8"/>
        <w:numId w:val="1"/>
      </w:numPr>
      <w:keepLines/>
      <w:keepNext/>
      <w:spacing w:before="240" w:after="64" w:line="320" w:lineRule="auto"/>
      <w:outlineLvl w:val="8"/>
    </w:pPr>
    <w:rPr>
      <w:rFonts w:ascii="Arial" w:hAnsi="Arial" w:eastAsia="黑体"/>
    </w:rPr>
  </w:style>
  <w:style w:type="character" w:styleId="959" w:customStyle="1">
    <w:name w:val="默认段落字体1"/>
    <w:uiPriority w:val="0"/>
    <w:semiHidden/>
    <w:qFormat/>
  </w:style>
  <w:style w:type="table" w:styleId="960" w:customStyle="1">
    <w:name w:val="普通表格1"/>
    <w:uiPriority w:val="0"/>
    <w:semiHidden/>
    <w:qFormat/>
    <w:tblPr>
      <w:tblCellMar>
        <w:left w:w="0" w:type="dxa"/>
        <w:top w:w="0" w:type="dxa"/>
        <w:right w:w="0" w:type="dxa"/>
        <w:bottom w:w="0" w:type="dxa"/>
      </w:tblCellMar>
    </w:tblPr>
  </w:style>
  <w:style w:type="character" w:styleId="961" w:customStyle="1">
    <w:name w:val="标题 3 Char"/>
    <w:link w:val="951"/>
    <w:uiPriority w:val="0"/>
    <w:qFormat/>
    <w:rPr>
      <w:rFonts w:eastAsia="宋体"/>
      <w:b/>
      <w:bCs/>
      <w:sz w:val="32"/>
      <w:szCs w:val="32"/>
      <w:lang w:val="en-US" w:eastAsia="zh-CN" w:bidi="ar-SA"/>
    </w:rPr>
  </w:style>
  <w:style w:type="character" w:styleId="962" w:customStyle="1">
    <w:name w:val="正文缩进 Char"/>
    <w:link w:val="952"/>
    <w:uiPriority w:val="0"/>
    <w:qFormat/>
    <w:rPr>
      <w:sz w:val="21"/>
      <w:szCs w:val="21"/>
    </w:rPr>
  </w:style>
  <w:style w:type="character" w:styleId="963" w:customStyle="1">
    <w:name w:val="标题 4 Char"/>
    <w:link w:val="953"/>
    <w:uiPriority w:val="0"/>
    <w:qFormat/>
    <w:rPr>
      <w:rFonts w:ascii="Arial" w:hAnsi="Arial" w:eastAsia="黑体" w:cs="Arial"/>
      <w:b/>
      <w:bCs/>
      <w:sz w:val="28"/>
      <w:szCs w:val="28"/>
    </w:rPr>
  </w:style>
  <w:style w:type="paragraph" w:styleId="964" w:customStyle="1">
    <w:name w:val="列表 31"/>
    <w:basedOn w:val="744"/>
    <w:uiPriority w:val="0"/>
    <w:qFormat/>
    <w:pPr>
      <w:ind w:left="100" w:hanging="200"/>
    </w:pPr>
  </w:style>
  <w:style w:type="paragraph" w:styleId="965" w:customStyle="1">
    <w:name w:val="目录 71"/>
    <w:basedOn w:val="744"/>
    <w:next w:val="744"/>
    <w:uiPriority w:val="0"/>
    <w:semiHidden/>
    <w:qFormat/>
    <w:pPr>
      <w:ind w:left="1260"/>
      <w:jc w:val="left"/>
    </w:pPr>
  </w:style>
  <w:style w:type="character" w:styleId="966" w:customStyle="1">
    <w:name w:val="文档结构图 Char"/>
    <w:link w:val="795"/>
    <w:uiPriority w:val="0"/>
    <w:qFormat/>
    <w:rPr>
      <w:rFonts w:eastAsia="宋体"/>
      <w:sz w:val="21"/>
      <w:szCs w:val="21"/>
      <w:lang w:val="en-US" w:eastAsia="zh-CN" w:bidi="ar-SA"/>
    </w:rPr>
  </w:style>
  <w:style w:type="paragraph" w:styleId="967" w:customStyle="1">
    <w:name w:val="批注文字1"/>
    <w:basedOn w:val="744"/>
    <w:uiPriority w:val="99"/>
    <w:qFormat/>
    <w:pPr>
      <w:jc w:val="left"/>
    </w:pPr>
  </w:style>
  <w:style w:type="paragraph" w:styleId="968" w:customStyle="1">
    <w:name w:val="正文文本 31"/>
    <w:basedOn w:val="744"/>
    <w:uiPriority w:val="0"/>
    <w:qFormat/>
    <w:rPr>
      <w:rFonts w:ascii="仿宋_GB2312" w:hAnsi="Arial" w:eastAsia="仿宋_GB2312"/>
      <w:sz w:val="32"/>
      <w:szCs w:val="32"/>
    </w:rPr>
  </w:style>
  <w:style w:type="paragraph" w:styleId="969" w:customStyle="1">
    <w:name w:val="列表 21"/>
    <w:basedOn w:val="744"/>
    <w:uiPriority w:val="0"/>
    <w:qFormat/>
    <w:pPr>
      <w:ind w:left="100" w:hanging="200"/>
    </w:pPr>
  </w:style>
  <w:style w:type="paragraph" w:styleId="970" w:customStyle="1">
    <w:name w:val="文本块1"/>
    <w:basedOn w:val="971"/>
    <w:uiPriority w:val="0"/>
    <w:unhideWhenUsed/>
    <w:qFormat/>
    <w:pPr>
      <w:ind w:left="1440"/>
      <w:spacing w:after="120"/>
    </w:pPr>
    <w:rPr>
      <w:rFonts w:hint="eastAsia"/>
    </w:rPr>
  </w:style>
  <w:style w:type="paragraph" w:styleId="971" w:customStyle="1">
    <w:name w:val="正文11"/>
    <w:next w:val="970"/>
    <w:uiPriority w:val="0"/>
    <w:qFormat/>
    <w:pPr>
      <w:jc w:val="both"/>
    </w:pPr>
    <w:rPr>
      <w:rFonts w:ascii="Times New Roman" w:hAnsi="Times New Roman" w:eastAsia="宋体" w:cs="Times New Roman"/>
      <w:lang w:val="en-US" w:eastAsia="zh-CN" w:bidi="ar-SA"/>
    </w:rPr>
  </w:style>
  <w:style w:type="paragraph" w:styleId="972" w:customStyle="1">
    <w:name w:val="目录 51"/>
    <w:basedOn w:val="744"/>
    <w:next w:val="744"/>
    <w:uiPriority w:val="0"/>
    <w:semiHidden/>
    <w:qFormat/>
    <w:pPr>
      <w:ind w:left="840"/>
      <w:jc w:val="left"/>
    </w:pPr>
  </w:style>
  <w:style w:type="paragraph" w:styleId="973" w:customStyle="1">
    <w:name w:val="目录 31"/>
    <w:basedOn w:val="744"/>
    <w:next w:val="744"/>
    <w:uiPriority w:val="0"/>
    <w:semiHidden/>
    <w:qFormat/>
    <w:pPr>
      <w:ind w:left="420"/>
      <w:jc w:val="left"/>
    </w:pPr>
    <w:rPr>
      <w:i/>
      <w:iCs/>
      <w:szCs w:val="24"/>
    </w:rPr>
  </w:style>
  <w:style w:type="paragraph" w:styleId="974" w:customStyle="1">
    <w:name w:val="纯文本11"/>
    <w:basedOn w:val="744"/>
    <w:link w:val="975"/>
    <w:uiPriority w:val="99"/>
    <w:qFormat/>
    <w:rPr>
      <w:rFonts w:ascii="宋体" w:hAnsi="Courier New"/>
    </w:rPr>
  </w:style>
  <w:style w:type="character" w:styleId="975" w:customStyle="1">
    <w:name w:val="纯文本 Char"/>
    <w:link w:val="974"/>
    <w:uiPriority w:val="99"/>
    <w:qFormat/>
    <w:rPr>
      <w:rFonts w:ascii="宋体" w:hAnsi="Courier New" w:cs="Courier New"/>
      <w:sz w:val="21"/>
      <w:szCs w:val="21"/>
    </w:rPr>
  </w:style>
  <w:style w:type="paragraph" w:styleId="976" w:customStyle="1">
    <w:name w:val="目录 81"/>
    <w:basedOn w:val="744"/>
    <w:next w:val="744"/>
    <w:uiPriority w:val="0"/>
    <w:semiHidden/>
    <w:qFormat/>
    <w:pPr>
      <w:ind w:left="1470"/>
      <w:jc w:val="left"/>
    </w:pPr>
  </w:style>
  <w:style w:type="paragraph" w:styleId="977" w:customStyle="1">
    <w:name w:val="日期1"/>
    <w:basedOn w:val="744"/>
    <w:next w:val="744"/>
    <w:uiPriority w:val="0"/>
    <w:qFormat/>
    <w:rPr>
      <w:sz w:val="24"/>
      <w:szCs w:val="24"/>
    </w:rPr>
  </w:style>
  <w:style w:type="paragraph" w:styleId="978" w:customStyle="1">
    <w:name w:val="正文文本缩进 21"/>
    <w:basedOn w:val="744"/>
    <w:uiPriority w:val="0"/>
    <w:qFormat/>
    <w:pPr>
      <w:ind w:left="630" w:firstLine="645"/>
    </w:pPr>
    <w:rPr>
      <w:rFonts w:ascii="Arial" w:hAnsi="Arial" w:eastAsia="仿宋_GB2312" w:cs="Arial"/>
      <w:sz w:val="32"/>
      <w:szCs w:val="32"/>
    </w:rPr>
  </w:style>
  <w:style w:type="paragraph" w:styleId="979" w:customStyle="1">
    <w:name w:val="批注框文本1"/>
    <w:basedOn w:val="744"/>
    <w:uiPriority w:val="0"/>
    <w:semiHidden/>
    <w:qFormat/>
    <w:rPr>
      <w:sz w:val="18"/>
      <w:szCs w:val="18"/>
    </w:rPr>
  </w:style>
  <w:style w:type="paragraph" w:styleId="980" w:customStyle="1">
    <w:name w:val="页脚1"/>
    <w:basedOn w:val="744"/>
    <w:uiPriority w:val="0"/>
    <w:qFormat/>
    <w:pPr>
      <w:jc w:val="left"/>
      <w:tabs>
        <w:tab w:val="center" w:pos="4153" w:leader="none"/>
        <w:tab w:val="right" w:pos="8306" w:leader="none"/>
      </w:tabs>
    </w:pPr>
    <w:rPr>
      <w:sz w:val="18"/>
      <w:szCs w:val="18"/>
    </w:rPr>
  </w:style>
  <w:style w:type="paragraph" w:styleId="981" w:customStyle="1">
    <w:name w:val="页眉1"/>
    <w:basedOn w:val="744"/>
    <w:uiPriority w:val="0"/>
    <w:qFormat/>
    <w:pPr>
      <w:jc w:val="center"/>
      <w:tabs>
        <w:tab w:val="center" w:pos="4153" w:leader="none"/>
        <w:tab w:val="right" w:pos="8306" w:leader="none"/>
      </w:tabs>
      <w:pBdr>
        <w:bottom w:val="single" w:color="000000" w:sz="6" w:space="1"/>
      </w:pBdr>
    </w:pPr>
    <w:rPr>
      <w:sz w:val="18"/>
      <w:szCs w:val="18"/>
    </w:rPr>
  </w:style>
  <w:style w:type="paragraph" w:styleId="982" w:customStyle="1">
    <w:name w:val="目录 11"/>
    <w:basedOn w:val="744"/>
    <w:next w:val="744"/>
    <w:uiPriority w:val="0"/>
    <w:semiHidden/>
    <w:qFormat/>
    <w:pPr>
      <w:jc w:val="left"/>
      <w:spacing w:before="120" w:after="120" w:line="400" w:lineRule="exact"/>
      <w:tabs>
        <w:tab w:val="right" w:pos="8720" w:leader="dot"/>
      </w:tabs>
    </w:pPr>
    <w:rPr>
      <w:rFonts w:ascii="宋体" w:hAnsi="宋体"/>
      <w:caps/>
      <w:sz w:val="24"/>
      <w:szCs w:val="24"/>
    </w:rPr>
  </w:style>
  <w:style w:type="paragraph" w:styleId="983" w:customStyle="1">
    <w:name w:val="目录 41"/>
    <w:basedOn w:val="744"/>
    <w:next w:val="744"/>
    <w:uiPriority w:val="0"/>
    <w:semiHidden/>
    <w:qFormat/>
    <w:pPr>
      <w:ind w:left="630"/>
      <w:jc w:val="left"/>
    </w:pPr>
  </w:style>
  <w:style w:type="paragraph" w:styleId="984" w:customStyle="1">
    <w:name w:val="列表1"/>
    <w:basedOn w:val="744"/>
    <w:uiPriority w:val="0"/>
    <w:qFormat/>
    <w:pPr>
      <w:ind w:left="200" w:hanging="200"/>
    </w:pPr>
  </w:style>
  <w:style w:type="paragraph" w:styleId="985" w:customStyle="1">
    <w:name w:val="目录 61"/>
    <w:basedOn w:val="744"/>
    <w:next w:val="744"/>
    <w:uiPriority w:val="0"/>
    <w:semiHidden/>
    <w:qFormat/>
    <w:pPr>
      <w:ind w:left="1050"/>
      <w:jc w:val="left"/>
    </w:pPr>
  </w:style>
  <w:style w:type="paragraph" w:styleId="986" w:customStyle="1">
    <w:name w:val="正文文本缩进 31"/>
    <w:basedOn w:val="744"/>
    <w:uiPriority w:val="0"/>
    <w:qFormat/>
    <w:pPr>
      <w:ind w:left="645" w:firstLine="645"/>
    </w:pPr>
    <w:rPr>
      <w:rFonts w:ascii="Arial" w:hAnsi="Arial" w:eastAsia="仿宋_GB2312" w:cs="Arial"/>
      <w:color w:val="ffff00"/>
      <w:sz w:val="32"/>
      <w:szCs w:val="32"/>
    </w:rPr>
  </w:style>
  <w:style w:type="paragraph" w:styleId="987" w:customStyle="1">
    <w:name w:val="图表目录1"/>
    <w:basedOn w:val="744"/>
    <w:next w:val="744"/>
    <w:uiPriority w:val="0"/>
    <w:semiHidden/>
    <w:qFormat/>
    <w:pPr>
      <w:ind w:left="840" w:hanging="420"/>
    </w:pPr>
  </w:style>
  <w:style w:type="paragraph" w:styleId="988" w:customStyle="1">
    <w:name w:val="目录 21"/>
    <w:basedOn w:val="744"/>
    <w:next w:val="744"/>
    <w:uiPriority w:val="0"/>
    <w:semiHidden/>
    <w:qFormat/>
    <w:pPr>
      <w:ind w:left="210"/>
      <w:jc w:val="left"/>
    </w:pPr>
    <w:rPr>
      <w:smallCaps/>
      <w:szCs w:val="24"/>
    </w:rPr>
  </w:style>
  <w:style w:type="paragraph" w:styleId="989" w:customStyle="1">
    <w:name w:val="目录 91"/>
    <w:basedOn w:val="744"/>
    <w:next w:val="744"/>
    <w:uiPriority w:val="0"/>
    <w:semiHidden/>
    <w:qFormat/>
    <w:pPr>
      <w:ind w:left="1680"/>
      <w:jc w:val="left"/>
    </w:pPr>
  </w:style>
  <w:style w:type="paragraph" w:styleId="990" w:customStyle="1">
    <w:name w:val="正文文本 21"/>
    <w:basedOn w:val="744"/>
    <w:uiPriority w:val="0"/>
    <w:qFormat/>
    <w:pPr>
      <w:jc w:val="center"/>
      <w:widowControl/>
    </w:pPr>
    <w:rPr>
      <w:rFonts w:ascii="楷体_GB2312" w:eastAsia="楷体_GB2312"/>
      <w:sz w:val="28"/>
      <w:szCs w:val="28"/>
    </w:rPr>
  </w:style>
  <w:style w:type="paragraph" w:styleId="991" w:customStyle="1">
    <w:name w:val="普通(网站)1"/>
    <w:basedOn w:val="744"/>
    <w:uiPriority w:val="0"/>
    <w:qFormat/>
    <w:pPr>
      <w:jc w:val="left"/>
      <w:spacing w:before="100" w:beforeAutospacing="1" w:after="100" w:afterAutospacing="1"/>
      <w:widowControl/>
    </w:pPr>
    <w:rPr>
      <w:rFonts w:ascii="宋体" w:hAnsi="宋体" w:cs="宋体"/>
      <w:sz w:val="24"/>
      <w:szCs w:val="24"/>
    </w:rPr>
  </w:style>
  <w:style w:type="paragraph" w:styleId="992" w:customStyle="1">
    <w:name w:val="索引 11"/>
    <w:basedOn w:val="744"/>
    <w:next w:val="744"/>
    <w:uiPriority w:val="0"/>
    <w:semiHidden/>
    <w:qFormat/>
    <w:pPr>
      <w:spacing w:line="240" w:lineRule="atLeast"/>
    </w:pPr>
    <w:rPr>
      <w:b/>
      <w:bCs/>
    </w:rPr>
  </w:style>
  <w:style w:type="paragraph" w:styleId="993" w:customStyle="1">
    <w:name w:val="批注主题1"/>
    <w:basedOn w:val="967"/>
    <w:next w:val="967"/>
    <w:uiPriority w:val="0"/>
    <w:semiHidden/>
    <w:qFormat/>
    <w:rPr>
      <w:b/>
      <w:bCs/>
    </w:rPr>
  </w:style>
  <w:style w:type="character" w:styleId="994" w:customStyle="1">
    <w:name w:val="正文首行缩进 Char"/>
    <w:link w:val="799"/>
    <w:uiPriority w:val="0"/>
    <w:qFormat/>
    <w:rPr>
      <w:rFonts w:ascii="仿宋_GB2312" w:eastAsia="仿宋_GB2312"/>
      <w:sz w:val="30"/>
      <w:szCs w:val="30"/>
    </w:rPr>
  </w:style>
  <w:style w:type="paragraph" w:styleId="995" w:customStyle="1">
    <w:name w:val="正文首行缩进 21"/>
    <w:basedOn w:val="797"/>
    <w:link w:val="996"/>
    <w:uiPriority w:val="99"/>
    <w:qFormat/>
    <w:pPr>
      <w:ind w:firstLine="420"/>
      <w:spacing w:line="360" w:lineRule="auto"/>
    </w:pPr>
    <w:rPr>
      <w:rFonts w:ascii="宋体" w:hAnsi="宋体" w:eastAsia="宋体"/>
      <w:sz w:val="21"/>
      <w:szCs w:val="20"/>
    </w:rPr>
  </w:style>
  <w:style w:type="character" w:styleId="996" w:customStyle="1">
    <w:name w:val="正文首行缩进 2 Char"/>
    <w:link w:val="995"/>
    <w:uiPriority w:val="99"/>
    <w:qFormat/>
    <w:rPr>
      <w:rFonts w:ascii="宋体" w:hAnsi="宋体"/>
      <w:sz w:val="21"/>
    </w:rPr>
  </w:style>
  <w:style w:type="table" w:styleId="997" w:customStyle="1">
    <w:name w:val="网格型1"/>
    <w:basedOn w:val="960"/>
    <w:uiPriority w:val="0"/>
    <w:qFormat/>
    <w:pPr>
      <w:jc w:val="both"/>
      <w:widowControl w:val="off"/>
    </w:pPr>
    <w:tblPr/>
  </w:style>
  <w:style w:type="character" w:styleId="998" w:customStyle="1">
    <w:name w:val="要点1"/>
    <w:uiPriority w:val="0"/>
    <w:qFormat/>
    <w:rPr>
      <w:b/>
      <w:bCs/>
    </w:rPr>
  </w:style>
  <w:style w:type="character" w:styleId="999" w:customStyle="1">
    <w:name w:val="页码1"/>
    <w:uiPriority w:val="0"/>
    <w:qFormat/>
  </w:style>
  <w:style w:type="character" w:styleId="1000" w:customStyle="1">
    <w:name w:val="已访问的超链接1"/>
    <w:uiPriority w:val="0"/>
    <w:qFormat/>
    <w:rPr>
      <w:color w:val="800080"/>
      <w:u w:val="single"/>
    </w:rPr>
  </w:style>
  <w:style w:type="character" w:styleId="1001" w:customStyle="1">
    <w:name w:val="超链接1"/>
    <w:uiPriority w:val="0"/>
    <w:qFormat/>
    <w:rPr>
      <w:color w:val="0000ff"/>
      <w:u w:val="single"/>
    </w:rPr>
  </w:style>
  <w:style w:type="character" w:styleId="1002" w:customStyle="1">
    <w:name w:val="批注引用1"/>
    <w:uiPriority w:val="0"/>
    <w:semiHidden/>
    <w:qFormat/>
    <w:rPr>
      <w:sz w:val="21"/>
      <w:szCs w:val="21"/>
    </w:rPr>
  </w:style>
  <w:style w:type="character" w:styleId="1003" w:customStyle="1">
    <w:name w:val="font5 Char"/>
    <w:uiPriority w:val="0"/>
    <w:qFormat/>
    <w:rPr>
      <w:rFonts w:ascii="宋体" w:hAnsi="宋体" w:eastAsia="宋体"/>
      <w:sz w:val="28"/>
      <w:szCs w:val="28"/>
      <w:lang w:val="en-US" w:eastAsia="zh-CN" w:bidi="ar-SA"/>
    </w:rPr>
  </w:style>
  <w:style w:type="character" w:styleId="1004" w:customStyle="1">
    <w:name w:val="apple-converted-space"/>
    <w:uiPriority w:val="99"/>
    <w:qFormat/>
  </w:style>
  <w:style w:type="character" w:styleId="1005" w:customStyle="1">
    <w:name w:val="列出段落 Char"/>
    <w:link w:val="1006"/>
    <w:uiPriority w:val="0"/>
    <w:qFormat/>
    <w:rPr>
      <w:rFonts w:ascii="Calibri" w:hAnsi="Calibri"/>
      <w:sz w:val="24"/>
      <w:szCs w:val="24"/>
      <w:lang w:eastAsia="en-US" w:bidi="en-US"/>
    </w:rPr>
  </w:style>
  <w:style w:type="paragraph" w:styleId="1006" w:customStyle="1">
    <w:name w:val="列出段落1"/>
    <w:basedOn w:val="744"/>
    <w:link w:val="1005"/>
    <w:uiPriority w:val="0"/>
    <w:qFormat/>
    <w:pPr>
      <w:contextualSpacing/>
      <w:ind w:left="720"/>
      <w:jc w:val="left"/>
      <w:widowControl/>
    </w:pPr>
    <w:rPr>
      <w:rFonts w:ascii="Calibri" w:hAnsi="Calibri"/>
      <w:sz w:val="24"/>
      <w:szCs w:val="24"/>
      <w:lang w:eastAsia="en-US" w:bidi="en-US"/>
    </w:rPr>
  </w:style>
  <w:style w:type="character" w:styleId="1007" w:customStyle="1">
    <w:name w:val="Char Char Char Char Char"/>
    <w:link w:val="1008"/>
    <w:uiPriority w:val="0"/>
    <w:qFormat/>
    <w:rPr>
      <w:rFonts w:ascii="Tahoma" w:hAnsi="Tahoma" w:eastAsia="宋体"/>
      <w:sz w:val="24"/>
      <w:szCs w:val="24"/>
      <w:lang w:val="en-US" w:eastAsia="zh-CN" w:bidi="ar-SA"/>
    </w:rPr>
  </w:style>
  <w:style w:type="paragraph" w:styleId="1008" w:customStyle="1">
    <w:name w:val="Char Char Char Char"/>
    <w:basedOn w:val="795"/>
    <w:link w:val="1007"/>
    <w:uiPriority w:val="0"/>
    <w:qFormat/>
    <w:pPr>
      <w:spacing w:line="360" w:lineRule="auto"/>
    </w:pPr>
    <w:rPr>
      <w:rFonts w:ascii="Tahoma" w:hAnsi="Tahoma"/>
      <w:sz w:val="24"/>
      <w:szCs w:val="24"/>
    </w:rPr>
  </w:style>
  <w:style w:type="character" w:styleId="1009" w:customStyle="1">
    <w:name w:val="普通正文 Char"/>
    <w:link w:val="1010"/>
    <w:uiPriority w:val="0"/>
    <w:qFormat/>
    <w:rPr>
      <w:rFonts w:ascii="Arial" w:hAnsi="Arial"/>
      <w:sz w:val="24"/>
      <w:szCs w:val="24"/>
    </w:rPr>
  </w:style>
  <w:style w:type="paragraph" w:styleId="1010" w:customStyle="1">
    <w:name w:val="普通正文"/>
    <w:basedOn w:val="744"/>
    <w:link w:val="1009"/>
    <w:uiPriority w:val="0"/>
    <w:qFormat/>
    <w:pPr>
      <w:ind w:firstLine="480"/>
      <w:jc w:val="left"/>
      <w:spacing w:before="120" w:after="120" w:line="360" w:lineRule="auto"/>
    </w:pPr>
    <w:rPr>
      <w:rFonts w:ascii="Arial" w:hAnsi="Arial"/>
      <w:sz w:val="24"/>
      <w:szCs w:val="24"/>
    </w:rPr>
  </w:style>
  <w:style w:type="character" w:styleId="1011" w:customStyle="1">
    <w:name w:val="二级目录 Char"/>
    <w:link w:val="1012"/>
    <w:uiPriority w:val="0"/>
    <w:qFormat/>
    <w:rPr>
      <w:b/>
      <w:sz w:val="30"/>
      <w:szCs w:val="28"/>
    </w:rPr>
  </w:style>
  <w:style w:type="paragraph" w:styleId="1012" w:customStyle="1">
    <w:name w:val="二级目录"/>
    <w:next w:val="744"/>
    <w:link w:val="1011"/>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1013" w:customStyle="1">
    <w:name w:val="Char Char Char Char Char Char Char Char"/>
    <w:basedOn w:val="744"/>
    <w:uiPriority w:val="0"/>
    <w:qFormat/>
    <w:pPr>
      <w:jc w:val="left"/>
      <w:spacing w:after="160" w:line="240" w:lineRule="exact"/>
      <w:widowControl/>
    </w:pPr>
    <w:rPr>
      <w:rFonts w:ascii="Verdana" w:hAnsi="Verdana"/>
      <w:sz w:val="20"/>
      <w:szCs w:val="20"/>
      <w:lang w:eastAsia="en-US"/>
    </w:rPr>
  </w:style>
  <w:style w:type="paragraph" w:styleId="1014" w:customStyle="1">
    <w:name w:val="Char Char Char Char Char Char Char Char1"/>
    <w:basedOn w:val="744"/>
    <w:uiPriority w:val="0"/>
    <w:qFormat/>
    <w:pPr>
      <w:jc w:val="left"/>
      <w:spacing w:after="160" w:line="240" w:lineRule="exact"/>
      <w:widowControl/>
    </w:pPr>
    <w:rPr>
      <w:rFonts w:ascii="Verdana" w:hAnsi="Verdana"/>
      <w:sz w:val="20"/>
      <w:szCs w:val="20"/>
      <w:lang w:eastAsia="en-US"/>
    </w:rPr>
  </w:style>
  <w:style w:type="paragraph" w:styleId="1015" w:customStyle="1">
    <w:name w:val="font6"/>
    <w:basedOn w:val="744"/>
    <w:uiPriority w:val="0"/>
    <w:qFormat/>
    <w:pPr>
      <w:jc w:val="left"/>
      <w:spacing w:before="100" w:beforeAutospacing="1" w:after="100" w:afterAutospacing="1"/>
      <w:widowControl/>
    </w:pPr>
    <w:rPr>
      <w:rFonts w:hint="eastAsia" w:ascii="宋体" w:hAnsi="宋体"/>
      <w:sz w:val="28"/>
      <w:szCs w:val="28"/>
      <w:u w:val="single"/>
    </w:rPr>
  </w:style>
  <w:style w:type="paragraph" w:styleId="1016" w:customStyle="1">
    <w:name w:val="Body Text(ch)"/>
    <w:basedOn w:val="744"/>
    <w:next w:val="800"/>
    <w:uiPriority w:val="0"/>
    <w:qFormat/>
    <w:pPr>
      <w:spacing w:after="120"/>
    </w:pPr>
    <w:rPr>
      <w:rFonts w:ascii="宋体" w:hAnsi="Arial"/>
      <w:bCs/>
      <w:iCs/>
      <w:szCs w:val="24"/>
    </w:rPr>
  </w:style>
  <w:style w:type="paragraph" w:styleId="101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18" w:customStyle="1">
    <w:name w:val="font7"/>
    <w:basedOn w:val="744"/>
    <w:uiPriority w:val="0"/>
    <w:qFormat/>
    <w:pPr>
      <w:jc w:val="left"/>
      <w:spacing w:before="100" w:beforeAutospacing="1" w:after="100" w:afterAutospacing="1"/>
      <w:widowControl/>
    </w:pPr>
    <w:rPr>
      <w:rFonts w:hint="eastAsia" w:ascii="宋体" w:hAnsi="宋体"/>
      <w:sz w:val="18"/>
      <w:szCs w:val="18"/>
    </w:rPr>
  </w:style>
  <w:style w:type="paragraph" w:styleId="1019" w:customStyle="1">
    <w:name w:val="xl24"/>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customStyle="1">
    <w:name w:val="标题3"/>
    <w:basedOn w:val="744"/>
    <w:next w:val="744"/>
    <w:uiPriority w:val="0"/>
    <w:qFormat/>
    <w:pPr>
      <w:ind w:firstLine="624"/>
      <w:spacing w:line="590" w:lineRule="atLeast"/>
    </w:pPr>
    <w:rPr>
      <w:rFonts w:ascii="方正黑体_GBK" w:eastAsia="方正黑体_GBK"/>
      <w:sz w:val="32"/>
      <w:szCs w:val="32"/>
    </w:rPr>
  </w:style>
  <w:style w:type="paragraph" w:styleId="1021" w:customStyle="1">
    <w:name w:val="普通 (Web)"/>
    <w:basedOn w:val="744"/>
    <w:uiPriority w:val="0"/>
    <w:qFormat/>
    <w:pPr>
      <w:jc w:val="left"/>
      <w:spacing w:before="100" w:beforeAutospacing="1" w:after="100" w:afterAutospacing="1"/>
      <w:widowControl/>
    </w:pPr>
    <w:rPr>
      <w:rFonts w:ascii="宋体" w:hAnsi="宋体"/>
      <w:sz w:val="24"/>
      <w:szCs w:val="24"/>
    </w:rPr>
  </w:style>
  <w:style w:type="paragraph" w:styleId="1022" w:customStyle="1">
    <w:name w:val="xl30"/>
    <w:basedOn w:val="744"/>
    <w:uiPriority w:val="0"/>
    <w:qFormat/>
    <w:pPr>
      <w:jc w:val="center"/>
      <w:spacing w:before="100" w:beforeAutospacing="1" w:after="100" w:afterAutospacing="1"/>
      <w:widowControl/>
    </w:pPr>
    <w:rPr>
      <w:rFonts w:ascii="宋体" w:hAnsi="宋体"/>
      <w:b/>
      <w:bCs/>
      <w:sz w:val="36"/>
      <w:szCs w:val="36"/>
    </w:rPr>
  </w:style>
  <w:style w:type="paragraph" w:styleId="1023" w:customStyle="1">
    <w:name w:val="Char Char Char Char Char Char Char Char Char Char"/>
    <w:basedOn w:val="744"/>
    <w:uiPriority w:val="0"/>
    <w:qFormat/>
    <w:pPr>
      <w:spacing w:line="360" w:lineRule="auto"/>
    </w:pPr>
    <w:rPr>
      <w:sz w:val="24"/>
      <w:szCs w:val="20"/>
    </w:rPr>
  </w:style>
  <w:style w:type="paragraph" w:styleId="1024" w:customStyle="1">
    <w:name w:val="font5"/>
    <w:basedOn w:val="744"/>
    <w:uiPriority w:val="0"/>
    <w:qFormat/>
    <w:pPr>
      <w:jc w:val="left"/>
      <w:spacing w:before="100" w:beforeAutospacing="1" w:after="100" w:afterAutospacing="1"/>
      <w:widowControl/>
    </w:pPr>
    <w:rPr>
      <w:rFonts w:hint="eastAsia" w:ascii="宋体" w:hAnsi="宋体"/>
      <w:sz w:val="28"/>
      <w:szCs w:val="28"/>
    </w:rPr>
  </w:style>
  <w:style w:type="paragraph" w:styleId="1025" w:customStyle="1">
    <w:name w:val="列出段落2"/>
    <w:basedOn w:val="744"/>
    <w:uiPriority w:val="99"/>
    <w:qFormat/>
    <w:pPr>
      <w:contextualSpacing/>
      <w:ind w:left="720"/>
      <w:jc w:val="left"/>
      <w:widowControl/>
    </w:pPr>
    <w:rPr>
      <w:rFonts w:ascii="Calibri" w:hAnsi="Calibri"/>
      <w:sz w:val="24"/>
      <w:szCs w:val="24"/>
      <w:lang w:eastAsia="en-US" w:bidi="en-US"/>
    </w:rPr>
  </w:style>
  <w:style w:type="paragraph" w:styleId="1026" w:customStyle="1">
    <w:name w:val="样式1"/>
    <w:basedOn w:val="744"/>
    <w:uiPriority w:val="0"/>
    <w:qFormat/>
    <w:pPr>
      <w:numPr>
        <w:ilvl w:val="0"/>
        <w:numId w:val="3"/>
      </w:numPr>
    </w:pPr>
    <w:rPr>
      <w:rFonts w:ascii="宋体" w:hAnsi="宋体"/>
    </w:rPr>
  </w:style>
  <w:style w:type="paragraph" w:styleId="1027" w:customStyle="1">
    <w:name w:val="Char Char Char Char1"/>
    <w:basedOn w:val="795"/>
    <w:uiPriority w:val="0"/>
    <w:qFormat/>
    <w:pPr>
      <w:spacing w:line="360" w:lineRule="auto"/>
    </w:pPr>
    <w:rPr>
      <w:rFonts w:ascii="Tahoma" w:hAnsi="Tahoma"/>
      <w:sz w:val="24"/>
      <w:szCs w:val="24"/>
    </w:rPr>
  </w:style>
  <w:style w:type="paragraph" w:styleId="1028" w:customStyle="1">
    <w:name w:val="table_lines"/>
    <w:basedOn w:val="744"/>
    <w:uiPriority w:val="0"/>
    <w:qFormat/>
    <w:pPr>
      <w:jc w:val="left"/>
      <w:widowControl/>
    </w:pPr>
    <w:rPr>
      <w:sz w:val="20"/>
      <w:szCs w:val="20"/>
      <w:lang w:val="de-DE" w:eastAsia="de-DE"/>
    </w:rPr>
  </w:style>
  <w:style w:type="paragraph" w:styleId="1029" w:customStyle="1">
    <w:name w:val="标题1"/>
    <w:basedOn w:val="744"/>
    <w:next w:val="74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0" w:customStyle="1">
    <w:name w:val="xl2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table_1stline"/>
    <w:basedOn w:val="744"/>
    <w:uiPriority w:val="0"/>
    <w:qFormat/>
    <w:pPr>
      <w:jc w:val="left"/>
      <w:spacing w:before="120"/>
      <w:widowControl/>
    </w:pPr>
    <w:rPr>
      <w:bCs/>
      <w:sz w:val="20"/>
      <w:szCs w:val="20"/>
      <w:lang w:val="de-DE" w:eastAsia="de-DE"/>
    </w:rPr>
  </w:style>
  <w:style w:type="paragraph" w:styleId="1033" w:customStyle="1">
    <w:name w:val="图标"/>
    <w:basedOn w:val="744"/>
    <w:next w:val="74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4" w:customStyle="1">
    <w:name w:val="4"/>
    <w:basedOn w:val="744"/>
    <w:next w:val="986"/>
    <w:uiPriority w:val="99"/>
    <w:qFormat/>
    <w:pPr>
      <w:ind w:firstLine="420"/>
      <w:spacing w:line="360" w:lineRule="auto"/>
    </w:pPr>
    <w:rPr>
      <w:color w:val="ff0000"/>
      <w:sz w:val="24"/>
      <w:szCs w:val="24"/>
    </w:rPr>
  </w:style>
  <w:style w:type="paragraph" w:styleId="1035" w:customStyle="1">
    <w:name w:val="Char"/>
    <w:basedOn w:val="744"/>
    <w:uiPriority w:val="0"/>
    <w:qFormat/>
    <w:pPr>
      <w:ind w:firstLine="200"/>
      <w:tabs>
        <w:tab w:val="left" w:pos="360" w:leader="none"/>
      </w:tabs>
    </w:pPr>
    <w:rPr>
      <w:sz w:val="28"/>
      <w:szCs w:val="30"/>
    </w:rPr>
  </w:style>
  <w:style w:type="paragraph" w:styleId="1036" w:customStyle="1">
    <w:name w:val="xl25"/>
    <w:basedOn w:val="74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7" w:customStyle="1">
    <w:name w:val="Char1"/>
    <w:basedOn w:val="795"/>
    <w:uiPriority w:val="0"/>
    <w:qFormat/>
    <w:rPr>
      <w:rFonts w:ascii="Tahoma" w:hAnsi="Tahoma"/>
      <w:sz w:val="24"/>
      <w:szCs w:val="24"/>
    </w:rPr>
  </w:style>
  <w:style w:type="paragraph" w:styleId="1038" w:customStyle="1">
    <w:name w:val="xl29"/>
    <w:basedOn w:val="74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9" w:customStyle="1">
    <w:name w:val="xl2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0" w:customStyle="1">
    <w:name w:val="_Style 3"/>
    <w:next w:val="986"/>
    <w:uiPriority w:val="99"/>
    <w:qFormat/>
    <w:pPr>
      <w:jc w:val="both"/>
      <w:widowControl w:val="off"/>
    </w:pPr>
    <w:rPr>
      <w:rFonts w:ascii="Times New Roman" w:hAnsi="Times New Roman" w:eastAsia="宋体" w:cs="Times New Roman"/>
      <w:sz w:val="21"/>
      <w:szCs w:val="22"/>
      <w:lang w:val="en-US" w:eastAsia="zh-CN" w:bidi="ar-SA"/>
    </w:rPr>
  </w:style>
  <w:style w:type="paragraph" w:styleId="1041" w:customStyle="1">
    <w:name w:val="BodyText1I21"/>
    <w:basedOn w:val="744"/>
    <w:uiPriority w:val="0"/>
    <w:qFormat/>
    <w:pPr>
      <w:ind w:firstLine="420"/>
    </w:pPr>
    <w:rPr>
      <w:u w:val="single"/>
    </w:rPr>
  </w:style>
  <w:style w:type="paragraph" w:styleId="1042" w:customStyle="1">
    <w:name w:val="正文_2_1"/>
    <w:uiPriority w:val="0"/>
    <w:qFormat/>
    <w:pPr>
      <w:jc w:val="both"/>
      <w:widowControl w:val="off"/>
    </w:pPr>
    <w:rPr>
      <w:rFonts w:ascii="Calibri" w:hAnsi="Calibri" w:eastAsia="宋体" w:cs="Times New Roman"/>
      <w:sz w:val="21"/>
      <w:szCs w:val="22"/>
      <w:lang w:val="en-US" w:eastAsia="zh-CN" w:bidi="ar-SA"/>
    </w:rPr>
  </w:style>
  <w:style w:type="character" w:styleId="1043" w:customStyle="1">
    <w:name w:val="Body text|1_"/>
    <w:link w:val="1044"/>
    <w:uiPriority w:val="0"/>
    <w:qFormat/>
    <w:rPr>
      <w:rFonts w:ascii="宋体" w:hAnsi="宋体" w:cs="宋体"/>
      <w:sz w:val="30"/>
      <w:szCs w:val="30"/>
      <w:lang w:val="zh-TW" w:eastAsia="zh-TW" w:bidi="zh-TW"/>
    </w:rPr>
  </w:style>
  <w:style w:type="paragraph" w:styleId="1044" w:customStyle="1">
    <w:name w:val="Body text|1"/>
    <w:basedOn w:val="744"/>
    <w:link w:val="1043"/>
    <w:uiPriority w:val="0"/>
    <w:qFormat/>
    <w:pPr>
      <w:ind w:firstLine="400"/>
      <w:jc w:val="left"/>
      <w:spacing w:line="401" w:lineRule="auto"/>
    </w:pPr>
    <w:rPr>
      <w:rFonts w:ascii="宋体" w:hAnsi="宋体" w:cs="宋体"/>
      <w:sz w:val="30"/>
      <w:szCs w:val="30"/>
      <w:lang w:val="zh-TW" w:eastAsia="zh-TW" w:bidi="zh-TW"/>
    </w:rPr>
  </w:style>
  <w:style w:type="character" w:styleId="1045" w:customStyle="1">
    <w:name w:val="Header or footer|1_"/>
    <w:link w:val="1046"/>
    <w:uiPriority w:val="0"/>
    <w:qFormat/>
    <w:rPr>
      <w:sz w:val="28"/>
      <w:szCs w:val="28"/>
      <w:lang w:val="zh-TW" w:eastAsia="zh-TW" w:bidi="zh-TW"/>
    </w:rPr>
  </w:style>
  <w:style w:type="paragraph" w:styleId="1046" w:customStyle="1">
    <w:name w:val="Header or footer|1"/>
    <w:basedOn w:val="744"/>
    <w:link w:val="1045"/>
    <w:uiPriority w:val="0"/>
    <w:qFormat/>
    <w:pPr>
      <w:jc w:val="left"/>
    </w:pPr>
    <w:rPr>
      <w:sz w:val="28"/>
      <w:szCs w:val="28"/>
      <w:lang w:val="zh-TW" w:eastAsia="zh-TW" w:bidi="zh-TW"/>
    </w:rPr>
  </w:style>
  <w:style w:type="character" w:styleId="1047" w:customStyle="1">
    <w:name w:val="Body text|8_"/>
    <w:link w:val="1048"/>
    <w:uiPriority w:val="0"/>
    <w:qFormat/>
    <w:rPr>
      <w:b/>
      <w:bCs/>
      <w:sz w:val="11"/>
      <w:szCs w:val="11"/>
      <w:lang w:val="zh-TW" w:eastAsia="zh-TW" w:bidi="zh-TW"/>
    </w:rPr>
  </w:style>
  <w:style w:type="paragraph" w:styleId="1048" w:customStyle="1">
    <w:name w:val="Body text|8"/>
    <w:basedOn w:val="744"/>
    <w:link w:val="1047"/>
    <w:uiPriority w:val="0"/>
    <w:qFormat/>
    <w:pPr>
      <w:jc w:val="center"/>
      <w:spacing w:after="140" w:line="204" w:lineRule="auto"/>
    </w:pPr>
    <w:rPr>
      <w:b/>
      <w:bCs/>
      <w:sz w:val="11"/>
      <w:szCs w:val="11"/>
      <w:lang w:val="zh-TW" w:eastAsia="zh-TW" w:bidi="zh-TW"/>
    </w:rPr>
  </w:style>
  <w:style w:type="character" w:styleId="1049" w:customStyle="1">
    <w:name w:val="Other|1_"/>
    <w:link w:val="1050"/>
    <w:uiPriority w:val="0"/>
    <w:qFormat/>
    <w:rPr>
      <w:rFonts w:ascii="宋体" w:hAnsi="宋体" w:cs="宋体"/>
      <w:sz w:val="30"/>
      <w:szCs w:val="30"/>
      <w:lang w:val="zh-TW" w:eastAsia="zh-TW" w:bidi="zh-TW"/>
    </w:rPr>
  </w:style>
  <w:style w:type="paragraph" w:styleId="1050" w:customStyle="1">
    <w:name w:val="Other|1"/>
    <w:basedOn w:val="744"/>
    <w:link w:val="1049"/>
    <w:uiPriority w:val="0"/>
    <w:qFormat/>
    <w:pPr>
      <w:ind w:firstLine="400"/>
      <w:jc w:val="left"/>
      <w:spacing w:line="401" w:lineRule="auto"/>
    </w:pPr>
    <w:rPr>
      <w:rFonts w:ascii="宋体" w:hAnsi="宋体" w:cs="宋体"/>
      <w:sz w:val="30"/>
      <w:szCs w:val="30"/>
      <w:lang w:val="zh-TW" w:eastAsia="zh-TW" w:bidi="zh-TW"/>
    </w:rPr>
  </w:style>
  <w:style w:type="character" w:styleId="1051" w:customStyle="1">
    <w:name w:val="Heading #1|1_"/>
    <w:link w:val="1052"/>
    <w:uiPriority w:val="0"/>
    <w:qFormat/>
    <w:rPr>
      <w:rFonts w:ascii="宋体" w:hAnsi="宋体" w:cs="宋体"/>
      <w:sz w:val="42"/>
      <w:szCs w:val="42"/>
      <w:lang w:val="zh-TW" w:eastAsia="zh-TW" w:bidi="zh-TW"/>
    </w:rPr>
  </w:style>
  <w:style w:type="paragraph" w:styleId="1052" w:customStyle="1">
    <w:name w:val="Heading #1|1"/>
    <w:basedOn w:val="744"/>
    <w:link w:val="1051"/>
    <w:uiPriority w:val="0"/>
    <w:qFormat/>
    <w:pPr>
      <w:jc w:val="center"/>
      <w:spacing w:after="480" w:line="619" w:lineRule="exact"/>
      <w:outlineLvl w:val="0"/>
    </w:pPr>
    <w:rPr>
      <w:rFonts w:ascii="宋体" w:hAnsi="宋体" w:cs="宋体"/>
      <w:sz w:val="42"/>
      <w:szCs w:val="42"/>
      <w:lang w:val="zh-TW" w:eastAsia="zh-TW" w:bidi="zh-TW"/>
    </w:rPr>
  </w:style>
  <w:style w:type="paragraph" w:styleId="1053" w:customStyle="1">
    <w:name w:val="纯文本1"/>
    <w:basedOn w:val="744"/>
    <w:next w:val="952"/>
    <w:uiPriority w:val="0"/>
    <w:qFormat/>
    <w:rPr>
      <w:rFonts w:ascii="宋体" w:hAnsi="Courier New" w:cs="Courier New"/>
    </w:rPr>
  </w:style>
  <w:style w:type="character" w:styleId="1054" w:customStyle="1">
    <w:name w:val="NormalCharacter"/>
    <w:uiPriority w:val="0"/>
    <w:semiHidden/>
    <w:qFormat/>
    <w:rPr>
      <w:rFonts w:ascii="Times New Roman" w:hAnsi="Times New Roman" w:eastAsia="宋体" w:cs="Times New Roman"/>
    </w:rPr>
  </w:style>
  <w:style w:type="paragraph" w:styleId="1055" w:customStyle="1">
    <w:name w:val="Body Text First Indent 21"/>
    <w:basedOn w:val="1056"/>
    <w:uiPriority w:val="0"/>
    <w:qFormat/>
    <w:pPr>
      <w:ind w:left="420" w:firstLine="420"/>
      <w:spacing w:after="120"/>
    </w:pPr>
    <w:rPr>
      <w:sz w:val="21"/>
    </w:rPr>
  </w:style>
  <w:style w:type="paragraph" w:styleId="1056" w:customStyle="1">
    <w:name w:val="Body Text Indent1"/>
    <w:basedOn w:val="744"/>
    <w:next w:val="1057"/>
    <w:uiPriority w:val="0"/>
    <w:qFormat/>
    <w:pPr>
      <w:ind w:firstLine="570"/>
      <w:spacing w:line="360" w:lineRule="auto"/>
    </w:pPr>
    <w:rPr>
      <w:sz w:val="24"/>
      <w:lang w:val="zh-CN"/>
    </w:rPr>
  </w:style>
  <w:style w:type="paragraph" w:styleId="1057" w:customStyle="1">
    <w:name w:val="寄信人地址1"/>
    <w:basedOn w:val="744"/>
    <w:uiPriority w:val="0"/>
    <w:qFormat/>
    <w:rPr>
      <w:rFonts w:ascii="Arial" w:hAnsi="Arial" w:cs="Arial"/>
    </w:rPr>
  </w:style>
  <w:style w:type="paragraph" w:styleId="1058" w:customStyle="1">
    <w:name w:val="Table Text"/>
    <w:basedOn w:val="744"/>
    <w:uiPriority w:val="0"/>
    <w:semiHidden/>
    <w:qFormat/>
    <w:rPr>
      <w:rFonts w:ascii="宋体" w:hAnsi="宋体" w:cs="宋体"/>
      <w:lang w:eastAsia="en-US"/>
    </w:rPr>
  </w:style>
  <w:style w:type="table" w:styleId="1059" w:customStyle="1">
    <w:name w:val="Table Normal"/>
    <w:uiPriority w:val="0"/>
    <w:semiHidden/>
    <w:unhideWhenUsed/>
    <w:qFormat/>
    <w:tblPr>
      <w:tblCellMar>
        <w:left w:w="0" w:type="dxa"/>
        <w:top w:w="0" w:type="dxa"/>
        <w:right w:w="0" w:type="dxa"/>
        <w:bottom w:w="0" w:type="dxa"/>
      </w:tblCellMar>
    </w:tblPr>
  </w:style>
  <w:style w:type="paragraph" w:styleId="1060" w:customStyle="1">
    <w:name w:val="标题二、"/>
    <w:basedOn w:val="744"/>
    <w:uiPriority w:val="99"/>
    <w:qFormat/>
    <w:pPr>
      <w:ind w:firstLine="200"/>
      <w:spacing w:line="360" w:lineRule="auto"/>
      <w:outlineLvl w:val="2"/>
    </w:pPr>
    <w:rPr>
      <w:rFonts w:ascii="宋体" w:hAnsi="宋体"/>
      <w:b/>
    </w:rPr>
  </w:style>
  <w:style w:type="character" w:styleId="1061" w:customStyle="1">
    <w:name w:val="font41"/>
    <w:basedOn w:val="754"/>
    <w:uiPriority w:val="0"/>
    <w:qFormat/>
    <w:rPr>
      <w:rFonts w:hint="default" w:ascii="Times New Roman" w:hAnsi="Times New Roman" w:cs="Times New Roman"/>
      <w:color w:val="000000"/>
      <w:sz w:val="22"/>
      <w:szCs w:val="22"/>
      <w:u w:val="none"/>
    </w:rPr>
  </w:style>
  <w:style w:type="character" w:styleId="1062" w:customStyle="1">
    <w:name w:val="font01"/>
    <w:basedOn w:val="754"/>
    <w:uiPriority w:val="0"/>
    <w:qFormat/>
    <w:rPr>
      <w:rFonts w:hint="eastAsia" w:ascii="宋体" w:hAnsi="宋体" w:eastAsia="宋体" w:cs="宋体"/>
      <w:color w:val="000000"/>
      <w:sz w:val="22"/>
      <w:szCs w:val="22"/>
      <w:u w:val="none"/>
    </w:rPr>
  </w:style>
  <w:style w:type="character" w:styleId="1063" w:customStyle="1">
    <w:name w:val="fc01294d3e-4153-482a-aea1-4b54892b7913-1"/>
    <w:basedOn w:val="754"/>
    <w:uiPriority w:val="0"/>
    <w:qFormat/>
  </w:style>
  <w:style w:type="paragraph" w:styleId="1064" w:customStyle="1">
    <w:name w:val="正文缩进11"/>
    <w:basedOn w:val="744"/>
    <w:uiPriority w:val="0"/>
    <w:qFormat/>
    <w:pPr>
      <w:ind w:firstLine="420"/>
    </w:pPr>
    <w:rPr>
      <w:szCs w:val="20"/>
    </w:rPr>
  </w:style>
  <w:style w:type="paragraph" w:styleId="1065" w:customStyle="1">
    <w:name w:val="BodyText1I2"/>
    <w:basedOn w:val="1066"/>
    <w:uiPriority w:val="0"/>
    <w:qFormat/>
    <w:pPr>
      <w:ind w:firstLine="420"/>
      <w:spacing w:line="200" w:lineRule="exact"/>
    </w:pPr>
    <w:rPr>
      <w:rFonts w:ascii="宋体" w:hAnsi="Courier New"/>
      <w:color w:val="000000"/>
      <w:spacing w:val="-4"/>
      <w:sz w:val="18"/>
      <w:szCs w:val="20"/>
    </w:rPr>
  </w:style>
  <w:style w:type="paragraph" w:styleId="1066" w:customStyle="1">
    <w:name w:val="BodyTextIndent"/>
    <w:basedOn w:val="744"/>
    <w:next w:val="744"/>
    <w:uiPriority w:val="0"/>
    <w:qFormat/>
    <w:pPr>
      <w:ind w:left="420"/>
      <w:spacing w:after="120"/>
    </w:pPr>
  </w:style>
  <w:style w:type="paragraph" w:styleId="1067" w:customStyle="1">
    <w:name w:val="文本块11"/>
    <w:basedOn w:val="744"/>
    <w:uiPriority w:val="0"/>
    <w:qFormat/>
    <w:pPr>
      <w:ind w:left="1440" w:right="1440"/>
      <w:spacing w:after="120"/>
      <w:tabs>
        <w:tab w:val="left" w:pos="9000" w:leader="none"/>
      </w:tabs>
    </w:pPr>
  </w:style>
  <w:style w:type="character" w:styleId="1068" w:customStyle="1">
    <w:name w:val="font11"/>
    <w:basedOn w:val="754"/>
    <w:uiPriority w:val="0"/>
    <w:qFormat/>
    <w:rPr>
      <w:rFonts w:hint="default" w:ascii="仿宋_GB2312" w:eastAsia="仿宋_GB2312" w:cs="仿宋_GB2312"/>
      <w:color w:val="000000"/>
      <w:sz w:val="24"/>
      <w:szCs w:val="24"/>
      <w:u w:val="none"/>
    </w:rPr>
  </w:style>
  <w:style w:type="character" w:styleId="1069" w:customStyle="1">
    <w:name w:val="font21"/>
    <w:basedOn w:val="754"/>
    <w:uiPriority w:val="0"/>
    <w:qFormat/>
    <w:rPr>
      <w:rFonts w:hint="default" w:ascii="仿宋_GB2312" w:eastAsia="仿宋_GB2312" w:cs="仿宋_GB2312"/>
      <w:color w:val="ff0000"/>
      <w:sz w:val="24"/>
      <w:szCs w:val="24"/>
      <w:u w:val="none"/>
    </w:rPr>
  </w:style>
  <w:style w:type="paragraph" w:styleId="1070" w:customStyle="1">
    <w:name w:val="列出段落_0"/>
    <w:basedOn w:val="793"/>
    <w:uiPriority w:val="34"/>
    <w:qFormat/>
    <w:pPr>
      <w:ind w:firstLine="420"/>
      <w:jc w:val="left"/>
      <w:spacing w:line="410" w:lineRule="atLeast"/>
    </w:pPr>
    <w:rPr>
      <w:rFonts w:ascii="宋体"/>
      <w:sz w:val="24"/>
      <w:szCs w:val="20"/>
    </w:rPr>
  </w:style>
  <w:style w:type="paragraph" w:styleId="1071" w:customStyle="1">
    <w:name w:val="段"/>
    <w:next w:val="744"/>
    <w:uiPriority w:val="0"/>
    <w:qFormat/>
    <w:pPr>
      <w:ind w:firstLine="200"/>
      <w:jc w:val="both"/>
    </w:pPr>
    <w:rPr>
      <w:rFonts w:ascii="宋体" w:hAnsi="Times New Roman" w:eastAsia="宋体" w:cs="Times New Roman"/>
      <w:sz w:val="21"/>
      <w:lang w:val="en-US" w:eastAsia="zh-CN" w:bidi="ar-SA"/>
    </w:rPr>
  </w:style>
  <w:style w:type="numbering" w:styleId="18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滨海县自然资源和</dc:creator>
  <cp:lastModifiedBy>任菲菲</cp:lastModifiedBy>
  <cp:revision>83</cp:revision>
  <dcterms:created xsi:type="dcterms:W3CDTF">2016-04-21T03:40:00Z</dcterms:created>
  <dcterms:modified xsi:type="dcterms:W3CDTF">2024-12-05T08:29:53Z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3A1A2397B6FB4674A101F1B52BECE78F_13</vt:lpwstr>
  </property>
</Properties>
</file>