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jc w:val="center"/>
        <w:spacing w:before="0" w:after="0" w:line="360" w:lineRule="auto"/>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987"/>
        <w:ind w:firstLine="0"/>
        <w:jc w:val="center"/>
        <w:spacing w:before="0" w:after="0" w:line="360" w:lineRule="auto"/>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p>
    <w:p>
      <w:pPr>
        <w:ind w:firstLine="2250"/>
        <w:jc w:val="both"/>
        <w:spacing w:line="360" w:lineRule="auto"/>
        <w:rPr>
          <w:rFonts w:hint="eastAsia" w:ascii="宋体" w:hAnsi="宋体" w:eastAsia="宋体" w:cs="宋体"/>
          <w:sz w:val="75"/>
          <w:highlight w:val="none"/>
        </w:rPr>
      </w:pPr>
      <w:r>
        <w:rPr>
          <w:rFonts w:hint="eastAsia" w:ascii="宋体" w:hAnsi="宋体" w:eastAsia="宋体" w:cs="宋体"/>
          <w:sz w:val="75"/>
          <w:highlight w:val="none"/>
        </w:rPr>
      </w:r>
      <w:r/>
    </w:p>
    <w:p>
      <w:pPr>
        <w:ind w:firstLine="643"/>
        <w:jc w:val="both"/>
        <w:spacing w:line="36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723"/>
        <w:jc w:val="center"/>
        <w:spacing w:line="360" w:lineRule="auto"/>
        <w:widowControl/>
        <w:rPr>
          <w:rFonts w:hint="eastAsia" w:ascii="宋体" w:hAnsi="宋体" w:eastAsia="宋体" w:cs="宋体"/>
          <w:b/>
          <w:bCs/>
          <w:color w:val="ff0000"/>
          <w:sz w:val="36"/>
          <w:szCs w:val="36"/>
          <w:highlight w:val="none"/>
          <w:lang w:eastAsia="zh-CN"/>
        </w:rPr>
      </w:pPr>
      <w:r>
        <w:rPr>
          <w:rFonts w:hint="eastAsia" w:ascii="宋体" w:hAnsi="宋体" w:eastAsia="宋体" w:cs="宋体"/>
          <w:b/>
          <w:bCs/>
          <w:sz w:val="36"/>
          <w:szCs w:val="36"/>
          <w:highlight w:val="none"/>
        </w:rPr>
        <w:t xml:space="preserve">项目编号：</w:t>
      </w:r>
      <w:r>
        <w:rPr>
          <w:rFonts w:hint="eastAsia" w:hAnsi="宋体" w:cs="宋体"/>
          <w:b/>
          <w:bCs/>
          <w:i w:val="0"/>
          <w:iCs w:val="0"/>
          <w:caps w:val="0"/>
          <w:color w:val="auto"/>
          <w:spacing w:val="0"/>
          <w:sz w:val="36"/>
          <w:szCs w:val="36"/>
          <w:highlight w:val="none"/>
          <w:shd w:val="clear" w:color="auto" w:fill="ffffff"/>
          <w:lang w:eastAsia="zh-CN"/>
        </w:rPr>
        <w:t xml:space="preserve">JSZC-321100-LXDL-G2024-0019</w:t>
      </w:r>
      <w:r/>
    </w:p>
    <w:p>
      <w:pPr>
        <w:pStyle w:val="988"/>
        <w:ind w:firstLine="723"/>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firstLine="720"/>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89"/>
        <w:ind w:firstLine="0"/>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项目名称：镇江市生态环境监测站实验分析及应急监测仪器设备</w:t>
      </w:r>
      <w:r/>
    </w:p>
    <w:p>
      <w:pPr>
        <w:pStyle w:val="989"/>
        <w:ind w:firstLine="0"/>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采购项目（二期）二次</w:t>
      </w:r>
      <w:r/>
    </w:p>
    <w:p>
      <w:pPr>
        <w:pStyle w:val="989"/>
        <w:ind w:firstLine="1767"/>
        <w:spacing w:line="360" w:lineRule="auto"/>
        <w:rPr>
          <w:rFonts w:hint="eastAsia" w:ascii="宋体" w:hAnsi="宋体" w:eastAsia="宋体" w:cs="宋体"/>
          <w:b/>
          <w:bCs/>
          <w:sz w:val="44"/>
          <w:szCs w:val="44"/>
          <w:highlight w:val="none"/>
          <w:lang w:val="en-US"/>
        </w:rPr>
      </w:pPr>
      <w:r>
        <w:rPr>
          <w:rFonts w:hint="eastAsia" w:ascii="宋体" w:hAnsi="宋体" w:eastAsia="宋体" w:cs="宋体"/>
          <w:b/>
          <w:bCs/>
          <w:sz w:val="44"/>
          <w:szCs w:val="44"/>
          <w:highlight w:val="none"/>
          <w:lang w:val="en-US"/>
        </w:rPr>
      </w:r>
      <w:r/>
    </w:p>
    <w:p>
      <w:pPr>
        <w:pStyle w:val="989"/>
        <w:ind w:firstLine="643"/>
        <w:spacing w:line="360" w:lineRule="auto"/>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r>
      <w:r/>
    </w:p>
    <w:p>
      <w:pPr>
        <w:ind w:firstLine="630"/>
        <w:spacing w:line="360" w:lineRule="auto"/>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990"/>
        <w:ind w:left="0" w:firstLine="760"/>
        <w:spacing w:before="0" w:line="360" w:lineRule="auto"/>
        <w:rPr>
          <w:rFonts w:hint="eastAsia" w:ascii="宋体" w:hAnsi="宋体" w:eastAsia="宋体" w:cs="宋体"/>
          <w:sz w:val="38"/>
          <w:highlight w:val="none"/>
        </w:rPr>
      </w:pPr>
      <w:r>
        <w:rPr>
          <w:rFonts w:hint="eastAsia" w:ascii="宋体" w:hAnsi="宋体" w:eastAsia="宋体" w:cs="宋体"/>
          <w:sz w:val="38"/>
          <w:highlight w:val="none"/>
        </w:rPr>
      </w:r>
      <w:r/>
    </w:p>
    <w:p>
      <w:pPr>
        <w:ind w:firstLine="3534"/>
        <w:jc w:val="both"/>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江苏隆信项目管理有限公司</w:t>
      </w:r>
      <w:r/>
    </w:p>
    <w:p>
      <w:pPr>
        <w:ind w:firstLine="643"/>
        <w:jc w:val="center"/>
        <w:spacing w:line="360" w:lineRule="auto"/>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r>
      <w:r/>
    </w:p>
    <w:p>
      <w:pPr>
        <w:ind w:firstLine="643"/>
        <w:jc w:val="center"/>
        <w:spacing w:line="360" w:lineRule="auto"/>
        <w:rPr>
          <w:rFonts w:hint="eastAsia" w:ascii="宋体" w:hAnsi="宋体" w:eastAsia="宋体" w:cs="宋体"/>
          <w:b/>
          <w:bCs/>
          <w:sz w:val="32"/>
          <w:szCs w:val="32"/>
          <w:highlight w:val="none"/>
          <w:lang w:val="en-US"/>
        </w:rPr>
        <w:sectPr>
          <w:headerReference w:type="default" r:id="rId9"/>
          <w:footnotePr/>
          <w:endnotePr/>
          <w:type w:val="nextPage"/>
          <w:pgSz w:w="11907" w:h="16839" w:orient="portrait"/>
          <w:pgMar w:top="720" w:right="720" w:bottom="720" w:left="720" w:header="720" w:footer="720" w:gutter="0"/>
          <w:pgNumType w:start="1"/>
          <w:cols w:num="1" w:sep="0" w:space="1701" w:equalWidth="1"/>
          <w:docGrid w:linePitch="360"/>
        </w:sectPr>
      </w:pPr>
      <w:r>
        <w:rPr>
          <w:rFonts w:hint="eastAsia" w:ascii="宋体" w:hAnsi="宋体" w:eastAsia="宋体" w:cs="宋体"/>
          <w:b/>
          <w:bCs/>
          <w:sz w:val="32"/>
          <w:szCs w:val="32"/>
          <w:highlight w:val="none"/>
        </w:rPr>
        <w:t xml:space="preserve">二〇二</w:t>
      </w:r>
      <w:r>
        <w:rPr>
          <w:rFonts w:hint="eastAsia" w:ascii="宋体" w:hAnsi="宋体" w:eastAsia="宋体" w:cs="宋体"/>
          <w:b/>
          <w:bCs/>
          <w:sz w:val="32"/>
          <w:szCs w:val="32"/>
          <w:highlight w:val="none"/>
          <w:lang w:val="en-US"/>
        </w:rPr>
        <w:t xml:space="preserve">四</w:t>
      </w:r>
      <w:r>
        <w:rPr>
          <w:rFonts w:hint="eastAsia" w:ascii="宋体" w:hAnsi="宋体" w:eastAsia="宋体" w:cs="宋体"/>
          <w:b/>
          <w:bCs/>
          <w:sz w:val="32"/>
          <w:szCs w:val="32"/>
          <w:highlight w:val="none"/>
        </w:rPr>
        <w:t xml:space="preserve">年</w:t>
      </w:r>
      <w:r>
        <w:rPr>
          <w:rFonts w:hint="eastAsia" w:hAnsi="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月</w:t>
      </w:r>
      <w:r/>
    </w:p>
    <w:p>
      <w:pPr>
        <w:jc w:val="center"/>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目</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 xml:space="preserve">录</w:t>
      </w:r>
      <w:r/>
    </w:p>
    <w:p>
      <w:pPr>
        <w:ind w:firstLine="602"/>
        <w:jc w:val="left"/>
        <w:spacing w:line="720" w:lineRule="auto"/>
        <w:rPr>
          <w:rStyle w:val="991"/>
          <w:rFonts w:hint="eastAsia" w:ascii="宋体" w:hAnsi="宋体" w:eastAsia="宋体" w:cs="宋体"/>
          <w:b/>
          <w:bCs/>
          <w:color w:val="000000"/>
          <w:sz w:val="30"/>
          <w:szCs w:val="30"/>
          <w:highlight w:val="none"/>
        </w:rPr>
      </w:pPr>
      <w:r/>
      <w:bookmarkStart w:id="0" w:name="_Toc13655"/>
      <w:r/>
      <w:bookmarkStart w:id="1" w:name="_Toc29510"/>
      <w:r/>
      <w:bookmarkStart w:id="2" w:name="_Toc6165"/>
      <w:r>
        <w:rPr>
          <w:rStyle w:val="991"/>
          <w:rFonts w:hint="eastAsia" w:ascii="宋体" w:hAnsi="宋体" w:eastAsia="宋体" w:cs="宋体"/>
          <w:b/>
          <w:bCs/>
          <w:color w:val="000000"/>
          <w:sz w:val="30"/>
          <w:szCs w:val="30"/>
          <w:highlight w:val="none"/>
        </w:rPr>
        <w:t xml:space="preserve">第一章 投标邀请.............................................2-5</w:t>
      </w:r>
      <w:r/>
    </w:p>
    <w:p>
      <w:pPr>
        <w:pStyle w:val="993"/>
        <w:ind w:firstLine="602"/>
        <w:jc w:val="left"/>
        <w:keepLines w:val="0"/>
        <w:keepNext w:val="0"/>
        <w:spacing w:line="720" w:lineRule="auto"/>
        <w:rPr>
          <w:rFonts w:hint="eastAsia" w:ascii="宋体" w:hAnsi="宋体" w:eastAsia="宋体" w:cs="宋体"/>
          <w:b/>
          <w:bCs/>
          <w:color w:val="000000"/>
          <w:sz w:val="30"/>
          <w:szCs w:val="30"/>
          <w:highlight w:val="none"/>
          <w:lang w:eastAsia="zh-CN"/>
        </w:rPr>
      </w:pPr>
      <w:r>
        <w:rPr>
          <w:rFonts w:hint="eastAsia" w:ascii="宋体" w:hAnsi="宋体" w:eastAsia="宋体" w:cs="宋体"/>
          <w:b/>
          <w:bCs/>
          <w:color w:val="000000"/>
          <w:sz w:val="30"/>
          <w:szCs w:val="30"/>
          <w:highlight w:val="none"/>
        </w:rPr>
        <w:t xml:space="preserve">第二章 投标人须.............</w:t>
      </w:r>
      <w:r>
        <w:rPr>
          <w:rStyle w:val="991"/>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rPr>
        <w:t xml:space="preserve">............................</w:t>
      </w:r>
      <w:r>
        <w:rPr>
          <w:rStyle w:val="991"/>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6</w:t>
      </w:r>
      <w:r>
        <w:rPr>
          <w:rFonts w:hint="eastAsia" w:ascii="宋体" w:hAnsi="宋体" w:eastAsia="宋体" w:cs="宋体"/>
          <w:b/>
          <w:bCs/>
          <w:color w:val="000000"/>
          <w:sz w:val="30"/>
          <w:szCs w:val="30"/>
          <w:highlight w:val="none"/>
        </w:rPr>
        <w:t xml:space="preserve">-1</w:t>
      </w:r>
      <w:r>
        <w:rPr>
          <w:rFonts w:hint="eastAsia" w:ascii="宋体" w:hAnsi="宋体" w:eastAsia="宋体" w:cs="宋体"/>
          <w:b/>
          <w:bCs/>
          <w:color w:val="000000"/>
          <w:sz w:val="30"/>
          <w:szCs w:val="30"/>
          <w:highlight w:val="none"/>
          <w:lang w:val="en-US" w:eastAsia="zh-CN"/>
        </w:rPr>
        <w:t xml:space="preserve">6</w:t>
      </w:r>
      <w:r/>
    </w:p>
    <w:p>
      <w:pPr>
        <w:pStyle w:val="993"/>
        <w:ind w:firstLine="602"/>
        <w:jc w:val="left"/>
        <w:keepLines w:val="0"/>
        <w:keepNext w:val="0"/>
        <w:spacing w:line="720" w:lineRule="auto"/>
        <w:rPr>
          <w:rStyle w:val="994"/>
          <w:rFonts w:hint="eastAsia" w:ascii="宋体" w:hAnsi="宋体" w:eastAsia="宋体" w:cs="宋体"/>
          <w:b/>
          <w:bCs/>
          <w:sz w:val="30"/>
          <w:szCs w:val="30"/>
          <w:highlight w:val="none"/>
        </w:rPr>
      </w:pPr>
      <w:r>
        <w:rPr>
          <w:rFonts w:hint="eastAsia" w:ascii="宋体" w:hAnsi="宋体" w:eastAsia="宋体" w:cs="宋体"/>
          <w:b/>
          <w:bCs/>
          <w:color w:val="000000"/>
          <w:sz w:val="30"/>
          <w:szCs w:val="30"/>
          <w:highlight w:val="none"/>
        </w:rPr>
        <w:t xml:space="preserve">第三章 评标方法与评标标准......</w:t>
      </w:r>
      <w:r>
        <w:rPr>
          <w:rStyle w:val="991"/>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rPr>
        <w:t xml:space="preserve">.........................1</w:t>
      </w:r>
      <w:r>
        <w:rPr>
          <w:rFonts w:hint="eastAsia" w:ascii="宋体" w:hAnsi="宋体" w:eastAsia="宋体" w:cs="宋体"/>
          <w:b/>
          <w:bCs/>
          <w:color w:val="000000"/>
          <w:sz w:val="30"/>
          <w:szCs w:val="30"/>
          <w:highlight w:val="none"/>
          <w:lang w:val="en-US" w:eastAsia="zh-CN"/>
        </w:rPr>
        <w:t xml:space="preserve">7-23</w:t>
      </w:r>
      <w:r/>
    </w:p>
    <w:p>
      <w:pPr>
        <w:pStyle w:val="993"/>
        <w:ind w:firstLine="602"/>
        <w:jc w:val="left"/>
        <w:keepLines w:val="0"/>
        <w:keepNext w:val="0"/>
        <w:spacing w:line="720" w:lineRule="auto"/>
        <w:rPr>
          <w:rFonts w:hint="eastAsia" w:ascii="宋体" w:hAnsi="宋体" w:eastAsia="宋体" w:cs="宋体"/>
          <w:b/>
          <w:bCs/>
          <w:color w:val="000000"/>
          <w:sz w:val="30"/>
          <w:szCs w:val="30"/>
          <w:highlight w:val="none"/>
          <w:lang w:val="en-US"/>
        </w:rPr>
      </w:pPr>
      <w:r>
        <w:rPr>
          <w:rFonts w:hint="eastAsia" w:ascii="宋体" w:hAnsi="宋体" w:eastAsia="宋体" w:cs="宋体"/>
          <w:b/>
          <w:bCs/>
          <w:color w:val="000000"/>
          <w:sz w:val="30"/>
          <w:szCs w:val="30"/>
          <w:highlight w:val="none"/>
        </w:rPr>
        <w:t xml:space="preserve">第四章 采购需求</w:t>
      </w:r>
      <w:r>
        <w:rPr>
          <w:rStyle w:val="991"/>
          <w:rFonts w:hint="eastAsia" w:ascii="宋体" w:hAnsi="宋体" w:eastAsia="宋体" w:cs="宋体"/>
          <w:b/>
          <w:bCs/>
          <w:color w:val="000000"/>
          <w:sz w:val="30"/>
          <w:szCs w:val="30"/>
          <w:highlight w:val="none"/>
        </w:rPr>
        <w:t xml:space="preserve">...........................................2</w:t>
      </w:r>
      <w:r>
        <w:rPr>
          <w:rStyle w:val="991"/>
          <w:rFonts w:hint="eastAsia" w:ascii="宋体" w:hAnsi="宋体" w:eastAsia="宋体" w:cs="宋体"/>
          <w:b/>
          <w:bCs/>
          <w:color w:val="000000"/>
          <w:sz w:val="30"/>
          <w:szCs w:val="30"/>
          <w:highlight w:val="none"/>
          <w:lang w:val="en-US"/>
        </w:rPr>
        <w:t xml:space="preserve">4</w:t>
      </w:r>
      <w:r>
        <w:rPr>
          <w:rStyle w:val="991"/>
          <w:rFonts w:hint="eastAsia" w:ascii="宋体" w:hAnsi="宋体" w:eastAsia="宋体" w:cs="宋体"/>
          <w:b/>
          <w:bCs/>
          <w:color w:val="000000"/>
          <w:sz w:val="30"/>
          <w:szCs w:val="30"/>
          <w:highlight w:val="none"/>
        </w:rPr>
        <w:t xml:space="preserve">-</w:t>
      </w:r>
      <w:r>
        <w:rPr>
          <w:rStyle w:val="991"/>
          <w:rFonts w:hint="eastAsia" w:ascii="宋体" w:hAnsi="宋体" w:eastAsia="宋体" w:cs="宋体"/>
          <w:b/>
          <w:bCs/>
          <w:color w:val="000000"/>
          <w:sz w:val="30"/>
          <w:szCs w:val="30"/>
          <w:highlight w:val="none"/>
          <w:lang w:val="en-US"/>
        </w:rPr>
        <w:t xml:space="preserve">85</w:t>
      </w:r>
      <w:r/>
    </w:p>
    <w:p>
      <w:pPr>
        <w:pStyle w:val="988"/>
        <w:ind w:firstLine="602"/>
        <w:jc w:val="left"/>
        <w:spacing w:line="720" w:lineRule="auto"/>
        <w:rPr>
          <w:rFonts w:hint="eastAsia" w:ascii="宋体" w:hAnsi="宋体" w:eastAsia="宋体" w:cs="宋体"/>
          <w:b/>
          <w:bCs/>
          <w:color w:val="000000"/>
          <w:sz w:val="30"/>
          <w:szCs w:val="30"/>
          <w:highlight w:val="none"/>
          <w:lang w:val="en-US"/>
        </w:rPr>
      </w:pPr>
      <w:r>
        <w:rPr>
          <w:rFonts w:hint="eastAsia" w:ascii="宋体" w:hAnsi="宋体" w:eastAsia="宋体" w:cs="宋体"/>
          <w:b/>
          <w:bCs/>
          <w:color w:val="000000"/>
          <w:sz w:val="30"/>
          <w:szCs w:val="30"/>
          <w:highlight w:val="none"/>
        </w:rPr>
        <w:t xml:space="preserve">第五章</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sz w:val="30"/>
          <w:szCs w:val="30"/>
          <w:highlight w:val="none"/>
        </w:rPr>
        <w:t xml:space="preserve">合同条款及格式</w:t>
      </w:r>
      <w:r>
        <w:rPr>
          <w:rStyle w:val="991"/>
          <w:rFonts w:hint="eastAsia" w:ascii="宋体" w:hAnsi="宋体" w:eastAsia="宋体" w:cs="宋体"/>
          <w:b/>
          <w:bCs/>
          <w:color w:val="000000"/>
          <w:sz w:val="30"/>
          <w:szCs w:val="30"/>
          <w:highlight w:val="none"/>
        </w:rPr>
        <w:t xml:space="preserve">...................................</w:t>
      </w:r>
      <w:bookmarkStart w:id="100" w:name="_GoBack"/>
      <w:r/>
      <w:bookmarkEnd w:id="100"/>
      <w:r>
        <w:rPr>
          <w:rStyle w:val="991"/>
          <w:rFonts w:hint="eastAsia" w:ascii="宋体" w:hAnsi="宋体" w:eastAsia="宋体" w:cs="宋体"/>
          <w:b/>
          <w:bCs/>
          <w:color w:val="000000"/>
          <w:sz w:val="30"/>
          <w:szCs w:val="30"/>
          <w:highlight w:val="none"/>
        </w:rPr>
        <w:t xml:space="preserve">.</w:t>
      </w:r>
      <w:r>
        <w:rPr>
          <w:rStyle w:val="991"/>
          <w:rFonts w:hint="eastAsia" w:ascii="宋体" w:hAnsi="宋体" w:eastAsia="宋体" w:cs="宋体"/>
          <w:b/>
          <w:bCs/>
          <w:color w:val="000000"/>
          <w:sz w:val="30"/>
          <w:szCs w:val="30"/>
          <w:highlight w:val="none"/>
          <w:lang w:val="en-US"/>
        </w:rPr>
        <w:t xml:space="preserve">86-101</w:t>
      </w:r>
      <w:r/>
    </w:p>
    <w:p>
      <w:pPr>
        <w:pStyle w:val="988"/>
        <w:ind w:firstLine="602"/>
        <w:jc w:val="left"/>
        <w:spacing w:line="720" w:lineRule="auto"/>
        <w:rPr>
          <w:rFonts w:hint="eastAsia" w:ascii="宋体" w:hAnsi="宋体" w:eastAsia="宋体" w:cs="宋体"/>
          <w:b/>
          <w:bCs/>
          <w:color w:val="000000"/>
          <w:sz w:val="30"/>
          <w:szCs w:val="30"/>
          <w:highlight w:val="none"/>
          <w:lang w:val="en-US"/>
        </w:rPr>
      </w:pPr>
      <w:r>
        <w:rPr>
          <w:rFonts w:hint="eastAsia" w:ascii="宋体" w:hAnsi="宋体" w:eastAsia="宋体" w:cs="宋体"/>
          <w:b/>
          <w:bCs/>
          <w:color w:val="000000"/>
          <w:sz w:val="30"/>
          <w:szCs w:val="30"/>
          <w:highlight w:val="none"/>
          <w:lang w:val="en-US"/>
        </w:rPr>
        <w:t xml:space="preserve">第六</w:t>
      </w:r>
      <w:r>
        <w:rPr>
          <w:rFonts w:hint="eastAsia" w:ascii="宋体" w:hAnsi="宋体" w:eastAsia="宋体" w:cs="宋体"/>
          <w:b/>
          <w:bCs/>
          <w:color w:val="000000"/>
          <w:sz w:val="30"/>
          <w:szCs w:val="30"/>
          <w:highlight w:val="none"/>
        </w:rPr>
        <w:t xml:space="preserve">章 投标文件格式</w:t>
      </w:r>
      <w:r>
        <w:rPr>
          <w:rStyle w:val="991"/>
          <w:rFonts w:hint="eastAsia" w:ascii="宋体" w:hAnsi="宋体" w:eastAsia="宋体" w:cs="宋体"/>
          <w:b/>
          <w:bCs/>
          <w:color w:val="000000"/>
          <w:sz w:val="30"/>
          <w:szCs w:val="30"/>
          <w:highlight w:val="none"/>
        </w:rPr>
        <w:t xml:space="preserve">.....................................</w:t>
      </w:r>
      <w:r>
        <w:rPr>
          <w:rStyle w:val="991"/>
          <w:rFonts w:hint="eastAsia" w:ascii="宋体" w:hAnsi="宋体" w:eastAsia="宋体" w:cs="宋体"/>
          <w:b/>
          <w:bCs/>
          <w:color w:val="000000"/>
          <w:sz w:val="30"/>
          <w:szCs w:val="30"/>
          <w:highlight w:val="none"/>
          <w:lang w:val="en-US"/>
        </w:rPr>
        <w:t xml:space="preserve">102-113</w:t>
      </w:r>
      <w:bookmarkEnd w:id="0"/>
      <w:r/>
      <w:r/>
    </w:p>
    <w:p>
      <w:pPr>
        <w:ind w:firstLine="643"/>
        <w:jc w:val="center"/>
        <w:spacing w:line="360" w:lineRule="auto"/>
        <w:rPr>
          <w:rStyle w:val="991"/>
          <w:rFonts w:hint="eastAsia" w:ascii="宋体" w:hAnsi="宋体" w:eastAsia="宋体" w:cs="宋体"/>
          <w:bCs/>
          <w:highlight w:val="none"/>
        </w:rPr>
      </w:pPr>
      <w:r>
        <w:rPr>
          <w:rStyle w:val="991"/>
          <w:rFonts w:hint="eastAsia" w:ascii="宋体" w:hAnsi="宋体" w:eastAsia="宋体" w:cs="宋体"/>
          <w:bCs/>
          <w:sz w:val="24"/>
          <w:szCs w:val="24"/>
          <w:highlight w:val="none"/>
        </w:rPr>
        <w:br w:type="page" w:clear="all"/>
      </w:r>
      <w:r>
        <w:rPr>
          <w:rStyle w:val="991"/>
          <w:rFonts w:hint="eastAsia" w:ascii="宋体" w:hAnsi="宋体" w:eastAsia="宋体" w:cs="宋体"/>
          <w:bCs/>
          <w:highlight w:val="none"/>
        </w:rPr>
        <w:t xml:space="preserve">第一章</w:t>
      </w:r>
      <w:r>
        <w:rPr>
          <w:rStyle w:val="991"/>
          <w:rFonts w:hint="eastAsia" w:ascii="宋体" w:hAnsi="宋体" w:eastAsia="宋体" w:cs="宋体"/>
          <w:bCs/>
          <w:highlight w:val="none"/>
          <w:lang w:val="en-US"/>
        </w:rPr>
        <w:t xml:space="preserve">    </w:t>
      </w:r>
      <w:r>
        <w:rPr>
          <w:rStyle w:val="991"/>
          <w:rFonts w:hint="eastAsia" w:ascii="宋体" w:hAnsi="宋体" w:eastAsia="宋体" w:cs="宋体"/>
          <w:bCs/>
          <w:highlight w:val="none"/>
        </w:rPr>
        <w:t xml:space="preserve">投标邀请</w:t>
      </w:r>
      <w:bookmarkEnd w:id="1"/>
      <w:r/>
      <w:bookmarkEnd w:id="2"/>
      <w:r/>
      <w:r/>
    </w:p>
    <w:p>
      <w:pPr>
        <w:ind w:left="0" w:firstLine="480"/>
        <w:pageBreakBefore w:val="0"/>
        <w:spacing w:line="360" w:lineRule="auto"/>
        <w:rPr>
          <w:rFonts w:hint="eastAsia" w:ascii="宋体" w:hAnsi="宋体" w:eastAsia="宋体" w:cs="宋体"/>
          <w:sz w:val="24"/>
          <w:szCs w:val="24"/>
          <w:highlight w:val="none"/>
          <w:lang w:val="en-US"/>
        </w:rPr>
        <w:pBdr>
          <w:top w:val="single" w:color="000000" w:sz="4" w:space="1"/>
          <w:left w:val="single" w:color="000000" w:sz="4" w:space="4"/>
          <w:bottom w:val="single" w:color="000000" w:sz="4" w:space="1"/>
          <w:right w:val="single" w:color="000000" w:sz="4" w:space="4"/>
        </w:pBdr>
      </w:pPr>
      <w:r/>
      <w:bookmarkStart w:id="3" w:name="EB2b6c38eb24e54d1483d9b885274f6b0f"/>
      <w:r/>
      <w:bookmarkEnd w:id="3"/>
      <w:r/>
      <w:bookmarkStart w:id="4" w:name="EB7db3ab008a8f42449672c324abe655e4"/>
      <w:r/>
      <w:bookmarkEnd w:id="4"/>
      <w:r/>
      <w:bookmarkStart w:id="5" w:name="_Toc256000001"/>
      <w:r/>
      <w:bookmarkStart w:id="6" w:name="_Toc7560"/>
      <w:r/>
      <w:bookmarkStart w:id="7" w:name="_Toc28"/>
      <w:r/>
      <w:bookmarkStart w:id="8" w:name="_Toc8789"/>
      <w:r>
        <w:rPr>
          <w:rFonts w:hint="eastAsia" w:ascii="宋体" w:hAnsi="宋体" w:eastAsia="宋体" w:cs="宋体"/>
          <w:sz w:val="24"/>
          <w:szCs w:val="24"/>
          <w:highlight w:val="none"/>
        </w:rPr>
        <w:t xml:space="preserve">项目概况</w:t>
      </w:r>
      <w:r/>
    </w:p>
    <w:p>
      <w:pPr>
        <w:ind w:left="0" w:firstLine="480"/>
        <w:pageBreakBefore w:val="0"/>
        <w:spacing w:line="360" w:lineRule="auto"/>
        <w:rPr>
          <w:rFonts w:hint="eastAsia" w:ascii="宋体" w:hAnsi="宋体" w:eastAsia="宋体" w:cs="宋体"/>
          <w:sz w:val="24"/>
          <w:szCs w:val="24"/>
          <w:highlight w:val="none"/>
          <w:u w:val="single"/>
        </w:rPr>
        <w:pBdr>
          <w:top w:val="single" w:color="000000" w:sz="4" w:space="1"/>
          <w:left w:val="single" w:color="000000" w:sz="4" w:space="4"/>
          <w:bottom w:val="single" w:color="000000" w:sz="4" w:space="1"/>
          <w:right w:val="single" w:color="000000" w:sz="4" w:space="4"/>
        </w:pBdr>
      </w:pPr>
      <w:r/>
      <w:bookmarkStart w:id="9" w:name="EB88d3380b55d64db3937e19ee7304f988"/>
      <w:r/>
      <w:bookmarkEnd w:id="9"/>
      <w:r>
        <w:rPr>
          <w:rFonts w:hint="eastAsia" w:hAnsi="宋体" w:cs="宋体"/>
          <w:sz w:val="24"/>
          <w:szCs w:val="24"/>
          <w:highlight w:val="none"/>
          <w:u w:val="single"/>
          <w:lang w:eastAsia="zh-CN"/>
        </w:rPr>
        <w:t xml:space="preserve">镇江市生态环境监测站实验分析及应急监测仪器设备采购项目（二期）二次</w:t>
      </w:r>
      <w:r>
        <w:rPr>
          <w:rFonts w:hint="eastAsia" w:ascii="宋体" w:hAnsi="宋体" w:eastAsia="宋体" w:cs="宋体"/>
          <w:sz w:val="24"/>
          <w:szCs w:val="24"/>
          <w:highlight w:val="none"/>
        </w:rPr>
        <w:t xml:space="preserve">的潜在投标人应在</w:t>
      </w:r>
      <w:r>
        <w:rPr>
          <w:rFonts w:hint="eastAsia" w:ascii="宋体" w:hAnsi="宋体" w:eastAsia="宋体" w:cs="宋体"/>
          <w:sz w:val="24"/>
          <w:szCs w:val="24"/>
          <w:highlight w:val="none"/>
          <w:u w:val="single"/>
        </w:rPr>
        <w:t xml:space="preserve">苏采云</w:t>
      </w:r>
      <w:r>
        <w:rPr>
          <w:rFonts w:hint="eastAsia" w:ascii="宋体" w:hAnsi="宋体" w:eastAsia="宋体" w:cs="宋体"/>
          <w:sz w:val="24"/>
          <w:szCs w:val="24"/>
          <w:highlight w:val="none"/>
          <w:u w:val="single"/>
          <w:lang w:val="en-US"/>
        </w:rPr>
        <w:t xml:space="preserve">（</w:t>
      </w:r>
      <w:r>
        <w:rPr>
          <w:rFonts w:hint="eastAsia" w:ascii="宋体" w:hAnsi="宋体" w:eastAsia="宋体" w:cs="宋体"/>
          <w:sz w:val="24"/>
          <w:szCs w:val="24"/>
          <w:highlight w:val="none"/>
          <w:u w:val="single"/>
        </w:rPr>
        <w:t xml:space="preserve">政府采购一体化平台</w:t>
      </w:r>
      <w:r>
        <w:rPr>
          <w:rFonts w:hint="eastAsia" w:ascii="宋体" w:hAnsi="宋体" w:eastAsia="宋体" w:cs="宋体"/>
          <w:sz w:val="24"/>
          <w:szCs w:val="24"/>
          <w:highlight w:val="none"/>
          <w:u w:val="single"/>
          <w:lang w:val="en-US"/>
        </w:rPr>
        <w:t xml:space="preserve">）http://jszfcg.jscz.gov.cn/jszc/login</w:t>
      </w:r>
      <w:r>
        <w:rPr>
          <w:rFonts w:hint="eastAsia" w:ascii="宋体" w:hAnsi="宋体" w:eastAsia="宋体" w:cs="宋体"/>
          <w:sz w:val="24"/>
          <w:szCs w:val="24"/>
          <w:highlight w:val="none"/>
        </w:rPr>
        <w:t xml:space="preserve">获取招标文件</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rPr>
        <w:t xml:space="preserve">并于</w:t>
      </w:r>
      <w:r>
        <w:rPr>
          <w:rFonts w:hint="eastAsia" w:ascii="宋体" w:hAnsi="宋体" w:eastAsia="宋体" w:cs="宋体"/>
          <w:sz w:val="24"/>
          <w:szCs w:val="24"/>
          <w:highlight w:val="none"/>
          <w:lang w:val="en-US"/>
        </w:rPr>
        <w:t xml:space="preserve">2024-</w:t>
      </w:r>
      <w:r>
        <w:rPr>
          <w:rFonts w:hint="eastAsia" w:ascii="宋体" w:hAnsi="宋体" w:eastAsia="宋体" w:cs="宋体"/>
          <w:sz w:val="24"/>
          <w:szCs w:val="24"/>
          <w:highlight w:val="none"/>
          <w:lang w:val="en-US" w:eastAsia="zh-CN"/>
        </w:rPr>
        <w:t xml:space="preserve">7-</w:t>
      </w:r>
      <w:r>
        <w:rPr>
          <w:rFonts w:hint="eastAsia" w:hAnsi="宋体" w:cs="宋体"/>
          <w:sz w:val="24"/>
          <w:szCs w:val="24"/>
          <w:highlight w:val="none"/>
          <w:lang w:val="en-US" w:eastAsia="zh-CN"/>
        </w:rPr>
        <w:t xml:space="preserve">29</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09:00（</w:t>
      </w:r>
      <w:r>
        <w:rPr>
          <w:rFonts w:hint="eastAsia" w:ascii="宋体" w:hAnsi="宋体" w:eastAsia="宋体" w:cs="宋体"/>
          <w:bCs/>
          <w:sz w:val="24"/>
          <w:szCs w:val="24"/>
          <w:highlight w:val="none"/>
        </w:rPr>
        <w:t xml:space="preserve">北京时间）前按要求递交投标文件</w:t>
      </w:r>
      <w:r>
        <w:rPr>
          <w:rFonts w:hint="eastAsia" w:ascii="宋体" w:hAnsi="宋体" w:eastAsia="宋体" w:cs="宋体"/>
          <w:sz w:val="24"/>
          <w:szCs w:val="24"/>
          <w:highlight w:val="none"/>
        </w:rPr>
        <w:t xml:space="preserve">。</w:t>
      </w:r>
      <w:bookmarkEnd w:id="5"/>
      <w:r/>
      <w:r/>
    </w:p>
    <w:p>
      <w:pPr>
        <w:pStyle w:val="995"/>
        <w:ind w:left="0"/>
        <w:jc w:val="both"/>
        <w:keepLines w:val="0"/>
        <w:keepNext w:val="0"/>
        <w:pageBreakBefore w:val="0"/>
        <w:spacing w:before="0"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一、项目基本情况</w:t>
      </w:r>
      <w:r/>
    </w:p>
    <w:p>
      <w:pPr>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rPr>
        <w:t xml:space="preserve">项目编号：</w:t>
      </w:r>
      <w:r>
        <w:rPr>
          <w:rFonts w:hint="eastAsia" w:hAnsi="宋体" w:cs="宋体"/>
          <w:b w:val="0"/>
          <w:bCs w:val="0"/>
          <w:i w:val="0"/>
          <w:iCs w:val="0"/>
          <w:caps w:val="0"/>
          <w:color w:val="auto"/>
          <w:spacing w:val="0"/>
          <w:sz w:val="24"/>
          <w:szCs w:val="24"/>
          <w:highlight w:val="none"/>
          <w:shd w:val="clear" w:color="auto" w:fill="ffffff"/>
          <w:lang w:eastAsia="zh-CN"/>
        </w:rPr>
        <w:t xml:space="preserve">JSZC-321100-LXDL-G2024-0019</w:t>
      </w:r>
      <w:r/>
    </w:p>
    <w:p>
      <w:pPr>
        <w:ind w:left="0"/>
        <w:pageBreakBefore w:val="0"/>
        <w:spacing w:line="360" w:lineRule="auto"/>
        <w:rPr>
          <w:rFonts w:hint="default" w:ascii="宋体" w:hAnsi="宋体" w:eastAsia="宋体" w:cs="宋体"/>
          <w:bCs/>
          <w:color w:val="000000"/>
          <w:sz w:val="24"/>
          <w:szCs w:val="24"/>
          <w:highlight w:val="none"/>
          <w:shd w:val="clear" w:color="auto" w:fill="ffffff"/>
          <w:lang w:val="en-US" w:eastAsia="zh-CN"/>
        </w:rPr>
      </w:pPr>
      <w:r>
        <w:rPr>
          <w:rFonts w:hint="eastAsia" w:ascii="宋体" w:hAnsi="宋体" w:eastAsia="宋体" w:cs="宋体"/>
          <w:bCs/>
          <w:color w:val="000000"/>
          <w:sz w:val="24"/>
          <w:szCs w:val="24"/>
          <w:highlight w:val="none"/>
          <w:shd w:val="clear" w:color="auto" w:fill="ffffff"/>
          <w:lang w:val="en-US"/>
        </w:rPr>
        <w:t xml:space="preserve">2、项目名称：</w:t>
      </w:r>
      <w:r>
        <w:rPr>
          <w:rFonts w:hint="eastAsia" w:ascii="宋体" w:hAnsi="宋体" w:eastAsia="宋体" w:cs="宋体"/>
          <w:bCs/>
          <w:color w:val="000000"/>
          <w:sz w:val="24"/>
          <w:szCs w:val="24"/>
          <w:highlight w:val="none"/>
          <w:shd w:val="clear" w:color="auto" w:fill="ffffff"/>
          <w:lang w:val="en-US" w:eastAsia="zh-CN"/>
        </w:rPr>
        <w:t xml:space="preserve">镇江市生态环境监测站实验分析及应急监测仪器设备采购项目（二期）</w:t>
      </w:r>
      <w:r>
        <w:rPr>
          <w:rFonts w:hint="eastAsia" w:hAnsi="宋体" w:cs="宋体"/>
          <w:bCs/>
          <w:color w:val="000000"/>
          <w:sz w:val="24"/>
          <w:szCs w:val="24"/>
          <w:highlight w:val="none"/>
          <w:shd w:val="clear" w:color="auto" w:fill="ffffff"/>
          <w:lang w:val="en-US" w:eastAsia="zh-CN"/>
        </w:rPr>
        <w:t xml:space="preserve">二次</w:t>
      </w:r>
      <w:r/>
    </w:p>
    <w:p>
      <w:pPr>
        <w:ind w:left="0"/>
        <w:pageBreakBefore w:val="0"/>
        <w:spacing w:line="360" w:lineRule="auto"/>
        <w:rPr>
          <w:rFonts w:hint="eastAsia" w:ascii="宋体" w:hAnsi="宋体" w:eastAsia="宋体" w:cs="宋体"/>
          <w:sz w:val="24"/>
          <w:szCs w:val="24"/>
          <w:highlight w:val="none"/>
          <w:u w:val="none"/>
          <w:shd w:val="clear" w:color="auto" w:fill="ffffff"/>
          <w:lang w:val="en-US" w:eastAsia="zh-CN"/>
        </w:rPr>
      </w:pPr>
      <w:r>
        <w:rPr>
          <w:rFonts w:hint="eastAsia" w:ascii="宋体" w:hAnsi="宋体" w:eastAsia="宋体" w:cs="宋体"/>
          <w:sz w:val="24"/>
          <w:szCs w:val="24"/>
          <w:highlight w:val="none"/>
          <w:u w:val="none"/>
          <w:shd w:val="clear" w:color="auto" w:fill="ffffff"/>
          <w:lang w:val="en-US"/>
        </w:rPr>
        <w:t xml:space="preserve">3、预算金额：</w:t>
      </w:r>
      <w:r>
        <w:rPr>
          <w:rFonts w:hint="eastAsia" w:ascii="宋体" w:hAnsi="宋体" w:eastAsia="宋体" w:cs="宋体"/>
          <w:sz w:val="24"/>
          <w:szCs w:val="24"/>
          <w:highlight w:val="none"/>
          <w:u w:val="none"/>
          <w:shd w:val="clear" w:color="auto" w:fill="ffffff"/>
          <w:lang w:val="en-US" w:eastAsia="zh-CN"/>
        </w:rPr>
        <w:t xml:space="preserve">606万元，</w:t>
      </w:r>
      <w:r>
        <w:rPr>
          <w:rFonts w:hint="eastAsia" w:ascii="宋体" w:hAnsi="宋体" w:eastAsia="宋体" w:cs="宋体"/>
          <w:color w:val="auto"/>
          <w:sz w:val="24"/>
          <w:szCs w:val="24"/>
          <w:highlight w:val="none"/>
          <w:lang w:eastAsia="zh-CN"/>
        </w:rPr>
        <w:t xml:space="preserve">投标人报价超过最高限价的为无效报价，按照无效响应处理</w:t>
      </w:r>
      <w:r>
        <w:rPr>
          <w:rFonts w:hint="eastAsia" w:ascii="宋体" w:hAnsi="宋体" w:eastAsia="宋体" w:cs="宋体"/>
          <w:sz w:val="24"/>
          <w:szCs w:val="24"/>
          <w:highlight w:val="none"/>
          <w:u w:val="none"/>
          <w:shd w:val="clear" w:color="auto" w:fill="ffffff"/>
          <w:lang w:val="en-US" w:eastAsia="zh-CN"/>
        </w:rPr>
        <w:t xml:space="preserve">。</w:t>
      </w:r>
      <w:r/>
    </w:p>
    <w:p>
      <w:pPr>
        <w:ind w:left="0"/>
        <w:pageBreakBefore w:val="0"/>
        <w:spacing w:line="360" w:lineRule="auto"/>
        <w:rPr>
          <w:rFonts w:hint="eastAsia" w:ascii="宋体" w:hAnsi="宋体" w:eastAsia="宋体" w:cs="宋体"/>
          <w:b/>
          <w:color w:val="000000"/>
          <w:sz w:val="24"/>
          <w:szCs w:val="24"/>
          <w:highlight w:val="none"/>
          <w:u w:val="none"/>
          <w:shd w:val="clear" w:color="auto" w:fill="ffffff"/>
          <w:lang w:val="en-US" w:eastAsia="zh-CN"/>
        </w:rPr>
      </w:pPr>
      <w:r>
        <w:rPr>
          <w:rFonts w:hint="eastAsia" w:ascii="宋体" w:hAnsi="宋体" w:eastAsia="宋体" w:cs="宋体"/>
          <w:b/>
          <w:color w:val="000000"/>
          <w:sz w:val="24"/>
          <w:szCs w:val="24"/>
          <w:highlight w:val="none"/>
          <w:u w:val="none"/>
          <w:shd w:val="clear" w:color="auto" w:fill="ffffff"/>
          <w:lang w:val="en-US"/>
        </w:rPr>
        <w:t xml:space="preserve">☑ 最高限价：</w:t>
      </w:r>
      <w:r>
        <w:rPr>
          <w:rFonts w:hint="eastAsia" w:ascii="宋体" w:hAnsi="宋体" w:eastAsia="宋体" w:cs="宋体"/>
          <w:sz w:val="24"/>
          <w:szCs w:val="24"/>
          <w:highlight w:val="none"/>
          <w:u w:val="none"/>
          <w:shd w:val="clear" w:color="auto" w:fill="ffffff"/>
          <w:lang w:val="en-US" w:eastAsia="zh-CN"/>
        </w:rPr>
        <w:t xml:space="preserve">606万元，</w:t>
      </w:r>
      <w:r>
        <w:rPr>
          <w:rFonts w:hint="eastAsia" w:ascii="宋体" w:hAnsi="宋体" w:eastAsia="宋体" w:cs="宋体"/>
          <w:color w:val="auto"/>
          <w:sz w:val="24"/>
          <w:szCs w:val="24"/>
          <w:highlight w:val="none"/>
          <w:lang w:eastAsia="zh-CN"/>
        </w:rPr>
        <w:t xml:space="preserve">投标人报价超过最高限价的为无效报价，按照无效响应处理</w:t>
      </w:r>
      <w:r>
        <w:rPr>
          <w:rFonts w:hint="eastAsia" w:ascii="宋体" w:hAnsi="宋体" w:eastAsia="宋体" w:cs="宋体"/>
          <w:sz w:val="24"/>
          <w:szCs w:val="24"/>
          <w:highlight w:val="none"/>
          <w:u w:val="none"/>
          <w:shd w:val="clear" w:color="auto" w:fill="ffffff"/>
          <w:lang w:val="en-US" w:eastAsia="zh-CN"/>
        </w:rPr>
        <w:t xml:space="preserve">。</w:t>
      </w:r>
      <w:r/>
    </w:p>
    <w:p>
      <w:pPr>
        <w:ind w:left="0"/>
        <w:pageBreakBefore w:val="0"/>
        <w:spacing w:line="360" w:lineRule="auto"/>
        <w:rPr>
          <w:rFonts w:hint="eastAsia" w:ascii="宋体" w:hAnsi="宋体" w:eastAsia="宋体" w:cs="宋体"/>
          <w:bCs/>
          <w:color w:val="000000"/>
          <w:sz w:val="24"/>
          <w:szCs w:val="24"/>
          <w:highlight w:val="none"/>
          <w:u w:val="none"/>
          <w:shd w:val="clear" w:color="auto" w:fill="ffffff"/>
          <w:lang w:val="en-US" w:eastAsia="zh-CN"/>
        </w:rPr>
      </w:pPr>
      <w:r>
        <w:rPr>
          <w:rFonts w:hint="eastAsia" w:ascii="宋体" w:hAnsi="宋体" w:eastAsia="宋体" w:cs="宋体"/>
          <w:bCs/>
          <w:color w:val="000000"/>
          <w:sz w:val="24"/>
          <w:szCs w:val="24"/>
          <w:highlight w:val="none"/>
          <w:u w:val="none"/>
          <w:shd w:val="clear" w:color="auto" w:fill="ffffff"/>
          <w:lang w:val="en-US"/>
        </w:rPr>
        <w:t xml:space="preserve">4、采购需求：详细内容及要求见附件采购需求</w:t>
      </w:r>
      <w:r>
        <w:rPr>
          <w:rFonts w:hint="eastAsia" w:ascii="宋体" w:hAnsi="宋体" w:eastAsia="宋体" w:cs="宋体"/>
          <w:bCs/>
          <w:color w:val="000000"/>
          <w:sz w:val="24"/>
          <w:szCs w:val="24"/>
          <w:highlight w:val="none"/>
          <w:u w:val="none"/>
          <w:shd w:val="clear" w:color="auto" w:fill="ffffff"/>
          <w:lang w:val="en-US" w:eastAsia="zh-CN"/>
        </w:rPr>
        <w:t xml:space="preserve">。</w:t>
      </w:r>
      <w:r/>
    </w:p>
    <w:p>
      <w:pPr>
        <w:ind w:left="0"/>
        <w:pageBreakBefore w:val="0"/>
        <w:spacing w:line="360" w:lineRule="auto"/>
        <w:tabs>
          <w:tab w:val="left" w:pos="0" w:leader="none"/>
        </w:tabs>
        <w:rPr>
          <w:rFonts w:hint="eastAsia" w:ascii="宋体" w:hAnsi="宋体" w:eastAsia="宋体" w:cs="宋体"/>
          <w:color w:val="000000"/>
          <w:spacing w:val="-9"/>
          <w:sz w:val="24"/>
          <w:szCs w:val="24"/>
          <w:highlight w:val="none"/>
        </w:rPr>
      </w:pPr>
      <w:r/>
      <w:bookmarkStart w:id="10" w:name="_Toc256000002"/>
      <w:r>
        <w:rPr>
          <w:rFonts w:hint="eastAsia" w:ascii="宋体" w:hAnsi="宋体" w:eastAsia="宋体" w:cs="宋体"/>
          <w:color w:val="000000"/>
          <w:spacing w:val="-9"/>
          <w:sz w:val="24"/>
          <w:szCs w:val="24"/>
          <w:highlight w:val="none"/>
          <w:lang w:val="en-US" w:eastAsia="zh-CN"/>
        </w:rPr>
        <w:t xml:space="preserve">5</w:t>
      </w:r>
      <w:r>
        <w:rPr>
          <w:rFonts w:hint="eastAsia" w:ascii="宋体" w:hAnsi="宋体" w:eastAsia="宋体" w:cs="宋体"/>
          <w:color w:val="000000"/>
          <w:spacing w:val="-9"/>
          <w:sz w:val="24"/>
          <w:szCs w:val="24"/>
          <w:highlight w:val="none"/>
          <w:lang w:val="en-US"/>
        </w:rPr>
        <w:t xml:space="preserve">、</w:t>
      </w:r>
      <w:r>
        <w:rPr>
          <w:rFonts w:hint="eastAsia" w:ascii="宋体" w:hAnsi="宋体" w:eastAsia="宋体" w:cs="宋体"/>
          <w:color w:val="000000"/>
          <w:spacing w:val="-9"/>
          <w:sz w:val="24"/>
          <w:szCs w:val="24"/>
          <w:highlight w:val="none"/>
        </w:rPr>
        <w:t xml:space="preserve">本项目是否接受联合体投标：</w:t>
      </w:r>
      <w:r>
        <w:rPr>
          <w:rFonts w:hint="eastAsia" w:ascii="宋体" w:hAnsi="宋体" w:eastAsia="宋体" w:cs="宋体"/>
          <w:spacing w:val="-9"/>
          <w:sz w:val="24"/>
          <w:szCs w:val="24"/>
          <w:highlight w:val="none"/>
        </w:rPr>
        <w:t xml:space="preserve">不接</w:t>
      </w:r>
      <w:r>
        <w:rPr>
          <w:rFonts w:hint="eastAsia" w:ascii="宋体" w:hAnsi="宋体" w:eastAsia="宋体" w:cs="宋体"/>
          <w:spacing w:val="-7"/>
          <w:sz w:val="24"/>
          <w:szCs w:val="24"/>
          <w:highlight w:val="none"/>
        </w:rPr>
        <w:t xml:space="preserve">受</w:t>
      </w:r>
      <w:r/>
    </w:p>
    <w:p>
      <w:pPr>
        <w:pStyle w:val="996"/>
        <w:ind w:left="0"/>
        <w:pageBreakBefore w:val="0"/>
        <w:spacing w:line="360" w:lineRule="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6</w:t>
      </w:r>
      <w:r>
        <w:rPr>
          <w:rFonts w:hint="eastAsia" w:ascii="宋体" w:hAnsi="宋体" w:eastAsia="宋体" w:cs="宋体"/>
          <w:color w:val="000000"/>
          <w:sz w:val="24"/>
          <w:szCs w:val="24"/>
          <w:highlight w:val="none"/>
          <w:shd w:val="clear" w:color="auto" w:fill="ffffff"/>
        </w:rPr>
        <w:t xml:space="preserve">、本项目供应商邀请方式：发布公告 </w:t>
      </w:r>
      <w:r/>
    </w:p>
    <w:p>
      <w:pPr>
        <w:pStyle w:val="996"/>
        <w:ind w:left="0"/>
        <w:pageBreakBefore w:val="0"/>
        <w:spacing w:line="360" w:lineRule="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7</w:t>
      </w:r>
      <w:r>
        <w:rPr>
          <w:rFonts w:hint="eastAsia" w:ascii="宋体" w:hAnsi="宋体" w:eastAsia="宋体" w:cs="宋体"/>
          <w:color w:val="000000"/>
          <w:sz w:val="24"/>
          <w:szCs w:val="24"/>
          <w:highlight w:val="none"/>
          <w:shd w:val="clear" w:color="auto" w:fill="ffffff"/>
        </w:rPr>
        <w:t xml:space="preserve">、本次采购确定的成交供应商数量：1 名</w:t>
      </w:r>
      <w:r/>
    </w:p>
    <w:p>
      <w:pPr>
        <w:pStyle w:val="996"/>
        <w:ind w:left="0"/>
        <w:pageBreakBefore w:val="0"/>
        <w:spacing w:line="360" w:lineRule="auto"/>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lang w:val="en-US" w:eastAsia="zh-CN"/>
        </w:rPr>
        <w:t xml:space="preserve">8</w:t>
      </w:r>
      <w:r>
        <w:rPr>
          <w:rFonts w:hint="eastAsia" w:ascii="宋体" w:hAnsi="宋体" w:eastAsia="宋体" w:cs="宋体"/>
          <w:bCs/>
          <w:color w:val="000000"/>
          <w:sz w:val="24"/>
          <w:szCs w:val="24"/>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996"/>
        <w:ind w:left="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pStyle w:val="997"/>
        <w:ind w:left="0" w:firstLine="0"/>
        <w:pageBreakBefore w:val="0"/>
        <w:spacing w:line="360" w:lineRule="auto"/>
        <w:rPr>
          <w:rFonts w:hint="eastAsia" w:ascii="宋体" w:hAnsi="宋体" w:eastAsia="宋体" w:cs="宋体"/>
          <w:color w:val="000000"/>
          <w:sz w:val="24"/>
          <w:szCs w:val="24"/>
          <w:highlight w:val="none"/>
          <w:shd w:val="clear" w:color="auto" w:fill="ffffff"/>
        </w:rPr>
      </w:pPr>
      <w:r/>
      <w:bookmarkStart w:id="11" w:name="EBc023c818088a4a37830a656429416f13"/>
      <w:r>
        <w:rPr>
          <w:rFonts w:hint="eastAsia" w:ascii="宋体" w:hAnsi="宋体" w:eastAsia="宋体" w:cs="宋体"/>
          <w:color w:val="000000"/>
          <w:sz w:val="24"/>
          <w:szCs w:val="24"/>
          <w:highlight w:val="none"/>
          <w:shd w:val="clear" w:color="auto" w:fill="ffffff"/>
        </w:rPr>
        <w:t xml:space="preserve">（一）、</w:t>
      </w:r>
      <w:r>
        <w:rPr>
          <w:rFonts w:hint="eastAsia" w:ascii="宋体" w:hAnsi="宋体" w:eastAsia="宋体" w:cs="宋体"/>
          <w:sz w:val="24"/>
          <w:szCs w:val="24"/>
          <w:highlight w:val="none"/>
        </w:rPr>
        <w:t xml:space="preserve">满足《中华人民共和国政府采购法》第二十二条规定： </w:t>
      </w:r>
      <w:r/>
    </w:p>
    <w:p>
      <w:pPr>
        <w:pStyle w:val="997"/>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rPr>
        <w:t xml:space="preserve">具有独立承担民事责任的能力（提供法人或者其他组织的营业执照等证明文件扫描件；投标人为自然人的，提供其身份证扫描件）；</w:t>
      </w:r>
      <w:r/>
    </w:p>
    <w:p>
      <w:pPr>
        <w:pStyle w:val="997"/>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具有良好的商业信誉和健全的财务会计制度</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提供</w:t>
      </w:r>
      <w:r>
        <w:rPr>
          <w:rFonts w:hint="eastAsia" w:ascii="宋体" w:hAnsi="宋体" w:eastAsia="宋体" w:cs="宋体"/>
          <w:sz w:val="24"/>
          <w:szCs w:val="24"/>
          <w:highlight w:val="none"/>
          <w:lang w:val="en-US" w:eastAsia="zh-CN"/>
        </w:rPr>
        <w:t xml:space="preserve">2023</w:t>
      </w:r>
      <w:r>
        <w:rPr>
          <w:rFonts w:hint="eastAsia" w:ascii="宋体" w:hAnsi="宋体" w:eastAsia="宋体" w:cs="宋体"/>
          <w:sz w:val="24"/>
          <w:szCs w:val="24"/>
          <w:highlight w:val="none"/>
          <w:lang w:val="en-US"/>
        </w:rPr>
        <w:t xml:space="preserve">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w:t>
      </w:r>
      <w:r/>
    </w:p>
    <w:p>
      <w:pPr>
        <w:pStyle w:val="997"/>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具有履行合同所必需的设备和专业技术能力[</w:t>
      </w:r>
      <w:r>
        <w:rPr>
          <w:rFonts w:hint="eastAsia" w:ascii="宋体" w:hAnsi="宋体" w:eastAsia="宋体" w:cs="宋体"/>
          <w:color w:val="auto"/>
          <w:sz w:val="24"/>
          <w:szCs w:val="24"/>
          <w:highlight w:val="none"/>
        </w:rPr>
        <w:t xml:space="preserve">提供具备履行合同所必需的设备和专业技术能力的书面承诺</w:t>
      </w:r>
      <w:r>
        <w:rPr>
          <w:rFonts w:hint="eastAsia" w:ascii="宋体" w:hAnsi="宋体" w:eastAsia="宋体" w:cs="宋体"/>
          <w:sz w:val="24"/>
          <w:szCs w:val="24"/>
          <w:highlight w:val="none"/>
          <w:lang w:val="en-US"/>
        </w:rPr>
        <w:t xml:space="preserve">或资格承诺函]；</w:t>
      </w:r>
      <w:r/>
    </w:p>
    <w:p>
      <w:pPr>
        <w:pStyle w:val="997"/>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rPr>
        <w:t xml:space="preserve">有依法缴纳税收和社会保障资金的良好记录</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提供参加本次政府采购活动前半年内至少一个月依法缴纳税收和社会保险的凭据或资格承诺函）；</w:t>
      </w:r>
      <w:r/>
    </w:p>
    <w:p>
      <w:pPr>
        <w:pStyle w:val="996"/>
        <w:ind w:left="0" w:firstLine="480"/>
        <w:pageBreakBefore w:val="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5、参加政府采购活动前三年内，在经营活动中没有重大违法记录（</w:t>
      </w:r>
      <w:r>
        <w:rPr>
          <w:rFonts w:hint="eastAsia" w:ascii="宋体" w:hAnsi="宋体" w:eastAsia="宋体" w:cs="宋体"/>
          <w:sz w:val="24"/>
          <w:szCs w:val="24"/>
          <w:highlight w:val="none"/>
          <w:shd w:val="clear" w:color="auto" w:fill="ffffff"/>
        </w:rPr>
        <w:t xml:space="preserve">提供参加本次政府采购活动前3年内在经营活动中没有重大违法记录的书面声明</w:t>
      </w:r>
      <w:r>
        <w:rPr>
          <w:rFonts w:hint="eastAsia" w:ascii="宋体" w:hAnsi="宋体" w:eastAsia="宋体" w:cs="宋体"/>
          <w:sz w:val="24"/>
          <w:szCs w:val="24"/>
          <w:highlight w:val="none"/>
        </w:rPr>
        <w:t xml:space="preserve">，或提供资格承诺函）</w:t>
      </w:r>
      <w:r>
        <w:rPr>
          <w:rFonts w:hint="eastAsia" w:ascii="宋体" w:hAnsi="宋体" w:eastAsia="宋体" w:cs="宋体"/>
          <w:sz w:val="24"/>
          <w:szCs w:val="24"/>
          <w:highlight w:val="none"/>
          <w:lang w:eastAsia="zh-CN"/>
        </w:rPr>
        <w:t xml:space="preserve">；</w:t>
      </w:r>
      <w:r/>
    </w:p>
    <w:p>
      <w:pPr>
        <w:pStyle w:val="997"/>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6、</w:t>
      </w:r>
      <w:r>
        <w:rPr>
          <w:rFonts w:hint="eastAsia" w:ascii="宋体" w:hAnsi="宋体" w:eastAsia="宋体" w:cs="宋体"/>
          <w:sz w:val="24"/>
          <w:szCs w:val="24"/>
          <w:highlight w:val="none"/>
        </w:rPr>
        <w:t xml:space="preserve">法律、行政法规规定的其他条件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无。</w:t>
      </w:r>
      <w:bookmarkEnd w:id="11"/>
      <w:r/>
      <w:r/>
    </w:p>
    <w:p>
      <w:pPr>
        <w:ind w:lef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（二）、</w:t>
      </w:r>
      <w:r>
        <w:rPr>
          <w:rFonts w:hint="eastAsia" w:ascii="宋体" w:hAnsi="宋体" w:eastAsia="宋体" w:cs="宋体"/>
          <w:color w:val="auto"/>
          <w:sz w:val="24"/>
          <w:szCs w:val="24"/>
          <w:highlight w:val="none"/>
        </w:rPr>
        <w:t xml:space="preserve">落实政府采购政策需满足的资格要求</w:t>
      </w:r>
      <w:r/>
    </w:p>
    <w:p>
      <w:pPr>
        <w:pStyle w:val="984"/>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财政部、工业和信息化部关于印发《政府采购促进中小企业发展管理办法》的通知、江苏省财政厅《关于做好政府采购支持企业发展有关事项的通知》的相关规定，本项目专门面向中小微企业采购，只接受中小微企业投标。</w:t>
      </w:r>
      <w:r/>
    </w:p>
    <w:p>
      <w:pPr>
        <w:pStyle w:val="984"/>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000000"/>
          <w:sz w:val="24"/>
          <w:szCs w:val="24"/>
          <w:highlight w:val="none"/>
          <w:shd w:val="clear" w:color="auto" w:fill="ffffff"/>
        </w:rPr>
        <w:t xml:space="preserve">本项目属于货物类项目，本项目采购标的对应的行业主要为其他未列明行业（行业）。中小微企业划型标准请对照《关于印发中小企业划型标准规定的通知》（工信部联企业〔2011〕300 号）。 </w:t>
      </w:r>
      <w:r/>
    </w:p>
    <w:p>
      <w:pPr>
        <w:pStyle w:val="984"/>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000000"/>
          <w:sz w:val="24"/>
          <w:szCs w:val="24"/>
          <w:highlight w:val="none"/>
          <w:shd w:val="clear" w:color="auto" w:fill="ffffff"/>
          <w:lang w:val="en-US" w:eastAsia="zh-CN"/>
        </w:rPr>
        <w:t xml:space="preserve">3、</w:t>
      </w:r>
      <w:r>
        <w:rPr>
          <w:rFonts w:hint="eastAsia" w:ascii="宋体" w:hAnsi="宋体" w:eastAsia="宋体" w:cs="宋体"/>
          <w:bCs/>
          <w:color w:val="000000"/>
          <w:sz w:val="24"/>
          <w:szCs w:val="24"/>
          <w:highlight w:val="none"/>
          <w:shd w:val="clear" w:color="auto" w:fill="ffffff"/>
        </w:rPr>
        <w:t xml:space="preserve">根据《财政部 司法部关于政府采购支持监狱企业发展有关问题的通知》（财库9〔2014〕68 号）要</w:t>
      </w:r>
      <w:r>
        <w:rPr>
          <w:rFonts w:hint="eastAsia" w:ascii="宋体" w:hAnsi="宋体" w:eastAsia="宋体" w:cs="宋体"/>
          <w:color w:val="auto"/>
          <w:sz w:val="24"/>
          <w:szCs w:val="24"/>
          <w:highlight w:val="none"/>
        </w:rPr>
        <w:t xml:space="preserve">求，监狱和戒毒企业视同小型、微型企业。监狱和戒毒企业应当提供由省级以上监狱管理局、戒毒管理局（含新疆生产建设兵团）出具的属于监狱企业的证明文件。 </w:t>
      </w:r>
      <w:r/>
    </w:p>
    <w:p>
      <w:pPr>
        <w:pStyle w:val="984"/>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根据《财政部 民政部 中国残疾人联合会关于促进残疾人就业政府采购政策的通知》（财库〔2017〕141 号）的规定，残疾人福利性单位视同小型、微型企业。</w:t>
      </w:r>
      <w:r/>
    </w:p>
    <w:p>
      <w:pPr>
        <w:pStyle w:val="984"/>
        <w:ind w:left="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bookmarkStart w:id="12" w:name="_Toc256000003"/>
      <w:r/>
      <w:bookmarkEnd w:id="12"/>
      <w:r>
        <w:rPr>
          <w:rFonts w:hint="eastAsia" w:ascii="宋体" w:hAnsi="宋体" w:eastAsia="宋体" w:cs="宋体"/>
          <w:color w:val="auto"/>
          <w:sz w:val="24"/>
          <w:szCs w:val="24"/>
          <w:highlight w:val="none"/>
          <w:lang w:val="en-US" w:eastAsia="zh-CN"/>
        </w:rPr>
        <w:t xml:space="preserve">无</w:t>
      </w:r>
      <w:r/>
    </w:p>
    <w:p>
      <w:pPr>
        <w:pStyle w:val="995"/>
        <w:ind w:left="0"/>
        <w:jc w:val="both"/>
        <w:keepLines/>
        <w:keepNext/>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三、</w:t>
      </w:r>
      <w:r>
        <w:rPr>
          <w:rFonts w:hint="eastAsia" w:ascii="宋体" w:hAnsi="宋体" w:eastAsia="宋体" w:cs="宋体"/>
          <w:sz w:val="24"/>
          <w:szCs w:val="24"/>
          <w:highlight w:val="none"/>
        </w:rPr>
        <w:t xml:space="preserve">获取</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w:t>
      </w:r>
      <w:bookmarkStart w:id="13" w:name="EB5b76785362f44756aa7e3ae9a42cd84a"/>
      <w:r/>
      <w:bookmarkEnd w:id="13"/>
      <w:r/>
      <w:bookmarkStart w:id="14" w:name="_Toc256000004"/>
      <w:r/>
      <w:bookmarkEnd w:id="14"/>
      <w:r/>
      <w:bookmarkStart w:id="15" w:name="_Toc12727"/>
      <w:r/>
      <w:r/>
    </w:p>
    <w:p>
      <w:pPr>
        <w:pStyle w:val="995"/>
        <w:ind w:left="0" w:firstLine="472"/>
        <w:jc w:val="both"/>
        <w:pageBreakBefore w:val="0"/>
        <w:spacing w:before="0" w:after="0" w:line="360" w:lineRule="auto"/>
        <w:rPr>
          <w:rFonts w:hint="eastAsia" w:ascii="宋体" w:hAnsi="宋体" w:eastAsia="宋体" w:cs="宋体"/>
          <w:b w:val="0"/>
          <w:bCs/>
          <w:spacing w:val="-2"/>
          <w:sz w:val="24"/>
          <w:szCs w:val="24"/>
          <w:highlight w:val="none"/>
        </w:rPr>
      </w:pPr>
      <w:r>
        <w:rPr>
          <w:rFonts w:hint="eastAsia" w:ascii="宋体" w:hAnsi="宋体" w:eastAsia="宋体" w:cs="宋体"/>
          <w:b w:val="0"/>
          <w:bCs/>
          <w:spacing w:val="-2"/>
          <w:sz w:val="24"/>
          <w:szCs w:val="24"/>
          <w:highlight w:val="none"/>
        </w:rPr>
        <w:t xml:space="preserve">本项目采用网上注册登记方式</w:t>
      </w:r>
      <w:bookmarkEnd w:id="15"/>
      <w:r/>
      <w:r/>
    </w:p>
    <w:p>
      <w:pPr>
        <w:ind w:left="0" w:firstLine="590"/>
        <w:pageBreakBefore w:val="0"/>
        <w:spacing w:line="360" w:lineRule="auto"/>
        <w:rPr>
          <w:rFonts w:hint="eastAsia" w:ascii="宋体" w:hAnsi="宋体" w:eastAsia="宋体" w:cs="宋体"/>
          <w:spacing w:val="-2"/>
          <w:sz w:val="24"/>
          <w:szCs w:val="24"/>
          <w:highlight w:val="none"/>
        </w:rPr>
        <w:outlineLvl w:val="2"/>
      </w:pPr>
      <w:r/>
      <w:bookmarkStart w:id="16" w:name="_Toc5485"/>
      <w:r>
        <w:rPr>
          <w:rFonts w:hint="eastAsia" w:ascii="宋体" w:hAnsi="宋体" w:eastAsia="宋体" w:cs="宋体"/>
          <w:spacing w:val="-2"/>
          <w:sz w:val="24"/>
          <w:szCs w:val="24"/>
          <w:highlight w:val="none"/>
        </w:rPr>
        <w:t xml:space="preserve">1、潜在供应商访问电子招标投标交易平台的网络地址和方法：</w:t>
      </w:r>
      <w:bookmarkEnd w:id="16"/>
      <w:r/>
      <w:r/>
    </w:p>
    <w:p>
      <w:pPr>
        <w:ind w:left="0" w:firstLine="590"/>
        <w:pageBreakBefore w:val="0"/>
        <w:spacing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（1）登录http://jszfcg.jscz.gov.cn/jszc/login</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或进入江苏政府采购网（http://www.ccgp-jiangsu.gov.cn/）首页点击“苏采云”进入系统。</w:t>
      </w:r>
      <w:r/>
    </w:p>
    <w:p>
      <w:pPr>
        <w:ind w:left="0" w:firstLine="590"/>
        <w:pageBreakBefore w:val="0"/>
        <w:spacing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（2）获取</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文件的方式：</w:t>
      </w:r>
      <w:r/>
    </w:p>
    <w:p>
      <w:pPr>
        <w:ind w:left="0" w:firstLine="590"/>
        <w:pageBreakBefore w:val="0"/>
        <w:spacing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“苏采云”系统用户注册--获取“CA数字证书”--CA绑定与登录--网上报名--下载</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文件(后缀名为.kedt”)。</w:t>
      </w:r>
      <w:r/>
    </w:p>
    <w:p>
      <w:pPr>
        <w:ind w:left="0" w:firstLine="590"/>
        <w:pageBreakBefore w:val="0"/>
        <w:spacing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（3）时间：公告发布之日起至202</w:t>
      </w:r>
      <w:r>
        <w:rPr>
          <w:rFonts w:hint="eastAsia" w:ascii="宋体" w:hAnsi="宋体" w:eastAsia="宋体" w:cs="宋体"/>
          <w:spacing w:val="-2"/>
          <w:sz w:val="24"/>
          <w:szCs w:val="24"/>
          <w:highlight w:val="none"/>
          <w:lang w:val="en-US"/>
        </w:rPr>
        <w:t xml:space="preserve">4</w:t>
      </w:r>
      <w:r>
        <w:rPr>
          <w:rFonts w:hint="eastAsia" w:ascii="宋体" w:hAnsi="宋体" w:eastAsia="宋体" w:cs="宋体"/>
          <w:spacing w:val="-2"/>
          <w:sz w:val="24"/>
          <w:szCs w:val="24"/>
          <w:highlight w:val="none"/>
        </w:rPr>
        <w:t xml:space="preserve">年</w:t>
      </w:r>
      <w:r>
        <w:rPr>
          <w:rFonts w:hint="eastAsia" w:hAnsi="宋体" w:cs="宋体"/>
          <w:spacing w:val="-2"/>
          <w:sz w:val="24"/>
          <w:szCs w:val="24"/>
          <w:highlight w:val="none"/>
          <w:lang w:val="en-US" w:eastAsia="zh-CN"/>
        </w:rPr>
        <w:t xml:space="preserve">7</w:t>
      </w:r>
      <w:r>
        <w:rPr>
          <w:rFonts w:hint="eastAsia" w:ascii="宋体" w:hAnsi="宋体" w:eastAsia="宋体" w:cs="宋体"/>
          <w:spacing w:val="-2"/>
          <w:sz w:val="24"/>
          <w:szCs w:val="24"/>
          <w:highlight w:val="none"/>
        </w:rPr>
        <w:t xml:space="preserve">月</w:t>
      </w:r>
      <w:r>
        <w:rPr>
          <w:rFonts w:hint="eastAsia" w:hAnsi="宋体" w:cs="宋体"/>
          <w:spacing w:val="-2"/>
          <w:sz w:val="24"/>
          <w:szCs w:val="24"/>
          <w:highlight w:val="none"/>
          <w:lang w:val="en-US" w:eastAsia="zh-CN"/>
        </w:rPr>
        <w:t xml:space="preserve">11</w:t>
      </w:r>
      <w:r>
        <w:rPr>
          <w:rFonts w:hint="eastAsia" w:ascii="宋体" w:hAnsi="宋体" w:eastAsia="宋体" w:cs="宋体"/>
          <w:spacing w:val="-2"/>
          <w:sz w:val="24"/>
          <w:szCs w:val="24"/>
          <w:highlight w:val="none"/>
        </w:rPr>
        <w:t xml:space="preserve">日</w:t>
      </w:r>
      <w:r>
        <w:rPr>
          <w:rFonts w:hint="eastAsia" w:ascii="宋体" w:hAnsi="宋体" w:eastAsia="宋体" w:cs="宋体"/>
          <w:spacing w:val="-2"/>
          <w:sz w:val="24"/>
          <w:szCs w:val="24"/>
          <w:highlight w:val="none"/>
          <w:lang w:val="en-US" w:eastAsia="zh-CN"/>
        </w:rPr>
        <w:t xml:space="preserve">  </w:t>
      </w:r>
      <w:r>
        <w:rPr>
          <w:rFonts w:hint="eastAsia" w:ascii="宋体" w:hAnsi="宋体" w:eastAsia="宋体" w:cs="宋体"/>
          <w:bCs/>
          <w:sz w:val="24"/>
          <w:szCs w:val="24"/>
          <w:highlight w:val="none"/>
        </w:rPr>
        <w:t xml:space="preserve">北京时间</w:t>
      </w:r>
      <w:r>
        <w:rPr>
          <w:rFonts w:hint="eastAsia" w:ascii="宋体" w:hAnsi="宋体" w:eastAsia="宋体" w:cs="宋体"/>
          <w:spacing w:val="-2"/>
          <w:sz w:val="24"/>
          <w:szCs w:val="24"/>
          <w:highlight w:val="none"/>
          <w:lang w:val="en-US" w:eastAsia="zh-CN"/>
        </w:rPr>
        <w:t xml:space="preserve">17：00</w:t>
      </w:r>
      <w:r>
        <w:rPr>
          <w:rFonts w:hint="eastAsia" w:ascii="宋体" w:hAnsi="宋体" w:eastAsia="宋体" w:cs="宋体"/>
          <w:spacing w:val="-2"/>
          <w:sz w:val="24"/>
          <w:szCs w:val="24"/>
          <w:highlight w:val="none"/>
        </w:rPr>
        <w:t xml:space="preserve">。</w:t>
      </w:r>
      <w:r/>
    </w:p>
    <w:p>
      <w:pPr>
        <w:ind w:left="0" w:firstLine="590"/>
        <w:pageBreakBefore w:val="0"/>
        <w:spacing w:line="360" w:lineRule="auto"/>
        <w:rPr>
          <w:rFonts w:hint="eastAsia" w:ascii="宋体" w:hAnsi="宋体" w:eastAsia="宋体" w:cs="宋体"/>
          <w:spacing w:val="-2"/>
          <w:sz w:val="24"/>
          <w:szCs w:val="24"/>
          <w:highlight w:val="none"/>
        </w:rPr>
        <w:outlineLvl w:val="2"/>
      </w:pPr>
      <w:r/>
      <w:bookmarkStart w:id="17" w:name="_Toc23259"/>
      <w:r>
        <w:rPr>
          <w:rFonts w:hint="eastAsia" w:ascii="宋体" w:hAnsi="宋体" w:eastAsia="宋体" w:cs="宋体"/>
          <w:spacing w:val="-2"/>
          <w:sz w:val="24"/>
          <w:szCs w:val="24"/>
          <w:highlight w:val="none"/>
        </w:rPr>
        <w:t xml:space="preserve">2、“CA数字证书”的获取</w:t>
      </w:r>
      <w:bookmarkEnd w:id="17"/>
      <w:r/>
      <w:r/>
    </w:p>
    <w:p>
      <w:pPr>
        <w:ind w:left="0" w:firstLine="590"/>
        <w:pageBreakBefore w:val="0"/>
        <w:spacing w:line="360" w:lineRule="auto"/>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highlight w:val="none"/>
        </w:rPr>
        <w:t xml:space="preserve">供应商需办理CA锁，“苏采云”系统目前仅支持“苏采云”系统下的政务CA（意源</w:t>
      </w:r>
      <w:r>
        <w:rPr>
          <w:rFonts w:hint="eastAsia" w:ascii="宋体" w:hAnsi="宋体" w:eastAsia="宋体" w:cs="宋体"/>
          <w:spacing w:val="-2"/>
          <w:sz w:val="24"/>
          <w:szCs w:val="24"/>
          <w:highlight w:val="none"/>
          <w:lang w:val="en-US"/>
        </w:rPr>
        <w:t xml:space="preserve">CA</w:t>
      </w:r>
      <w:r>
        <w:rPr>
          <w:rFonts w:hint="eastAsia" w:ascii="宋体" w:hAnsi="宋体" w:eastAsia="宋体" w:cs="宋体"/>
          <w:spacing w:val="-2"/>
          <w:sz w:val="24"/>
          <w:szCs w:val="24"/>
          <w:highlight w:val="none"/>
        </w:rPr>
        <w:t xml:space="preserve">）、方正签章，省内各地区办理的“苏采云”系统下的政务CA（意源</w:t>
      </w:r>
      <w:r>
        <w:rPr>
          <w:rFonts w:hint="eastAsia" w:ascii="宋体" w:hAnsi="宋体" w:eastAsia="宋体" w:cs="宋体"/>
          <w:spacing w:val="-2"/>
          <w:sz w:val="24"/>
          <w:szCs w:val="24"/>
          <w:highlight w:val="none"/>
          <w:lang w:val="en-US"/>
        </w:rPr>
        <w:t xml:space="preserve">CA</w:t>
      </w:r>
      <w:r>
        <w:rPr>
          <w:rFonts w:hint="eastAsia" w:ascii="宋体" w:hAnsi="宋体" w:eastAsia="宋体" w:cs="宋体"/>
          <w:spacing w:val="-2"/>
          <w:sz w:val="24"/>
          <w:szCs w:val="24"/>
          <w:highlight w:val="none"/>
        </w:rPr>
        <w:t xml:space="preserve">）、方正签章全省通用。客户端工具及供应商操作手册可至江苏省政府采购网下载《江苏省政府采购交易系统（苏采云）供应商操作手册及政府采购客户端》。</w:t>
      </w:r>
      <w:r/>
    </w:p>
    <w:p>
      <w:pPr>
        <w:ind w:left="0" w:firstLine="590"/>
        <w:pageBreakBefore w:val="0"/>
        <w:spacing w:line="360" w:lineRule="auto"/>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highlight w:val="none"/>
        </w:rPr>
        <w:t xml:space="preserve">镇江地区意源（方正）办理方式：镇江市润州区冠城路</w:t>
      </w:r>
      <w:r>
        <w:rPr>
          <w:rFonts w:hint="eastAsia" w:ascii="宋体" w:hAnsi="宋体" w:eastAsia="宋体" w:cs="宋体"/>
          <w:spacing w:val="-2"/>
          <w:sz w:val="24"/>
          <w:szCs w:val="24"/>
          <w:highlight w:val="none"/>
          <w:lang w:val="en-US"/>
        </w:rPr>
        <w:t xml:space="preserve">8号工人大厦7楼公共资源交易中心大厅CA窗口。</w:t>
      </w:r>
      <w:r/>
    </w:p>
    <w:p>
      <w:pPr>
        <w:pStyle w:val="998"/>
        <w:ind w:left="0" w:firstLine="472"/>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pacing w:val="-2"/>
          <w:sz w:val="24"/>
          <w:szCs w:val="24"/>
          <w:highlight w:val="none"/>
          <w:lang w:val="en-US"/>
        </w:rPr>
        <w:t xml:space="preserve">工作日办公时间：</w:t>
      </w:r>
      <w:r>
        <w:rPr>
          <w:rFonts w:hint="eastAsia" w:ascii="宋体" w:hAnsi="宋体" w:eastAsia="宋体" w:cs="宋体"/>
          <w:bCs/>
          <w:sz w:val="24"/>
          <w:szCs w:val="24"/>
          <w:highlight w:val="none"/>
        </w:rPr>
        <w:t xml:space="preserve">北京时间</w:t>
      </w:r>
      <w:r>
        <w:rPr>
          <w:rFonts w:hint="eastAsia" w:ascii="宋体" w:hAnsi="宋体" w:eastAsia="宋体" w:cs="宋体"/>
          <w:spacing w:val="-2"/>
          <w:sz w:val="24"/>
          <w:szCs w:val="24"/>
          <w:highlight w:val="none"/>
          <w:lang w:val="en-US"/>
        </w:rPr>
        <w:t xml:space="preserve">9:00-12:00、13:30-17:30；</w:t>
      </w:r>
      <w:r/>
    </w:p>
    <w:p>
      <w:pPr>
        <w:ind w:left="0"/>
        <w:pageBreakBefore w:val="0"/>
        <w:spacing w:line="360" w:lineRule="auto"/>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highlight w:val="none"/>
          <w:lang w:val="en-US"/>
        </w:rPr>
        <w:t xml:space="preserve">    联系人：邵娟，  联系电话：13655287962。</w:t>
      </w:r>
      <w:r/>
    </w:p>
    <w:p>
      <w:pPr>
        <w:ind w:left="0"/>
        <w:pageBreakBefore w:val="0"/>
        <w:spacing w:line="360" w:lineRule="auto"/>
        <w:rPr>
          <w:rFonts w:hint="eastAsia" w:ascii="宋体" w:hAnsi="宋体" w:eastAsia="宋体" w:cs="宋体"/>
          <w:spacing w:val="-2"/>
          <w:sz w:val="24"/>
          <w:szCs w:val="24"/>
          <w:highlight w:val="none"/>
          <w:lang w:val="en-US"/>
        </w:rPr>
      </w:pPr>
      <w:r>
        <w:rPr>
          <w:rFonts w:hint="eastAsia" w:ascii="宋体" w:hAnsi="宋体" w:eastAsia="宋体" w:cs="宋体"/>
          <w:spacing w:val="-2"/>
          <w:sz w:val="24"/>
          <w:szCs w:val="24"/>
          <w:highlight w:val="none"/>
          <w:lang w:val="en-US"/>
        </w:rPr>
        <w:t xml:space="preserve">     3、</w:t>
      </w:r>
      <w:r>
        <w:rPr>
          <w:rFonts w:hint="eastAsia" w:ascii="宋体" w:hAnsi="宋体" w:eastAsia="宋体" w:cs="宋体"/>
          <w:spacing w:val="-2"/>
          <w:sz w:val="24"/>
          <w:szCs w:val="24"/>
          <w:highlight w:val="none"/>
          <w:lang w:val="en-US" w:eastAsia="zh-CN"/>
        </w:rPr>
        <w:t xml:space="preserve">招标</w:t>
      </w:r>
      <w:r>
        <w:rPr>
          <w:rFonts w:hint="eastAsia" w:ascii="宋体" w:hAnsi="宋体" w:eastAsia="宋体" w:cs="宋体"/>
          <w:spacing w:val="-2"/>
          <w:sz w:val="24"/>
          <w:szCs w:val="24"/>
          <w:highlight w:val="none"/>
          <w:lang w:val="en-US"/>
        </w:rPr>
        <w:t xml:space="preserve">文件（后缀名为：“.kedt”）、供应商操作手册及政府采购客户端工具可通过“苏采云”系统--已报名项目--报名详情页面内相应链接进行下载。</w:t>
      </w:r>
      <w:r/>
    </w:p>
    <w:p>
      <w:pPr>
        <w:ind w:left="0" w:firstLine="590"/>
        <w:pageBreakBefore w:val="0"/>
        <w:spacing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4、采购代理机构将数据电文形式的</w:t>
      </w:r>
      <w:r>
        <w:rPr>
          <w:rFonts w:hint="eastAsia" w:ascii="宋体" w:hAnsi="宋体" w:eastAsia="宋体" w:cs="宋体"/>
          <w:spacing w:val="-2"/>
          <w:sz w:val="24"/>
          <w:szCs w:val="24"/>
          <w:highlight w:val="none"/>
          <w:lang w:eastAsia="zh-CN"/>
        </w:rPr>
        <w:t xml:space="preserve">招标</w:t>
      </w:r>
      <w:r>
        <w:rPr>
          <w:rFonts w:hint="eastAsia" w:ascii="宋体" w:hAnsi="宋体" w:eastAsia="宋体" w:cs="宋体"/>
          <w:spacing w:val="-2"/>
          <w:sz w:val="24"/>
          <w:szCs w:val="24"/>
          <w:highlight w:val="none"/>
        </w:rPr>
        <w:t xml:space="preserve">文件加载至电子招标投标交易平台，供潜在供应商下载或者查阅，</w:t>
      </w:r>
      <w:r>
        <w:rPr>
          <w:rFonts w:hint="eastAsia" w:ascii="宋体" w:hAnsi="宋体" w:eastAsia="宋体" w:cs="宋体"/>
          <w:b/>
          <w:bCs/>
          <w:spacing w:val="-2"/>
          <w:sz w:val="24"/>
          <w:szCs w:val="24"/>
          <w:highlight w:val="none"/>
        </w:rPr>
        <w:t xml:space="preserve">各供应商应在规定的时间内完成</w:t>
      </w:r>
      <w:r>
        <w:rPr>
          <w:rFonts w:hint="eastAsia" w:ascii="宋体" w:hAnsi="宋体" w:eastAsia="宋体" w:cs="宋体"/>
          <w:b/>
          <w:bCs/>
          <w:spacing w:val="-2"/>
          <w:sz w:val="24"/>
          <w:szCs w:val="24"/>
          <w:highlight w:val="none"/>
          <w:lang w:eastAsia="zh-CN"/>
        </w:rPr>
        <w:t xml:space="preserve">招标</w:t>
      </w:r>
      <w:r>
        <w:rPr>
          <w:rFonts w:hint="eastAsia" w:ascii="宋体" w:hAnsi="宋体" w:eastAsia="宋体" w:cs="宋体"/>
          <w:b/>
          <w:bCs/>
          <w:spacing w:val="-2"/>
          <w:sz w:val="24"/>
          <w:szCs w:val="24"/>
          <w:highlight w:val="none"/>
        </w:rPr>
        <w:t xml:space="preserve">文件的下载，逾期可能会造成</w:t>
      </w:r>
      <w:r>
        <w:rPr>
          <w:rFonts w:hint="eastAsia" w:ascii="宋体" w:hAnsi="宋体" w:eastAsia="宋体" w:cs="宋体"/>
          <w:b/>
          <w:bCs/>
          <w:spacing w:val="-2"/>
          <w:sz w:val="24"/>
          <w:szCs w:val="24"/>
          <w:highlight w:val="none"/>
          <w:lang w:eastAsia="zh-CN"/>
        </w:rPr>
        <w:t xml:space="preserve">招标</w:t>
      </w:r>
      <w:r>
        <w:rPr>
          <w:rFonts w:hint="eastAsia" w:ascii="宋体" w:hAnsi="宋体" w:eastAsia="宋体" w:cs="宋体"/>
          <w:b/>
          <w:bCs/>
          <w:spacing w:val="-2"/>
          <w:sz w:val="24"/>
          <w:szCs w:val="24"/>
          <w:highlight w:val="none"/>
        </w:rPr>
        <w:t xml:space="preserve">文件无法下载以及投标响应文件无法上传的情形，由此导致的后果由各供应商自行承担。</w:t>
      </w:r>
      <w:r/>
    </w:p>
    <w:p>
      <w:pPr>
        <w:ind w:left="0" w:firstLine="590"/>
        <w:pageBreakBefore w:val="0"/>
        <w:spacing w:line="360"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5、苏采云系统使用谷歌浏览器参与不见面开标。</w:t>
      </w:r>
      <w:r/>
    </w:p>
    <w:p>
      <w:pPr>
        <w:ind w:left="0" w:firstLine="59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spacing w:val="-2"/>
          <w:sz w:val="24"/>
          <w:szCs w:val="24"/>
          <w:highlight w:val="none"/>
        </w:rPr>
        <w:t xml:space="preserve">6、售价</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免费</w:t>
      </w:r>
      <w:r/>
    </w:p>
    <w:p>
      <w:pPr>
        <w:pStyle w:val="999"/>
        <w:ind w:left="0"/>
        <w:jc w:val="both"/>
        <w:pageBreakBefore w:val="0"/>
        <w:spacing w:line="360" w:lineRule="auto"/>
        <w:shd w:val="clear" w:color="auto" w:fill="ffffff"/>
        <w:tabs>
          <w:tab w:val="left" w:pos="900" w:leader="none"/>
        </w:tabs>
        <w:rPr>
          <w:rFonts w:hint="eastAsia" w:ascii="宋体" w:hAnsi="宋体" w:eastAsia="宋体" w:cs="宋体"/>
          <w:b/>
          <w:color w:val="000000"/>
          <w:sz w:val="24"/>
          <w:szCs w:val="24"/>
          <w:highlight w:val="none"/>
          <w:shd w:val="clear" w:color="auto" w:fill="ffffff"/>
        </w:rPr>
      </w:pPr>
      <w:r>
        <w:rPr>
          <w:rFonts w:hint="eastAsia" w:ascii="宋体" w:hAnsi="宋体" w:eastAsia="宋体" w:cs="宋体"/>
          <w:b/>
          <w:sz w:val="24"/>
          <w:szCs w:val="24"/>
          <w:highlight w:val="none"/>
        </w:rPr>
        <w:t xml:space="preserve">四、</w:t>
      </w:r>
      <w:r>
        <w:rPr>
          <w:rFonts w:hint="eastAsia" w:ascii="宋体" w:hAnsi="宋体" w:eastAsia="宋体" w:cs="宋体"/>
          <w:b/>
          <w:color w:val="000000"/>
          <w:sz w:val="24"/>
          <w:szCs w:val="24"/>
          <w:highlight w:val="none"/>
          <w:shd w:val="clear" w:color="auto" w:fill="ffffff"/>
        </w:rPr>
        <w:t xml:space="preserve">首次响应文件提交</w:t>
      </w:r>
      <w:r/>
    </w:p>
    <w:p>
      <w:pPr>
        <w:ind w:left="0"/>
        <w:pageBreakBefore w:val="0"/>
        <w:spacing w:line="360" w:lineRule="auto"/>
        <w:rPr>
          <w:rFonts w:hint="eastAsia" w:ascii="宋体" w:hAnsi="宋体" w:eastAsia="宋体" w:cs="宋体"/>
          <w:sz w:val="24"/>
          <w:szCs w:val="24"/>
          <w:highlight w:val="none"/>
        </w:rPr>
        <w:outlineLvl w:val="2"/>
      </w:pPr>
      <w:r/>
      <w:bookmarkStart w:id="18" w:name="_Toc31869"/>
      <w:r>
        <w:rPr>
          <w:rFonts w:hint="eastAsia" w:ascii="宋体" w:hAnsi="宋体" w:eastAsia="宋体" w:cs="宋体"/>
          <w:spacing w:val="-5"/>
          <w:sz w:val="24"/>
          <w:szCs w:val="24"/>
          <w:highlight w:val="none"/>
        </w:rPr>
        <w:t xml:space="preserve">电子响应文件</w:t>
      </w:r>
      <w:bookmarkEnd w:id="18"/>
      <w:r/>
      <w:r/>
    </w:p>
    <w:p>
      <w:pPr>
        <w:ind w:left="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spacing w:val="-10"/>
          <w:position w:val="17"/>
          <w:sz w:val="24"/>
          <w:szCs w:val="24"/>
          <w:highlight w:val="none"/>
        </w:rPr>
        <w:t xml:space="preserve">截止</w:t>
      </w:r>
      <w:r>
        <w:rPr>
          <w:rFonts w:hint="eastAsia" w:ascii="宋体" w:hAnsi="宋体" w:eastAsia="宋体" w:cs="宋体"/>
          <w:spacing w:val="-9"/>
          <w:position w:val="17"/>
          <w:sz w:val="24"/>
          <w:szCs w:val="24"/>
          <w:highlight w:val="none"/>
        </w:rPr>
        <w:t xml:space="preserve">时</w:t>
      </w:r>
      <w:r>
        <w:rPr>
          <w:rFonts w:hint="eastAsia" w:ascii="宋体" w:hAnsi="宋体" w:eastAsia="宋体" w:cs="宋体"/>
          <w:spacing w:val="-5"/>
          <w:position w:val="17"/>
          <w:sz w:val="24"/>
          <w:szCs w:val="24"/>
          <w:highlight w:val="none"/>
        </w:rPr>
        <w:t xml:space="preserve">间： </w:t>
      </w:r>
      <w:r>
        <w:rPr>
          <w:rFonts w:hint="eastAsia" w:ascii="宋体" w:hAnsi="宋体" w:eastAsia="宋体" w:cs="宋体"/>
          <w:color w:val="000000"/>
          <w:spacing w:val="-5"/>
          <w:position w:val="17"/>
          <w:sz w:val="24"/>
          <w:szCs w:val="24"/>
          <w:highlight w:val="none"/>
        </w:rPr>
        <w:t xml:space="preserve">202</w:t>
      </w:r>
      <w:r>
        <w:rPr>
          <w:rFonts w:hint="eastAsia" w:ascii="宋体" w:hAnsi="宋体" w:eastAsia="宋体" w:cs="宋体"/>
          <w:color w:val="000000"/>
          <w:spacing w:val="-5"/>
          <w:position w:val="17"/>
          <w:sz w:val="24"/>
          <w:szCs w:val="24"/>
          <w:highlight w:val="none"/>
          <w:lang w:val="en-US"/>
        </w:rPr>
        <w:t xml:space="preserve">4</w:t>
      </w:r>
      <w:r>
        <w:rPr>
          <w:rFonts w:hint="eastAsia" w:ascii="宋体" w:hAnsi="宋体" w:eastAsia="宋体" w:cs="宋体"/>
          <w:color w:val="000000"/>
          <w:spacing w:val="-5"/>
          <w:position w:val="17"/>
          <w:sz w:val="24"/>
          <w:szCs w:val="24"/>
          <w:highlight w:val="none"/>
        </w:rPr>
        <w:t xml:space="preserve">-</w:t>
      </w:r>
      <w:r>
        <w:rPr>
          <w:rFonts w:hint="eastAsia" w:ascii="宋体" w:hAnsi="宋体" w:eastAsia="宋体" w:cs="宋体"/>
          <w:color w:val="000000"/>
          <w:spacing w:val="-5"/>
          <w:position w:val="17"/>
          <w:sz w:val="24"/>
          <w:szCs w:val="24"/>
          <w:highlight w:val="none"/>
          <w:lang w:val="en-US" w:eastAsia="zh-CN"/>
        </w:rPr>
        <w:t xml:space="preserve">7</w:t>
      </w:r>
      <w:r>
        <w:rPr>
          <w:rFonts w:hint="eastAsia" w:ascii="宋体" w:hAnsi="宋体" w:eastAsia="宋体" w:cs="宋体"/>
          <w:color w:val="000000"/>
          <w:spacing w:val="-5"/>
          <w:position w:val="17"/>
          <w:sz w:val="24"/>
          <w:szCs w:val="24"/>
          <w:highlight w:val="none"/>
        </w:rPr>
        <w:t xml:space="preserve">-</w:t>
      </w:r>
      <w:r>
        <w:rPr>
          <w:rFonts w:hint="eastAsia" w:hAnsi="宋体" w:cs="宋体"/>
          <w:color w:val="000000"/>
          <w:spacing w:val="-5"/>
          <w:position w:val="17"/>
          <w:sz w:val="24"/>
          <w:szCs w:val="24"/>
          <w:highlight w:val="none"/>
          <w:lang w:val="en-US" w:eastAsia="zh-CN"/>
        </w:rPr>
        <w:t xml:space="preserve">29</w:t>
      </w:r>
      <w:r>
        <w:rPr>
          <w:rFonts w:hint="eastAsia" w:ascii="宋体" w:hAnsi="宋体" w:eastAsia="宋体" w:cs="宋体"/>
          <w:color w:val="000000"/>
          <w:spacing w:val="-5"/>
          <w:position w:val="17"/>
          <w:sz w:val="24"/>
          <w:szCs w:val="24"/>
          <w:highlight w:val="none"/>
          <w:lang w:val="en-US" w:eastAsia="zh-CN"/>
        </w:rPr>
        <w:t xml:space="preserve">  </w:t>
      </w:r>
      <w:r>
        <w:rPr>
          <w:rFonts w:hint="eastAsia" w:ascii="宋体" w:hAnsi="宋体" w:eastAsia="宋体" w:cs="宋体"/>
          <w:color w:val="000000"/>
          <w:spacing w:val="-5"/>
          <w:position w:val="17"/>
          <w:sz w:val="24"/>
          <w:szCs w:val="24"/>
          <w:highlight w:val="none"/>
        </w:rPr>
        <w:t xml:space="preserve">09:</w:t>
      </w:r>
      <w:r>
        <w:rPr>
          <w:rFonts w:hint="eastAsia" w:ascii="宋体" w:hAnsi="宋体" w:eastAsia="宋体" w:cs="宋体"/>
          <w:color w:val="000000"/>
          <w:spacing w:val="-5"/>
          <w:position w:val="17"/>
          <w:sz w:val="24"/>
          <w:szCs w:val="24"/>
          <w:highlight w:val="none"/>
          <w:lang w:val="en-US"/>
        </w:rPr>
        <w:t xml:space="preserve">00</w:t>
      </w:r>
      <w:r/>
    </w:p>
    <w:p>
      <w:pPr>
        <w:pStyle w:val="999"/>
        <w:ind w:left="0" w:firstLine="480"/>
        <w:pageBreakBefore w:val="0"/>
        <w:spacing w:line="360" w:lineRule="auto"/>
        <w:widowControl/>
        <w:rPr>
          <w:rFonts w:hint="eastAsia" w:ascii="宋体" w:hAnsi="宋体" w:eastAsia="宋体" w:cs="宋体"/>
          <w:sz w:val="24"/>
          <w:szCs w:val="24"/>
          <w:highlight w:val="none"/>
        </w:rPr>
      </w:pPr>
      <w:r/>
      <w:bookmarkStart w:id="19" w:name="_bookmark6"/>
      <w:r/>
      <w:bookmarkEnd w:id="19"/>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“江苏政府采购网——苏采云”系统（网址：</w:t>
      </w:r>
      <w:r>
        <w:rPr>
          <w:rFonts w:hint="eastAsia" w:ascii="宋体" w:hAnsi="宋体" w:eastAsia="宋体" w:cs="宋体"/>
          <w:color w:val="0000ff"/>
          <w:spacing w:val="-2"/>
          <w:sz w:val="24"/>
          <w:szCs w:val="24"/>
          <w:highlight w:val="none"/>
        </w:rPr>
        <w:t xml:space="preserve"> http://jszfcg.jsczt.cn/</w:t>
      </w:r>
      <w:r>
        <w:rPr>
          <w:rFonts w:hint="eastAsia" w:ascii="宋体" w:hAnsi="宋体" w:eastAsia="宋体" w:cs="宋体"/>
          <w:b/>
          <w:bCs/>
          <w:sz w:val="24"/>
          <w:szCs w:val="24"/>
          <w:highlight w:val="none"/>
        </w:rPr>
        <w:t xml:space="preserve">）将后缀名为“.kedt”的投标文件导入政府采购客户端工具--制作投标文件--导出加密的投标文件(后缀名为zip) --通过“苏采云”系统上传投标响应文件。具体详见《江苏省政府采购管理交易系统(苏采云)供应商操作手册》。</w:t>
      </w:r>
      <w:r/>
    </w:p>
    <w:p>
      <w:pPr>
        <w:pStyle w:val="995"/>
        <w:ind w:left="0"/>
        <w:jc w:val="both"/>
        <w:pageBreakBefore w:val="0"/>
        <w:spacing w:before="0" w:after="0" w:line="360" w:lineRule="auto"/>
        <w:rPr>
          <w:rFonts w:hint="eastAsia" w:ascii="宋体" w:hAnsi="宋体" w:eastAsia="宋体" w:cs="宋体"/>
          <w:bCs/>
          <w:sz w:val="24"/>
          <w:szCs w:val="24"/>
          <w:highlight w:val="none"/>
        </w:rPr>
      </w:pPr>
      <w:r/>
      <w:bookmarkStart w:id="20" w:name="_Toc256000005"/>
      <w:r/>
      <w:bookmarkEnd w:id="20"/>
      <w:r>
        <w:rPr>
          <w:rFonts w:hint="eastAsia" w:ascii="宋体" w:hAnsi="宋体" w:eastAsia="宋体" w:cs="宋体"/>
          <w:bCs/>
          <w:sz w:val="24"/>
          <w:szCs w:val="24"/>
          <w:highlight w:val="none"/>
        </w:rPr>
        <w:t xml:space="preserve">五、公告期限</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995"/>
        <w:ind w:left="0"/>
        <w:jc w:val="both"/>
        <w:pageBreakBefore w:val="0"/>
        <w:spacing w:before="0" w:after="0" w:line="360" w:lineRule="auto"/>
        <w:tabs>
          <w:tab w:val="left" w:pos="0" w:leader="none"/>
        </w:tabs>
        <w:rPr>
          <w:rFonts w:hint="eastAsia" w:ascii="宋体" w:hAnsi="宋体" w:eastAsia="宋体" w:cs="宋体"/>
          <w:bCs/>
          <w:sz w:val="24"/>
          <w:szCs w:val="24"/>
          <w:highlight w:val="none"/>
        </w:rPr>
      </w:pPr>
      <w:r/>
      <w:bookmarkStart w:id="21" w:name="_Toc256000006"/>
      <w:r/>
      <w:bookmarkEnd w:id="21"/>
      <w:r>
        <w:rPr>
          <w:rFonts w:hint="eastAsia" w:ascii="宋体" w:hAnsi="宋体" w:eastAsia="宋体" w:cs="宋体"/>
          <w:bCs/>
          <w:sz w:val="24"/>
          <w:szCs w:val="24"/>
          <w:highlight w:val="none"/>
        </w:rPr>
        <w:t xml:space="preserve">六、其他补充事宜</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2.供应商如确定参加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，可自行下载采购文件及有关资料，按照《操作手册》进行注册，领取CA和办理电子签章，并按《操作手册》要求制作、上传电子投标文件，技术支持联系方式：13813140731。</w:t>
      </w:r>
      <w:r/>
    </w:p>
    <w:p>
      <w:pPr>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w:t>
      </w:r>
      <w:r>
        <w:rPr>
          <w:rFonts w:hint="eastAsia" w:ascii="宋体" w:hAnsi="宋体" w:eastAsia="宋体" w:cs="宋体"/>
          <w:sz w:val="24"/>
          <w:szCs w:val="24"/>
          <w:highlight w:val="none"/>
        </w:rPr>
        <w:t xml:space="preserve">.根据江苏省财政厅《关于做好政府采购支持企业发展有关事项的通知》（苏财购【2020】52号）文件的要求，本项目无需缴纳</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保证金。</w:t>
      </w:r>
      <w:r/>
    </w:p>
    <w:p>
      <w:pPr>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5</w:t>
      </w:r>
      <w:r>
        <w:rPr>
          <w:rFonts w:hint="eastAsia" w:ascii="宋体" w:hAnsi="宋体" w:eastAsia="宋体" w:cs="宋体"/>
          <w:sz w:val="24"/>
          <w:szCs w:val="24"/>
          <w:highlight w:val="none"/>
        </w:rPr>
        <w:t xml:space="preserve">.有关本次采购的事项若存在变动或修改，敬请及时关注“江苏省政府采购网”发布的信息。</w:t>
      </w:r>
      <w:r/>
    </w:p>
    <w:p>
      <w:pPr>
        <w:ind w:left="0" w:firstLine="48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6</w:t>
      </w:r>
      <w:r>
        <w:rPr>
          <w:rFonts w:hint="eastAsia" w:ascii="宋体" w:hAnsi="宋体" w:eastAsia="宋体" w:cs="宋体"/>
          <w:sz w:val="24"/>
          <w:szCs w:val="24"/>
          <w:highlight w:val="none"/>
        </w:rPr>
        <w:t xml:space="preserve">.如在开标时间发生系统崩溃等不可预见的情况，造成开评标活动无法正常进行的，将延迟开评标，具体开评标时间另行通知。</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7</w:t>
      </w:r>
      <w:r>
        <w:rPr>
          <w:rFonts w:hint="eastAsia" w:ascii="宋体" w:hAnsi="宋体" w:eastAsia="宋体" w:cs="宋体"/>
          <w:sz w:val="24"/>
          <w:szCs w:val="24"/>
          <w:highlight w:val="none"/>
        </w:rPr>
        <w:t xml:space="preserve">.政府采购政策功能：本项目支持和适用节能环保产品（财库〔2019〕9号）、（财库〔2019〕19号）、（财库〔2019〕18号）；支持中小微企业（财库〔2020〕46号）、（苏财购〔2020〕52号）、（工信部联企业[2011]300号）等政策。</w:t>
      </w:r>
      <w:r/>
    </w:p>
    <w:p>
      <w:pPr>
        <w:pStyle w:val="995"/>
        <w:ind w:left="0"/>
        <w:jc w:val="both"/>
        <w:pageBreakBefore w:val="0"/>
        <w:spacing w:before="0" w:after="0" w:line="360" w:lineRule="auto"/>
        <w:rPr>
          <w:rFonts w:hint="eastAsia" w:ascii="宋体" w:hAnsi="宋体" w:eastAsia="宋体" w:cs="宋体"/>
          <w:bCs/>
          <w:sz w:val="24"/>
          <w:szCs w:val="24"/>
          <w:highlight w:val="none"/>
        </w:rPr>
      </w:pPr>
      <w:r/>
      <w:bookmarkStart w:id="22" w:name="_Toc256000007"/>
      <w:r/>
      <w:bookmarkEnd w:id="22"/>
      <w:r>
        <w:rPr>
          <w:rFonts w:hint="eastAsia" w:ascii="宋体" w:hAnsi="宋体" w:eastAsia="宋体" w:cs="宋体"/>
          <w:bCs/>
          <w:sz w:val="24"/>
          <w:szCs w:val="24"/>
          <w:highlight w:val="none"/>
        </w:rPr>
        <w:t xml:space="preserve">七、对本次招标提出询问，请按以下方式联系。</w:t>
      </w:r>
      <w:r/>
    </w:p>
    <w:p>
      <w:pPr>
        <w:ind w:left="0" w:firstLine="48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1.采购人信息</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镇江市生态环境监测站</w:t>
      </w:r>
      <w:r/>
    </w:p>
    <w:p>
      <w:pPr>
        <w:ind w:left="0" w:firstLine="48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bCs/>
          <w:sz w:val="24"/>
          <w:szCs w:val="24"/>
          <w:highlight w:val="none"/>
          <w:lang w:eastAsia="zh-CN"/>
        </w:rPr>
        <w:t xml:space="preserve">镇江市京口区东吴路周家门山</w:t>
      </w:r>
      <w:r>
        <w:rPr>
          <w:rFonts w:hint="eastAsia" w:ascii="宋体" w:hAnsi="宋体" w:eastAsia="宋体" w:cs="宋体"/>
          <w:bCs/>
          <w:sz w:val="24"/>
          <w:szCs w:val="24"/>
          <w:highlight w:val="none"/>
          <w:lang w:val="en-US" w:eastAsia="zh-CN"/>
        </w:rPr>
        <w:t xml:space="preserve">3-4号</w:t>
      </w:r>
      <w:r/>
    </w:p>
    <w:p>
      <w:pPr>
        <w:pStyle w:val="996"/>
        <w:ind w:left="0" w:firstLine="480"/>
        <w:jc w:val="both"/>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0511-84430045</w:t>
      </w:r>
      <w:r/>
    </w:p>
    <w:p>
      <w:pPr>
        <w:ind w:left="0"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2.采购代理机构信息</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称：江苏隆信项目管理有限公司</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址：镇江市京口区清河路合山府1栋门面房103</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联系方式：蒋</w:t>
      </w:r>
      <w:r>
        <w:rPr>
          <w:rFonts w:hint="eastAsia" w:ascii="宋体" w:hAnsi="宋体" w:eastAsia="宋体" w:cs="宋体"/>
          <w:sz w:val="24"/>
          <w:szCs w:val="24"/>
          <w:highlight w:val="none"/>
          <w:lang w:eastAsia="zh-CN"/>
        </w:rPr>
        <w:t xml:space="preserve">圆圆</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 话：15952888491</w:t>
      </w:r>
      <w:r/>
    </w:p>
    <w:p>
      <w:pPr>
        <w:ind w:left="0"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3.项目联系方式</w:t>
      </w:r>
      <w:r/>
    </w:p>
    <w:p>
      <w:pPr>
        <w:ind w:left="0" w:firstLine="480"/>
        <w:pageBreakBefore w:val="0"/>
        <w:spacing w:line="360" w:lineRule="auto"/>
        <w:rPr>
          <w:rFonts w:hint="eastAsia" w:ascii="宋体" w:hAnsi="宋体" w:eastAsia="宋体" w:cs="宋体"/>
          <w:sz w:val="24"/>
          <w:szCs w:val="24"/>
          <w:highlight w:val="none"/>
        </w:rPr>
      </w:pPr>
      <w:r/>
      <w:bookmarkStart w:id="23" w:name="EBe2d7cdc6e63e4be69aa56bf5cfef4d60"/>
      <w:r/>
      <w:bookmarkEnd w:id="23"/>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朱洪俊</w:t>
      </w:r>
      <w:r>
        <w:rPr>
          <w:rFonts w:hint="eastAsia" w:ascii="宋体" w:hAnsi="宋体" w:eastAsia="宋体" w:cs="宋体"/>
          <w:sz w:val="24"/>
          <w:szCs w:val="24"/>
          <w:highlight w:val="none"/>
          <w:lang w:val="en-US" w:eastAsia="zh-CN"/>
        </w:rPr>
        <w:t xml:space="preserve">      电话：13775556177</w:t>
      </w:r>
      <w:r/>
    </w:p>
    <w:p>
      <w:pPr>
        <w:pStyle w:val="993"/>
        <w:ind w:firstLine="643"/>
        <w:jc w:val="cente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bookmarkEnd w:id="6"/>
      <w:r/>
      <w:bookmarkEnd w:id="7"/>
      <w:r/>
      <w:bookmarkEnd w:id="8"/>
      <w:r/>
      <w:r/>
    </w:p>
    <w:p>
      <w:pPr>
        <w:pStyle w:val="993"/>
        <w:ind w:firstLine="643"/>
        <w:jc w:val="cente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第二章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投标人须知</w:t>
      </w:r>
      <w:r/>
    </w:p>
    <w:p>
      <w:pPr>
        <w:pStyle w:val="1000"/>
        <w:jc w:val="center"/>
        <w:keepLines w:val="0"/>
        <w:keepNext w:val="0"/>
        <w:spacing w:before="0" w:after="0" w:line="360" w:lineRule="auto"/>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前附表</w:t>
      </w:r>
      <w:r/>
    </w:p>
    <w:tbl>
      <w:tblPr>
        <w:tblStyle w:val="977"/>
        <w:tblW w:w="106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435"/>
        <w:gridCol w:w="8615"/>
      </w:tblGrid>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86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报价要求</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本次投标报价的币种为人民币。</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投标人应按招标文件所提供的各报价表格式报价。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投标人应对本项目报出最具有竞争力的价格，应包括本次招标要求提供的货物（服务）已支付或将支付的所有费用（含税费）。</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最低投标报价不能作为中标的保证。</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中标价即为合同签约价。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如出现报价前后不一致的，将按招标文件第五部分“评标办法和标准”第5项规定进行修正。</w:t>
            </w:r>
            <w:r/>
          </w:p>
        </w:tc>
      </w:tr>
      <w:tr>
        <w:trPr>
          <w:trHeight w:val="1015"/>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转包及分包</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项目依法不得转包</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A本项目不同意分包。</w:t>
            </w:r>
            <w:r/>
          </w:p>
        </w:tc>
      </w:tr>
      <w:tr>
        <w:trPr>
          <w:trHeight w:val="910"/>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开标前答疑会</w:t>
            </w:r>
            <w:r/>
          </w:p>
        </w:tc>
        <w:tc>
          <w:tcPr>
            <w:tcW w:w="8615" w:type="dxa"/>
            <w:vAlign w:val="center"/>
            <w:textDirection w:val="lrTb"/>
            <w:noWrap w:val="false"/>
          </w:tcPr>
          <w:p>
            <w:pPr>
              <w:ind w:firstLine="240"/>
              <w:spacing w:line="360" w:lineRule="auto"/>
              <w:rPr>
                <w:rFonts w:hint="eastAsia" w:ascii="宋体" w:hAnsi="宋体" w:eastAsia="宋体" w:cs="宋体"/>
                <w:b/>
                <w:color w:val="000000"/>
                <w:sz w:val="24"/>
                <w:szCs w:val="24"/>
                <w:highlight w:val="none"/>
                <w:lang w:val="en-US"/>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A不组织</w:t>
            </w:r>
            <w:r/>
          </w:p>
        </w:tc>
      </w:tr>
      <w:tr>
        <w:trPr>
          <w:trHeight w:val="931"/>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现场踏勘</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A不统一组织</w:t>
            </w:r>
            <w:r/>
          </w:p>
        </w:tc>
      </w:tr>
      <w:tr>
        <w:trPr>
          <w:trHeight w:val="759"/>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演示</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A无</w:t>
            </w:r>
            <w:r/>
          </w:p>
        </w:tc>
      </w:tr>
      <w:tr>
        <w:trPr>
          <w:trHeight w:val="715"/>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p>
        </w:tc>
        <w:tc>
          <w:tcPr>
            <w:tcW w:w="8615" w:type="dxa"/>
            <w:vAlign w:val="center"/>
            <w:textDirection w:val="lrTb"/>
            <w:noWrap w:val="false"/>
          </w:tcPr>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A不要求提供。</w:t>
            </w:r>
            <w:r/>
          </w:p>
        </w:tc>
      </w:tr>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是否允许采购进口产品</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A本项目不允许采购进口产品。</w:t>
            </w:r>
            <w:r/>
          </w:p>
        </w:tc>
      </w:tr>
      <w:tr>
        <w:trPr>
          <w:trHeight w:val="90"/>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项目属性与核心产品</w:t>
            </w:r>
            <w:r/>
          </w:p>
        </w:tc>
        <w:tc>
          <w:tcPr>
            <w:tcW w:w="8615" w:type="dxa"/>
            <w:vAlign w:val="center"/>
            <w:textDirection w:val="lrTb"/>
            <w:noWrap w:val="false"/>
          </w:tcPr>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A货物类。</w:t>
            </w:r>
            <w:r/>
          </w:p>
        </w:tc>
      </w:tr>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采购标的对应的中小企业划分标准所属行业</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w:t>
            </w:r>
            <w:r>
              <w:rPr>
                <w:rFonts w:hint="eastAsia" w:hAnsi="宋体" w:cs="宋体"/>
                <w:bCs/>
                <w:color w:val="000000"/>
                <w:sz w:val="24"/>
                <w:szCs w:val="24"/>
                <w:highlight w:val="none"/>
                <w:u w:val="single"/>
                <w:shd w:val="clear" w:color="auto" w:fill="ffffff"/>
                <w:lang w:val="en-US" w:eastAsia="zh-CN"/>
              </w:rPr>
              <w:t xml:space="preserve">镇江市生态环境监测站实验分析及应急监测仪器设备采购项目（二期）二次</w:t>
            </w:r>
            <w:r>
              <w:rPr>
                <w:rFonts w:hint="eastAsia" w:ascii="宋体" w:hAnsi="宋体" w:eastAsia="宋体" w:cs="宋体"/>
                <w:color w:val="000000"/>
                <w:sz w:val="24"/>
                <w:szCs w:val="24"/>
                <w:highlight w:val="none"/>
              </w:rPr>
              <w:t xml:space="preserve">，属于</w:t>
            </w:r>
            <w:r>
              <w:rPr>
                <w:rFonts w:hint="eastAsia" w:ascii="宋体" w:hAnsi="宋体" w:eastAsia="宋体" w:cs="宋体"/>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rPr>
              <w:t xml:space="preserve">；</w:t>
            </w:r>
            <w:r/>
          </w:p>
        </w:tc>
      </w:tr>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节能产品、环境标志产品</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中小企业信用融资</w:t>
            </w:r>
            <w:r/>
          </w:p>
        </w:tc>
        <w:tc>
          <w:tcPr>
            <w:tcW w:w="861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4" w:name="_Hlk136445673"/>
            <w:r>
              <w:rPr>
                <w:rFonts w:hint="eastAsia" w:ascii="宋体" w:hAnsi="宋体" w:eastAsia="宋体" w:cs="宋体"/>
                <w:color w:val="000000"/>
                <w:sz w:val="24"/>
                <w:szCs w:val="24"/>
                <w:highlight w:val="none"/>
              </w:rPr>
              <w:t xml:space="preserve">镇江市财政局和中国人民银行镇江市中心支行联合印发《关于转发〈关于深入推进政府采购线上合同信用融资工作的通知〉的通知》</w:t>
            </w:r>
            <w:bookmarkEnd w:id="24"/>
            <w:r>
              <w:rPr>
                <w:rFonts w:hint="eastAsia" w:ascii="宋体" w:hAnsi="宋体" w:eastAsia="宋体" w:cs="宋体"/>
                <w:color w:val="000000"/>
                <w:sz w:val="24"/>
                <w:szCs w:val="24"/>
                <w:highlight w:val="none"/>
              </w:rPr>
              <w:t xml:space="preserve">，</w:t>
            </w:r>
            <w:bookmarkStart w:id="25" w:name="_Hlk136444446"/>
            <w:r>
              <w:rPr>
                <w:rFonts w:hint="eastAsia" w:ascii="宋体" w:hAnsi="宋体" w:eastAsia="宋体" w:cs="宋体"/>
                <w:color w:val="000000"/>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25"/>
            <w:r>
              <w:rPr>
                <w:rFonts w:hint="eastAsia" w:ascii="宋体" w:hAnsi="宋体" w:eastAsia="宋体" w:cs="宋体"/>
                <w:color w:val="000000"/>
                <w:sz w:val="24"/>
                <w:szCs w:val="24"/>
                <w:highlight w:val="none"/>
              </w:rPr>
              <w:t xml:space="preserve">办理流程详见江苏政府采购网“政采贷”栏目，网址：http://www.ccgp-jiangsu.gov.cn/jiangsu/paying.html咨询电话：镇江市财政局政府采购处0511-80909958。</w:t>
            </w:r>
            <w:r/>
          </w:p>
        </w:tc>
      </w:tr>
      <w:tr>
        <w:trPr/>
        <w:tc>
          <w:tcPr>
            <w:tcW w:w="6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4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p>
        </w:tc>
        <w:tc>
          <w:tcPr>
            <w:tcW w:w="8615" w:type="dxa"/>
            <w:vAlign w:val="center"/>
            <w:textDirection w:val="lrTb"/>
            <w:noWrap w:val="false"/>
          </w:tcPr>
          <w:p>
            <w:pPr>
              <w:spacing w:line="360" w:lineRule="auto"/>
              <w:rPr>
                <w:rFonts w:hint="eastAsia" w:ascii="宋体" w:hAnsi="宋体" w:eastAsia="宋体" w:cs="宋体"/>
                <w:i/>
                <w:iCs/>
                <w:color w:val="000000"/>
                <w:sz w:val="24"/>
                <w:szCs w:val="24"/>
                <w:highlight w:val="none"/>
              </w:rPr>
            </w:pPr>
            <w:r>
              <w:rPr>
                <w:rFonts w:hint="eastAsia" w:ascii="宋体" w:hAnsi="宋体" w:eastAsia="宋体" w:cs="宋体"/>
                <w:bCs/>
                <w:color w:val="000000"/>
                <w:sz w:val="24"/>
                <w:szCs w:val="24"/>
                <w:highlight w:val="none"/>
                <w:shd w:val="clear" w:color="auto" w:fill="ffffff"/>
              </w:rPr>
              <w:t xml:space="preserve">无。</w:t>
            </w:r>
            <w:r/>
          </w:p>
        </w:tc>
      </w:tr>
    </w:tbl>
    <w:p>
      <w:pPr>
        <w:pStyle w:val="1002"/>
        <w:ind w:left="0"/>
        <w:jc w:val="center"/>
        <w:spacing w:line="360" w:lineRule="auto"/>
        <w:tabs>
          <w:tab w:val="clear" w:pos="567" w:leader="none"/>
        </w:tabs>
        <w:rPr>
          <w:rFonts w:hint="eastAsia" w:ascii="宋体" w:hAnsi="宋体" w:eastAsia="宋体" w:cs="宋体"/>
          <w:b/>
          <w:bCs/>
          <w:sz w:val="24"/>
          <w:szCs w:val="24"/>
          <w:highlight w:val="none"/>
        </w:rPr>
      </w:pPr>
      <w:r/>
      <w:bookmarkStart w:id="26" w:name="_Toc256000010"/>
      <w:r/>
      <w:bookmarkEnd w:id="26"/>
      <w:r/>
      <w:bookmarkStart w:id="27" w:name="_Toc12484"/>
      <w:r/>
      <w:r/>
    </w:p>
    <w:p>
      <w:pPr>
        <w:pStyle w:val="1002"/>
        <w:ind w:left="0"/>
        <w:jc w:val="center"/>
        <w:spacing w:line="360" w:lineRule="auto"/>
        <w:tabs>
          <w:tab w:val="clear"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  则</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1．适用范围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本招标文件仅适用</w:t>
      </w:r>
      <w:r>
        <w:rPr>
          <w:rFonts w:hint="eastAsia" w:ascii="宋体" w:hAnsi="宋体" w:eastAsia="宋体" w:cs="宋体"/>
          <w:color w:val="000000"/>
          <w:sz w:val="24"/>
          <w:szCs w:val="24"/>
          <w:highlight w:val="none"/>
        </w:rPr>
        <w:t xml:space="preserve">于</w:t>
      </w:r>
      <w:r>
        <w:rPr>
          <w:rFonts w:hint="eastAsia" w:hAnsi="宋体" w:cs="宋体"/>
          <w:sz w:val="24"/>
          <w:szCs w:val="24"/>
          <w:highlight w:val="none"/>
          <w:lang w:val="en-US" w:eastAsia="zh-CN"/>
        </w:rPr>
        <w:t xml:space="preserve">镇江市生态环境监测站实验分析及应急监测仪器设备采购项目（二期）二次</w:t>
      </w:r>
      <w:r>
        <w:rPr>
          <w:rFonts w:hint="eastAsia" w:ascii="宋体" w:hAnsi="宋体" w:eastAsia="宋体" w:cs="宋体"/>
          <w:sz w:val="24"/>
          <w:szCs w:val="24"/>
          <w:highlight w:val="none"/>
          <w:lang w:val="en-US"/>
        </w:rPr>
        <w:t xml:space="preserve">。</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招标文件中下列术语应解释为：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“招标组织方”系指采购代理机构或采购单位，即：江苏隆信项目管理有限公司。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“采购人”系指依法进行政府采购的国家机关、事业单位、团体组织，即：</w:t>
      </w:r>
      <w:r>
        <w:rPr>
          <w:rFonts w:hint="eastAsia" w:ascii="宋体" w:hAnsi="宋体" w:eastAsia="宋体" w:cs="宋体"/>
          <w:bCs/>
          <w:sz w:val="24"/>
          <w:szCs w:val="24"/>
          <w:highlight w:val="none"/>
          <w:shd w:val="clear" w:color="auto" w:fill="ffffff"/>
          <w:lang w:eastAsia="zh-CN"/>
        </w:rPr>
        <w:t xml:space="preserve">镇江市生态环境监测站</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bookmarkStart w:id="28" w:name="EB394d8e23ae1c4ba58d41106e1f258069"/>
      <w:r/>
      <w:bookmarkEnd w:id="28"/>
      <w:r>
        <w:rPr>
          <w:rFonts w:hint="eastAsia" w:ascii="宋体" w:hAnsi="宋体" w:eastAsia="宋体" w:cs="宋体"/>
          <w:color w:val="000000"/>
          <w:sz w:val="24"/>
          <w:szCs w:val="24"/>
          <w:highlight w:val="none"/>
        </w:rPr>
        <w:t xml:space="preserve">2.4 </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“货物”系指本招标文件所述采购标的涉及的各种形态和种类的物品，即：</w:t>
      </w:r>
      <w:r>
        <w:rPr>
          <w:rFonts w:hint="eastAsia" w:hAnsi="宋体" w:cs="宋体"/>
          <w:color w:val="000000"/>
          <w:sz w:val="24"/>
          <w:szCs w:val="24"/>
          <w:highlight w:val="none"/>
          <w:lang w:val="en-US" w:eastAsia="zh-CN"/>
        </w:rPr>
        <w:t xml:space="preserve">镇江市生态环境监测站实验分析及应急监测仪器设备采购项目（二期）二次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highlight w:val="none"/>
        </w:rPr>
        <w:t xml:space="preserve">亦包括招标文件中特别描述的其它形式的服务</w:t>
      </w:r>
      <w:r>
        <w:rPr>
          <w:rFonts w:hint="eastAsia" w:ascii="宋体" w:hAnsi="宋体" w:eastAsia="宋体" w:cs="宋体"/>
          <w:color w:val="000000"/>
          <w:sz w:val="24"/>
          <w:szCs w:val="24"/>
          <w:highlight w:val="none"/>
        </w:rPr>
        <w:t xml:space="preserve">。</w:t>
      </w:r>
      <w:bookmarkStart w:id="29" w:name="EB16eaf3973d224fc9854a88c80df158b8"/>
      <w:r/>
      <w:bookmarkEnd w:id="29"/>
      <w:r/>
      <w:bookmarkStart w:id="30" w:name="EB042e1aad73684a1ea007fd6dfe7b2c72"/>
      <w:r/>
      <w:bookmarkEnd w:id="30"/>
      <w:r/>
      <w:bookmarkStart w:id="31" w:name="EBdd81250094ea4b03b020c6a9e614967e"/>
      <w:r/>
      <w:bookmarkEnd w:id="31"/>
      <w:r/>
      <w:bookmarkStart w:id="32" w:name="EB7728260902a547e79013ee5f24516f6b"/>
      <w:r/>
      <w:bookmarkEnd w:id="3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2.5“服务”系指本招标文件所述投标人应该履行的承诺和义务，即投标人必须承担的供货安装、技术指导、培训、质保等以及招标文件中特别描述的其它形式的服务。 </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w:t>
      </w:r>
      <w:r/>
    </w:p>
    <w:p>
      <w:pPr>
        <w:ind w:firstLine="480"/>
        <w:spacing w:line="360" w:lineRule="auto"/>
        <w:rPr>
          <w:rFonts w:hint="eastAsia" w:ascii="宋体" w:hAnsi="宋体" w:eastAsia="宋体" w:cs="宋体"/>
          <w:sz w:val="24"/>
          <w:szCs w:val="24"/>
          <w:highlight w:val="none"/>
        </w:rPr>
      </w:pPr>
      <w:r/>
      <w:bookmarkStart w:id="33" w:name="EBe28b21dffc944333b358f50ce01022e1"/>
      <w:r/>
      <w:bookmarkEnd w:id="33"/>
      <w:r>
        <w:rPr>
          <w:rFonts w:hint="eastAsia" w:ascii="宋体" w:hAnsi="宋体" w:eastAsia="宋体" w:cs="宋体"/>
          <w:sz w:val="24"/>
          <w:szCs w:val="24"/>
          <w:highlight w:val="none"/>
        </w:rPr>
        <w:t xml:space="preserve">3.1 本次采购采取公开招标方式：</w:t>
      </w:r>
      <w:r>
        <w:rPr>
          <w:rFonts w:hint="eastAsia" w:ascii="宋体" w:hAnsi="宋体" w:eastAsia="宋体" w:cs="宋体"/>
          <w:sz w:val="24"/>
          <w:highlight w:val="none"/>
        </w:rPr>
        <w:t xml:space="preserve">☑</w:t>
      </w:r>
      <w:r>
        <w:rPr>
          <w:rFonts w:hint="eastAsia" w:hAnsi="宋体" w:cs="宋体"/>
          <w:sz w:val="24"/>
          <w:szCs w:val="24"/>
          <w:highlight w:val="none"/>
          <w:lang w:eastAsia="zh-CN"/>
        </w:rPr>
        <w:t xml:space="preserve">综合</w:t>
      </w:r>
      <w:r>
        <w:rPr>
          <w:rFonts w:hint="eastAsia" w:ascii="宋体" w:hAnsi="宋体" w:eastAsia="宋体" w:cs="宋体"/>
          <w:sz w:val="24"/>
          <w:szCs w:val="24"/>
          <w:highlight w:val="none"/>
          <w:lang w:eastAsia="zh-CN"/>
        </w:rPr>
        <w:t xml:space="preserve">评标价法</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bookmarkStart w:id="34" w:name="EB40e5b0b3554744cbbb0eccc8063a8ac0"/>
      <w:r/>
      <w:bookmarkEnd w:id="34"/>
      <w:r/>
      <w:bookmarkStart w:id="35" w:name="EBc73a86087d054e61bcf3b88229fa981b"/>
      <w:r/>
      <w:bookmarkEnd w:id="35"/>
      <w:r/>
      <w:bookmarkStart w:id="36" w:name="EBba73abe681bc4b8694b9f9ae9fd779f1"/>
      <w:r/>
      <w:bookmarkEnd w:id="36"/>
      <w:r/>
      <w:bookmarkStart w:id="37" w:name="EB6a5d4e80a72143e2a9a2c9833a22027c"/>
      <w:r/>
      <w:bookmarkEnd w:id="37"/>
      <w:r>
        <w:rPr>
          <w:rFonts w:hint="eastAsia" w:ascii="宋体" w:hAnsi="宋体" w:eastAsia="宋体" w:cs="宋体"/>
          <w:sz w:val="24"/>
          <w:szCs w:val="24"/>
          <w:highlight w:val="none"/>
        </w:rPr>
        <w:t xml:space="preserve">3.2 本项目资格审查方式：</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资格后审</w:t>
      </w:r>
      <w:r/>
    </w:p>
    <w:p>
      <w:pPr>
        <w:ind w:firstLine="480"/>
        <w:spacing w:line="360" w:lineRule="auto"/>
        <w:rPr>
          <w:rFonts w:hint="eastAsia" w:ascii="宋体" w:hAnsi="宋体" w:eastAsia="宋体" w:cs="宋体"/>
          <w:sz w:val="24"/>
          <w:szCs w:val="24"/>
          <w:highlight w:val="none"/>
        </w:rPr>
      </w:pPr>
      <w:r/>
      <w:bookmarkStart w:id="38" w:name="EBb35a25d800cd4201b73d5996a6f103ac"/>
      <w:r/>
      <w:bookmarkEnd w:id="38"/>
      <w:r>
        <w:rPr>
          <w:rFonts w:hint="eastAsia" w:ascii="宋体" w:hAnsi="宋体" w:eastAsia="宋体" w:cs="宋体"/>
          <w:sz w:val="24"/>
          <w:szCs w:val="24"/>
          <w:highlight w:val="none"/>
        </w:rPr>
        <w:t xml:space="preserve">3.3 本次采购确定的中标人数量：</w:t>
      </w:r>
      <w:r>
        <w:rPr>
          <w:rFonts w:hint="eastAsia" w:ascii="宋体" w:hAnsi="宋体" w:eastAsia="宋体" w:cs="宋体"/>
          <w:color w:val="0000ff"/>
          <w:sz w:val="24"/>
          <w:szCs w:val="24"/>
          <w:highlight w:val="none"/>
          <w:lang w:val="en-US"/>
        </w:rPr>
        <w:t xml:space="preserve">1</w:t>
      </w:r>
      <w:r>
        <w:rPr>
          <w:rFonts w:hint="eastAsia" w:ascii="宋体" w:hAnsi="宋体" w:eastAsia="宋体" w:cs="宋体"/>
          <w:color w:val="0000ff"/>
          <w:sz w:val="24"/>
          <w:szCs w:val="24"/>
          <w:highlight w:val="none"/>
        </w:rPr>
        <w:t xml:space="preserve">名</w:t>
      </w:r>
      <w:r/>
    </w:p>
    <w:p>
      <w:pPr>
        <w:ind w:firstLine="480"/>
        <w:spacing w:line="360" w:lineRule="auto"/>
        <w:rPr>
          <w:rFonts w:hint="eastAsia" w:ascii="宋体" w:hAnsi="宋体" w:eastAsia="宋体" w:cs="宋体"/>
          <w:sz w:val="24"/>
          <w:szCs w:val="24"/>
          <w:highlight w:val="none"/>
        </w:rPr>
      </w:pPr>
      <w:r/>
      <w:bookmarkStart w:id="39" w:name="EB9cdaed90cd364b0b9d16042b5955e2ff"/>
      <w:r/>
      <w:bookmarkEnd w:id="39"/>
      <w:r/>
      <w:bookmarkStart w:id="40" w:name="EBc73b61d8ffd540978062ea85672888b7"/>
      <w:r/>
      <w:bookmarkEnd w:id="40"/>
      <w:r/>
      <w:bookmarkStart w:id="41" w:name="EB0a03a8e9e89d403fb4ff23e58b97dcdc"/>
      <w:r/>
      <w:bookmarkEnd w:id="41"/>
      <w:r/>
      <w:bookmarkStart w:id="42" w:name="EB4c33eb163a0448c294f758213661958a"/>
      <w:r/>
      <w:bookmarkEnd w:id="42"/>
      <w:r>
        <w:rPr>
          <w:rFonts w:hint="eastAsia" w:ascii="宋体" w:hAnsi="宋体" w:eastAsia="宋体" w:cs="宋体"/>
          <w:sz w:val="24"/>
          <w:szCs w:val="24"/>
          <w:highlight w:val="none"/>
        </w:rPr>
        <w:t xml:space="preserve">3.4 是否接受进口产品：</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否</w:t>
      </w:r>
      <w:r/>
    </w:p>
    <w:p>
      <w:pPr>
        <w:ind w:firstLine="480"/>
        <w:spacing w:line="360" w:lineRule="auto"/>
        <w:rPr>
          <w:rFonts w:hint="eastAsia" w:ascii="宋体" w:hAnsi="宋体" w:eastAsia="宋体" w:cs="宋体"/>
          <w:color w:val="000080"/>
          <w:sz w:val="24"/>
          <w:szCs w:val="24"/>
          <w:highlight w:val="none"/>
        </w:rPr>
      </w:pPr>
      <w:r>
        <w:rPr>
          <w:rFonts w:hint="eastAsia" w:ascii="宋体" w:hAnsi="宋体" w:eastAsia="宋体" w:cs="宋体"/>
          <w:sz w:val="24"/>
          <w:szCs w:val="24"/>
          <w:highlight w:val="none"/>
        </w:rPr>
        <w:t xml:space="preserve">3.5 转包及分包：</w:t>
      </w:r>
      <w:bookmarkStart w:id="43" w:name="EB2b0c451816504d6ea7ec4e34b4162832"/>
      <w:r/>
      <w:bookmarkEnd w:id="43"/>
      <w:r/>
      <w:bookmarkStart w:id="44" w:name="EBaa9b1c82d7ec4b54b8087b449350007f"/>
      <w:r/>
      <w:bookmarkEnd w:id="44"/>
      <w:r/>
      <w:bookmarkStart w:id="45" w:name="EB4a30d712589e4230b994cef4f674ce65"/>
      <w:r/>
      <w:bookmarkEnd w:id="45"/>
      <w:r/>
      <w:bookmarkStart w:id="46" w:name="EB7ee803d5559e4e7e9dd6f0b3ee4a867f"/>
      <w:r/>
      <w:bookmarkEnd w:id="46"/>
      <w:r/>
      <w:bookmarkStart w:id="47" w:name="EB7182b12c2706497fbb76415a32e0b348"/>
      <w:r/>
      <w:bookmarkEnd w:id="47"/>
      <w:r/>
      <w:bookmarkStart w:id="48" w:name="EB4562413fe7d14e199cbf8cfafc174228"/>
      <w:r/>
      <w:bookmarkEnd w:id="48"/>
      <w:r>
        <w:rPr>
          <w:rFonts w:hint="eastAsia" w:ascii="宋体" w:hAnsi="宋体" w:eastAsia="宋体" w:cs="宋体"/>
          <w:color w:val="0000ff"/>
          <w:sz w:val="24"/>
          <w:szCs w:val="24"/>
          <w:highlight w:val="none"/>
        </w:rPr>
        <w:t xml:space="preserve">☑</w:t>
      </w:r>
      <w:r>
        <w:rPr>
          <w:rFonts w:hint="eastAsia" w:ascii="宋体" w:hAnsi="宋体" w:eastAsia="宋体" w:cs="宋体"/>
          <w:sz w:val="24"/>
          <w:szCs w:val="24"/>
          <w:highlight w:val="none"/>
        </w:rPr>
        <w:t xml:space="preserve">本项目不得转包及分包。</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投标人应自行承担所有与参加投标有关的费用</w:t>
      </w:r>
      <w:r>
        <w:rPr>
          <w:rFonts w:hint="eastAsia" w:ascii="宋体" w:hAnsi="宋体" w:eastAsia="宋体" w:cs="宋体"/>
          <w:b w:val="0"/>
          <w:bCs/>
          <w:sz w:val="24"/>
          <w:szCs w:val="24"/>
          <w:highlight w:val="none"/>
        </w:rPr>
        <w:t xml:space="preserve">。</w:t>
      </w:r>
      <w:r/>
    </w:p>
    <w:p>
      <w:pPr>
        <w:pStyle w:val="1003"/>
        <w:ind w:firstLine="480"/>
        <w:spacing w:line="360" w:lineRule="auto"/>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4.2☑</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eastAsia="zh-CN"/>
        </w:rPr>
        <w:t xml:space="preserve">供应商须</w:t>
      </w:r>
      <w:r>
        <w:rPr>
          <w:rFonts w:hint="eastAsia" w:ascii="宋体" w:hAnsi="宋体" w:eastAsia="宋体" w:cs="宋体"/>
          <w:color w:val="auto"/>
          <w:sz w:val="24"/>
          <w:highlight w:val="none"/>
        </w:rPr>
        <w:t xml:space="preserve">向</w:t>
      </w: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代理机构</w:t>
      </w:r>
      <w:r>
        <w:rPr>
          <w:rFonts w:hint="eastAsia" w:ascii="宋体" w:hAnsi="宋体" w:eastAsia="宋体" w:cs="宋体"/>
          <w:color w:val="auto"/>
          <w:sz w:val="24"/>
          <w:highlight w:val="none"/>
          <w:lang w:eastAsia="zh-CN"/>
        </w:rPr>
        <w:t xml:space="preserve">支付招投标采购代理服务费。采购代理服务费收费标准：按镇好采服务类网上商城本项目采购代理服务确定的收费金额，向项目中标供应商收取采购代理服务费</w:t>
      </w:r>
      <w:r>
        <w:rPr>
          <w:rFonts w:hint="eastAsia" w:ascii="宋体" w:hAnsi="宋体" w:eastAsia="宋体" w:cs="宋体"/>
          <w:bCs/>
          <w:color w:val="000000"/>
          <w:sz w:val="24"/>
          <w:szCs w:val="24"/>
          <w:highlight w:val="none"/>
          <w:lang w:val="en-US" w:eastAsia="zh-CN"/>
        </w:rPr>
        <w:t xml:space="preserve">79100</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lang w:eastAsia="zh-CN"/>
        </w:rPr>
        <w:t xml:space="preserve">（人民币</w:t>
      </w:r>
      <w:r>
        <w:rPr>
          <w:rFonts w:hint="eastAsia" w:ascii="宋体" w:hAnsi="宋体" w:eastAsia="宋体" w:cs="宋体"/>
          <w:color w:val="auto"/>
          <w:sz w:val="24"/>
          <w:highlight w:val="none"/>
          <w:lang w:val="en-US" w:eastAsia="zh-CN"/>
        </w:rPr>
        <w:t xml:space="preserve">柒万玖仟壹佰元整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由采购代理机构开具发票与中标供应商结算。</w:t>
      </w:r>
      <w:r/>
    </w:p>
    <w:p>
      <w:pPr>
        <w:ind w:firstLine="480"/>
        <w:spacing w:line="360" w:lineRule="auto"/>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招标</w:t>
      </w:r>
      <w:r>
        <w:rPr>
          <w:rFonts w:hint="eastAsia" w:ascii="宋体" w:hAnsi="宋体" w:eastAsia="宋体" w:cs="宋体"/>
          <w:sz w:val="24"/>
          <w:highlight w:val="none"/>
        </w:rPr>
        <w:t xml:space="preserve">代理费用收款信息：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收款单位：江苏隆信项目管理有限公司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收款账号：1104088909200136052 </w:t>
      </w:r>
      <w:r/>
    </w:p>
    <w:p>
      <w:pPr>
        <w:pStyle w:val="100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开户银行：中国工商银行镇江北门支行 </w:t>
      </w:r>
      <w:r/>
    </w:p>
    <w:p>
      <w:pPr>
        <w:ind w:firstLine="120"/>
        <w:spacing w:line="360" w:lineRule="auto"/>
        <w:rPr>
          <w:rFonts w:hint="eastAsia" w:ascii="宋体" w:hAnsi="宋体" w:eastAsia="宋体" w:cs="宋体"/>
          <w:sz w:val="24"/>
          <w:highlight w:val="none"/>
        </w:rPr>
      </w:pPr>
      <w:r>
        <w:rPr>
          <w:rFonts w:hint="eastAsia" w:ascii="宋体" w:hAnsi="宋体" w:eastAsia="宋体" w:cs="宋体"/>
          <w:color w:val="0000ff"/>
          <w:sz w:val="24"/>
          <w:szCs w:val="24"/>
          <w:highlight w:val="none"/>
        </w:rPr>
        <w:t xml:space="preserve">☑</w:t>
      </w:r>
      <w:r>
        <w:rPr>
          <w:rFonts w:hint="eastAsia" w:ascii="宋体" w:hAnsi="宋体" w:eastAsia="宋体" w:cs="宋体"/>
          <w:sz w:val="24"/>
          <w:szCs w:val="24"/>
          <w:highlight w:val="none"/>
        </w:rPr>
        <w:t xml:space="preserve">数字认证证书费用见：http://ggzy.zhenjiang.gov.cn/051/051002/carelated.html</w:t>
      </w:r>
      <w:r/>
    </w:p>
    <w:p>
      <w:pPr>
        <w:ind w:firstLine="480"/>
        <w:spacing w:line="360" w:lineRule="auto"/>
        <w:rPr>
          <w:rFonts w:hint="eastAsia" w:ascii="宋体" w:hAnsi="宋体" w:eastAsia="宋体" w:cs="宋体"/>
          <w:sz w:val="24"/>
          <w:szCs w:val="24"/>
          <w:highlight w:val="none"/>
        </w:rPr>
      </w:pPr>
      <w:r/>
      <w:bookmarkStart w:id="49" w:name="EB5ec516aed5f947edb138efceae61b67a"/>
      <w:r/>
      <w:bookmarkEnd w:id="49"/>
      <w:r/>
      <w:bookmarkStart w:id="50" w:name="EBd341db1070e443aba12703f32f407a37"/>
      <w:r/>
      <w:bookmarkEnd w:id="50"/>
      <w:r/>
      <w:bookmarkStart w:id="51" w:name="EBffeadf2fa3ef4d27877d5f63b164237e"/>
      <w:r/>
      <w:bookmarkEnd w:id="51"/>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 不论投标的结果如何，招标组织方在任何情况下均无义务和责任承担上述费用。</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5．政策功能</w:t>
      </w:r>
      <w:r/>
    </w:p>
    <w:p>
      <w:pPr>
        <w:pStyle w:val="1004"/>
        <w:ind w:firstLine="480"/>
        <w:spacing w:line="360" w:lineRule="auto"/>
        <w:rPr>
          <w:rFonts w:hint="eastAsia" w:ascii="宋体" w:hAnsi="宋体" w:eastAsia="宋体" w:cs="宋体"/>
          <w:color w:val="000000"/>
          <w:sz w:val="24"/>
          <w:szCs w:val="24"/>
          <w:highlight w:val="none"/>
        </w:rPr>
      </w:pPr>
      <w:r/>
      <w:bookmarkStart w:id="52" w:name="EB609a708a075440d8b27c4c43e0c4bf14"/>
      <w:r/>
      <w:bookmarkEnd w:id="52"/>
      <w:r>
        <w:rPr>
          <w:rFonts w:hint="eastAsia" w:ascii="宋体" w:hAnsi="宋体" w:eastAsia="宋体" w:cs="宋体"/>
          <w:color w:val="000000"/>
          <w:sz w:val="24"/>
          <w:szCs w:val="24"/>
          <w:highlight w:val="none"/>
        </w:rPr>
        <w:t xml:space="preserve">5.1根据《政府采购促进中小企业发展管理办法》要求，小型、微型企业在评审时享受扶持政策。中小企业划型标准见《关于印发中小企业划型标准规定的通知》（工信部联企业[2011]300号）。</w:t>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5.4强制采购信息安全产品，信息安全产品指国家质检总局国家认监委《信息安全产品强制性认证目录》，并获得强制性产品认证证书的产品。</w:t>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5.6本项目中涉及商品包装和快递包装的，参考《财政部办公厅关于印发《商品包装政府采购需求标准（试行）》、 《快递包装政府采购需求标准（试行）》的通知》（财办库〔2020〕123号）规定的包装需求标准。</w:t>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 根据国家扶持中小企业的有关政策，采购项目中标人在履约过程中如遇到资金困难，凭中标通知书在相关金融机构办理授信申请，相关事宜请查阅“镇江市公共资源交易服务平台---政府采购”网站。</w:t>
      </w:r>
      <w:r/>
    </w:p>
    <w:p>
      <w:pPr>
        <w:pStyle w:val="1002"/>
        <w:ind w:left="0"/>
        <w:jc w:val="center"/>
        <w:spacing w:line="360" w:lineRule="auto"/>
        <w:tabs>
          <w:tab w:val="clear" w:pos="567" w:leader="none"/>
        </w:tabs>
        <w:rPr>
          <w:rFonts w:hint="eastAsia" w:ascii="宋体" w:hAnsi="宋体" w:eastAsia="宋体" w:cs="宋体"/>
          <w:b/>
          <w:bCs/>
          <w:color w:val="000000"/>
          <w:sz w:val="24"/>
          <w:szCs w:val="24"/>
          <w:highlight w:val="none"/>
        </w:rPr>
      </w:pPr>
      <w:r/>
      <w:bookmarkStart w:id="53" w:name="_Toc256000011"/>
      <w:r/>
      <w:bookmarkEnd w:id="53"/>
      <w:r>
        <w:rPr>
          <w:rFonts w:hint="eastAsia" w:ascii="宋体" w:hAnsi="宋体" w:eastAsia="宋体" w:cs="宋体"/>
          <w:b/>
          <w:bCs/>
          <w:color w:val="000000"/>
          <w:sz w:val="24"/>
          <w:szCs w:val="24"/>
          <w:highlight w:val="none"/>
        </w:rPr>
        <w:t xml:space="preserve">二、招标文件</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6.招标文件组成</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招标文件包括：</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（3）评标办法和</w:t>
      </w:r>
      <w:r>
        <w:rPr>
          <w:rFonts w:hint="eastAsia" w:ascii="宋体" w:hAnsi="宋体" w:eastAsia="宋体" w:cs="宋体"/>
          <w:color w:val="000000"/>
          <w:sz w:val="24"/>
          <w:szCs w:val="24"/>
          <w:highlight w:val="none"/>
        </w:rPr>
        <w:t xml:space="preserve">评标</w:t>
      </w:r>
      <w:r>
        <w:rPr>
          <w:rFonts w:hint="eastAsia" w:ascii="宋体" w:hAnsi="宋体" w:eastAsia="宋体" w:cs="宋体"/>
          <w:sz w:val="24"/>
          <w:szCs w:val="24"/>
          <w:highlight w:val="none"/>
        </w:rPr>
        <w:t xml:space="preserve">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w:t>
      </w:r>
      <w:r>
        <w:rPr>
          <w:rFonts w:hint="eastAsia" w:ascii="宋体" w:hAnsi="宋体" w:eastAsia="宋体" w:cs="宋体"/>
          <w:b/>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szCs w:val="24"/>
          <w:highlight w:val="none"/>
        </w:rPr>
        <w:t xml:space="preserve">。</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7．招标文件的澄清和修改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w:t>
      </w:r>
      <w:r>
        <w:rPr>
          <w:rFonts w:hint="eastAsia" w:ascii="宋体" w:hAnsi="宋体" w:eastAsia="宋体" w:cs="宋体"/>
          <w:b/>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采购人或者采购代理机构可以对已发出的招标文件、资格预审文件、投标邀请书进行必要的澄清或者修改，但不改变采购标的和资格要求。澄清或者修改将在“镇江市公共资源交易服务平台——政府采购”网站上发布澄清公告，澄清或者修改的内容为招标文件、资格预审文件、投标邀请书的组成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1002"/>
        <w:ind w:left="0"/>
        <w:jc w:val="center"/>
        <w:spacing w:line="360" w:lineRule="auto"/>
        <w:tabs>
          <w:tab w:val="clear" w:pos="567" w:leader="none"/>
        </w:tabs>
        <w:rPr>
          <w:rFonts w:hint="eastAsia" w:ascii="宋体" w:hAnsi="宋体" w:eastAsia="宋体" w:cs="宋体"/>
          <w:b/>
          <w:bCs/>
          <w:sz w:val="24"/>
          <w:szCs w:val="24"/>
          <w:highlight w:val="none"/>
        </w:rPr>
      </w:pPr>
      <w:r/>
      <w:bookmarkStart w:id="54" w:name="_Toc256000012"/>
      <w:r/>
      <w:bookmarkEnd w:id="54"/>
      <w:r>
        <w:rPr>
          <w:rFonts w:hint="eastAsia" w:ascii="宋体" w:hAnsi="宋体" w:eastAsia="宋体" w:cs="宋体"/>
          <w:b/>
          <w:bCs/>
          <w:sz w:val="24"/>
          <w:szCs w:val="24"/>
          <w:highlight w:val="none"/>
        </w:rPr>
        <w:t xml:space="preserve">三、投标文件</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8.编制投标文件的工具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投标人须通过“苏采云（政府采购一体化平台）”提供的最新响应文件制作软件编制投标文件。</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9.投标文件语言及度量衡单位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投标文件中所使用的计量单位除招标文件中另有特殊规定外，一律使用法定计量单位。</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10.投标文件的构成</w:t>
      </w:r>
      <w:r/>
    </w:p>
    <w:p>
      <w:pPr>
        <w:pStyle w:val="1005"/>
        <w:ind w:firstLine="425"/>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投标文件分为资格部分、商务部分和技术部分。</w:t>
      </w:r>
      <w:r/>
    </w:p>
    <w:p>
      <w:pPr>
        <w:pStyle w:val="1005"/>
        <w:ind w:firstLine="425"/>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资格部分系指投标人提交的证明其有资格参加投标的文件。</w:t>
      </w:r>
      <w:r/>
    </w:p>
    <w:p>
      <w:pPr>
        <w:pStyle w:val="1005"/>
        <w:ind w:firstLine="425"/>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商务部分系指投标人提交的证明其中标后有能力履行合同的文件。</w:t>
      </w:r>
      <w:r/>
    </w:p>
    <w:p>
      <w:pPr>
        <w:pStyle w:val="1005"/>
        <w:ind w:firstLine="425"/>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技术部分系指投标人提交的能够证明投标人提供的货物（服务）符合招标文件规定的文件。</w:t>
      </w:r>
      <w:r/>
    </w:p>
    <w:p>
      <w:pPr>
        <w:pStyle w:val="1005"/>
        <w:ind w:firstLine="425"/>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具体填写格式详见招标文件第六部分。</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11．投标文件的编制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w:t>
      </w:r>
      <w:r>
        <w:rPr>
          <w:rFonts w:hint="eastAsia" w:ascii="宋体" w:hAnsi="宋体" w:eastAsia="宋体" w:cs="宋体"/>
          <w:b/>
          <w:sz w:val="24"/>
          <w:szCs w:val="24"/>
          <w:highlight w:val="none"/>
        </w:rPr>
        <w:t xml:space="preserve">投标人在编制投标文件时，各模块内容须填写或提交到对应位置，无相应内容可填的项应填写“无”、“没有相应指标”等明确的回答文字。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投标文件编排混乱、文字表达不清或上传资料内容模糊所引起的不利后果，由投标人自行承担。</w:t>
      </w:r>
      <w:r/>
    </w:p>
    <w:p>
      <w:pPr>
        <w:pStyle w:val="1005"/>
        <w:ind w:firstLine="425"/>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 </w:t>
      </w:r>
      <w:r>
        <w:rPr>
          <w:rFonts w:hint="eastAsia" w:ascii="宋体" w:hAnsi="宋体" w:eastAsia="宋体" w:cs="宋体"/>
          <w:b/>
          <w:sz w:val="24"/>
          <w:szCs w:val="24"/>
          <w:highlight w:val="none"/>
        </w:rPr>
        <w:t xml:space="preserve">投标人必须保证投标文件所提供的全部资料合法、真实、可靠、有效。</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12．投标报价</w:t>
      </w:r>
      <w:r/>
    </w:p>
    <w:p>
      <w:pPr>
        <w:ind w:firstLine="480"/>
        <w:spacing w:line="360" w:lineRule="auto"/>
        <w:rPr>
          <w:rFonts w:hint="eastAsia" w:ascii="宋体" w:hAnsi="宋体" w:eastAsia="宋体" w:cs="宋体"/>
          <w:color w:val="000000"/>
          <w:sz w:val="24"/>
          <w:szCs w:val="24"/>
          <w:highlight w:val="none"/>
        </w:rPr>
      </w:pPr>
      <w:r/>
      <w:bookmarkStart w:id="55" w:name="EB46b5484d4fa1479cac1b028480042d83"/>
      <w:r>
        <w:rPr>
          <w:rFonts w:hint="eastAsia" w:ascii="宋体" w:hAnsi="宋体" w:eastAsia="宋体" w:cs="宋体"/>
          <w:color w:val="000000"/>
          <w:sz w:val="24"/>
          <w:szCs w:val="24"/>
          <w:highlight w:val="none"/>
        </w:rPr>
        <w:t xml:space="preserve">12.1 投标应以招标文件所附试剂清单中各种试剂的最高限价</w:t>
      </w:r>
      <w:r>
        <w:rPr>
          <w:rFonts w:hint="eastAsia" w:ascii="宋体" w:hAnsi="宋体" w:eastAsia="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报价 (</w:t>
      </w:r>
      <w:r>
        <w:rPr>
          <w:rFonts w:hint="eastAsia" w:ascii="宋体" w:hAnsi="宋体" w:eastAsia="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保留小数点后 2 位)，所有试剂执行同一</w:t>
      </w:r>
      <w:r>
        <w:rPr>
          <w:rFonts w:hint="eastAsia" w:ascii="宋体" w:hAnsi="宋体" w:eastAsia="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。投标报价包含招标文件《第四章采购需求》中所规定的所有内容。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投标人应按招标文件所提供的各报价表格式报价。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投标人应对本项目报出最具有竞争力的价格，应包括本次招标要求提供的货物（服务）已支付或将支付的所有费用。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最低投标报价不能作为中标的唯一保证。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 中标价即为合同签约价。</w:t>
      </w:r>
      <w:bookmarkEnd w:id="5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 如出现报价前后不一致的，将按招标文件第</w:t>
      </w:r>
      <w:r>
        <w:rPr>
          <w:rFonts w:hint="eastAsia" w:ascii="宋体" w:hAnsi="宋体" w:eastAsia="宋体" w:cs="宋体"/>
          <w:sz w:val="24"/>
          <w:szCs w:val="24"/>
          <w:highlight w:val="none"/>
          <w:lang w:val="en-US"/>
        </w:rPr>
        <w:t xml:space="preserve">三</w:t>
      </w:r>
      <w:r>
        <w:rPr>
          <w:rFonts w:hint="eastAsia" w:ascii="宋体" w:hAnsi="宋体" w:eastAsia="宋体" w:cs="宋体"/>
          <w:sz w:val="24"/>
          <w:szCs w:val="24"/>
          <w:highlight w:val="none"/>
        </w:rPr>
        <w:t xml:space="preserve">章“评标办法和评标标准”第5项规定进行修正。</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13．投标保证金</w:t>
      </w:r>
      <w:r/>
    </w:p>
    <w:p>
      <w:pPr>
        <w:pStyle w:val="1004"/>
        <w:ind w:firstLine="480"/>
        <w:spacing w:line="360" w:lineRule="auto"/>
        <w:rPr>
          <w:rFonts w:hint="eastAsia" w:ascii="宋体" w:hAnsi="宋体" w:eastAsia="宋体" w:cs="宋体"/>
          <w:color w:val="000000"/>
          <w:sz w:val="24"/>
          <w:szCs w:val="24"/>
          <w:highlight w:val="none"/>
        </w:rPr>
      </w:pPr>
      <w:r/>
      <w:bookmarkStart w:id="56" w:name="EBb1875a8fd1054a888d8d008aa8213810"/>
      <w:r/>
      <w:bookmarkEnd w:id="56"/>
      <w:r>
        <w:rPr>
          <w:rFonts w:hint="eastAsia" w:ascii="宋体" w:hAnsi="宋体" w:eastAsia="宋体" w:cs="宋体"/>
          <w:color w:val="000000"/>
          <w:sz w:val="24"/>
          <w:szCs w:val="24"/>
          <w:highlight w:val="none"/>
        </w:rPr>
        <w:t xml:space="preserve">13.1 本项目不收投标保证金。</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14．投标有效期</w:t>
      </w:r>
      <w:r/>
    </w:p>
    <w:p>
      <w:pPr>
        <w:ind w:firstLine="480"/>
        <w:spacing w:line="360" w:lineRule="auto"/>
        <w:rPr>
          <w:rFonts w:hint="eastAsia" w:ascii="宋体" w:hAnsi="宋体" w:eastAsia="宋体" w:cs="宋体"/>
          <w:sz w:val="24"/>
          <w:szCs w:val="24"/>
          <w:highlight w:val="none"/>
        </w:rPr>
      </w:pPr>
      <w:r/>
      <w:bookmarkStart w:id="57" w:name="EBbdd785db7a2f40378bd51c7735b3fbc2"/>
      <w:r/>
      <w:bookmarkEnd w:id="57"/>
      <w:r>
        <w:rPr>
          <w:rFonts w:hint="eastAsia" w:ascii="宋体" w:hAnsi="宋体" w:eastAsia="宋体" w:cs="宋体"/>
          <w:sz w:val="24"/>
          <w:szCs w:val="24"/>
          <w:highlight w:val="none"/>
        </w:rPr>
        <w:t xml:space="preserve">14.1 投标有效期为：投标文件自开标之日起</w:t>
      </w:r>
      <w:r>
        <w:rPr>
          <w:rFonts w:hint="eastAsia" w:ascii="宋体" w:hAnsi="宋体" w:eastAsia="宋体" w:cs="宋体"/>
          <w:color w:val="000000"/>
          <w:sz w:val="24"/>
          <w:szCs w:val="24"/>
          <w:highlight w:val="none"/>
        </w:rPr>
        <w:t xml:space="preserve">90天</w:t>
      </w:r>
      <w:r>
        <w:rPr>
          <w:rFonts w:hint="eastAsia" w:ascii="宋体" w:hAnsi="宋体" w:eastAsia="宋体" w:cs="宋体"/>
          <w:sz w:val="24"/>
          <w:szCs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357"/>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15.投标文件的式样和签署</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投标人应通过响应文件制作软件使用数字认证证书对投标文件进行合成、电子签章及加密打包。</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16．投标文件的提交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投标文件提交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szCs w:val="24"/>
          <w:highlight w:val="none"/>
          <w:u w:val="single"/>
        </w:rPr>
        <w:t xml:space="preserve">时间以电子交易平台时间为准。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w:t>
      </w:r>
      <w:r>
        <w:rPr>
          <w:rFonts w:hint="eastAsia" w:ascii="宋体" w:hAnsi="宋体" w:eastAsia="宋体" w:cs="宋体"/>
          <w:b/>
          <w:sz w:val="24"/>
          <w:szCs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w:t>
      </w:r>
      <w:r>
        <w:rPr>
          <w:rFonts w:hint="eastAsia" w:ascii="宋体" w:hAnsi="宋体" w:eastAsia="宋体" w:cs="宋体"/>
          <w:b/>
          <w:sz w:val="24"/>
          <w:szCs w:val="24"/>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16.1.4 </w:t>
      </w:r>
      <w:r>
        <w:rPr>
          <w:rFonts w:hint="eastAsia" w:ascii="宋体" w:hAnsi="宋体" w:eastAsia="宋体" w:cs="宋体"/>
          <w:b/>
          <w:sz w:val="24"/>
          <w:szCs w:val="24"/>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16.1.5 因不可抗力事件造成的投标文件的损坏、丢失的，招标组织方不承担责任。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招标组织方可以通过修改招标文件自行酌情延长提交截止时间，在此情况下，推迟的提交截止时间将在系统中以书面形式通知已获取招标文件的潜在投标人，并在“镇江市公共资源交易服务平台---政府采购”上发布公告。投标人应及时自行登录系统查看相应内容。</w:t>
      </w:r>
      <w:r/>
    </w:p>
    <w:p>
      <w:pPr>
        <w:ind w:firstLine="482"/>
        <w:spacing w:line="360" w:lineRule="auto"/>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rPr>
        <w:t xml:space="preserve">17．投标文件的补充、修改或者撤回</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 在提交截止时间之后，投标人不得对其投标文件作任何修改或撤回。</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在提交截止时间至招标文件中规定的投标有效期满之间，投标人不得撤回其投标。</w:t>
      </w:r>
      <w:r/>
    </w:p>
    <w:p>
      <w:pPr>
        <w:pStyle w:val="1002"/>
        <w:ind w:left="0"/>
        <w:jc w:val="center"/>
        <w:spacing w:line="360" w:lineRule="auto"/>
        <w:tabs>
          <w:tab w:val="clear" w:pos="567" w:leader="none"/>
        </w:tabs>
        <w:rPr>
          <w:rFonts w:hint="eastAsia" w:ascii="宋体" w:hAnsi="宋体" w:eastAsia="宋体" w:cs="宋体"/>
          <w:b/>
          <w:sz w:val="24"/>
          <w:szCs w:val="24"/>
          <w:highlight w:val="none"/>
        </w:rPr>
      </w:pPr>
      <w:r/>
      <w:bookmarkStart w:id="58" w:name="_Toc256000013"/>
      <w:r/>
      <w:bookmarkEnd w:id="58"/>
      <w:r>
        <w:rPr>
          <w:rFonts w:hint="eastAsia" w:ascii="宋体" w:hAnsi="宋体" w:eastAsia="宋体" w:cs="宋体"/>
          <w:b/>
          <w:sz w:val="24"/>
          <w:szCs w:val="24"/>
          <w:highlight w:val="none"/>
        </w:rPr>
        <w:t xml:space="preserve">四、开标及评标</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18．开标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招标组织方将按招标文件规定的时间、地点主持开标。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投标人应当在开标前做好充分准备，使用制作该投标文件的同一数字认证证书准时参加开标</w:t>
      </w:r>
      <w:r>
        <w:rPr>
          <w:rFonts w:hint="eastAsia" w:ascii="宋体" w:hAnsi="宋体" w:eastAsia="宋体" w:cs="宋体"/>
          <w:color w:val="000000"/>
          <w:sz w:val="24"/>
          <w:szCs w:val="24"/>
          <w:highlight w:val="none"/>
        </w:rPr>
        <w:t xml:space="preserve">，请各投标人在开标时间前提前登录开标大厅做好准备</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18.3 投标人不足3家，不进入解密程序。</w:t>
      </w:r>
      <w:r/>
    </w:p>
    <w:p>
      <w:pPr>
        <w:ind w:firstLine="480"/>
        <w:spacing w:line="360" w:lineRule="auto"/>
        <w:rPr>
          <w:rFonts w:hint="eastAsia" w:ascii="宋体" w:hAnsi="宋体" w:eastAsia="宋体" w:cs="宋体"/>
          <w:sz w:val="24"/>
          <w:szCs w:val="24"/>
          <w:highlight w:val="none"/>
        </w:rPr>
      </w:pPr>
      <w:r/>
      <w:bookmarkStart w:id="59" w:name="EB531de031e62b4c8f86d02a682d74508a"/>
      <w:r/>
      <w:bookmarkEnd w:id="59"/>
      <w:r>
        <w:rPr>
          <w:rFonts w:hint="eastAsia" w:ascii="宋体" w:hAnsi="宋体" w:eastAsia="宋体" w:cs="宋体"/>
          <w:sz w:val="24"/>
          <w:szCs w:val="24"/>
          <w:highlight w:val="none"/>
        </w:rPr>
        <w:t xml:space="preserve">18.4 开标时，招标组织方将在系统内公布投标人名单，发出解密的指令，投标人自行实施解密，限定在主持人发布解密指令后</w:t>
      </w:r>
      <w:r>
        <w:rPr>
          <w:rFonts w:hint="eastAsia" w:ascii="宋体" w:hAnsi="宋体" w:eastAsia="宋体" w:cs="宋体"/>
          <w:color w:val="0000ff"/>
          <w:sz w:val="24"/>
          <w:szCs w:val="24"/>
          <w:highlight w:val="none"/>
        </w:rPr>
        <w:t xml:space="preserve">10</w:t>
      </w:r>
      <w:r>
        <w:rPr>
          <w:rFonts w:hint="eastAsia" w:ascii="宋体" w:hAnsi="宋体" w:eastAsia="宋体" w:cs="宋体"/>
          <w:sz w:val="24"/>
          <w:szCs w:val="24"/>
          <w:highlight w:val="none"/>
        </w:rPr>
        <w:t xml:space="preserve">分钟内完成。解密时，投标人必须使用与制作投标文件时同一数字认证证书对投标文件进行解密，否则解密将会失败。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eastAsia="宋体" w:cs="宋体"/>
          <w:b/>
          <w:sz w:val="24"/>
          <w:szCs w:val="24"/>
          <w:highlight w:val="none"/>
        </w:rPr>
        <w:t xml:space="preserve">若解密成功的投标人不足三家，不进入后续程序。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 本项目在限定的解密时间内，只要有任一家投标人解密成功，即视为电子交易平台运行无故障。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电子投标文件解密全部完成后，按</w:t>
      </w:r>
      <w:r>
        <w:rPr>
          <w:rFonts w:hint="eastAsia" w:ascii="宋体" w:hAnsi="宋体" w:eastAsia="宋体" w:cs="宋体"/>
          <w:b/>
          <w:sz w:val="24"/>
          <w:szCs w:val="24"/>
          <w:highlight w:val="none"/>
        </w:rPr>
        <w:t xml:space="preserve">投标文件解密成功顺序</w:t>
      </w:r>
      <w:r>
        <w:rPr>
          <w:rFonts w:hint="eastAsia" w:ascii="宋体" w:hAnsi="宋体" w:eastAsia="宋体" w:cs="宋体"/>
          <w:sz w:val="24"/>
          <w:szCs w:val="24"/>
          <w:highlight w:val="none"/>
        </w:rPr>
        <w:t xml:space="preserve">向所有投标人宣布投标人名称、投标价格以及招标文件规定的其他内容。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 电子交易平台自动记录开标过程，由参加开标的各投标人代表和相关工作人员确认开标结果。</w:t>
      </w:r>
      <w:r/>
    </w:p>
    <w:p>
      <w:pPr>
        <w:ind w:firstLine="480"/>
        <w:spacing w:line="360" w:lineRule="auto"/>
        <w:rPr>
          <w:rFonts w:hint="eastAsia" w:ascii="宋体" w:hAnsi="宋体" w:eastAsia="宋体" w:cs="宋体"/>
          <w:sz w:val="24"/>
          <w:szCs w:val="24"/>
          <w:highlight w:val="none"/>
        </w:rPr>
      </w:pPr>
      <w:r/>
      <w:bookmarkStart w:id="60" w:name="EBbc6d2ab378c5413598f314d1f7af5109"/>
      <w:r/>
      <w:bookmarkEnd w:id="60"/>
      <w:r>
        <w:rPr>
          <w:rFonts w:hint="eastAsia" w:ascii="宋体" w:hAnsi="宋体" w:eastAsia="宋体" w:cs="宋体"/>
          <w:sz w:val="24"/>
          <w:szCs w:val="24"/>
          <w:highlight w:val="none"/>
        </w:rPr>
        <w:t xml:space="preserve">18.9 投标人代表如对开标过程和开标记录有疑义，以及认为采购人、采购代理机构相关工作人员有需要回避的情形的，应在主持人发布确认指令后</w:t>
      </w:r>
      <w:r>
        <w:rPr>
          <w:rFonts w:hint="eastAsia" w:ascii="宋体" w:hAnsi="宋体" w:eastAsia="宋体" w:cs="宋体"/>
          <w:color w:val="000000"/>
          <w:sz w:val="24"/>
          <w:szCs w:val="24"/>
          <w:highlight w:val="none"/>
        </w:rPr>
        <w:t xml:space="preserve">3分钟内提出</w:t>
      </w:r>
      <w:r>
        <w:rPr>
          <w:rFonts w:hint="eastAsia" w:ascii="宋体" w:hAnsi="宋体" w:eastAsia="宋体" w:cs="宋体"/>
          <w:sz w:val="24"/>
          <w:szCs w:val="24"/>
          <w:highlight w:val="none"/>
        </w:rPr>
        <w:t xml:space="preserve">询问或者回避申请。采购人、采购代理机构将及时处理投标人代表提出的询问或者回避申请。如在规定时间内未提出，视同认可开标结果。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 投标人须配合开标工作，否则一切后果由投标人自行承担。</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19．投标人资格审查</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开标结束后，采购人或者采购代理机构将依法对投标人的资格进行审查。</w:t>
      </w:r>
      <w:r>
        <w:rPr>
          <w:rFonts w:hint="eastAsia" w:ascii="宋体" w:hAnsi="宋体" w:eastAsia="宋体" w:cs="宋体"/>
          <w:b/>
          <w:sz w:val="24"/>
          <w:szCs w:val="24"/>
          <w:highlight w:val="none"/>
        </w:rPr>
        <w:t xml:space="preserve">合格投标人不足3家的，不进入后续程序。</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20．评标委员会组成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评标委员会将由采购人代表和评审专家组成，成员人数为</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人或</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人以上单数。</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21．投标人符合性审查</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评标委员会将按照招标文件第</w:t>
      </w:r>
      <w:r>
        <w:rPr>
          <w:rFonts w:hint="eastAsia" w:ascii="宋体" w:hAnsi="宋体" w:eastAsia="宋体" w:cs="宋体"/>
          <w:sz w:val="24"/>
          <w:szCs w:val="24"/>
          <w:highlight w:val="none"/>
          <w:lang w:val="en-US"/>
        </w:rPr>
        <w:t xml:space="preserve">三</w:t>
      </w:r>
      <w:r>
        <w:rPr>
          <w:rFonts w:hint="eastAsia" w:ascii="宋体" w:hAnsi="宋体" w:eastAsia="宋体" w:cs="宋体"/>
          <w:sz w:val="24"/>
          <w:szCs w:val="24"/>
          <w:highlight w:val="none"/>
        </w:rPr>
        <w:t xml:space="preserve">部分“评标办法和</w:t>
      </w:r>
      <w:r>
        <w:rPr>
          <w:rFonts w:hint="eastAsia" w:ascii="宋体" w:hAnsi="宋体" w:eastAsia="宋体" w:cs="宋体"/>
          <w:color w:val="000000"/>
          <w:sz w:val="24"/>
          <w:szCs w:val="24"/>
          <w:highlight w:val="none"/>
        </w:rPr>
        <w:t xml:space="preserve">评标</w:t>
      </w:r>
      <w:r>
        <w:rPr>
          <w:rFonts w:hint="eastAsia" w:ascii="宋体" w:hAnsi="宋体" w:eastAsia="宋体" w:cs="宋体"/>
          <w:sz w:val="24"/>
          <w:szCs w:val="24"/>
          <w:highlight w:val="none"/>
        </w:rPr>
        <w:t xml:space="preserve">标准”第7项规定对通过资格审查的投标人的投标文件进行符合性审查，以确定是否满足招标文件的实质性要求。</w:t>
      </w:r>
      <w:r>
        <w:rPr>
          <w:rFonts w:hint="eastAsia" w:ascii="宋体" w:hAnsi="宋体" w:eastAsia="宋体" w:cs="宋体"/>
          <w:b/>
          <w:sz w:val="24"/>
          <w:szCs w:val="24"/>
          <w:highlight w:val="none"/>
        </w:rPr>
        <w:t xml:space="preserve">符合性审查合格投标人不足3家的，不进入详细评审环节。</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投标文件澄清</w:t>
      </w:r>
      <w:r/>
    </w:p>
    <w:p>
      <w:pPr>
        <w:ind w:firstLine="480"/>
        <w:spacing w:line="360" w:lineRule="auto"/>
        <w:rPr>
          <w:rFonts w:hint="eastAsia" w:ascii="宋体" w:hAnsi="宋体" w:eastAsia="宋体" w:cs="宋体"/>
          <w:sz w:val="24"/>
          <w:szCs w:val="24"/>
          <w:highlight w:val="none"/>
        </w:rPr>
      </w:pPr>
      <w:r/>
      <w:bookmarkStart w:id="61" w:name="EB99af4cd0166b4b5c89d041fc7af24d33"/>
      <w:r/>
      <w:bookmarkEnd w:id="61"/>
      <w:r/>
      <w:bookmarkStart w:id="62" w:name="EBce798fe4ca2942af8875b521a2b35f0c"/>
      <w:r/>
      <w:bookmarkEnd w:id="62"/>
      <w:r>
        <w:rPr>
          <w:rFonts w:hint="eastAsia" w:ascii="宋体" w:hAnsi="宋体" w:eastAsia="宋体" w:cs="宋体"/>
          <w:sz w:val="24"/>
          <w:szCs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w:t>
      </w:r>
      <w:r>
        <w:rPr>
          <w:rFonts w:hint="eastAsia" w:ascii="宋体" w:hAnsi="宋体" w:eastAsia="宋体" w:cs="宋体"/>
          <w:b/>
          <w:sz w:val="24"/>
          <w:szCs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22．无效投标的情形</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无效投标的情形见本招标文件第</w:t>
      </w:r>
      <w:r>
        <w:rPr>
          <w:rFonts w:hint="eastAsia" w:ascii="宋体" w:hAnsi="宋体" w:eastAsia="宋体" w:cs="宋体"/>
          <w:sz w:val="24"/>
          <w:szCs w:val="24"/>
          <w:highlight w:val="none"/>
          <w:lang w:val="en-US"/>
        </w:rPr>
        <w:t xml:space="preserve">三</w:t>
      </w:r>
      <w:r>
        <w:rPr>
          <w:rFonts w:hint="eastAsia" w:ascii="宋体" w:hAnsi="宋体" w:eastAsia="宋体" w:cs="宋体"/>
          <w:sz w:val="24"/>
          <w:szCs w:val="24"/>
          <w:highlight w:val="none"/>
        </w:rPr>
        <w:t xml:space="preserve">部分“评标办法和</w:t>
      </w:r>
      <w:r>
        <w:rPr>
          <w:rFonts w:hint="eastAsia" w:ascii="宋体" w:hAnsi="宋体" w:eastAsia="宋体" w:cs="宋体"/>
          <w:color w:val="000000"/>
          <w:sz w:val="24"/>
          <w:szCs w:val="24"/>
          <w:highlight w:val="none"/>
        </w:rPr>
        <w:t xml:space="preserve">评标</w:t>
      </w:r>
      <w:r>
        <w:rPr>
          <w:rFonts w:hint="eastAsia" w:ascii="宋体" w:hAnsi="宋体" w:eastAsia="宋体" w:cs="宋体"/>
          <w:sz w:val="24"/>
          <w:szCs w:val="24"/>
          <w:highlight w:val="none"/>
        </w:rPr>
        <w:t xml:space="preserve">标准”第7项规定。</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23．投标文件详细评审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评标委员会将按照招标文件第</w:t>
      </w:r>
      <w:r>
        <w:rPr>
          <w:rFonts w:hint="eastAsia" w:ascii="宋体" w:hAnsi="宋体" w:eastAsia="宋体" w:cs="宋体"/>
          <w:sz w:val="24"/>
          <w:szCs w:val="24"/>
          <w:highlight w:val="none"/>
          <w:lang w:val="en-US"/>
        </w:rPr>
        <w:t xml:space="preserve">三</w:t>
      </w:r>
      <w:r>
        <w:rPr>
          <w:rFonts w:hint="eastAsia" w:ascii="宋体" w:hAnsi="宋体" w:eastAsia="宋体" w:cs="宋体"/>
          <w:sz w:val="24"/>
          <w:szCs w:val="24"/>
          <w:highlight w:val="none"/>
        </w:rPr>
        <w:t xml:space="preserve">部分“评标办法和</w:t>
      </w:r>
      <w:r>
        <w:rPr>
          <w:rFonts w:hint="eastAsia" w:ascii="宋体" w:hAnsi="宋体" w:eastAsia="宋体" w:cs="宋体"/>
          <w:color w:val="000000"/>
          <w:sz w:val="24"/>
          <w:szCs w:val="24"/>
          <w:highlight w:val="none"/>
        </w:rPr>
        <w:t xml:space="preserve">评标</w:t>
      </w:r>
      <w:r>
        <w:rPr>
          <w:rFonts w:hint="eastAsia" w:ascii="宋体" w:hAnsi="宋体" w:eastAsia="宋体" w:cs="宋体"/>
          <w:sz w:val="24"/>
          <w:szCs w:val="24"/>
          <w:highlight w:val="none"/>
        </w:rPr>
        <w:t xml:space="preserve">标准”第8项规定，对符合性审查合格的投标文件进行商务、技术和价格评估，综合比较与评价。</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串通投标的情形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有下列情形之一的，视为投标人串通投标，投标无效：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（5）不同投标人的投标文件相互混装。</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25．评标过程的保密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在评标过程中，如果投标人试图在投标文件审查、澄清、比较及授标建议等方面向招标组织方或参加评标的人员施加任何影响，都将会导致其投标无效。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w:t>
      </w:r>
      <w:r>
        <w:rPr>
          <w:rFonts w:hint="eastAsia" w:ascii="宋体" w:hAnsi="宋体" w:eastAsia="宋体" w:cs="宋体"/>
          <w:b/>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26．废标的情形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出现下列情形之一的，将予废标：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（1）符合专业条件的供应商或者对招标文件作实质响应的供应商不足三家的；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（3）投标人的报价均超过了采购预算，采购人不能支付的；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废标后，采购人应当将废标理由通知所有投标人。</w:t>
      </w:r>
      <w:r/>
    </w:p>
    <w:p>
      <w:pPr>
        <w:pStyle w:val="1002"/>
        <w:ind w:left="0"/>
        <w:jc w:val="center"/>
        <w:spacing w:line="360" w:lineRule="auto"/>
        <w:tabs>
          <w:tab w:val="clear" w:pos="567" w:leader="none"/>
        </w:tabs>
        <w:rPr>
          <w:rFonts w:hint="eastAsia" w:ascii="宋体" w:hAnsi="宋体" w:eastAsia="宋体" w:cs="宋体"/>
          <w:b/>
          <w:sz w:val="24"/>
          <w:szCs w:val="24"/>
          <w:highlight w:val="none"/>
        </w:rPr>
      </w:pPr>
      <w:r/>
      <w:bookmarkStart w:id="63" w:name="_Toc256000014"/>
      <w:r/>
      <w:bookmarkEnd w:id="63"/>
      <w:r>
        <w:rPr>
          <w:rFonts w:hint="eastAsia" w:ascii="宋体" w:hAnsi="宋体" w:eastAsia="宋体" w:cs="宋体"/>
          <w:b/>
          <w:sz w:val="24"/>
          <w:szCs w:val="24"/>
          <w:highlight w:val="none"/>
        </w:rPr>
        <w:t xml:space="preserve">五、确定结果</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27.确定中标人</w:t>
      </w:r>
      <w:r/>
    </w:p>
    <w:p>
      <w:pPr>
        <w:ind w:firstLine="480"/>
        <w:spacing w:line="360" w:lineRule="auto"/>
        <w:rPr>
          <w:rFonts w:hint="eastAsia" w:ascii="宋体" w:hAnsi="宋体" w:eastAsia="宋体" w:cs="宋体"/>
          <w:color w:val="000000"/>
          <w:sz w:val="24"/>
          <w:szCs w:val="24"/>
          <w:highlight w:val="none"/>
        </w:rPr>
      </w:pPr>
      <w:r/>
      <w:bookmarkStart w:id="64" w:name="EBdca946ccd46544908a445026ac0d1e88"/>
      <w:r/>
      <w:bookmarkEnd w:id="64"/>
      <w:r>
        <w:rPr>
          <w:rFonts w:hint="eastAsia" w:ascii="宋体" w:hAnsi="宋体" w:eastAsia="宋体" w:cs="宋体"/>
          <w:color w:val="000000"/>
          <w:sz w:val="24"/>
          <w:szCs w:val="24"/>
          <w:highlight w:val="none"/>
        </w:rPr>
        <w:t xml:space="preserve">27.1采购人自收到评标报告之日起5个工作日内，在评标报告确定的中标候选人名单中按顺序确定中标人。中标候选人并列的，按《政府采购货物和服务招标投标管理办法》（财政部87号令）相关规定执行。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rPr>
        <w:t xml:space="preserve">27.2</w:t>
      </w:r>
      <w:r>
        <w:rPr>
          <w:rFonts w:hint="eastAsia" w:ascii="宋体" w:hAnsi="宋体" w:eastAsia="宋体" w:cs="宋体"/>
          <w:sz w:val="24"/>
          <w:szCs w:val="24"/>
          <w:highlight w:val="none"/>
        </w:rPr>
        <w:t xml:space="preserve">成交供应商拒绝与采购人签订合同，或因不可抗力或者自身原因不能履行政府采购合同</w:t>
      </w:r>
      <w:r>
        <w:rPr>
          <w:rFonts w:hint="eastAsia" w:ascii="宋体" w:hAnsi="宋体" w:eastAsia="宋体" w:cs="宋体"/>
          <w:sz w:val="24"/>
          <w:szCs w:val="24"/>
          <w:highlight w:val="none"/>
          <w:lang w:val="en-US"/>
        </w:rPr>
        <w:t xml:space="preserve">或</w:t>
      </w:r>
      <w:r>
        <w:rPr>
          <w:rFonts w:hint="eastAsia" w:ascii="宋体" w:hAnsi="宋体" w:eastAsia="宋体" w:cs="宋体"/>
          <w:sz w:val="24"/>
          <w:szCs w:val="24"/>
          <w:highlight w:val="none"/>
        </w:rPr>
        <w:t xml:space="preserve">者</w:t>
      </w:r>
      <w:r>
        <w:rPr>
          <w:rFonts w:hint="eastAsia" w:ascii="宋体" w:hAnsi="宋体" w:eastAsia="宋体" w:cs="宋体"/>
          <w:sz w:val="24"/>
          <w:szCs w:val="24"/>
          <w:highlight w:val="none"/>
          <w:lang w:val="en-US"/>
        </w:rPr>
        <w:t xml:space="preserve">不能满足合同（招标文件）所规定要求的</w:t>
      </w:r>
      <w:r>
        <w:rPr>
          <w:rFonts w:hint="eastAsia" w:ascii="宋体" w:hAnsi="宋体" w:eastAsia="宋体" w:cs="宋体"/>
          <w:sz w:val="24"/>
          <w:szCs w:val="24"/>
          <w:highlight w:val="none"/>
        </w:rPr>
        <w:t xml:space="preserve">，采购人可以按照评审报告推荐的成交候选人名单排序，确定下一候选人为成交供应商，也可以重新开展政府采购活动。</w:t>
      </w:r>
      <w:r/>
    </w:p>
    <w:p>
      <w:pPr>
        <w:pStyle w:val="1002"/>
        <w:ind w:left="0"/>
        <w:jc w:val="center"/>
        <w:spacing w:line="360" w:lineRule="auto"/>
        <w:tabs>
          <w:tab w:val="clear" w:pos="567" w:leader="none"/>
        </w:tabs>
        <w:rPr>
          <w:rFonts w:hint="eastAsia" w:ascii="宋体" w:hAnsi="宋体" w:eastAsia="宋体" w:cs="宋体"/>
          <w:b/>
          <w:sz w:val="24"/>
          <w:szCs w:val="24"/>
          <w:highlight w:val="none"/>
        </w:rPr>
      </w:pPr>
      <w:r/>
      <w:bookmarkStart w:id="65" w:name="_Toc256000015"/>
      <w:r/>
      <w:bookmarkEnd w:id="65"/>
      <w:r>
        <w:rPr>
          <w:rFonts w:hint="eastAsia" w:ascii="宋体" w:hAnsi="宋体" w:eastAsia="宋体" w:cs="宋体"/>
          <w:b/>
          <w:sz w:val="24"/>
          <w:szCs w:val="24"/>
          <w:highlight w:val="none"/>
        </w:rPr>
        <w:t xml:space="preserve">六、授予合同</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28．中标通知书</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中标通知书发出后，采购人不得违法改变中标结果，中标人无正当理由不得放弃中标。</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29．履约保证金</w:t>
      </w:r>
      <w:r/>
    </w:p>
    <w:p>
      <w:pPr>
        <w:pStyle w:val="996"/>
        <w:ind w:firstLine="480"/>
        <w:spacing w:line="360" w:lineRule="auto"/>
        <w:widowControl/>
        <w:rPr>
          <w:rFonts w:hint="eastAsia" w:ascii="宋体" w:hAnsi="宋体" w:eastAsia="宋体" w:cs="宋体"/>
          <w:szCs w:val="24"/>
          <w:highlight w:val="none"/>
        </w:rPr>
      </w:pPr>
      <w:r>
        <w:rPr>
          <w:rFonts w:hint="eastAsia" w:ascii="宋体" w:hAnsi="宋体" w:eastAsia="宋体" w:cs="宋体"/>
          <w:b/>
          <w:bCs/>
          <w:color w:val="000000"/>
          <w:szCs w:val="24"/>
          <w:highlight w:val="none"/>
          <w:u w:val="single"/>
        </w:rPr>
        <w:t xml:space="preserve">29.1 </w:t>
      </w:r>
      <w:r>
        <w:rPr>
          <w:rFonts w:hint="eastAsia" w:ascii="宋体" w:hAnsi="宋体" w:eastAsia="宋体" w:cs="宋体"/>
          <w:color w:val="000000"/>
          <w:sz w:val="24"/>
          <w:szCs w:val="24"/>
          <w:highlight w:val="none"/>
          <w:lang w:val="en-US"/>
        </w:rPr>
        <w:t xml:space="preserve">本项目不收取履约保证金。</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30．签订合同</w:t>
      </w:r>
      <w:r/>
    </w:p>
    <w:p>
      <w:pPr>
        <w:ind w:firstLine="480"/>
        <w:spacing w:line="360" w:lineRule="auto"/>
        <w:rPr>
          <w:rFonts w:hint="eastAsia" w:ascii="宋体" w:hAnsi="宋体" w:eastAsia="宋体" w:cs="宋体"/>
          <w:sz w:val="24"/>
          <w:szCs w:val="24"/>
          <w:highlight w:val="none"/>
        </w:rPr>
      </w:pPr>
      <w:r/>
      <w:bookmarkStart w:id="66" w:name="EB51f10b0400174b428b9ac0d3bc071cc9"/>
      <w:r/>
      <w:bookmarkEnd w:id="66"/>
      <w:r>
        <w:rPr>
          <w:rFonts w:hint="eastAsia" w:ascii="宋体" w:hAnsi="宋体" w:eastAsia="宋体" w:cs="宋体"/>
          <w:sz w:val="24"/>
          <w:szCs w:val="24"/>
          <w:highlight w:val="none"/>
        </w:rPr>
        <w:t xml:space="preserve">30.1 采购人应当自中标通知书发出之日起</w:t>
      </w:r>
      <w:r>
        <w:rPr>
          <w:rFonts w:hint="eastAsia" w:ascii="宋体" w:hAnsi="宋体" w:eastAsia="宋体" w:cs="宋体"/>
          <w:color w:val="0000ff"/>
          <w:sz w:val="24"/>
          <w:szCs w:val="24"/>
          <w:highlight w:val="none"/>
        </w:rPr>
        <w:t xml:space="preserve">15</w:t>
      </w:r>
      <w:r>
        <w:rPr>
          <w:rFonts w:hint="eastAsia" w:ascii="宋体" w:hAnsi="宋体" w:eastAsia="宋体" w:cs="宋体"/>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szCs w:val="24"/>
          <w:highlight w:val="none"/>
        </w:rPr>
      </w:pPr>
      <w:r/>
      <w:bookmarkStart w:id="67" w:name="EBdf0bbf4340b043298f95df6df139de47"/>
      <w:r/>
      <w:bookmarkEnd w:id="67"/>
      <w:r>
        <w:rPr>
          <w:rFonts w:hint="eastAsia" w:ascii="宋体" w:hAnsi="宋体" w:eastAsia="宋体" w:cs="宋体"/>
          <w:sz w:val="24"/>
          <w:szCs w:val="24"/>
          <w:highlight w:val="none"/>
        </w:rPr>
        <w:t xml:space="preserve">30.4 采购人与中标人应当根据合同的约定依法履行合同义务。政府采购合同的履行、违约责任和解决争议的方法等适用</w:t>
      </w:r>
      <w:r>
        <w:rPr>
          <w:rFonts w:hint="eastAsia" w:ascii="宋体" w:hAnsi="宋体" w:eastAsia="宋体" w:cs="宋体"/>
          <w:color w:val="000000"/>
          <w:sz w:val="24"/>
          <w:szCs w:val="24"/>
          <w:highlight w:val="none"/>
        </w:rPr>
        <w:t xml:space="preserve">《中华人民共和国民法典》。</w:t>
      </w:r>
      <w:r/>
    </w:p>
    <w:p>
      <w:pPr>
        <w:pStyle w:val="1002"/>
        <w:ind w:left="0"/>
        <w:jc w:val="center"/>
        <w:spacing w:line="360" w:lineRule="auto"/>
        <w:tabs>
          <w:tab w:val="clear" w:pos="567" w:leader="none"/>
        </w:tabs>
        <w:rPr>
          <w:rFonts w:hint="eastAsia" w:ascii="宋体" w:hAnsi="宋体" w:eastAsia="宋体" w:cs="宋体"/>
          <w:b/>
          <w:sz w:val="24"/>
          <w:szCs w:val="24"/>
          <w:highlight w:val="none"/>
        </w:rPr>
      </w:pPr>
      <w:r/>
      <w:bookmarkStart w:id="68" w:name="_Toc256000016"/>
      <w:r/>
      <w:bookmarkEnd w:id="68"/>
      <w:r>
        <w:rPr>
          <w:rFonts w:hint="eastAsia" w:ascii="宋体" w:hAnsi="宋体" w:eastAsia="宋体" w:cs="宋体"/>
          <w:b/>
          <w:sz w:val="24"/>
          <w:szCs w:val="24"/>
          <w:highlight w:val="none"/>
        </w:rPr>
        <w:t xml:space="preserve">七、询问、质疑、投诉</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31．询问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993"/>
        <w:ind w:firstLine="357"/>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32．质疑</w:t>
      </w:r>
      <w:r/>
    </w:p>
    <w:p>
      <w:pPr>
        <w:ind w:firstLine="480"/>
        <w:spacing w:line="360" w:lineRule="auto"/>
        <w:rPr>
          <w:rFonts w:hint="eastAsia" w:ascii="宋体" w:hAnsi="宋体" w:eastAsia="宋体" w:cs="宋体"/>
          <w:sz w:val="24"/>
          <w:szCs w:val="24"/>
          <w:highlight w:val="none"/>
        </w:rPr>
      </w:pPr>
      <w:r/>
      <w:bookmarkStart w:id="69" w:name="EB75d6c764710d447b9846155e344f34c3"/>
      <w:r/>
      <w:bookmarkEnd w:id="69"/>
      <w:r/>
      <w:bookmarkStart w:id="70" w:name="EBc009ea791f4043b799a93614ad7db346"/>
      <w:r/>
      <w:bookmarkEnd w:id="70"/>
      <w:r>
        <w:rPr>
          <w:rFonts w:hint="eastAsia" w:ascii="宋体" w:hAnsi="宋体" w:eastAsia="宋体" w:cs="宋体"/>
          <w:sz w:val="24"/>
          <w:szCs w:val="24"/>
          <w:highlight w:val="non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以上规定的供应商应知其权益受到损害之日，是指：</w:t>
      </w:r>
      <w:r/>
    </w:p>
    <w:p>
      <w:p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w:t>
      </w:r>
      <w:r/>
    </w:p>
    <w:p>
      <w:p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（3）对中标结果提出质疑的，为中标结果公告期限届满之日。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sz w:val="24"/>
          <w:szCs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000000"/>
          <w:sz w:val="24"/>
          <w:szCs w:val="24"/>
          <w:highlight w:val="none"/>
        </w:rPr>
      </w:pPr>
      <w:r/>
      <w:bookmarkStart w:id="71" w:name="EB5edbbd8b303840bdb3b55af5a67538d7"/>
      <w:r/>
      <w:bookmarkEnd w:id="71"/>
      <w:r>
        <w:rPr>
          <w:rFonts w:hint="eastAsia" w:ascii="宋体" w:hAnsi="宋体" w:eastAsia="宋体" w:cs="宋体"/>
          <w:color w:val="000000"/>
          <w:sz w:val="24"/>
          <w:szCs w:val="24"/>
          <w:highlight w:val="none"/>
        </w:rPr>
        <w:t xml:space="preserve">32.4 市本级集中采购项目质疑流程及注意事项见“镇江市公共资源交易服务平台—政府采购”网站首页-质疑渠道（http://zfcg.ggzy.zhenjiang.gov.cn/zjzc/cghd/015001/）。</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 采购人、采购代理机构不得拒收质疑供应商在法定质疑期内发出的质疑函，应当在收到质疑函后7个工作日内作出答复，并以书面形式通知质疑供应商和其他有关供应商。</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33．投诉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pStyle w:val="1002"/>
        <w:ind w:left="0"/>
        <w:jc w:val="center"/>
        <w:spacing w:line="360" w:lineRule="auto"/>
        <w:tabs>
          <w:tab w:val="clear" w:pos="567" w:leader="none"/>
        </w:tabs>
        <w:rPr>
          <w:rFonts w:hint="eastAsia" w:ascii="宋体" w:hAnsi="宋体" w:eastAsia="宋体" w:cs="宋体"/>
          <w:b/>
          <w:bCs/>
          <w:color w:val="000000"/>
          <w:sz w:val="24"/>
          <w:szCs w:val="24"/>
          <w:highlight w:val="none"/>
        </w:rPr>
      </w:pPr>
      <w:r/>
      <w:bookmarkStart w:id="72" w:name="_Toc256000017"/>
      <w:r/>
      <w:bookmarkEnd w:id="72"/>
      <w:r>
        <w:rPr>
          <w:rFonts w:hint="eastAsia" w:ascii="宋体" w:hAnsi="宋体" w:eastAsia="宋体" w:cs="宋体"/>
          <w:b/>
          <w:bCs/>
          <w:color w:val="000000"/>
          <w:sz w:val="24"/>
          <w:szCs w:val="24"/>
          <w:highlight w:val="none"/>
        </w:rPr>
        <w:t xml:space="preserve">八、诚实信用和解释权</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34．诚实信用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 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 投标人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 投标人不得虚假承诺，否则，按照提供虚假材料谋取中标处理。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34.4 投标人应自觉遵守开标、评标纪律，扰乱开标评标现场秩序的，属于失信行为，根据《江苏省政府采购供应商监督管理暂行办法》，失信行为将被记入供应商诚信档案。</w:t>
      </w:r>
      <w:r/>
    </w:p>
    <w:p>
      <w:pPr>
        <w:ind w:firstLine="480"/>
        <w:spacing w:line="360" w:lineRule="auto"/>
        <w:rPr>
          <w:rFonts w:hint="eastAsia" w:ascii="宋体" w:hAnsi="宋体" w:eastAsia="宋体" w:cs="宋体"/>
          <w:color w:val="000000"/>
          <w:sz w:val="24"/>
          <w:szCs w:val="24"/>
          <w:highlight w:val="none"/>
        </w:rPr>
      </w:pPr>
      <w:r/>
      <w:bookmarkStart w:id="73" w:name="EB750503b1ab6b421ea4462b758ba36503"/>
      <w:r/>
      <w:bookmarkEnd w:id="73"/>
      <w:r/>
      <w:bookmarkStart w:id="74" w:name="EB3e65db3648f140a59630270bce16d7ca"/>
      <w:r/>
      <w:bookmarkEnd w:id="74"/>
      <w:r>
        <w:rPr>
          <w:rFonts w:hint="eastAsia" w:ascii="宋体" w:hAnsi="宋体" w:eastAsia="宋体" w:cs="宋体"/>
          <w:color w:val="000000"/>
          <w:sz w:val="24"/>
          <w:szCs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投标人进行信用记录查</w:t>
      </w:r>
      <w:r>
        <w:rPr>
          <w:rFonts w:hint="eastAsia" w:ascii="宋体" w:hAnsi="宋体" w:eastAsia="宋体" w:cs="宋体"/>
          <w:color w:val="000000"/>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供应商）应当拒绝其参与政府采购活动。</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35．解释权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除相关法律、法规规定外，本招标文件的解释权归江苏隆信项目管理有限公司所有。</w:t>
      </w:r>
      <w:r/>
    </w:p>
    <w:p>
      <w:pPr>
        <w:pStyle w:val="993"/>
        <w:ind w:firstLine="357"/>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36．适用法律及约束力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w:t>
      </w:r>
      <w:r>
        <w:rPr>
          <w:rFonts w:hint="eastAsia" w:ascii="宋体" w:hAnsi="宋体" w:eastAsia="宋体" w:cs="宋体"/>
          <w:b/>
          <w:color w:val="000000"/>
          <w:sz w:val="24"/>
          <w:szCs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36.2 本次招标及由本次招标产生的合同受中华人民共和国法律制约和保护。</w:t>
      </w:r>
      <w:r/>
    </w:p>
    <w:p>
      <w:pPr>
        <w:pStyle w:val="1006"/>
        <w:ind w:firstLine="643"/>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第三章</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rPr>
        <w:t xml:space="preserve">评标办法和评标标准</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1.招标组织方职责</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招标组织方负责组织评标工作，并履行下列职责：</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（2）宣布评标纪律；</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（3）公布投标人名单，告知评审专家应当回避的情形；</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（4）组织评标委员会推选评标组长，采购人代表不得担任组长；</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（5）在评标期间采取必要的通讯管理措施，保证评标活动不受外界干扰；</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（6）根据评标委员会的要求介绍政府采购相关政策法规、招标文件；</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w:t>
      </w:r>
      <w:r/>
    </w:p>
    <w:p>
      <w:pPr>
        <w:pStyle w:val="100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（10）处理与评标有关的其他事项。</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2.评标委员会职责</w:t>
      </w:r>
      <w:r/>
    </w:p>
    <w:p>
      <w:pPr>
        <w:pStyle w:val="100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评标委员会负责具体评标事务，并独立履行下列职责：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（4）确定中标候选人名单，以及根据采购人委托直接确定中标人；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（5）向采购人、采购代理机构或者有关部门报告评标中发现的违法行为。</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3.评标注意事项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评标时，评标委员会各成员应当独立对每个投标人的投标文件进行评价，并汇总每个投标人的得分。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w:t>
      </w:r>
      <w:r>
        <w:rPr>
          <w:rFonts w:hint="eastAsia" w:ascii="宋体" w:hAnsi="宋体" w:eastAsia="宋体" w:cs="宋体"/>
          <w:b/>
          <w:sz w:val="24"/>
          <w:szCs w:val="24"/>
          <w:highlight w:val="non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评标委员会及其成员不得有下列行为：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（1）确定参与评标至评标结束前私自接触投标人；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（2）接受投标人提出的与投标文件不一致的澄清或者说明，《政府采购货物和服务招标投标管理办法》（财政部87号令）第五十一条规定的情形除外；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（3）违反评标纪律发表倾向性意见或者征询采购人的倾向性意见；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（4）对需要专业判断的主观评审因素协商评分；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（5）在评标过程中擅离职守，影响评标程序正常进行；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（6）记录、复制或者带走任何评标资料；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（7）其他不遵守评标纪律的行为。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评标委员会成员有上述第一至五项行为之一的，其评审意见无效，并不得获取评审劳务报酬和报销异地评审差旅费。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4.评标过程的保密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在评标过程中，如果投标人试图在投标文件审查、澄清、比较及授标建议等方面向招标组织方或参加评标的人员施加任何影响，都将会导致其投标无效。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w:t>
      </w:r>
      <w:r>
        <w:rPr>
          <w:rFonts w:hint="eastAsia" w:ascii="宋体" w:hAnsi="宋体" w:eastAsia="宋体" w:cs="宋体"/>
          <w:b/>
          <w:sz w:val="24"/>
          <w:szCs w:val="24"/>
          <w:highlight w:val="non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5.报价前后不一致的处理原则</w:t>
      </w:r>
      <w:r/>
    </w:p>
    <w:p>
      <w:pPr>
        <w:ind w:firstLine="480"/>
        <w:spacing w:line="360" w:lineRule="auto"/>
        <w:rPr>
          <w:rFonts w:hint="eastAsia" w:ascii="宋体" w:hAnsi="宋体" w:eastAsia="宋体" w:cs="宋体"/>
          <w:color w:val="000000"/>
          <w:sz w:val="24"/>
          <w:szCs w:val="24"/>
          <w:highlight w:val="none"/>
        </w:rPr>
      </w:pPr>
      <w:r/>
      <w:bookmarkStart w:id="75" w:name="EB6121af000f414d10a5df9d964b664ff4"/>
      <w:r/>
      <w:bookmarkEnd w:id="75"/>
      <w:r>
        <w:rPr>
          <w:rFonts w:hint="eastAsia" w:ascii="宋体" w:hAnsi="宋体" w:eastAsia="宋体" w:cs="宋体"/>
          <w:color w:val="000000"/>
          <w:sz w:val="24"/>
          <w:szCs w:val="24"/>
          <w:highlight w:val="none"/>
        </w:rPr>
        <w:t xml:space="preserve">5.1 投标文件</w:t>
      </w:r>
      <w:r>
        <w:rPr>
          <w:rFonts w:hint="eastAsia" w:ascii="宋体" w:hAnsi="宋体" w:eastAsia="宋体" w:cs="宋体"/>
          <w:color w:val="000000"/>
          <w:sz w:val="24"/>
          <w:szCs w:val="24"/>
          <w:highlight w:val="none"/>
        </w:rPr>
        <w:t xml:space="preserve">报价出现前后不一致的，按照下列规定修正：（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6.投标人资格审查</w:t>
      </w:r>
      <w:r/>
    </w:p>
    <w:p>
      <w:pPr>
        <w:ind w:firstLine="480"/>
        <w:spacing w:line="360" w:lineRule="auto"/>
        <w:widowControl/>
        <w:rPr>
          <w:rFonts w:hint="eastAsia" w:ascii="宋体" w:hAnsi="宋体" w:eastAsia="宋体" w:cs="宋体"/>
          <w:color w:val="000080"/>
          <w:sz w:val="24"/>
          <w:szCs w:val="24"/>
          <w:highlight w:val="none"/>
        </w:rPr>
      </w:pPr>
      <w:r/>
      <w:bookmarkStart w:id="76" w:name="EBcffa9cb43a10400db96afc335b3717bc"/>
      <w:r/>
      <w:bookmarkEnd w:id="76"/>
      <w:r/>
      <w:bookmarkStart w:id="77" w:name="EB1df2d3c7f73f4d72bb0f95c23ab2d868"/>
      <w:r/>
      <w:bookmarkEnd w:id="77"/>
      <w:r>
        <w:rPr>
          <w:rFonts w:hint="eastAsia" w:ascii="宋体" w:hAnsi="宋体" w:eastAsia="宋体" w:cs="宋体"/>
          <w:color w:val="0000ff"/>
          <w:sz w:val="24"/>
          <w:szCs w:val="24"/>
          <w:highlight w:val="none"/>
        </w:rPr>
        <w:t xml:space="preserve">☑</w:t>
      </w:r>
      <w:r>
        <w:rPr>
          <w:rFonts w:hint="eastAsia" w:ascii="宋体" w:hAnsi="宋体" w:eastAsia="宋体" w:cs="宋体"/>
          <w:sz w:val="24"/>
          <w:szCs w:val="24"/>
          <w:highlight w:val="none"/>
        </w:rPr>
        <w:t xml:space="preserve">6.1 采用资格后审方式</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开标结束后，采购人或代理机构将依法对投标人的资格进行审查。资格审查的内容如下：</w:t>
      </w:r>
      <w:r/>
    </w:p>
    <w:tbl>
      <w:tblPr>
        <w:tblStyle w:val="977"/>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7"/>
        <w:gridCol w:w="3773"/>
        <w:gridCol w:w="5565"/>
      </w:tblGrid>
      <w:tr>
        <w:trPr>
          <w:jc w:val="center"/>
          <w:trHeight w:val="396"/>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78" w:name="EB76e93c9c12884dc59b6275fa7ca610ca"/>
            <w:r>
              <w:rPr>
                <w:rFonts w:hint="eastAsia" w:ascii="宋体" w:hAnsi="宋体" w:eastAsia="宋体" w:cs="宋体"/>
                <w:color w:val="auto"/>
                <w:sz w:val="24"/>
                <w:szCs w:val="24"/>
                <w:highlight w:val="none"/>
              </w:rPr>
              <w:t xml:space="preserve">序号</w:t>
            </w:r>
            <w:r/>
          </w:p>
        </w:tc>
        <w:tc>
          <w:tcPr>
            <w:tcW w:w="37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审查要素</w:t>
            </w:r>
            <w:r/>
          </w:p>
        </w:tc>
        <w:tc>
          <w:tcPr>
            <w:tcW w:w="55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审查内容</w:t>
            </w:r>
            <w:r/>
          </w:p>
        </w:tc>
      </w:tr>
      <w:tr>
        <w:trPr>
          <w:jc w:val="center"/>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提供法人或者其他组织的营业执照等证明文件扫描件；投标人为自然人的，提供其身份证扫描件</w:t>
            </w:r>
            <w:r/>
          </w:p>
        </w:tc>
      </w:tr>
      <w:tr>
        <w:trPr>
          <w:jc w:val="center"/>
          <w:trHeight w:val="1619"/>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rPr>
              <w:t xml:space="preserve">2023</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年度财务报告，成立不满一年的提供至少一个月财务报告，或银行出具的资信证明，或财政部门认可的政府采购专业担保机构出具的投标担保函等，或资格承诺函</w:t>
            </w:r>
            <w:r/>
          </w:p>
        </w:tc>
      </w:tr>
      <w:tr>
        <w:trPr>
          <w:jc w:val="center"/>
          <w:trHeight w:val="90"/>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具有履行合同所必需的设备和专业技术能力</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提供具备履行合同所必需的设备和专业技术能力的资格书面承诺函</w:t>
            </w:r>
            <w:r/>
          </w:p>
        </w:tc>
      </w:tr>
      <w:tr>
        <w:trPr>
          <w:jc w:val="center"/>
          <w:trHeight w:val="1310"/>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有依法缴纳税收和社会保障资金的良好记录</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提供参加本次政府采购活动前半年内至少一个月依法缴纳税收和社会保险的凭据，或资格承诺函</w:t>
            </w:r>
            <w:r/>
          </w:p>
        </w:tc>
      </w:tr>
      <w:tr>
        <w:trPr>
          <w:jc w:val="center"/>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参加政府采购活动前三年内，在经营活动中没有重大违法记录</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提供参加本次政府采购活动前3年内在经营活动中没有重大违法记录的书面声明，或提供资格承诺函</w:t>
            </w:r>
            <w:r/>
          </w:p>
        </w:tc>
      </w:tr>
      <w:tr>
        <w:trPr>
          <w:jc w:val="center"/>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信用查询</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jc w:val="center"/>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法律、行政法规规定的其他条件</w:t>
            </w:r>
            <w:r/>
          </w:p>
        </w:tc>
        <w:tc>
          <w:tcPr>
            <w:tcW w:w="5565" w:type="dxa"/>
            <w:vAlign w:val="top"/>
            <w:textDirection w:val="lrTb"/>
            <w:noWrap w:val="false"/>
          </w:tcPr>
          <w:p>
            <w:pP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无</w:t>
            </w:r>
            <w:r/>
          </w:p>
        </w:tc>
      </w:tr>
      <w:tr>
        <w:trPr>
          <w:jc w:val="center"/>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落实政府采购政策需满足的资格要求</w:t>
            </w:r>
            <w:r/>
          </w:p>
        </w:tc>
        <w:tc>
          <w:tcPr>
            <w:tcW w:w="556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Pr>
        <w:tc>
          <w:tcPr>
            <w:tcW w:w="7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773" w:type="dxa"/>
            <w:vAlign w:val="center"/>
            <w:textDirection w:val="lrTb"/>
            <w:noWrap w:val="false"/>
          </w:tcPr>
          <w:p>
            <w:pPr>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本项目的特定资格要求</w:t>
            </w:r>
            <w:r/>
          </w:p>
        </w:tc>
        <w:tc>
          <w:tcPr>
            <w:tcW w:w="556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无</w:t>
            </w:r>
            <w:bookmarkEnd w:id="78"/>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7.投标人符合性审查</w:t>
      </w:r>
      <w:r/>
    </w:p>
    <w:p>
      <w:pPr>
        <w:spacing w:line="360" w:lineRule="auto"/>
        <w:rPr>
          <w:rFonts w:hint="eastAsia" w:ascii="宋体" w:hAnsi="宋体" w:eastAsia="宋体" w:cs="宋体"/>
          <w:sz w:val="24"/>
          <w:szCs w:val="24"/>
          <w:highlight w:val="none"/>
        </w:rPr>
      </w:pPr>
      <w:r/>
      <w:bookmarkStart w:id="79" w:name="EBbf62c27514f942048e872f4510d87fc2"/>
      <w:r>
        <w:rPr>
          <w:rFonts w:hint="eastAsia" w:ascii="宋体" w:hAnsi="宋体" w:eastAsia="宋体" w:cs="宋体"/>
          <w:sz w:val="24"/>
          <w:szCs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977"/>
        <w:tblW w:w="99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2"/>
        <w:gridCol w:w="3060"/>
        <w:gridCol w:w="6225"/>
      </w:tblGrid>
      <w:tr>
        <w:trPr>
          <w:jc w:val="center"/>
        </w:trPr>
        <w:tc>
          <w:tcPr>
            <w:tcW w:w="70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06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审查要素</w:t>
            </w:r>
            <w:r/>
          </w:p>
        </w:tc>
        <w:tc>
          <w:tcPr>
            <w:tcW w:w="622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审查内容</w:t>
            </w:r>
            <w:r/>
          </w:p>
        </w:tc>
      </w:tr>
      <w:tr>
        <w:trPr>
          <w:jc w:val="center"/>
        </w:trPr>
        <w:tc>
          <w:tcPr>
            <w:tcW w:w="70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w:t>
            </w:r>
            <w:r/>
          </w:p>
        </w:tc>
        <w:tc>
          <w:tcPr>
            <w:tcW w:w="6225"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电子投标文件的有效电子签章。投标报价。未发现属无效投标的其他情形。</w:t>
            </w:r>
            <w:r/>
          </w:p>
        </w:tc>
      </w:tr>
      <w:tr>
        <w:trPr>
          <w:jc w:val="center"/>
        </w:trPr>
        <w:tc>
          <w:tcPr>
            <w:tcW w:w="70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0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对投标文件响应程度</w:t>
            </w:r>
            <w:r/>
          </w:p>
        </w:tc>
        <w:tc>
          <w:tcPr>
            <w:tcW w:w="6225"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审查投标文件与招标文件要求的主要条款、条件和技术规格是否相符，是否存在重大偏离或保留。</w:t>
            </w:r>
            <w:bookmarkEnd w:id="79"/>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eastAsia="宋体" w:cs="宋体"/>
          <w:color w:val="000000"/>
          <w:sz w:val="24"/>
          <w:szCs w:val="24"/>
          <w:highlight w:val="none"/>
        </w:rPr>
      </w:pPr>
      <w:r/>
      <w:bookmarkStart w:id="80" w:name="EB9f10e38907c04489b7b868cd4c9f4b8a"/>
      <w:r/>
      <w:bookmarkEnd w:id="80"/>
      <w:r>
        <w:rPr>
          <w:rFonts w:hint="eastAsia" w:ascii="宋体" w:hAnsi="宋体" w:eastAsia="宋体" w:cs="宋体"/>
          <w:color w:val="000000"/>
          <w:sz w:val="24"/>
          <w:szCs w:val="24"/>
          <w:highlight w:val="none"/>
        </w:rPr>
        <w:t xml:space="preserve">投标人存在下列情况之一的，其投标无效：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（1）投标文件未按招标文件要求进行有效签章的；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（2）报价超过招标文件中规定的预算金额或最高限价的；</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（3）投标文件含有采购人不能接受的附加条件的</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（4）如有委托代理人，未提供投标人为其缴纳社保证明材料的；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（5）报价明显低于其他通过符合性审查投标人的报价，投标人不能证明其报价合理性的；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（6）投标文件中提供了虚假或失实资料的；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（7）投标人存在串通投标情形的；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（8）加“★”</w:t>
      </w:r>
      <w:r>
        <w:rPr>
          <w:rFonts w:hint="eastAsia" w:ascii="宋体" w:hAnsi="宋体" w:eastAsia="宋体" w:cs="宋体"/>
          <w:color w:val="000000"/>
          <w:sz w:val="24"/>
          <w:szCs w:val="24"/>
          <w:highlight w:val="none"/>
          <w:lang w:val="en-US"/>
        </w:rPr>
        <w:t xml:space="preserve">技术</w:t>
      </w:r>
      <w:r>
        <w:rPr>
          <w:rFonts w:hint="eastAsia" w:ascii="宋体" w:hAnsi="宋体" w:eastAsia="宋体" w:cs="宋体"/>
          <w:color w:val="000000"/>
          <w:sz w:val="24"/>
          <w:szCs w:val="24"/>
          <w:highlight w:val="none"/>
        </w:rPr>
        <w:t xml:space="preserve">参数响应有负偏离的；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（9）为本项目提供整体设计、规范编制或者项目管理、监理、检测等服务的；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（10）不同投标人的法</w:t>
      </w:r>
      <w:r>
        <w:rPr>
          <w:rFonts w:hint="eastAsia" w:ascii="宋体" w:hAnsi="宋体" w:eastAsia="宋体" w:cs="宋体"/>
          <w:color w:val="000000"/>
          <w:sz w:val="24"/>
          <w:szCs w:val="24"/>
          <w:highlight w:val="none"/>
        </w:rPr>
        <w:t xml:space="preserve">定代表人或单位负责人为同一个人或者存在直接控股、管理关系的；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（11）项目工期有负偏离的；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（12）免费质保期有负偏离的；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（13）项目服务要求响应有负偏离的；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（14）未按照招标文件的规定提交投标保证金的，不同投标人的投标保证金从同一单位或者个人的账户转出的；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（15）不符合法律、法规和招标文件规定的其它实质性条款（须经评标委员会半数以上同意）：</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color w:val="000000"/>
          <w:sz w:val="24"/>
          <w:szCs w:val="24"/>
          <w:highlight w:val="none"/>
          <w:lang w:val="en-US"/>
        </w:rPr>
        <w:t xml:space="preserve">8.</w:t>
      </w:r>
      <w:r>
        <w:rPr>
          <w:rFonts w:hint="eastAsia" w:ascii="宋体" w:hAnsi="宋体" w:eastAsia="宋体" w:cs="宋体"/>
          <w:sz w:val="24"/>
          <w:szCs w:val="24"/>
          <w:highlight w:val="none"/>
          <w:lang w:eastAsia="zh-CN"/>
        </w:rPr>
        <w:t xml:space="preserve">评标方法最低评标价法。</w:t>
      </w:r>
      <w:r/>
    </w:p>
    <w:tbl>
      <w:tblPr>
        <w:tblStyle w:val="977"/>
        <w:tblW w:w="10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80"/>
        <w:gridCol w:w="2750"/>
        <w:gridCol w:w="2750"/>
        <w:gridCol w:w="2750"/>
      </w:tblGrid>
      <w:tr>
        <w:trPr>
          <w:jc w:val="center"/>
          <w:trHeight w:val="548"/>
        </w:trPr>
        <w:tc>
          <w:tcPr>
            <w:tcW w:w="1980" w:type="dxa"/>
            <w:vAlign w:val="top"/>
            <w:textDirection w:val="lrTb"/>
            <w:noWrap w:val="false"/>
          </w:tcPr>
          <w:p>
            <w:pPr>
              <w:jc w:val="cente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评分项目</w:t>
            </w:r>
            <w:r/>
          </w:p>
        </w:tc>
        <w:tc>
          <w:tcPr>
            <w:tcW w:w="2750" w:type="dxa"/>
            <w:vAlign w:val="top"/>
            <w:textDirection w:val="lrTb"/>
            <w:noWrap w:val="false"/>
          </w:tcPr>
          <w:p>
            <w:pPr>
              <w:jc w:val="cente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技术评估</w:t>
            </w:r>
            <w:r/>
          </w:p>
        </w:tc>
        <w:tc>
          <w:tcPr>
            <w:tcW w:w="2750" w:type="dxa"/>
            <w:vAlign w:val="top"/>
            <w:textDirection w:val="lrTb"/>
            <w:noWrap w:val="false"/>
          </w:tcPr>
          <w:p>
            <w:pPr>
              <w:jc w:val="cente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商务评估</w:t>
            </w:r>
            <w:r/>
          </w:p>
        </w:tc>
        <w:tc>
          <w:tcPr>
            <w:tcW w:w="2750" w:type="dxa"/>
            <w:vAlign w:val="top"/>
            <w:textDirection w:val="lrTb"/>
            <w:noWrap w:val="false"/>
          </w:tcPr>
          <w:p>
            <w:pPr>
              <w:jc w:val="cente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价格评估</w:t>
            </w:r>
            <w:r/>
          </w:p>
        </w:tc>
      </w:tr>
      <w:tr>
        <w:trPr>
          <w:jc w:val="center"/>
          <w:trHeight w:val="603"/>
        </w:trPr>
        <w:tc>
          <w:tcPr>
            <w:tcW w:w="1980" w:type="dxa"/>
            <w:vAlign w:val="top"/>
            <w:textDirection w:val="lrTb"/>
            <w:noWrap w:val="false"/>
          </w:tcPr>
          <w:p>
            <w:pPr>
              <w:jc w:val="cente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分值</w:t>
            </w:r>
            <w:r/>
          </w:p>
        </w:tc>
        <w:tc>
          <w:tcPr>
            <w:tcW w:w="2750" w:type="dxa"/>
            <w:vAlign w:val="top"/>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62</w:t>
            </w:r>
            <w:r/>
          </w:p>
        </w:tc>
        <w:tc>
          <w:tcPr>
            <w:tcW w:w="2750" w:type="dxa"/>
            <w:vAlign w:val="top"/>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2750" w:type="dxa"/>
            <w:vAlign w:val="top"/>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bl>
    <w:p>
      <w:pPr>
        <w:spacing w:line="360"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（一）技术</w:t>
      </w:r>
      <w:r>
        <w:rPr>
          <w:rFonts w:hint="eastAsia" w:ascii="宋体" w:hAnsi="宋体" w:eastAsia="宋体" w:cs="宋体"/>
          <w:b/>
          <w:bCs/>
          <w:color w:val="000000"/>
          <w:sz w:val="24"/>
          <w:szCs w:val="24"/>
          <w:highlight w:val="none"/>
        </w:rPr>
        <w:t xml:space="preserve">评估</w:t>
      </w:r>
      <w:r>
        <w:rPr>
          <w:rFonts w:hint="eastAsia" w:ascii="宋体" w:hAnsi="宋体" w:eastAsia="宋体" w:cs="宋体"/>
          <w:b/>
          <w:bCs/>
          <w:color w:val="000000"/>
          <w:sz w:val="24"/>
          <w:szCs w:val="24"/>
          <w:highlight w:val="none"/>
          <w:lang w:val="en-US"/>
        </w:rPr>
        <w:t xml:space="preserve">(</w:t>
      </w:r>
      <w:r>
        <w:rPr>
          <w:rFonts w:hint="eastAsia" w:ascii="宋体" w:hAnsi="宋体"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lang w:val="en-US"/>
        </w:rPr>
        <w:t xml:space="preserve">分)</w:t>
      </w:r>
      <w:r/>
    </w:p>
    <w:tbl>
      <w:tblPr>
        <w:tblStyle w:val="977"/>
        <w:tblW w:w="10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8"/>
        <w:gridCol w:w="1304"/>
        <w:gridCol w:w="8056"/>
        <w:gridCol w:w="680"/>
      </w:tblGrid>
      <w:tr>
        <w:trPr>
          <w:jc w:val="center"/>
          <w:trHeight w:val="589"/>
        </w:trPr>
        <w:tc>
          <w:tcPr>
            <w:tcW w:w="698"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序号</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评审内容</w:t>
            </w:r>
            <w:r/>
          </w:p>
        </w:tc>
        <w:tc>
          <w:tcPr>
            <w:tcW w:w="8056" w:type="dxa"/>
            <w:vAlign w:val="center"/>
            <w:textDirection w:val="lrTb"/>
            <w:noWrap w:val="false"/>
          </w:tcPr>
          <w:p>
            <w:pPr>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评标标准</w:t>
            </w:r>
            <w:r/>
          </w:p>
        </w:tc>
        <w:tc>
          <w:tcPr>
            <w:tcW w:w="680"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p>
        </w:tc>
      </w:tr>
      <w:tr>
        <w:trPr>
          <w:jc w:val="center"/>
          <w:trHeight w:val="1418"/>
        </w:trPr>
        <w:tc>
          <w:tcPr>
            <w:tcW w:w="698"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项目需求</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响应情况</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8056" w:type="dxa"/>
            <w:vAlign w:val="center"/>
            <w:textDirection w:val="lrTb"/>
            <w:noWrap w:val="false"/>
          </w:tcPr>
          <w:p>
            <w:pP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技术参数全部满足招标要求的得满分40分；采购需求中标注“▲”的内容为重要技术参数。投标人必须在投标文件内提供相关技术支持资料（按采购需求要求提供，如果采购需求中未提及，请提供产品技术白皮书、彩页、手册或设备检测报告等），重要技术参数不能满足的视为负偏离，每项扣1分，其他非重要技术参数负偏离的，则每项扣0.5分，</w:t>
            </w:r>
            <w:r>
              <w:rPr>
                <w:rFonts w:hint="eastAsia" w:hAnsi="宋体" w:cs="宋体"/>
                <w:bCs/>
                <w:color w:val="000000"/>
                <w:sz w:val="24"/>
                <w:szCs w:val="24"/>
                <w:highlight w:val="none"/>
                <w:lang w:val="en-US" w:eastAsia="zh-CN"/>
              </w:rPr>
              <w:t xml:space="preserve">40分</w:t>
            </w:r>
            <w:r>
              <w:rPr>
                <w:rFonts w:hint="eastAsia" w:ascii="宋体" w:hAnsi="宋体" w:eastAsia="宋体" w:cs="宋体"/>
                <w:bCs/>
                <w:color w:val="000000"/>
                <w:sz w:val="24"/>
                <w:szCs w:val="24"/>
                <w:highlight w:val="none"/>
              </w:rPr>
              <w:t xml:space="preserve">扣完为止。（投标人需如实填写技术条款偏离表，如有弄虚作假，由投标人承担一切法律后果。）</w:t>
            </w:r>
            <w:r/>
          </w:p>
        </w:tc>
        <w:tc>
          <w:tcPr>
            <w:tcW w:w="680"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40</w:t>
            </w:r>
            <w:r/>
          </w:p>
        </w:tc>
      </w:tr>
      <w:tr>
        <w:trPr>
          <w:jc w:val="center"/>
          <w:trHeight w:val="2281"/>
        </w:trPr>
        <w:tc>
          <w:tcPr>
            <w:tcW w:w="698"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报价完整性和设备后期使用费用状况评价</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8056" w:type="dxa"/>
            <w:vAlign w:val="center"/>
            <w:textDirection w:val="lrTb"/>
            <w:noWrap w:val="false"/>
          </w:tcPr>
          <w:p>
            <w:pPr>
              <w:pStyle w:val="10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根据投标人提供的报价明细表，配件、耗材表，考察报价完整性、设备的长期使用成本。（需要提供明细表，按照单价累加后的价格进行评分）</w:t>
            </w:r>
            <w:r/>
          </w:p>
          <w:p>
            <w:pPr>
              <w:pStyle w:val="10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完整性高，设备长期使用成本低的得5分；</w:t>
            </w:r>
            <w:r/>
          </w:p>
          <w:p>
            <w:pPr>
              <w:pStyle w:val="10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完整性较高，设备长期使用成本较低的得3分；</w:t>
            </w:r>
            <w:r/>
          </w:p>
          <w:p>
            <w:pPr>
              <w:pStyle w:val="10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完整性较差，设备长期使用成本高的得1分；</w:t>
            </w:r>
            <w:r/>
          </w:p>
          <w:p>
            <w:pPr>
              <w:pStyle w:val="10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不提供不得分。</w:t>
            </w:r>
            <w:r/>
          </w:p>
        </w:tc>
        <w:tc>
          <w:tcPr>
            <w:tcW w:w="680"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p>
        </w:tc>
      </w:tr>
      <w:tr>
        <w:trPr>
          <w:jc w:val="center"/>
          <w:trHeight w:val="2358"/>
        </w:trPr>
        <w:tc>
          <w:tcPr>
            <w:tcW w:w="698"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项目实施方案</w:t>
            </w:r>
            <w:r/>
          </w:p>
        </w:tc>
        <w:tc>
          <w:tcPr>
            <w:tcW w:w="8056" w:type="dxa"/>
            <w:vAlign w:val="center"/>
            <w:textDirection w:val="lrTb"/>
            <w:noWrap w:val="false"/>
          </w:tcPr>
          <w:p>
            <w:pPr>
              <w:pStyle w:val="1015"/>
              <w:ind w:left="0"/>
              <w:spacing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根据投标供应商为本项目提供的实施方案的完整性、可行性和详细程度、以及保证措施的合理性进行综合评分：</w:t>
            </w:r>
            <w:r/>
          </w:p>
          <w:p>
            <w:pPr>
              <w:pStyle w:val="1015"/>
              <w:ind w:left="0"/>
              <w:spacing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实施方案完整、详细有效，项目工作计划清晰、合理、可行，项目安排合理有效、服务进度保障可靠，得6分；</w:t>
            </w:r>
            <w:r/>
          </w:p>
          <w:p>
            <w:pPr>
              <w:pStyle w:val="1015"/>
              <w:ind w:left="0"/>
              <w:spacing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实施方案一般，项目工作计划一般，服务进度保障一般的得3分；</w:t>
            </w:r>
            <w:r/>
          </w:p>
          <w:p>
            <w:pPr>
              <w:pStyle w:val="1015"/>
              <w:ind w:left="0"/>
              <w:spacing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实施方案及工作计划差，服务进度保障差的得1分；</w:t>
            </w:r>
            <w:r/>
          </w:p>
          <w:p>
            <w:pPr>
              <w:pStyle w:val="1015"/>
              <w:ind w:left="0"/>
              <w:spacing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未提供不得分。</w:t>
            </w:r>
            <w:r/>
          </w:p>
        </w:tc>
        <w:tc>
          <w:tcPr>
            <w:tcW w:w="680"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w:t>
            </w:r>
            <w:r/>
          </w:p>
        </w:tc>
      </w:tr>
      <w:tr>
        <w:trPr>
          <w:jc w:val="center"/>
          <w:trHeight w:val="1233"/>
        </w:trPr>
        <w:tc>
          <w:tcPr>
            <w:tcW w:w="698"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技术培训方案</w:t>
            </w:r>
            <w:r/>
          </w:p>
        </w:tc>
        <w:tc>
          <w:tcPr>
            <w:tcW w:w="8056" w:type="dxa"/>
            <w:vAlign w:val="center"/>
            <w:textDirection w:val="lrTb"/>
            <w:noWrap w:val="false"/>
          </w:tcPr>
          <w:p>
            <w:pPr>
              <w:pStyle w:val="102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投标供应商应提供具体详细的技术培训方案，方案内容需包括具体培训方式、时间、地点、教员、对象以及培训内容。根据投标供应商提供的培训方案完整性进行综合评审:</w:t>
            </w:r>
            <w:r/>
          </w:p>
          <w:p>
            <w:pPr>
              <w:pStyle w:val="102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方案明确、表述完整、可操作性强，得5分；</w:t>
            </w:r>
            <w:r/>
          </w:p>
          <w:p>
            <w:pPr>
              <w:pStyle w:val="102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方案较明确、表述略模糊、具有一定的可操作性，得3分；</w:t>
            </w:r>
            <w:r/>
          </w:p>
          <w:p>
            <w:pPr>
              <w:pStyle w:val="102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方案不明确、表述模糊、可操作性差，得1分；</w:t>
            </w:r>
            <w:r/>
          </w:p>
          <w:p>
            <w:pPr>
              <w:pStyle w:val="102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p>
        </w:tc>
        <w:tc>
          <w:tcPr>
            <w:tcW w:w="680"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p>
        </w:tc>
      </w:tr>
      <w:tr>
        <w:trPr>
          <w:jc w:val="center"/>
          <w:trHeight w:val="2358"/>
        </w:trPr>
        <w:tc>
          <w:tcPr>
            <w:tcW w:w="698"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售后服务方案</w:t>
            </w:r>
            <w:r/>
          </w:p>
        </w:tc>
        <w:tc>
          <w:tcPr>
            <w:tcW w:w="8056" w:type="dxa"/>
            <w:vAlign w:val="center"/>
            <w:textDirection w:val="lrTb"/>
            <w:noWrap w:val="false"/>
          </w:tcPr>
          <w:p>
            <w:pPr>
              <w:pStyle w:val="102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方案应包括但不限于售后服务内容、故障响应情况及售后技术人员配备情况等，对售后服务方案的全面性、可行性、针对性进行评价：</w:t>
            </w:r>
            <w:r/>
          </w:p>
          <w:p>
            <w:pPr>
              <w:pStyle w:val="102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方案全面详实，针对性强，切实可行，优于项目需求的得6分；</w:t>
            </w:r>
            <w:r/>
          </w:p>
          <w:p>
            <w:pPr>
              <w:pStyle w:val="102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方案较全面，针对性较强，较切实可行，满足项目需求的得3分；</w:t>
            </w:r>
            <w:r/>
          </w:p>
          <w:p>
            <w:pPr>
              <w:pStyle w:val="102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方案不全面，针对性不强，可行性欠缺，不完全符合项目需求的得1分；</w:t>
            </w:r>
            <w:r/>
          </w:p>
          <w:p>
            <w:pPr>
              <w:pStyle w:val="102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未提供的不得分。</w:t>
            </w:r>
            <w:r/>
          </w:p>
        </w:tc>
        <w:tc>
          <w:tcPr>
            <w:tcW w:w="680"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w:t>
            </w:r>
            <w:r/>
          </w:p>
        </w:tc>
      </w:tr>
    </w:tbl>
    <w:p>
      <w:pPr>
        <w:pStyle w:val="1007"/>
        <w:numPr>
          <w:ilvl w:val="0"/>
          <w:numId w:val="0"/>
        </w:numPr>
        <w:spacing w:line="360" w:lineRule="auto"/>
        <w:tabs>
          <w:tab w:val="clear" w:pos="2020" w:leader="none"/>
          <w:tab w:val="clear" w:pos="4535" w:leader="none"/>
        </w:tabs>
        <w:rPr>
          <w:rFonts w:hint="eastAsia" w:ascii="宋体" w:hAnsi="宋体" w:eastAsia="宋体" w:cs="宋体"/>
          <w:b/>
          <w:bCs/>
          <w:color w:val="000000"/>
          <w:sz w:val="24"/>
          <w:szCs w:val="24"/>
          <w:highlight w:val="none"/>
          <w:lang w:val="en-US"/>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rPr>
        <w:t xml:space="preserve">商务评估（</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rPr>
        <w:t xml:space="preserve">分）</w:t>
      </w:r>
      <w:r/>
    </w:p>
    <w:tbl>
      <w:tblPr>
        <w:tblStyle w:val="977"/>
        <w:tblW w:w="10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8"/>
        <w:gridCol w:w="1304"/>
        <w:gridCol w:w="8056"/>
        <w:gridCol w:w="680"/>
      </w:tblGrid>
      <w:tr>
        <w:trPr>
          <w:jc w:val="center"/>
          <w:trHeight w:val="589"/>
        </w:trPr>
        <w:tc>
          <w:tcPr>
            <w:tcW w:w="698"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序号</w:t>
            </w:r>
            <w:r/>
          </w:p>
        </w:tc>
        <w:tc>
          <w:tcPr>
            <w:tcW w:w="1304" w:type="dxa"/>
            <w:vAlign w:val="center"/>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评审内容</w:t>
            </w:r>
            <w:r/>
          </w:p>
        </w:tc>
        <w:tc>
          <w:tcPr>
            <w:tcW w:w="8056" w:type="dxa"/>
            <w:vAlign w:val="center"/>
            <w:textDirection w:val="lrTb"/>
            <w:noWrap w:val="false"/>
          </w:tcPr>
          <w:p>
            <w:pPr>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评标标准</w:t>
            </w:r>
            <w:r/>
          </w:p>
        </w:tc>
        <w:tc>
          <w:tcPr>
            <w:tcW w:w="680"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p>
        </w:tc>
      </w:tr>
      <w:tr>
        <w:trPr>
          <w:jc w:val="center"/>
          <w:trHeight w:val="1418"/>
        </w:trPr>
        <w:tc>
          <w:tcPr>
            <w:tcW w:w="698"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p>
        </w:tc>
        <w:tc>
          <w:tcPr>
            <w:tcW w:w="130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p>
        </w:tc>
        <w:tc>
          <w:tcPr>
            <w:tcW w:w="8056" w:type="dxa"/>
            <w:vAlign w:val="center"/>
            <w:textDirection w:val="lrTb"/>
            <w:noWrap w:val="false"/>
          </w:tcPr>
          <w:p>
            <w:pP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自2021年1月1日至开标截止时间前（以合同签订时间为准），投标供应商具有类似的销售合同，每提供一份得1分，满分8分。（提供项目中标通知书及合同复印件并加盖投标人公章，以合同签订日期为准）</w:t>
            </w:r>
            <w:r/>
          </w:p>
        </w:tc>
        <w:tc>
          <w:tcPr>
            <w:tcW w:w="680"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w:t>
            </w:r>
            <w:r/>
          </w:p>
        </w:tc>
      </w:tr>
    </w:tbl>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（三）价格评估（</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lang w:val="en-US"/>
        </w:rPr>
        <w:t xml:space="preserve">分</w:t>
      </w:r>
      <w:r>
        <w:rPr>
          <w:rFonts w:hint="eastAsia" w:ascii="宋体" w:hAnsi="宋体" w:eastAsia="宋体" w:cs="宋体"/>
          <w:b/>
          <w:bCs/>
          <w:sz w:val="24"/>
          <w:szCs w:val="24"/>
          <w:highlight w:val="none"/>
        </w:rPr>
        <w:t xml:space="preserve">）</w:t>
      </w:r>
      <w:r/>
    </w:p>
    <w:tbl>
      <w:tblPr>
        <w:tblStyle w:val="977"/>
        <w:tblW w:w="10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1335"/>
        <w:gridCol w:w="8057"/>
        <w:gridCol w:w="712"/>
      </w:tblGrid>
      <w:tr>
        <w:trPr>
          <w:jc w:val="center"/>
          <w:trHeight w:val="381"/>
        </w:trPr>
        <w:tc>
          <w:tcPr>
            <w:tcW w:w="645" w:type="dxa"/>
            <w:vAlign w:val="center"/>
            <w:textDirection w:val="lrTb"/>
            <w:noWrap w:val="false"/>
          </w:tcPr>
          <w:p>
            <w:pPr>
              <w:jc w:val="center"/>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序号</w:t>
            </w:r>
            <w:r/>
          </w:p>
        </w:tc>
        <w:tc>
          <w:tcPr>
            <w:tcW w:w="1335"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评审内容</w:t>
            </w:r>
            <w:r/>
          </w:p>
        </w:tc>
        <w:tc>
          <w:tcPr>
            <w:tcW w:w="8057" w:type="dxa"/>
            <w:vAlign w:val="center"/>
            <w:textDirection w:val="lrTb"/>
            <w:noWrap w:val="false"/>
          </w:tcPr>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评标标准</w:t>
            </w:r>
            <w:r/>
          </w:p>
        </w:tc>
        <w:tc>
          <w:tcPr>
            <w:tcW w:w="712"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948"/>
        </w:trPr>
        <w:tc>
          <w:tcPr>
            <w:tcW w:w="645" w:type="dxa"/>
            <w:vAlign w:val="center"/>
            <w:textDirection w:val="lrTb"/>
            <w:noWrap w:val="false"/>
          </w:tcPr>
          <w:p>
            <w:pPr>
              <w:jc w:val="center"/>
              <w:spacing w:line="360" w:lineRule="auto"/>
              <w:widowControl/>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1.1</w:t>
            </w:r>
            <w:r/>
          </w:p>
        </w:tc>
        <w:tc>
          <w:tcPr>
            <w:tcW w:w="1335" w:type="dxa"/>
            <w:vAlign w:val="center"/>
            <w:textDirection w:val="lrTb"/>
            <w:noWrap w:val="false"/>
          </w:tcPr>
          <w:p>
            <w:pPr>
              <w:pStyle w:val="988"/>
              <w:jc w:val="center"/>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价格部分</w:t>
            </w:r>
            <w:r/>
          </w:p>
          <w:p>
            <w:pPr>
              <w:pStyle w:val="988"/>
              <w:jc w:val="center"/>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（30分）</w:t>
            </w:r>
            <w:r/>
          </w:p>
        </w:tc>
        <w:tc>
          <w:tcPr>
            <w:tcW w:w="8057" w:type="dxa"/>
            <w:vAlign w:val="top"/>
            <w:textDirection w:val="lrTb"/>
            <w:noWrap w:val="false"/>
          </w:tcPr>
          <w:p>
            <w:pPr>
              <w:ind w:firstLine="48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分采用低价优先法计算，即满足招标文件要求且报价最低的投标人报价为评标基准价，其价格分为满分30分，其它投标人的价格分统一按照以下公式计算：投标报价得分=(评标基准价/该投标人的投标报价)×30分。（小数点保留两位）</w:t>
            </w:r>
            <w:r/>
          </w:p>
          <w:p>
            <w:pPr>
              <w:ind w:firstLine="480"/>
              <w:spacing w:line="360" w:lineRule="auto"/>
              <w:widowControl/>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w:t>
            </w:r>
            <w:r>
              <w:rPr>
                <w:rFonts w:hint="eastAsia" w:hAnsi="宋体" w:cs="宋体"/>
                <w:color w:val="000000" w:themeColor="text1"/>
                <w:sz w:val="24"/>
                <w:szCs w:val="24"/>
                <w:highlight w:val="none"/>
                <w:lang w:val="en-US" w:eastAsia="zh-CN" w:bidi="ar"/>
                <w14:textFill>
                  <w14:solidFill>
                    <w14:schemeClr w14:val="tx1"/>
                  </w14:solidFill>
                </w14:textFill>
              </w:rPr>
              <w:t xml:space="preserve">评标委员会</w:t>
            </w:r>
            <w:r>
              <w:rPr>
                <w:rFonts w:hint="eastAsia" w:ascii="宋体" w:hAnsi="宋体" w:cs="宋体"/>
                <w:color w:val="000000" w:themeColor="text1"/>
                <w:sz w:val="24"/>
                <w:szCs w:val="24"/>
                <w:highlight w:val="none"/>
                <w:lang w:bidi="ar"/>
                <w14:textFill>
                  <w14:solidFill>
                    <w14:schemeClr w14:val="tx1"/>
                  </w14:solidFill>
                </w14:textFill>
              </w:rPr>
              <w:t xml:space="preserve">认为</w:t>
            </w:r>
            <w:r>
              <w:rPr>
                <w:rFonts w:hint="eastAsia" w:hAnsi="宋体" w:cs="宋体"/>
                <w:color w:val="000000" w:themeColor="text1"/>
                <w:sz w:val="24"/>
                <w:szCs w:val="24"/>
                <w:highlight w:val="none"/>
                <w:lang w:val="en-US" w:eastAsia="zh-CN" w:bidi="ar"/>
                <w14:textFill>
                  <w14:solidFill>
                    <w14:schemeClr w14:val="tx1"/>
                  </w14:solidFill>
                </w14:textFill>
              </w:rPr>
              <w:t xml:space="preserve">投标人</w:t>
            </w:r>
            <w:r>
              <w:rPr>
                <w:rFonts w:hint="eastAsia" w:ascii="宋体" w:hAnsi="宋体" w:cs="宋体"/>
                <w:color w:val="000000" w:themeColor="text1"/>
                <w:sz w:val="24"/>
                <w:szCs w:val="24"/>
                <w:highlight w:val="none"/>
                <w:lang w:bidi="ar"/>
                <w14:textFill>
                  <w14:solidFill>
                    <w14:schemeClr w14:val="tx1"/>
                  </w14:solidFill>
                </w14:textFill>
              </w:rPr>
              <w:t xml:space="preserve">的报价明显低于其他通过符合性审查</w:t>
            </w:r>
            <w:r>
              <w:rPr>
                <w:rFonts w:hint="eastAsia" w:hAnsi="宋体" w:cs="宋体"/>
                <w:color w:val="000000" w:themeColor="text1"/>
                <w:sz w:val="24"/>
                <w:szCs w:val="24"/>
                <w:highlight w:val="none"/>
                <w:lang w:val="en-US" w:eastAsia="zh-CN" w:bidi="ar"/>
                <w14:textFill>
                  <w14:solidFill>
                    <w14:schemeClr w14:val="tx1"/>
                  </w14:solidFill>
                </w14:textFill>
              </w:rPr>
              <w:t xml:space="preserve">投标人</w:t>
            </w:r>
            <w:r>
              <w:rPr>
                <w:rFonts w:hint="eastAsia" w:ascii="宋体" w:hAnsi="宋体" w:cs="宋体"/>
                <w:color w:val="000000" w:themeColor="text1"/>
                <w:sz w:val="24"/>
                <w:szCs w:val="24"/>
                <w:highlight w:val="none"/>
                <w:lang w:bidi="ar"/>
                <w14:textFill>
                  <w14:solidFill>
                    <w14:schemeClr w14:val="tx1"/>
                  </w14:solidFill>
                </w14:textFill>
              </w:rPr>
              <w:t xml:space="preserve">的报价，有可能影响产品质量或者不能诚信履约的，应当要求其在合理的时间内提供书面说明，必要时提交相关证明材料；</w:t>
            </w:r>
            <w:r>
              <w:rPr>
                <w:rFonts w:hint="eastAsia" w:hAnsi="宋体" w:cs="宋体"/>
                <w:color w:val="000000" w:themeColor="text1"/>
                <w:sz w:val="24"/>
                <w:szCs w:val="24"/>
                <w:highlight w:val="none"/>
                <w:lang w:val="en-US" w:eastAsia="zh-CN" w:bidi="ar"/>
                <w14:textFill>
                  <w14:solidFill>
                    <w14:schemeClr w14:val="tx1"/>
                  </w14:solidFill>
                </w14:textFill>
              </w:rPr>
              <w:t xml:space="preserve">投标人</w:t>
            </w:r>
            <w:r>
              <w:rPr>
                <w:rFonts w:hint="eastAsia" w:ascii="宋体" w:hAnsi="宋体" w:cs="宋体"/>
                <w:color w:val="000000" w:themeColor="text1"/>
                <w:sz w:val="24"/>
                <w:szCs w:val="24"/>
                <w:highlight w:val="none"/>
                <w:lang w:bidi="ar"/>
                <w14:textFill>
                  <w14:solidFill>
                    <w14:schemeClr w14:val="tx1"/>
                  </w14:solidFill>
                </w14:textFill>
              </w:rPr>
              <w:t xml:space="preserve">不能证明其报价合理性的，</w:t>
            </w:r>
            <w:r>
              <w:rPr>
                <w:rFonts w:hint="eastAsia" w:hAnsi="宋体" w:cs="宋体"/>
                <w:color w:val="000000" w:themeColor="text1"/>
                <w:sz w:val="24"/>
                <w:szCs w:val="24"/>
                <w:highlight w:val="none"/>
                <w:lang w:val="en-US" w:eastAsia="zh-CN" w:bidi="ar"/>
                <w14:textFill>
                  <w14:solidFill>
                    <w14:schemeClr w14:val="tx1"/>
                  </w14:solidFill>
                </w14:textFill>
              </w:rPr>
              <w:t xml:space="preserve">评标委员会</w:t>
            </w:r>
            <w:r>
              <w:rPr>
                <w:rFonts w:hint="eastAsia" w:ascii="宋体" w:hAnsi="宋体" w:cs="宋体"/>
                <w:color w:val="000000" w:themeColor="text1"/>
                <w:sz w:val="24"/>
                <w:szCs w:val="24"/>
                <w:highlight w:val="none"/>
                <w:lang w:bidi="ar"/>
                <w14:textFill>
                  <w14:solidFill>
                    <w14:schemeClr w14:val="tx1"/>
                  </w14:solidFill>
                </w14:textFill>
              </w:rPr>
              <w:t xml:space="preserve">应当将其作为无效投标处理。</w:t>
            </w:r>
            <w:r/>
          </w:p>
        </w:tc>
        <w:tc>
          <w:tcPr>
            <w:tcW w:w="712" w:type="dxa"/>
            <w:vAlign w:val="center"/>
            <w:textDirection w:val="lrTb"/>
            <w:noWrap w:val="false"/>
          </w:tcPr>
          <w:p>
            <w:pPr>
              <w:jc w:val="center"/>
              <w:spacing w:line="360" w:lineRule="auto"/>
              <w:widowControl/>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30</w:t>
            </w:r>
            <w:r/>
          </w:p>
        </w:tc>
      </w:tr>
    </w:tbl>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9.相同品牌产品的处理原则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非单一产品采购项目，采购人应当根据采购项目技术构成、产品价格比重等合理确定核心产品。本项目核心产品见采购需求。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使用</w:t>
      </w:r>
      <w:r>
        <w:rPr>
          <w:rFonts w:hint="eastAsia" w:ascii="宋体" w:hAnsi="宋体" w:eastAsia="宋体" w:cs="宋体"/>
          <w:color w:val="000000"/>
          <w:sz w:val="24"/>
          <w:szCs w:val="24"/>
          <w:highlight w:val="none"/>
          <w:lang w:eastAsia="zh-CN"/>
        </w:rPr>
        <w:t xml:space="preserve">最低评标价法</w:t>
      </w:r>
      <w:r>
        <w:rPr>
          <w:rFonts w:hint="eastAsia" w:ascii="宋体" w:hAnsi="宋体" w:eastAsia="宋体" w:cs="宋体"/>
          <w:color w:val="000000"/>
          <w:sz w:val="24"/>
          <w:szCs w:val="24"/>
          <w:highlight w:val="none"/>
        </w:rPr>
        <w:t xml:space="preserve">的采购项目，核心产品提供相同品牌产品且通过资格审查、符合性</w:t>
      </w:r>
      <w:r>
        <w:rPr>
          <w:rFonts w:hint="eastAsia" w:ascii="宋体" w:hAnsi="宋体" w:eastAsia="宋体" w:cs="宋体"/>
          <w:color w:val="000000"/>
          <w:sz w:val="24"/>
          <w:szCs w:val="24"/>
          <w:highlight w:val="non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93"/>
        <w:ind w:firstLine="482"/>
        <w:keepLines w:val="0"/>
        <w:keepNex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10.允许修改评标结果的情形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评标结果汇总完成后，除下列情形外，任何人不得修改评标结果：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（1）分值汇总计算错误的；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（2）分项评分超出评分标准范围的；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（3）评标委员会成员对客观评审因素评分不一致的；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（4）经评标委员会认定评分畸高、畸低的。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firstLine="482"/>
        <w:spacing w:line="360" w:lineRule="auto"/>
        <w:rPr>
          <w:rFonts w:hint="eastAsia" w:ascii="宋体" w:hAnsi="宋体" w:eastAsia="宋体" w:cs="宋体"/>
          <w:b/>
          <w:sz w:val="24"/>
          <w:szCs w:val="24"/>
          <w:highlight w:val="none"/>
          <w:lang w:val="en-US"/>
        </w:rPr>
      </w:pPr>
      <w:r/>
      <w:bookmarkStart w:id="81" w:name="EBe3d073c7a09944299975a333a1fea417"/>
      <w:r>
        <w:rPr>
          <w:rFonts w:hint="eastAsia" w:ascii="宋体" w:hAnsi="宋体" w:eastAsia="宋体" w:cs="宋体"/>
          <w:b/>
          <w:sz w:val="24"/>
          <w:szCs w:val="24"/>
          <w:highlight w:val="none"/>
          <w:lang w:val="en-US"/>
        </w:rPr>
        <w:t xml:space="preserve">11.推荐中标候选人</w:t>
      </w:r>
      <w:bookmarkEnd w:id="27"/>
      <w:r/>
      <w:bookmarkEnd w:id="81"/>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rPr>
        <w:t xml:space="preserve">1.1采用</w:t>
      </w:r>
      <w:r>
        <w:rPr>
          <w:rFonts w:hint="eastAsia" w:ascii="宋体" w:hAnsi="宋体" w:eastAsia="宋体" w:cs="宋体"/>
          <w:sz w:val="24"/>
          <w:szCs w:val="24"/>
          <w:highlight w:val="none"/>
          <w:lang w:eastAsia="zh-CN"/>
        </w:rPr>
        <w:t xml:space="preserve">最低评标价法</w:t>
      </w:r>
      <w:r>
        <w:rPr>
          <w:rFonts w:hint="eastAsia" w:ascii="宋体" w:hAnsi="宋体" w:eastAsia="宋体" w:cs="宋体"/>
          <w:sz w:val="24"/>
          <w:szCs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43"/>
        <w:jc w:val="center"/>
        <w:spacing w:line="360" w:lineRule="auto"/>
        <w:rPr>
          <w:rFonts w:hint="eastAsia" w:ascii="宋体" w:hAnsi="宋体" w:eastAsia="宋体" w:cs="宋体"/>
          <w:sz w:val="24"/>
          <w:szCs w:val="24"/>
          <w:highlight w:val="none"/>
          <w:lang w:val="en-US"/>
        </w:rPr>
      </w:pPr>
      <w:r>
        <w:rPr>
          <w:rFonts w:hint="eastAsia" w:ascii="宋体" w:hAnsi="宋体" w:eastAsia="宋体" w:cs="宋体"/>
          <w:b/>
          <w:sz w:val="32"/>
          <w:szCs w:val="32"/>
          <w:highlight w:val="none"/>
          <w:lang w:val="en-US"/>
        </w:rPr>
        <w:br w:type="page" w:clear="all"/>
      </w:r>
      <w:r>
        <w:rPr>
          <w:rFonts w:hint="eastAsia" w:ascii="宋体" w:hAnsi="宋体" w:eastAsia="宋体" w:cs="宋体"/>
          <w:b/>
          <w:sz w:val="32"/>
          <w:szCs w:val="32"/>
          <w:highlight w:val="none"/>
          <w:lang w:val="en-US"/>
        </w:rPr>
        <w:t xml:space="preserve">第四章</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val="en-US"/>
        </w:rPr>
        <w:t xml:space="preserve">采购需求</w:t>
      </w:r>
      <w:r/>
    </w:p>
    <w:p>
      <w:pPr>
        <w:pStyle w:val="979"/>
        <w:pageBreakBefore w:val="0"/>
        <w:spacing w:line="360" w:lineRule="auto"/>
        <w:widowControl/>
        <w:tabs>
          <w:tab w:val="left" w:pos="1056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一、项目基本信息</w:t>
      </w:r>
      <w:r/>
    </w:p>
    <w:p>
      <w:pPr>
        <w:pStyle w:val="979"/>
        <w:pageBreakBefore w:val="0"/>
        <w:spacing w:line="360" w:lineRule="auto"/>
        <w:widowControl/>
        <w:tabs>
          <w:tab w:val="left" w:pos="10560" w:leader="none"/>
        </w:tabs>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lang w:eastAsia="zh-CN"/>
        </w:rPr>
        <w:t xml:space="preserve">1、项目名称：</w:t>
      </w:r>
      <w:r>
        <w:rPr>
          <w:rStyle w:val="1023"/>
          <w:rFonts w:hint="eastAsia" w:ascii="宋体" w:hAnsi="宋体" w:eastAsia="宋体" w:cs="宋体"/>
          <w:b w:val="0"/>
          <w:color w:val="auto"/>
          <w:sz w:val="24"/>
          <w:szCs w:val="24"/>
          <w:highlight w:val="none"/>
          <w:lang w:eastAsia="zh-CN"/>
        </w:rPr>
        <w:t xml:space="preserve">镇江市生态环境监测站实验分析及应急监测仪器设备采购项目（二期）二次</w:t>
      </w:r>
      <w:r/>
    </w:p>
    <w:p>
      <w:pPr>
        <w:pStyle w:val="979"/>
        <w:pageBreakBefore w:val="0"/>
        <w:spacing w:line="360" w:lineRule="auto"/>
        <w:widowControl/>
        <w:tabs>
          <w:tab w:val="left" w:pos="105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2、项目编号：JSZC-321100-LXDL-G2024-0019</w:t>
      </w:r>
      <w:r/>
    </w:p>
    <w:p>
      <w:pPr>
        <w:pStyle w:val="979"/>
        <w:pageBreakBefore w:val="0"/>
        <w:spacing w:line="360" w:lineRule="auto"/>
        <w:widowControl/>
        <w:tabs>
          <w:tab w:val="left" w:pos="105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3、采购方式：本项目采用公开招标采购</w:t>
      </w:r>
      <w:r/>
    </w:p>
    <w:p>
      <w:pPr>
        <w:pStyle w:val="979"/>
        <w:pageBreakBefore w:val="0"/>
        <w:spacing w:line="360" w:lineRule="auto"/>
        <w:widowControl/>
        <w:tabs>
          <w:tab w:val="left" w:pos="105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主要内容：为深入贯彻落实基层监测机构职能要求，根据《江苏省基层生态环境监测机构规范化建设工作方案》（苏环办〔2023〕124号）及《江苏省基层生态环境规范化建设指标体系评分细则（试行）》（苏环办〔2023〕204号），镇江市生态环境监测站拟采购：台式PH计、台式电导率、十万分一天平、可见光分光光度计、全自动CODcr分析仪、气相色谱质谱联用仪、石墨炉原子吸收仪等</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2类</w:t>
      </w:r>
      <w:r>
        <w:rPr>
          <w:rFonts w:hint="eastAsia" w:ascii="宋体" w:hAnsi="宋体" w:eastAsia="宋体" w:cs="宋体"/>
          <w:color w:val="auto"/>
          <w:sz w:val="24"/>
          <w:szCs w:val="24"/>
          <w:highlight w:val="none"/>
          <w:lang w:val="en-US" w:eastAsia="zh-CN"/>
        </w:rPr>
        <w:t xml:space="preserve">106</w:t>
      </w:r>
      <w:r>
        <w:rPr>
          <w:rFonts w:hint="eastAsia" w:ascii="宋体" w:hAnsi="宋体" w:eastAsia="宋体" w:cs="宋体"/>
          <w:color w:val="auto"/>
          <w:sz w:val="24"/>
          <w:szCs w:val="24"/>
          <w:highlight w:val="none"/>
          <w:lang w:eastAsia="zh-CN"/>
        </w:rPr>
        <w:t xml:space="preserve">台/套仪器设备，用于开展实验室分析及应急监测能力建设，详见货物（标的）采购清单。</w:t>
      </w:r>
      <w:r/>
    </w:p>
    <w:p>
      <w:pPr>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5、本次采购最高限价为人民币</w:t>
      </w:r>
      <w:r>
        <w:rPr>
          <w:rFonts w:hint="eastAsia" w:ascii="宋体" w:hAnsi="宋体" w:eastAsia="宋体" w:cs="宋体"/>
          <w:color w:val="auto"/>
          <w:sz w:val="24"/>
          <w:szCs w:val="24"/>
          <w:highlight w:val="none"/>
          <w:lang w:val="en-US" w:eastAsia="zh-CN"/>
        </w:rPr>
        <w:t xml:space="preserve">606</w:t>
      </w:r>
      <w:r>
        <w:rPr>
          <w:rFonts w:hint="eastAsia" w:ascii="宋体" w:hAnsi="宋体" w:eastAsia="宋体" w:cs="宋体"/>
          <w:color w:val="auto"/>
          <w:sz w:val="24"/>
          <w:szCs w:val="24"/>
          <w:highlight w:val="none"/>
          <w:lang w:eastAsia="zh-CN"/>
        </w:rPr>
        <w:t xml:space="preserve">万元。投标人报价超过最高限价的为无效报价，按照无效响应处理。</w:t>
      </w:r>
      <w:r/>
    </w:p>
    <w:p>
      <w:pPr>
        <w:pStyle w:val="979"/>
        <w:pageBreakBefore w:val="0"/>
        <w:spacing w:line="360" w:lineRule="auto"/>
        <w:widowControl/>
        <w:tabs>
          <w:tab w:val="left" w:pos="105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6、本次采购不接受供应商联合体投标。</w:t>
      </w:r>
      <w:r/>
    </w:p>
    <w:p>
      <w:pPr>
        <w:pStyle w:val="979"/>
        <w:pageBreakBefore w:val="0"/>
        <w:spacing w:line="360" w:lineRule="auto"/>
        <w:widowControl/>
        <w:tabs>
          <w:tab w:val="left" w:pos="105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7、本次采购确定的中标供应商数量：1名。</w:t>
      </w:r>
      <w:r/>
    </w:p>
    <w:p>
      <w:p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sz w:val="24"/>
          <w:szCs w:val="24"/>
          <w:highlight w:val="none"/>
        </w:rPr>
        <w:t xml:space="preserve">项目所属行业：</w:t>
      </w:r>
      <w:r>
        <w:rPr>
          <w:rFonts w:hint="eastAsia" w:ascii="宋体" w:hAnsi="宋体" w:eastAsia="宋体" w:cs="宋体"/>
          <w:sz w:val="24"/>
          <w:szCs w:val="24"/>
          <w:highlight w:val="none"/>
          <w:lang w:eastAsia="zh-CN"/>
        </w:rPr>
        <w:t xml:space="preserve">其他未列明行业</w:t>
      </w:r>
      <w:r>
        <w:rPr>
          <w:rFonts w:hint="eastAsia" w:ascii="宋体" w:hAnsi="宋体" w:eastAsia="宋体" w:cs="宋体"/>
          <w:sz w:val="24"/>
          <w:szCs w:val="24"/>
          <w:highlight w:val="none"/>
        </w:rPr>
        <w:t xml:space="preserve">。</w:t>
      </w:r>
      <w:r/>
    </w:p>
    <w:p>
      <w:pPr>
        <w:ind w:firstLine="480"/>
        <w:jc w:val="center"/>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采购清单</w:t>
      </w:r>
      <w:r/>
    </w:p>
    <w:tbl>
      <w:tblPr>
        <w:tblStyle w:val="977"/>
        <w:tblW w:w="10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4428"/>
        <w:gridCol w:w="1020"/>
        <w:gridCol w:w="1740"/>
        <w:gridCol w:w="1200"/>
        <w:gridCol w:w="1167"/>
      </w:tblGrid>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设备名称</w:t>
            </w:r>
            <w:r/>
          </w:p>
        </w:tc>
        <w:tc>
          <w:tcPr>
            <w:shd w:val="clear" w:color="auto" w:fill="auto"/>
            <w:tcW w:w="102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数量</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是否接受进口</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单价</w:t>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合价</w:t>
            </w:r>
            <w:r/>
          </w:p>
        </w:tc>
      </w:tr>
      <w:tr>
        <w:trPr>
          <w:jc w:val="center"/>
          <w:trHeight w:val="90"/>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台式PH计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2"/>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台式电导率</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BOD5曝气装置</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千分之一天平</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35"/>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十万分</w:t>
            </w:r>
            <w:r>
              <w:rPr>
                <w:rFonts w:hint="eastAsia" w:ascii="宋体" w:hAnsi="宋体" w:eastAsia="宋体" w:cs="宋体"/>
                <w:sz w:val="24"/>
                <w:szCs w:val="24"/>
                <w:highlight w:val="none"/>
                <w:lang w:eastAsia="zh-CN" w:bidi="ar"/>
              </w:rPr>
              <w:t xml:space="preserve">之</w:t>
            </w:r>
            <w:r>
              <w:rPr>
                <w:rFonts w:hint="eastAsia" w:ascii="宋体" w:hAnsi="宋体" w:eastAsia="宋体" w:cs="宋体"/>
                <w:sz w:val="24"/>
                <w:szCs w:val="24"/>
                <w:highlight w:val="none"/>
                <w:lang w:eastAsia="zh-Hans" w:bidi="ar"/>
              </w:rPr>
              <w:t xml:space="preserve">一天平</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马弗炉</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高压蒸汽灭菌器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恒温培养箱</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Hans" w:bidi="ar"/>
              </w:rPr>
              <w:t xml:space="preserve">离子计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超声波清洗器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可见光分光光度计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全自动CODcr分析仪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13</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水浴锅</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4</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气相色谱仪（FID、ECD）</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18"/>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5</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气相色谱质谱联用仪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18"/>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16</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电感耦合等离子体发射光谱仪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17</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热脱附仪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18</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老化仪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19</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气袋进样器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20</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石墨炉原子吸收仪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火焰原子吸收仪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15"/>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原子荧光光度计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23</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hAnsi="宋体" w:cs="宋体"/>
                <w:sz w:val="24"/>
                <w:szCs w:val="24"/>
                <w:highlight w:val="none"/>
                <w:lang w:val="en-US" w:eastAsia="zh-CN" w:bidi="ar"/>
              </w:rPr>
              <w:t xml:space="preserve">全自动红外测油仪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55"/>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24</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连续流动分析仪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25</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液液萃取仪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26</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固相萃取仪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27</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氮吹浓缩仪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33"/>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28</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石墨消解器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33"/>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29</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COD消解器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30</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高氯COD消解器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酸化-吹气-吸收装置</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实验室配气仪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33</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单开门样品存储柜</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34</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双开门样品存储柜</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90"/>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35</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紫外灯箱</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36</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纯水机</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37</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低浓度颗粒物大流量烟尘仪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38</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低浓度颗粒物采样枪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39</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便携式多气体检测仪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40</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移动电源</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便携式抽滤装置</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便携式电导率仪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43</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细菌快速检测仪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44</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便携式溶氧仪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45</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便携式PH计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46</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便携式浊度计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47</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便携式离心机</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48</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表层采水器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49</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卡盖式采水器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50</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高温温度计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塞氏盘</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测深仪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53</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铁壳温度计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54</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声级计</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55</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声级校准器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56</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hAnsi="宋体" w:cs="宋体"/>
                <w:sz w:val="24"/>
                <w:szCs w:val="24"/>
                <w:highlight w:val="none"/>
                <w:lang w:val="en-US" w:eastAsia="zh-CN" w:bidi="ar"/>
              </w:rPr>
              <w:t xml:space="preserve">应急</w:t>
            </w:r>
            <w:r>
              <w:rPr>
                <w:rFonts w:hint="eastAsia" w:ascii="宋体" w:hAnsi="宋体" w:eastAsia="宋体" w:cs="宋体"/>
                <w:sz w:val="24"/>
                <w:szCs w:val="24"/>
                <w:highlight w:val="none"/>
                <w:lang w:val="en-US" w:eastAsia="zh-CN" w:bidi="ar"/>
              </w:rPr>
              <w:t xml:space="preserve">防护用品箱</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57</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应急工作箱</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58</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重型防护服</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59</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甲醛仪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60</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气袋采样器</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61</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移液枪</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76"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62</w:t>
            </w:r>
            <w:r/>
          </w:p>
        </w:tc>
        <w:tc>
          <w:tcPr>
            <w:shd w:val="clear" w:color="auto" w:fill="auto"/>
            <w:tcW w:w="4428"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程控封口机</w:t>
            </w:r>
            <w:r/>
          </w:p>
        </w:tc>
        <w:tc>
          <w:tcPr>
            <w:shd w:val="clear" w:color="auto" w:fill="auto"/>
            <w:tcW w:w="1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20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1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gridSpan w:val="6"/>
            <w:shd w:val="clear" w:color="auto" w:fill="auto"/>
            <w:tcW w:w="10331"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en-US" w:eastAsia="zh-CN" w:bidi="ar"/>
              </w:rPr>
              <w:t xml:space="preserve">总价</w:t>
            </w:r>
            <w:r/>
          </w:p>
        </w:tc>
      </w:tr>
    </w:tbl>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二、采购标的汇总表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 采购标的</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1、货物类标的</w:t>
      </w:r>
      <w:r/>
    </w:p>
    <w:tbl>
      <w:tblPr>
        <w:tblStyle w:val="986"/>
        <w:tblW w:w="10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3107"/>
        <w:gridCol w:w="2235"/>
        <w:gridCol w:w="1177"/>
        <w:gridCol w:w="1350"/>
        <w:gridCol w:w="1381"/>
      </w:tblGrid>
      <w:tr>
        <w:trPr>
          <w:jc w:val="center"/>
          <w:trHeight w:val="621"/>
        </w:trPr>
        <w:tc>
          <w:tcPr>
            <w:tcW w:w="1027"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序号</w:t>
            </w:r>
            <w:r/>
          </w:p>
        </w:tc>
        <w:tc>
          <w:tcPr>
            <w:tcW w:w="3107"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货物类标的名称</w:t>
            </w:r>
            <w:r/>
          </w:p>
        </w:tc>
        <w:tc>
          <w:tcPr>
            <w:tcW w:w="2235"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计量单位</w:t>
            </w:r>
            <w:r/>
          </w:p>
        </w:tc>
        <w:tc>
          <w:tcPr>
            <w:tcW w:w="1177"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数量</w:t>
            </w:r>
            <w:r/>
          </w:p>
        </w:tc>
        <w:tc>
          <w:tcPr>
            <w:tcW w:w="1350"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是否进口</w:t>
            </w:r>
            <w:r/>
          </w:p>
        </w:tc>
        <w:tc>
          <w:tcPr>
            <w:tcW w:w="1381"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备注</w:t>
            </w:r>
            <w:r/>
          </w:p>
        </w:tc>
      </w:tr>
      <w:tr>
        <w:trPr>
          <w:jc w:val="center"/>
        </w:trPr>
        <w:tc>
          <w:tcPr>
            <w:tcW w:w="1027" w:type="dxa"/>
            <w:vAlign w:val="center"/>
            <w:textDirection w:val="lrTb"/>
            <w:noWrap w:val="false"/>
          </w:tcPr>
          <w:p>
            <w:pPr>
              <w:jc w:val="center"/>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rPr>
              <w:t xml:space="preserve">1</w:t>
            </w:r>
            <w:r/>
          </w:p>
        </w:tc>
        <w:tc>
          <w:tcPr>
            <w:tcW w:w="3107"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镇江市生态环境监测站实验分析及应急监测仪器设备采购项目（二期）二次</w:t>
            </w:r>
            <w:r/>
          </w:p>
        </w:tc>
        <w:tc>
          <w:tcPr>
            <w:tcW w:w="2235" w:type="dxa"/>
            <w:vAlign w:val="center"/>
            <w:textDirection w:val="lrTb"/>
            <w:noWrap w:val="false"/>
          </w:tcPr>
          <w:p>
            <w:pPr>
              <w:pStyle w:val="996"/>
              <w:jc w:val="center"/>
              <w:spacing w:after="0" w:line="360" w:lineRule="auto"/>
              <w:rPr>
                <w:rFonts w:hint="eastAsia" w:ascii="宋体" w:hAnsi="宋体" w:eastAsia="宋体" w:cs="宋体"/>
                <w:sz w:val="24"/>
                <w:szCs w:val="24"/>
                <w:highlight w:val="none"/>
                <w:lang w:val="en-US" w:eastAsia="zh-CN" w:bidi="ar-SA"/>
              </w:rPr>
            </w:pPr>
            <w:r>
              <w:rPr>
                <w:rFonts w:hint="eastAsia" w:hAnsi="宋体" w:cs="宋体"/>
                <w:color w:val="000000" w:themeColor="text1"/>
                <w:sz w:val="24"/>
                <w:szCs w:val="24"/>
                <w:highlight w:val="none"/>
                <w:lang w:val="en-US" w:eastAsia="zh-CN"/>
                <w14:textFill>
                  <w14:solidFill>
                    <w14:schemeClr w14:val="tx1"/>
                  </w14:solidFill>
                </w14:textFill>
              </w:rPr>
              <w:t xml:space="preserve">项</w:t>
            </w:r>
            <w:r/>
          </w:p>
        </w:tc>
        <w:tc>
          <w:tcPr>
            <w:tcW w:w="1177" w:type="dxa"/>
            <w:vAlign w:val="center"/>
            <w:textDirection w:val="lrTb"/>
            <w:noWrap w:val="false"/>
          </w:tcPr>
          <w:p>
            <w:pPr>
              <w:pStyle w:val="996"/>
              <w:jc w:val="center"/>
              <w:spacing w:after="0" w:line="360" w:lineRule="auto"/>
              <w:rPr>
                <w:rFonts w:hint="eastAsia" w:ascii="宋体" w:hAnsi="宋体" w:eastAsia="宋体" w:cs="宋体"/>
                <w:color w:val="333333"/>
                <w:sz w:val="24"/>
                <w:szCs w:val="24"/>
                <w:highlight w:val="none"/>
                <w:lang w:val="en-US" w:eastAsia="zh-CN" w:bidi="ar-SA"/>
              </w:rPr>
            </w:pPr>
            <w:r>
              <w:rPr>
                <w:rFonts w:hint="eastAsia" w:ascii="宋体" w:hAnsi="宋体" w:eastAsia="宋体" w:cs="宋体"/>
                <w:color w:val="333333"/>
                <w:sz w:val="24"/>
                <w:szCs w:val="24"/>
                <w:highlight w:val="none"/>
                <w:lang w:val="en-US" w:eastAsia="zh-CN"/>
              </w:rPr>
              <w:t xml:space="preserve">1</w:t>
            </w:r>
            <w:r/>
          </w:p>
        </w:tc>
        <w:tc>
          <w:tcPr>
            <w:tcW w:w="1350" w:type="dxa"/>
            <w:vAlign w:val="center"/>
            <w:textDirection w:val="lrTb"/>
            <w:noWrap w:val="false"/>
          </w:tcPr>
          <w:p>
            <w:pPr>
              <w:pStyle w:val="996"/>
              <w:jc w:val="center"/>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333333"/>
                <w:sz w:val="24"/>
                <w:szCs w:val="24"/>
                <w:highlight w:val="none"/>
              </w:rPr>
              <w:t xml:space="preserve">否</w:t>
            </w:r>
            <w:r/>
          </w:p>
        </w:tc>
        <w:tc>
          <w:tcPr>
            <w:tcW w:w="1381" w:type="dxa"/>
            <w:vAlign w:val="center"/>
            <w:textDirection w:val="lrTb"/>
            <w:noWrap w:val="false"/>
          </w:tcPr>
          <w:p>
            <w:pPr>
              <w:pStyle w:val="996"/>
              <w:jc w:val="center"/>
              <w:spacing w:after="0" w:line="360" w:lineRule="auto"/>
              <w:rPr>
                <w:rFonts w:hint="eastAsia" w:ascii="宋体" w:hAnsi="宋体" w:eastAsia="宋体" w:cs="宋体"/>
                <w:color w:val="333333"/>
                <w:sz w:val="24"/>
                <w:szCs w:val="24"/>
                <w:highlight w:val="none"/>
                <w:lang w:val="en-US" w:eastAsia="zh-CN" w:bidi="ar-SA"/>
              </w:rPr>
            </w:pPr>
            <w:r>
              <w:rPr>
                <w:rFonts w:hint="eastAsia" w:ascii="宋体" w:hAnsi="宋体" w:eastAsia="宋体" w:cs="宋体"/>
                <w:color w:val="333333"/>
                <w:sz w:val="24"/>
                <w:szCs w:val="24"/>
                <w:highlight w:val="none"/>
                <w:lang w:val="en-US" w:eastAsia="zh-CN" w:bidi="ar-SA"/>
              </w:rPr>
            </w:r>
            <w:r/>
          </w:p>
        </w:tc>
      </w:tr>
    </w:tbl>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三、设备技术参数</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（一）台式PH计</w:t>
      </w:r>
      <w:r/>
    </w:p>
    <w:p>
      <w:pPr>
        <w:numPr>
          <w:ilvl w:val="0"/>
          <w:numId w:val="0"/>
        </w:numPr>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适用于实验室 pH、mV、温度测定。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2.1、采用5.7英寸彩色高清液晶屏幕，显示清晰；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2.2、电极接口有三个，分别是pH电极、参比电极、温度电极；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2.3、具有RS-232接口，支持连接标准RS-232串口打印机，直接打印测量结果，打印格式可选；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2.4、具有USB接口，通过专用通信软件与PC连接，实现数据传输；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2.5、智能判别终点，支持自动读数，定时读数，定时间隔读数，手动读数；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2.6、支持自动/手动温度补偿；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2.7、支持1-5点pH电极标定；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2.8、自动识别GB，DIN，NIST，USA等3组标准缓冲溶液，支持标液组管理，支持自定义pH缓冲溶液和标液组；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2.9、支持开机自诊断，自动关机，断电保护和恢复出厂设置、恢复默认参数等功能；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2.10、符合GLP，支持数据存储（500套），查阅，删除，传输和打印，实现数据追溯；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2.11、支持IP54防护等级；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2.12、仪器端操作软件，可提供嵌入式软件著作权和软件产品证书；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2.13、PC端操作软件，可同步数据，测量数据，可提供软件著作权和软件产品证书。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3.1、仪器级别0.01级；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3.2、mV范围(-2000.0～2000.0)mV最小分辨率0.1mV，电子单元示值误差±0.1%或±0.3mV；</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3.3、pH</w:t>
      </w:r>
      <w:r>
        <w:rPr>
          <w:rFonts w:hint="eastAsia" w:ascii="宋体" w:hAnsi="宋体" w:eastAsia="宋体" w:cs="宋体"/>
          <w:color w:val="auto"/>
          <w:sz w:val="24"/>
          <w:szCs w:val="24"/>
          <w:highlight w:val="none"/>
          <w:lang w:val="en-US" w:eastAsia="zh-CN"/>
        </w:rPr>
        <w:t xml:space="preserve">范围(0.00～14.00)pH，最小分辨率0.01pH，电子单元示值误差±0.01pH；</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3.4、温度范围(0.0～50.0)℃，最小分辨率0.1℃，电子单元示值误差±0.2℃。</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4.1、主机1台；</w:t>
      </w:r>
      <w:r/>
    </w:p>
    <w:p>
      <w:pPr>
        <w:numPr>
          <w:ilvl w:val="0"/>
          <w:numId w:val="0"/>
        </w:numPr>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4.2、pH三复合电极2根；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4.3、pH4.00/6.86/9.18袋装缓冲溶液各10包；</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4.4、多功能电极架1套；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4.5、电源适配器1套；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4.6、防尘罩1套；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4.7、三芯电源线1根；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4.8、通用USB连接线1根；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4.9、软件卡1套；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4.10、简易操作指南1套；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4.11、使用说明书1套；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4.12、产品合格证1套。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（二）台式电导率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适用于实验室电导率、电阻率、总固态溶解物(TDS)、盐度值、温度测定。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2.1、采用5.7英寸彩色高清液晶屏幕，显示清晰；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2.2、具有RS-232接口，支持连接标准RS-232串口打印机，直接打印测量结果，打印格式可选；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2.3、具有USB接口，通过专用通信软件与PC连接，实现数据传输；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2.4、智能判别终点，支持自动读数，定时读数，定时间隔读数，手动读数；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2.5、支持自动/手动温度补偿；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2.6、自动识别4种GB电导标准溶液，支持1-3点电导电极标定；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2.7、支持不补偿，线性，纯水补偿等多种电导率补偿方式；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2.8、支持自动频率切换，配套1.0常数电极可覆盖全量程测量；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2.9、支持开机自诊断，自动关机，断电保护和恢复出厂设置、恢复默认参数等功能；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2.10、符合GLP，支持数据存储（至少500套），查阅，删除，传输和打印，实现数据追溯；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2.11、支持IP54防护等级；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2.12、仪器端操作软件，可提供嵌入式软件著作权和软件产品证书；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2.13、PC端操作软件，可同步数据，测量数据，可提供软件著作权和软件产品证书。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3.1、仪器级别0.5级；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3.2、电导率范围0.000μS/cm～1000mS/cm，最小分辨率0.001μS/cm，根据量程自动切换，电子单元引用误差±0.5% FS；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3.3、电阻率范围5.00Ω.cm～100.0MΩ.cm，最小分辨率0.01Ω·cm，根据量程自动切换，电子单元引用误差±0.5% FS；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3.4、TDS范围0.000 mg/L～1000g/L，最小分辨率0.001mg/L，根据量程自动切换，电子单元引用误差±0.5% FS；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3.5、盐度范围(0.00～8.00)%，最小分辨率0.01%，电子单元引用误差±0.1%；</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3.6、温度范围(0.0～50.0)℃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，最小分辨率0.1 ℃，电子单元示值误差±0.1 ℃。</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4.1、主机1台；</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4.2、复合电导电极2根；</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4.3、电导率溶液1408μs/cm 10包；</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4.4、多功能电极架1套；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4.5、电源适配器1套；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4.6、防尘罩1套；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4.7、三芯电源线1根；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4.8、通用USB连接线1根；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4.9、软件卡1套；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4.10、简易操作指南1套；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4.11、使用说明书1套；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4.12、产品合格证。</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（三）BOD5曝气装置</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1.1、电源输入要求:具备交直流功能；</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1.2、增氧机重量:≥140克；</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1.3、连接曝气头:曝气头可拔插使用；</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1.4、具备断电使用功能；</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1.5、供电方式：充电/电源两用式。</w:t>
      </w:r>
      <w:r/>
    </w:p>
    <w:p>
      <w:p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1.6、功率：20～450w。</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（四）千分之一天平</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1.1、具有RS232接口；</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1.2、LCD背光显示屏；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1.3、具有单位换算功能；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1.4、具有计数功能；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1.5、可百分比称重；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1.6、可总和计重；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1.7、可密度测定；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1.8、具有电磁平衡称重系统，须耐腐蚀、抗冲击、可拆卸维修；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1.9、配置传统型MFR电磁力补偿传感器，须反应快、便于维修；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1.10、具有中文操作界面；</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1.11、最大称量值≥250g；</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1.12、可读性≤1mg；</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1.13、重复性≤1mg；</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1.14、线性误差≤5mg；</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1.15、稳定时间≤8s；</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1.16、秤盘尺寸≥Ø110mm；</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1.17、配备适用的直流稳压器。</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（五）十万分之一天平</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1.1、最大秤量：≥</w:t>
      </w:r>
      <w:r>
        <w:rPr>
          <w:rFonts w:hint="eastAsia" w:ascii="宋体" w:hAnsi="宋体" w:eastAsia="宋体" w:cs="宋体"/>
          <w:color w:val="auto"/>
          <w:sz w:val="24"/>
          <w:szCs w:val="24"/>
          <w:highlight w:val="none"/>
          <w:lang w:val="en-US" w:eastAsia="zh-CN"/>
        </w:rPr>
        <w:t xml:space="preserve">100g</w:t>
      </w:r>
      <w:r>
        <w:rPr>
          <w:rFonts w:hint="eastAsia" w:ascii="宋体" w:hAnsi="宋体" w:eastAsia="宋体" w:cs="宋体"/>
          <w:color w:val="auto"/>
          <w:sz w:val="24"/>
          <w:szCs w:val="24"/>
          <w:highlight w:val="none"/>
          <w:lang w:eastAsia="zh-CN"/>
        </w:rPr>
        <w:t xml:space="preserve">；</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1.2、可读性：0.01mg；</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1.3、重复性：≤0.01mg；</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1.4、线性偏差：≤0.06mg；</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1.5、最小称量值（USP，允差=0.10%）：≤</w:t>
      </w:r>
      <w:r>
        <w:rPr>
          <w:rFonts w:hint="eastAsia"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eastAsia="zh-CN"/>
        </w:rPr>
        <w:t xml:space="preserve">mg；</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1.6、配备7英寸或以上超大彩色触摸屏，须具备中文操作系统；</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1.7、不少于四级用户管理设置，不少于20个的独立账号密码保护设置，确保可不同角色人员对于设备分别管理；</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w:t>
      </w:r>
      <w:r>
        <w:rPr>
          <w:rFonts w:hint="eastAsia"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eastAsia="zh-CN"/>
        </w:rPr>
        <w:t xml:space="preserve">电子水平向导</w:t>
      </w:r>
      <w:r>
        <w:rPr>
          <w:rFonts w:hint="eastAsia" w:hAnsi="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lang w:eastAsia="zh-CN"/>
        </w:rPr>
        <w:t xml:space="preserve">当天平出现倾斜超过设定误差时，显示器上出现警告标记，并可以设置未完成调水平步骤前无法进行下一步任何操作</w:t>
      </w:r>
      <w:r>
        <w:rPr>
          <w:rFonts w:hint="eastAsia" w:hAnsi="宋体" w:cs="宋体"/>
          <w:color w:val="auto"/>
          <w:sz w:val="24"/>
          <w:szCs w:val="24"/>
          <w:highlight w:val="none"/>
          <w:lang w:eastAsia="zh-CN"/>
        </w:rPr>
        <w:t xml:space="preserve">；</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1.9、具备多种端口用于轻松连接和数据导出；</w:t>
      </w:r>
      <w:r/>
    </w:p>
    <w:p>
      <w:p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1.10、配备适用的直流稳压器。</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（六）马弗炉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1.1、开门操作须安全简便，以确保炉内高温热气不外漏；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1.2、控制器安装在炉门下方可以节省空间，能满足各种快速烧结要求；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1.3、微电脑PID控制器，操作简便，控温精确、可靠、安全；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1.4、耐腐蚀轻质炉膛，确保经久耐用；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1.5、极好的门密封使得热量损失最小，增加了炉膛内温度的均匀性。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1.6、安全功能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1.6.1、具有过温保护器，门开关控制器，箱体表面冷却风扇和电阻炉异常报警功能：加热器故障、温度传感器故障、内存内容异常、超温异常，并声光报警提示操作者，以保证电阻炉安全运行不发生意外；</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1.6.2、设有过流、过压、过热等多种安全保护措施，确保电炉安全使用；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1.6.3、隔热保温材料须具有隔热效果好、箱壳表面温度低等特点。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2.1、程序控制温度，时间及升温速度快慢等程序，可以快速进行各种烧结试验；</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2.2、采用微处理控制方式，多</w:t>
      </w:r>
      <w:r>
        <w:rPr>
          <w:rFonts w:hint="eastAsia" w:ascii="宋体" w:hAnsi="宋体" w:eastAsia="宋体" w:cs="宋体"/>
          <w:color w:val="auto"/>
          <w:sz w:val="24"/>
          <w:szCs w:val="24"/>
          <w:highlight w:val="none"/>
          <w:lang w:val="en-US" w:eastAsia="zh-CN"/>
        </w:rPr>
        <w:t xml:space="preserve">段可编程控制，可实现自动控制和运行；</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2.3、最高温度：≥1000℃；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2.4、炉膛容积≥2L；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2.5、电源电压：220V/50HZ；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2.6、额定功率：2500W；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2.7、加热元件：优质电炉丝；</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2.8、控温精度：±1℃；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2.9、温度均匀度：5℃（垂直方向）。</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（七）高压灭菌器</w:t>
      </w:r>
      <w:r/>
    </w:p>
    <w:p>
      <w:pPr>
        <w:numPr>
          <w:ilvl w:val="0"/>
          <w:numId w:val="0"/>
        </w:numPr>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1.1、配置：自控型；</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1.2、电加热方式，自胀式密封圈；</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1.3、内胆304全不锈钢材质；</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1.4、采用移位式快开盖结构；</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1.5、可实行微电脑控制系统，采用LED数显运行工作程序，灭菌结束（报警）后可自动停机；</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1.6、采用电子与机械互动的安全结构，使锅内有压力时联锁装置自动锁紧锅盖，确保使用者安全操作；</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1.7、具有下排放冷空气和下排水功能；</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1.8、可预置固定程序对灭菌物品灭菌；</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1.9、可存储上次灭菌程序，便于二次操作；</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1.10、数显屏与指示灯可显示设定的灭菌工作动态与运行的功能提示；</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1.11、具有锁盖联动装置、电控式超温过压保护系统、防干烧保护功能、机械式安全泄压阀、漏电保护装置；</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1.12、产品符合GB/T 150《压力容器》设计与制造；</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1.13、时间设定范围：0～999min；</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1.14、灭菌温度设定范围：50～126℃；</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1.15、额定工作压力：0.142 MPa</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1.16、电压/功率：220V/2Kw。</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1.17、容积≤24升</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（八）恒温培养箱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1.1、模糊PID控制器，控温精确波动小，带定时功能，时间最大设定值为99小时59分；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1.2、镜面不锈钢内胆，电热管加热方式，加热速度快，可使箱内均匀加热；</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1.3、循环风扇速度自动控制：循环风扇速度大小可自动控制，当箱内温度处于恒温状态时，速度会减小，循环风速会调整到适宜细胞成长的风速，避免试验过程中由于风量过大造成样品的挥发；</w:t>
      </w:r>
      <w:r/>
    </w:p>
    <w:p>
      <w:pP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1.4、安全功能：温度偏高或偏低及超温报警。</w:t>
      </w:r>
      <w:r/>
    </w:p>
    <w:p>
      <w:pPr>
        <w:numPr>
          <w:ilvl w:val="0"/>
          <w:numId w:val="0"/>
        </w:numP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2.1、电源电压：AC220V 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2.2、控温范围：RT+5～65℃；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2.3、温度分辨率/波动度：0.1℃/±0.5℃；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2.4、温度均匀度：±1.5℃（37℃时或44.5℃）；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2.5、工作环境温度：+5～35℃；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2.6、输入功率：400W；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2.7、容积：≥80L；</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2.8、配备载物托架2块。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（九）离子计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适用于实验室 电位值、pH值、pX值、氧化还原电位、离子浓度值和温度测定。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2.1、要求采用5.7英寸</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sz w:val="24"/>
          <w:szCs w:val="24"/>
          <w:highlight w:val="none"/>
          <w:lang w:val="en-US" w:eastAsia="zh-CN"/>
        </w:rPr>
        <w:t xml:space="preserve">彩色高清液晶屏幕，显示清晰；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2.2、具有RS-232接口，支持连接标准RS-232串口打印机，直接打印测量结果，打印格式可选；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2.3、具有USB接口，通过专用通信软件与PC连接，实现数据传输；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2.4、智能判别终点，支持自动读数，定时读数，定时间隔读数，手动读数；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2.5、支持自动/手动温度补偿；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2.6、支持1-5点pH电极和离子电极标定；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2.7、可自动识别GB，DIN，NIST，USA 4组标准缓冲溶液，支持标液组管理，支持自定义pH缓冲溶液和标液组；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2.8、内置Na+，K+，NH4+，Cl-，F-等多种离子模式，且允许用户自建；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2.9、mol/L，mmol/L，g/L，mg/L，μg/L，ppm，ppb多种离子浓度单位快速切换；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2.10、测量模式：直读浓度法测量，标准添加法测量，样品添加法测量，GRAN法测量；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2.11、支持开机自诊断，自动关机，断电保护和恢复出厂设置、恢复默认参数等功能；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2.12、符合GLP，支持数据存储（500套），查阅，删除，传输和打印，实现数据追溯；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2.13、支持IP54防护等级；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2.14、仪器端操作软件，可提供嵌入式软件著作权和软件产品证书；</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2.15、PC端操作软件，可同步数据，测量数据，可提供软件著作权和软件产品证书。</w:t>
      </w:r>
      <w:r/>
    </w:p>
    <w:p>
      <w:pPr>
        <w:numPr>
          <w:ilvl w:val="0"/>
          <w:numId w:val="0"/>
        </w:numPr>
        <w:pageBreakBefore w:val="0"/>
        <w:spacing w:line="360" w:lineRule="auto"/>
        <w:widowControl/>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3.1、仪器级别0.001级；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3.2、mV范围(-2000.00～2000.00)，mV最小分辨率0.01mV，电子单元示值误差±0.03%或±0.1mV；</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3.3、pH范围(-2.000～20.000)pH，最小分辨率0.001pH，电子单元示值误差±0.002pH；</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3.4、pX范围(-2.000～20.000)pX最小分辨率0.001pX电子单元示值误差±0.002pX；</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3.5、离子浓度范围( 1.000e-9～9.999e+9)，最小分辨率4位有效数字电子单元示值误差±0.3%；</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3.6、温度范围(-10.0～135.0)℃/(14.0-275.0)℉，最小分辨率0.1℃/0.1℉，电子单元示值误差±0.1℃。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4.2、搅拌器1个；</w:t>
      </w:r>
      <w:r/>
    </w:p>
    <w:p>
      <w:pPr>
        <w:numPr>
          <w:ilvl w:val="0"/>
          <w:numId w:val="0"/>
        </w:numPr>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4.3、氟离子</w:t>
      </w:r>
      <w:r>
        <w:rPr>
          <w:rFonts w:hint="eastAsia" w:ascii="宋体" w:hAnsi="宋体" w:eastAsia="宋体" w:cs="宋体"/>
          <w:color w:val="auto"/>
          <w:sz w:val="24"/>
          <w:szCs w:val="24"/>
          <w:highlight w:val="none"/>
          <w:lang w:val="en-US" w:eastAsia="zh-CN"/>
        </w:rPr>
        <w:t xml:space="preserve">电极2根；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4.4、温度电极1根；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4.5、多功能电极架1套；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4.6、电源适配器2只；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4.7、搅拌棒3只；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4.8、防尘罩1套；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4.9、三芯电源线1根；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4.10、通用USB连接线1根；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4.11、软件卡1套；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4.12、简易操作指南1套；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4.13、使用说明书1套；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4.14、产品合格证1套。</w:t>
      </w:r>
      <w:r/>
    </w:p>
    <w:p>
      <w:pPr>
        <w:pStyle w:val="975"/>
        <w:numPr>
          <w:ilvl w:val="0"/>
          <w:numId w:val="2"/>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超声波清洗器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1.1、功能：脱气+功率调节+时间+加热可调；</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1.2、容量：≥10L；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1.3、电压：220V；</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1.4、超声功率：≥240W；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1.5、加热功率：≥200W；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1.6、超声频率：≥40KHZ；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1.7、时间控制：0～99分钟可调；</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1.8、温度控制：常温20℃～80℃可调。</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（十一）可见光分光光度计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1.1、光学系统：双光束比例监测；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1.2、波长范围：325～1100nm；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1.3、波长准确度：±2nm；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1.4、波长重复性：≤0.4nm；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1.5、光谱带宽：2nm；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▲1.6、杂散光：≤0.1%T；</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1.7、光度范围：-0.3～3Abs；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1.8、光度准确度：±0.002Abs（0-0.5Abs），±0.004Abs（0.5-1Abs），±0.3%T（0-100%T）；</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1.9、光度重复性：≤0.001（0-0.5Abs），≤0.002（0.5-1Abs），≤0.15%T（0-100%T）；</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1.10、基线平直度：±0.002；</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1.11、噪声：≤0.15%（500nm，P-P，开机预热半小时后）；</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1.12、基线漂移：≤0.35%/h（500nm，开机预热2小时后）。</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2.1、可见分光光度计主机1台；</w:t>
      </w:r>
      <w:r/>
    </w:p>
    <w:p>
      <w:pPr>
        <w:numPr>
          <w:ilvl w:val="0"/>
          <w:numId w:val="0"/>
        </w:numPr>
        <w:pageBreakBefore w:val="0"/>
        <w:spacing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2.2、五联</w:t>
      </w:r>
      <w:r>
        <w:rPr>
          <w:rFonts w:hint="eastAsia" w:ascii="宋体" w:hAnsi="宋体" w:eastAsia="宋体" w:cs="宋体"/>
          <w:color w:val="auto"/>
          <w:sz w:val="24"/>
          <w:szCs w:val="24"/>
          <w:highlight w:val="none"/>
          <w:lang w:val="en-US" w:eastAsia="zh-CN"/>
        </w:rPr>
        <w:t xml:space="preserve">池架1套；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2.3、工具箱1套（包括十字螺丝刀2只、内六角螺丝刀1盒）；</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2.4、合格证1套；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2.5、石英比色皿4套：分别10mm两套、30mm两套；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2.6、保险管2只；</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2.7、使用说明书1套。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（十二）全自动CODcr分析仪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满足HJ828化学需氧量的重铬酸盐法，适用于各类工况CODcr批量样品的全自动运行分析。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2.1、热源要求抗高温氧化的碳纤维并配套微晶防护，整机一体化不少于32位通道，满足浓硫酸试剂或水源误入不产生安全隐患和影响热源寿命；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2.2、消解通道具备两套独立运行的热源通道，满足运行过程中循环上样分析，样品标定与样品消解滴定同时进行；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▲2.3、试剂加液泵要求配套不少于8套独立运行的试剂通道，不同试剂均采用独立的试剂定量泵添加，减少不同试剂溶液间的交叉污染和试剂更换清洗产生多余废液；</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2.4、冷凝系统控制要求仪器自动控制循环水开启和关闭的恒温冷凝模式，压缩机制冷，具有超压、超温、缺水报警保护；</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2.5、消解滴定模式样品杯内消解、样品杯内滴定分析，减少抓手转移样品杯或抽液转移样品产生的安全隐患和样品试剂间的交叉损失污染；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2.6、试剂加液不少于3套独立运行的手臂，并配套有动力排废的收集杯；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2.7、高效降温消解结束，热源自动下移与消解样品杯脱离，样品杯四周不少于8套风源降温，减少余温影响降温，提高样品杯降温效率。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2.8、安全性能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2.8.1、仪器能自动判别待测样品位上是否放置样品杯，如有不匹配仪器能自动报警；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2.8.2、注射泵在运行过程中，管路堵塞能自动报警，未抽取到试剂会自动报警。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2.9、滴定溯源软件界面上以视频方式实时显示整个滴定过程，样品滴定完成后仪器可自动保存滴定过程水样的照片，方便溯源；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2.10、冷凝管和样品杯密封方式标准磨砂和弹性四氟双重密封，非单一磨砂密封方式；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2.11、试剂自动润洗清洗，各试剂通道均可独立选择润洗清洗，清洗次数任意选择。</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▲2.12、数据准确度要求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2.12.1、高浓度样品：标定10次重复性RSD≤1%，最大偏差≤0.2mL（标定体积25mL±2mL时）； 100mg/L左右样品测定6次结果重复性RSD≤3%，测定结果均符合标准物质证书要求；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2.12.2、低浓度样品：标定10次重复性RSD≤1.5%，最大偏差≤0.3mL（标定体积25mL±2mL时）； 20mg/L左右样品测定6次结果重复性RSD≤3%，测定结果均符合标准物质证书要求。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2.12.3、硫酸-硫酸银自动定量加液，要求配套两套独立的加液系统，满足两个样品同时进行加液，加液完成后自动排空试剂管路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2.13、为保障本次采购设备的长期使用，仪器制造商需具备长期提供售后服务的基本规模及能力，要求制造商具备企业诚信管理体系和五星售后服务认证</w:t>
      </w:r>
      <w:r>
        <w:rPr>
          <w:rFonts w:hint="eastAsia" w:ascii="宋体" w:hAnsi="宋体" w:eastAsia="宋体" w:cs="宋体"/>
          <w:b/>
          <w:bCs/>
          <w:sz w:val="24"/>
          <w:szCs w:val="24"/>
          <w:highlight w:val="none"/>
          <w:lang w:val="en-US" w:eastAsia="zh-CN"/>
        </w:rPr>
        <w:t xml:space="preserve">（提供国家环境监测总站产品监测报告验证）</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3.1、分析仪主机1套；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3.2、独立运行热源2套；</w:t>
      </w:r>
      <w:r/>
    </w:p>
    <w:p>
      <w:pPr>
        <w:numPr>
          <w:ilvl w:val="0"/>
          <w:numId w:val="0"/>
        </w:numPr>
        <w:pageBreakBefore w:val="0"/>
        <w:spacing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3.3、独立运行的试剂泵8套；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3.4、试剂瓶</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3.5、序列自检系统1套；</w:t>
      </w:r>
      <w:r/>
    </w:p>
    <w:p>
      <w:pPr>
        <w:numPr>
          <w:ilvl w:val="0"/>
          <w:numId w:val="0"/>
        </w:numPr>
        <w:pageBreakBefore w:val="0"/>
        <w:spacing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3.6、试剂溶液机器人手臂3套；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3.7、数据分析工作站1套；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3.8、耐腐圆形升降热源2套；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3.9、8通道风冷降温1套；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3.10、自动控制恒温循环冷凝系统1套；</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3.11、连接数据分析仪器装置1套；</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3.12、远程远程数据传输装置1套；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3.13、附件1套；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3.14、石英样品杯96个。</w:t>
      </w:r>
      <w:r/>
    </w:p>
    <w:p>
      <w:pPr>
        <w:pStyle w:val="975"/>
        <w:numPr>
          <w:ilvl w:val="0"/>
          <w:numId w:val="3"/>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水浴锅</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广泛用于蒸馏、干燥、浓缩以及温渍化学药品或生物制品。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2.1、电源：220 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2.2、加热功率：1500W；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2.3、控温范围：室温～100℃；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2.4、控温精度：≤0.1℃。</w:t>
      </w:r>
      <w:r/>
    </w:p>
    <w:p>
      <w:p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2.5、位数：工作槽容积≥16L，6位水浴样品槽。</w:t>
      </w:r>
      <w:r/>
    </w:p>
    <w:p>
      <w:pPr>
        <w:pStyle w:val="975"/>
        <w:numPr>
          <w:ilvl w:val="5"/>
          <w:numId w:val="0"/>
        </w:numPr>
        <w:pageBreakBefore w:val="0"/>
        <w:spacing w:before="0" w:after="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（十四）气相色谱仪（FID、ECD）</w:t>
      </w:r>
      <w:r>
        <w:rPr>
          <w:rFonts w:hint="eastAsia" w:hAnsi="宋体" w:eastAsia="宋体" w:cs="宋体"/>
          <w:color w:val="ff0000"/>
          <w:sz w:val="24"/>
          <w:szCs w:val="24"/>
          <w:highlight w:val="none"/>
          <w:lang w:val="en-US" w:eastAsia="zh-CN"/>
        </w:rPr>
        <w:t xml:space="preserve">（核心产品）</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1、技术参数要求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1.1、气相色谱仪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1.1.1、柱箱</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（1）柱箱温度：室温上5℃-450℃，19梯度/20平台程序升温；</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（2）升温速率：最大升温速度≥100℃/min，升温精度≤0.01℃/min；</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）降温速率：从450℃降至50℃≤240秒；</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）控温准确性：0.01℃。</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1.1.2、流路控制系统</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（1）最大压力设定范围：≥148psi；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（2）压力设定精度：≤0.001psi；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（3）流量设定范围：0-1000mL/min。</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1.1.3、分流/不分流毛细管柱进样口</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（1）压力、流量和分流比可通过流量控制系统进行数字化设定，最大压力≥148psi；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（2）压力设定精度：0.001psi；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（3）温度范围: 50ºC －400ºC或更宽，温度步进调节控制精度≤1ºC；</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（4）扳转式进样口，更换耗材无需使用工具，提供图片说明。</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1.1.4、仪器触摸屏控制面板通过WIFI连接，实现可移动远程联机</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（1）移动触摸屏控制面板可查看和设置各种方法参数，高效简化使用流程；</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（2）移动触摸屏控制面板可实时查看色谱图采集状态；</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（3）移动触摸屏控制面板内置仪器维护等帮助视频，可随时查看。</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1.1.5、不少于5个气相色谱柱智能记录钥匙，每个气相色谱柱智能记录钥匙可独立记录色谱柱的使用频次，使用时间，检测过的项目。</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1.2、自动进样器</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1.2.1、2ml样品瓶位数：150位；</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1.2.2、进样准确度：99%。</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1.3、氢火焰离子化检测器</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1.3.1、最高使用温度420℃；</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1.3.2、最低检测限：&lt;3pg C/s（十三烷）；</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1.3.3、线性范围：1×10</w:t>
      </w:r>
      <w:r>
        <w:rPr>
          <w:rFonts w:hint="eastAsia" w:ascii="宋体" w:hAnsi="宋体" w:eastAsia="宋体" w:cs="宋体"/>
          <w:color w:val="auto"/>
          <w:sz w:val="24"/>
          <w:szCs w:val="24"/>
          <w:highlight w:val="none"/>
          <w:vertAlign w:val="superscript"/>
          <w:lang w:eastAsia="zh-CN"/>
        </w:rPr>
        <w:t xml:space="preserve">7</w:t>
      </w:r>
      <w:r>
        <w:rPr>
          <w:rFonts w:hint="eastAsia" w:ascii="宋体" w:hAnsi="宋体" w:eastAsia="宋体" w:cs="宋体"/>
          <w:color w:val="auto"/>
          <w:sz w:val="24"/>
          <w:szCs w:val="24"/>
          <w:highlight w:val="none"/>
          <w:lang w:eastAsia="zh-CN"/>
        </w:rPr>
        <w:t xml:space="preserve">；</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1.3.4、数据采样速率:1000Hz。</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1.4、电子捕获检测器</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1.4.1、最低检测限：&lt;3.8 fg/mL（林丹），采用标准校验条件；</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1.4.2、专线性动态范围：&gt;5×104（林丹）；</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1.4.3、数据采集速率：最高500Hz； </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1.4.4、最高操作温度400°C。</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1.5、连接数据分析仪器装置</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1.5.1、软件：软件应该同时包含中文和英文两种软件，用户可根据自己需要安装不同语言版本的软件；</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1.5.2、主机：CPU I5处理器，单主频不低于1.5G/2G内存或以上/320G硬盘或以上/19”LCD/远程数据传输装置；</w:t>
      </w:r>
      <w:r/>
    </w:p>
    <w:p>
      <w:pPr>
        <w:ind w:firstLine="24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1.5.3、保留时间锁定功能：可以实现色谱柱维护以后锁定原保留时间，保留时间差值不高于0.5s。</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2、单套配置要求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2.1、气相色谱主机(双毛细管柱进样口，氢火焰离子化检测器，电子捕获检测器，气体进样阀，加热阀箱)1套；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2.2、液体自动进样器1套；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2.3、设备安装工具1套；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2.4、连接数据分析仪器</w:t>
      </w:r>
      <w:r>
        <w:rPr>
          <w:rFonts w:hint="eastAsia" w:ascii="宋体" w:hAnsi="宋体" w:eastAsia="宋体" w:cs="宋体"/>
          <w:sz w:val="24"/>
          <w:szCs w:val="24"/>
          <w:highlight w:val="none"/>
          <w:lang w:val="en-US" w:eastAsia="zh-CN"/>
        </w:rPr>
        <w:t xml:space="preserve">装置</w:t>
      </w:r>
      <w:r>
        <w:rPr>
          <w:rFonts w:hint="eastAsia" w:ascii="宋体" w:hAnsi="宋体" w:eastAsia="宋体" w:cs="宋体"/>
          <w:sz w:val="24"/>
          <w:szCs w:val="24"/>
          <w:highlight w:val="none"/>
          <w:lang w:eastAsia="zh-CN"/>
        </w:rPr>
        <w:t xml:space="preserve">2套；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2.5、远程数据传输装置1套；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2.6、-5 30m，-wax 30m，-1 30m色谱柱各1根，进样隔垫50个，衬管5个，自动进样针2根，石墨垫10个，柱螺母2个，样品瓶200个，分流平板密封垫1个，气体过滤器1个；</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2.7、氢气发生器1套；</w:t>
      </w:r>
      <w:r/>
    </w:p>
    <w:p>
      <w:pP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2.8、空气压缩机1套。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（十五）气相色谱质谱联用仪</w:t>
      </w:r>
      <w:r>
        <w:rPr>
          <w:rFonts w:hint="eastAsia" w:hAnsi="宋体" w:eastAsia="宋体" w:cs="宋体"/>
          <w:color w:val="ff0000"/>
          <w:sz w:val="24"/>
          <w:szCs w:val="24"/>
          <w:highlight w:val="none"/>
          <w:lang w:val="en-US" w:eastAsia="zh-CN"/>
        </w:rPr>
        <w:t xml:space="preserve">（核心产品）</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1、技术参数要求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1.1、气相色谱仪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1.1.1、柱箱</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（1）柱箱温度：室温上5℃-450℃，19梯度/20平台程序升温；</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（2）升温速率：最大升温速度≥100℃/min，升温精度≤0.01℃/min；</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▲（3）升温速率拓展：支持升级最大1400℃/min；</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（4）降温速率：从450℃降至50℃≤240秒；</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（5）控温准确性：0.01℃。</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1.1.2、流路控制系统</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（1）最大压力设定范围：≥148psi；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（2）压力设定精度：≤0.001psi；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（3）流量设定范围：0-1000mL/min。</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1.1.3、分流/不分流毛细管柱进样口</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（1）压力、流量和分流比可通过流量控制系统进行数字化设定，最大压力≥148psi；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（2）压力设定精度：0.001psi；</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（3）温度范围: 50ºC －400ºC或更宽，温度步进调节控制精度≤1ºC；</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▲（4）扳转式进样口，更换耗材无需使用工具（</w:t>
      </w:r>
      <w:r>
        <w:rPr>
          <w:rFonts w:hint="eastAsia" w:ascii="宋体" w:hAnsi="宋体" w:eastAsia="宋体" w:cs="宋体"/>
          <w:b/>
          <w:bCs/>
          <w:sz w:val="24"/>
          <w:szCs w:val="24"/>
          <w:highlight w:val="none"/>
          <w:lang w:eastAsia="zh-CN"/>
        </w:rPr>
        <w:t xml:space="preserve">提供图片说明）。</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1.1.4、仪器触摸屏控制面板通过WIFI连接，实现可移动远程联机</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（1）移动触摸屏控制面板可查看和设置各种方法参数，高效简化使用流程；</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（2）移动触摸屏控制面板可实时查看色谱图采集状态；</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（3）移动触摸屏控制面板内置仪器维护等帮助视频，可随时查看。</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1.1.5、不少于5个气相色谱柱智能记录钥匙，每个气相色谱柱智能记录钥匙可独立记录色谱柱的使用频次，使用时间，检测过的项目。</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1.1.6、液体自动进样器</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（1）2ml样品瓶位数：48位；</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（2）准确度：99%。</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1.2、质谱仪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1.2.1、具有网络通讯功能，可实现远程操作；</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1.2.2、侧开式面板，面板控制器可显示质谱状态信息及质谱工作参数的输入；</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1.2.3、结构紧凑，无需冷却水及压缩空气冷却；</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▲1.2.4、质量数范围：0.7-1090amu，以0.1amu递增；</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1.2.5、分辨率：单位质量数分辨； </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1.2.6、质量轴稳定性：优于0.10amu/48小时；</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1.2.7、最大扫描速率：20000amu/秒；</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1.2.8、动态范围：全动态范围为10</w:t>
      </w:r>
      <w:r>
        <w:rPr>
          <w:rFonts w:hint="eastAsia" w:ascii="宋体" w:hAnsi="宋体" w:eastAsia="宋体" w:cs="宋体"/>
          <w:color w:val="auto"/>
          <w:sz w:val="24"/>
          <w:szCs w:val="24"/>
          <w:highlight w:val="none"/>
          <w:vertAlign w:val="superscript"/>
          <w:lang w:eastAsia="zh-CN"/>
        </w:rPr>
        <w:t xml:space="preserve">6</w:t>
      </w:r>
      <w:r>
        <w:rPr>
          <w:rFonts w:hint="eastAsia" w:ascii="宋体" w:hAnsi="宋体" w:eastAsia="宋体" w:cs="宋体"/>
          <w:color w:val="auto"/>
          <w:sz w:val="24"/>
          <w:szCs w:val="24"/>
          <w:highlight w:val="none"/>
          <w:lang w:eastAsia="zh-CN"/>
        </w:rPr>
        <w:t xml:space="preserve">；</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1.2.9、选择离子模式检测（SIM）最多可有100组，每组最多可选择60个离子；</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1.2.10、质谱工作站可根据全扫描得到的数据，自动选择目标化合物的特征离子并对其进行分组，最后保存到分析方法当中，无须手动输入；</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1.2.11、具有全扫描/选择离子检测同时采集功能；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1.2.12、备有两根长效灯丝的高效电子轰击源，采用完全惰性的材料制成；</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▲1.2.13、离子化能量：5-241.5eV；</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1.2.14、离子源温度：独立控温，150-350℃可调；</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1.2.15、分析器：整体镀金双曲面石英四极杆，必须独立温控以确保质量轴稳定性及充分的抗污染能力，温控范围106℃-200℃，非预四级杆加热； </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1.2.16、检测器：长效高能量电子倍增器；</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1.2.17、灵敏度：最低检测限为10fg八氟萘（OFN）；</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1.2.18、真空系统：针对氦气（He）抽速为255L/s涡轮分子泵及2.5m3/hr机械泵；</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1.2.19、气质接口温度：独立控温，100-350℃；</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1.2.20、具备早期维护预报功能（EMF）；</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1.2.21、可提供质量认证功能（OQ/PV）。</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1.3、数据处理系统</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1.3.1、气相色谱，质谱，质谱连接数据分析仪器装置之间的数据传导可全部依靠自身安装的网卡实现；</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1.3.2、软件：中/英文可选；</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1.3.3、手动/自动调谐，数据采集，数据检索，分析结果报告，定量分析及谱库检索功能</w:t>
      </w:r>
      <w:r>
        <w:rPr>
          <w:rFonts w:hint="eastAsia" w:ascii="宋体" w:hAnsi="宋体" w:eastAsia="宋体" w:cs="宋体"/>
          <w:color w:val="auto"/>
          <w:sz w:val="24"/>
          <w:szCs w:val="24"/>
          <w:highlight w:val="none"/>
          <w:lang w:eastAsia="zh-CN"/>
        </w:rPr>
        <w:t xml:space="preserve">并提供最新版谱库；</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1.3.4、具有保留时间锁定（RTL）功能。此功能通过软件自动调整仪器工作参数，在五个不同条件下进样，分析锁定目标化合物而实现； </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1.3.5、全中文在线帮助软件。</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2、单套配置要求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2.1、气相色谱仪1台（2个毛细管柱进样口，1个质谱接口）；</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2.2、液体自动进样器1台；</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2.3、气质联用仪质谱检测器主机1台；</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2.4、气质连接数据分析仪器装置软件1套；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2.5、质谱最新谱库1套；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2.6、气相色谱安装工具1套；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2.7、-624 30 0.25 0.25，-5MS 30 0.25 0.25,1701MS 30 0.25 0.25色谱柱各1根，进样隔垫50个，衬管5个，自动进样针2根，石墨垫10个，柱螺母2个，样品瓶200个，分流平板密封垫1个，气体过滤器1个；</w:t>
      </w:r>
      <w:r/>
    </w:p>
    <w:p>
      <w:pPr>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w:t>
      </w:r>
      <w:r>
        <w:rPr>
          <w:rFonts w:hint="eastAsia" w:ascii="宋体" w:hAnsi="宋体" w:eastAsia="宋体" w:cs="宋体"/>
          <w:sz w:val="24"/>
          <w:szCs w:val="24"/>
          <w:highlight w:val="none"/>
          <w:lang w:val="en-US" w:eastAsia="zh-CN"/>
        </w:rPr>
        <w:t xml:space="preserve">连接数据分析仪器装置</w:t>
      </w:r>
      <w:r>
        <w:rPr>
          <w:rFonts w:hint="eastAsia" w:ascii="宋体" w:hAnsi="宋体" w:eastAsia="宋体" w:cs="宋体"/>
          <w:sz w:val="24"/>
          <w:szCs w:val="24"/>
          <w:highlight w:val="none"/>
          <w:lang w:eastAsia="zh-CN"/>
        </w:rPr>
        <w:t xml:space="preserve">2套，远程数据传输装置1套，配套6KVA UPS1套。</w:t>
      </w:r>
      <w:r/>
    </w:p>
    <w:p>
      <w:pPr>
        <w:pStyle w:val="975"/>
        <w:numPr>
          <w:ilvl w:val="5"/>
          <w:numId w:val="0"/>
        </w:numPr>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（十六）电感耦合等离子体发射光谱仪</w:t>
      </w:r>
      <w:r>
        <w:rPr>
          <w:rFonts w:hint="eastAsia" w:hAnsi="宋体" w:eastAsia="宋体" w:cs="宋体"/>
          <w:color w:val="ff0000"/>
          <w:sz w:val="24"/>
          <w:szCs w:val="24"/>
          <w:highlight w:val="none"/>
          <w:lang w:val="en-US" w:eastAsia="zh-CN"/>
        </w:rPr>
        <w:t xml:space="preserve">（核心产品）</w:t>
      </w:r>
      <w:r/>
    </w:p>
    <w:p>
      <w:pPr>
        <w:numPr>
          <w:ilvl w:val="0"/>
          <w:numId w:val="0"/>
        </w:numPr>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1.1、光学系统</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1.1.1、整个中阶梯光学系统无任何移动部件，所有光学元件均密封于35-38℃恒温光室中，保证优异的长期稳定性</w:t>
      </w:r>
      <w:r>
        <w:rPr>
          <w:rFonts w:hint="eastAsia" w:ascii="宋体" w:hAnsi="宋体" w:eastAsia="宋体" w:cs="宋体"/>
          <w:b/>
          <w:bCs/>
          <w:color w:val="auto"/>
          <w:sz w:val="24"/>
          <w:szCs w:val="24"/>
          <w:highlight w:val="none"/>
          <w:lang w:val="en-US" w:eastAsia="zh-CN"/>
        </w:rPr>
        <w:t xml:space="preserve">（提供恒温光室温度截图证明）</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1.1.2、中阶梯光栅+棱镜交叉色散多色器系统，波长连续覆盖167〜785nm，无任何波长断点。</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1.1.3、采用自由曲面准直镜设计，有效地降低了由于偏离和散焦所造成的像差，让每一条元素波长的光都可以通过独特的准直镜角度获得准确的聚焦</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1.1.4、测定方式：紫外和可见区由同一狭缝，同一检测器同时测定，一次分析测定全谱覆盖，真正的全谱直读，一个样品选择任意多的元素波长，测试时间都不变；</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1.1.5、波长校正: 采用氩的发射谱线自动进行周期性的波长校准, 保证分析波长的正确性，没有汞灯或氖灯校准的预热和耗材问题。每半年或需要的场合可采用15种元素标准混合溶液进行波长例行校核。</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1.1.6、吹扫型光室：对189nm以下波长测定，可选择氩气或者氮气进行光路吹扫。</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1.1.7、分辨率：光学分辨率＜0.007nm (在As 188.980nm 处实际测量半峰宽) 。 </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1.2、检测器</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1.2.1、要求CCD检测器设计</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1.2.2、采用成像匹配技术，检测器覆盖从167-785nm整个波长范围；整个波长范围内所有元素一次测定一次读出。</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1.2.3、紫外区平均量子化效率：背投照射技术，使平均量子化效率≥75%，检测器表面无任何光转换化学涂膜。</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1.2.4、检测器冷却：半导体制冷，要求温度≤－40℃，暗电流和背景噪音低，检测器充氮密封，无需气体吹扫，开机即可点火，提高分析效率，降低气体消耗。</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1.2.5、防饱和溢出：针对每一个像素进行防饱和溢出保护，彻底消除谱线饱和溢出问题。</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1.2.6、积分方式：智能化积分，同时以最佳信噪比获得高强度信号和弱信号，使高低含量元素可以同时检测。</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1.2.7、检测器采用1MHz的数据读取速度，只需0.8秒即可完成检测器上所有像素结果的读取，双面数据输出。</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1.2.8、最小积分时间≤1s</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1.3、射频发生系统</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1.3.1、自激式27.12MHz固态发生器，耦合效率大于75%。</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1.3.2、功率范围：750〜1500W，连续可调，计算机控制进行功率调节。</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1.3.3、高效强劲的自激式固态发生器轻松应对从无机到有机各种复杂基体的样品，快速的功率反馈速度确保样品基体变化时仍然获得稳定准确的结果。</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1.4、观测方式</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1.4.1、垂直炬管设计，可以一次进样完成双向观测，不接受手动切换轴向和径向的方式</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1.4.2、尾焰去除：冷锥接口设计，高效去除尾焰（提供仪器内部冷锥实物图证明）</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1.4.3、冷锥接口无切割气体的消耗，降低运行成本。</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1.4.4、观测位置调节：等离子体观测位置由计算机控制。 </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1.5、样品导入系统</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1.5.1、炬管：标配一体化炬管，快速插拔式设计，无需气体管路连接和炬管准直定位，便于安装和维护，其它多种类型的炬管可选，同时可配置中心管为陶瓷或者石英的可拆卸式炬管。</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1.5.2、气体控制：所有气体均为质量流量计控制，等离子体气：8〜20L/min，增量0.1L/min；辅助气：0〜2.0L/min，增量0.01L/min；雾化气0-1.5L/min，增量0.01L/min；（提供软件截图证明）</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1.5.3、蠕动泵：5通道蠕动泵。（提供实物图片证明）</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1.5.5、雾化器压力可以由用户自己设定阈值，当压力低于阈值下限或超过阈值上限的时候，软件会弹框提示雾化器压力异常，需要用户去检查进样系统。</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1.6、软件性能</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1.6.1、专家级操作软件，易学易用，可快速进行方法的开发、顺序的编辑。 </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1.6.2、计算机全自动化控制，仪器设置和参数选择可自动完成，包括气体流量、功率、点火、诊断等。具有自动安全连锁系统。</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1.6.3、背景校正功能：包含传统的单边、双边离峰法背景校正技术，同时，具备多点自动拟合法背景校正技术。</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1.6.4、具有谱图自动解析功能。</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1.6.5、多重检量限功能：根据不同的元素含量范围选择不同的谱线，使仪器能够同时测定高低含量的元素，使仪器的动态线性范围得到扩展。</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1.6.6、提供多种光谱分析方法：如标准比较法、内标法、干扰元素校正系数法（IEC）、标准加入曲线法等，丰富了用户多种分析研究的手段。</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1.6.7、软件系统内置计数器，能够在系统需要维护时为用户提供指导，因此您可以在方便的时间安排维护，而不必中断工作进程，最重要的是，它能够帮助您最大程度延长仪器正常运行时间。</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1.6.8、数据存取：所有结果、方法和顺序可以在同一工作页面一起保存和读取；谱图、结果和标准曲线同时显示；实时图形显示光谱信号、结果和曲线谱图；快速运行过往数据的编辑。</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1.6.9、数据输出：提供多种报告打印和数据输出格式。</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1.6.10、详尽的中文在线帮助功能和操作、维护录像。</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1.6.11、远程诊断功能：远程诊断—Web连接使远端的技术服务部门和应用支持部门能够对仪器实现完全远程控制和维修诊断。</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1.6.12、可实现快速全谱扫描，对样品中所有元素进行定性和半定量分析，并且可以设定阈值，实现样品的快速筛选，并且可以跟样品定量分析在同一个工作列表中，实现每一个样品的全元素监测。</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1.7、仪器性能指标</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1.7.1、长期稳定性：8小时，RSD≤1%（不加内标，不采用基线飘移修正）；</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1.7.2、短期稳定性：RSD≤0.5%；</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1.7.3、冷启动时间：从待机状态到等离子体点燃时间小于35分钟；</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1.7.4、做样速度：60个元素或波长，每个元素或波长积分时间10秒，积分3次，测试时间小于60秒，内标和待测元素必须同时积分；（提供官方证明文件）</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1.7.5、测定谱线的线性动态范围：≥10^6（以Mn257.610nm 来测定，相关系数≥0.9996）；</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2.1、垂直炬管双向观测ICP-OES主机1套</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2.2、进样系统（包含炬管，中心管，雾化器，雾化室，泵管）1套</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2.3、连接数据分析仪器装置1套</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2.4、移动连接数据分析仪器装置1套</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2.5、远程数据传输装置1套</w:t>
      </w:r>
      <w:r/>
    </w:p>
    <w:p>
      <w:pPr>
        <w:numPr>
          <w:ilvl w:val="0"/>
          <w:numId w:val="0"/>
        </w:numPr>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2.6、冷却循环水1套</w:t>
      </w:r>
      <w:r/>
    </w:p>
    <w:p>
      <w:pPr>
        <w:numPr>
          <w:ilvl w:val="0"/>
          <w:numId w:val="0"/>
        </w:numPr>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2.7、ICP-OES波长校准溶液1套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（十七）热脱附仪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1.1、工作原理：二次热脱附；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1.2、全自动进样，样品位数：≥50位，机械臂自动进样器，完全无人值守</w:t>
      </w:r>
      <w:r>
        <w:rPr>
          <w:rFonts w:hint="eastAsia" w:ascii="宋体" w:hAnsi="宋体" w:eastAsia="宋体" w:cs="宋体"/>
          <w:b/>
          <w:bCs/>
          <w:sz w:val="24"/>
          <w:szCs w:val="24"/>
          <w:highlight w:val="none"/>
          <w:lang w:val="en-US" w:eastAsia="zh-CN"/>
        </w:rPr>
        <w:t xml:space="preserve">（提供真机图片证明并加盖章制造商公章）</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1.3、解析，脱帽，老化时吸附管均采用水平位置，防止吸附管内填料泄露导致的管路污染</w:t>
      </w:r>
      <w:r>
        <w:rPr>
          <w:rFonts w:hint="eastAsia" w:ascii="宋体" w:hAnsi="宋体" w:eastAsia="宋体" w:cs="宋体"/>
          <w:b/>
          <w:bCs/>
          <w:sz w:val="24"/>
          <w:szCs w:val="24"/>
          <w:highlight w:val="none"/>
          <w:lang w:val="en-US" w:eastAsia="zh-CN"/>
        </w:rPr>
        <w:t xml:space="preserve">（提供真机图片证明并加盖章制造商公章）</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1.4、与各家主流仪器厂商的气相色谱均能实现反控功能，无需依赖循环时间的设定，可保证了样品进样均为有效进样</w:t>
      </w:r>
      <w:r>
        <w:rPr>
          <w:rFonts w:hint="eastAsia" w:ascii="宋体" w:hAnsi="宋体" w:eastAsia="宋体" w:cs="宋体"/>
          <w:b/>
          <w:bCs/>
          <w:sz w:val="24"/>
          <w:szCs w:val="24"/>
          <w:highlight w:val="none"/>
          <w:lang w:val="en-US" w:eastAsia="zh-CN"/>
        </w:rPr>
        <w:t xml:space="preserve">（提供就绪信号设置界面图片证明并加盖章制造商公章）</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1.5、具有带图形界面的触控屏操作；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1.6、峰面积重复性：≤2%RSD；</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1.7、工作软件全面进行仪器各项参数、序列设置；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1.8、支持脱附样品分流进样；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1.9、解吸流路独立于捕集阱流路，避免交叉污染；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1.10、吸附管活化由单独气路完成。</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2.1、气路要求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▲2.1.1、全气路集成的EPC气路控制，用于载气、吹扫气的控制，EPC精度：0.001psi</w:t>
      </w:r>
      <w:r>
        <w:rPr>
          <w:rFonts w:hint="eastAsia" w:ascii="宋体" w:hAnsi="宋体" w:eastAsia="宋体" w:cs="宋体"/>
          <w:b/>
          <w:bCs/>
          <w:sz w:val="24"/>
          <w:szCs w:val="24"/>
          <w:highlight w:val="none"/>
          <w:lang w:val="en-US" w:eastAsia="zh-CN"/>
        </w:rPr>
        <w:t xml:space="preserve">（提供证明材料加盖制造商公章）</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2.1.2、载气：流量范围0～200 mL/min，气体类型：N</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，He，Ar，H</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2.1.3、吹扫气：流量范围0～200 mL/min，气体类型：N</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，He，Ar；</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2.1.4、流量设置分辨率：0.1mL/min；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2.1.5、各通道可独立设置其气体类型。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2.2、冷阱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2.2.1、冷阱冷却原理：半导体制冷；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2.2.2、温度范围：-20～400℃；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2.2.3、快速升温速率：3000℃/min</w:t>
      </w:r>
      <w:r>
        <w:rPr>
          <w:rFonts w:hint="eastAsia" w:ascii="宋体" w:hAnsi="宋体" w:eastAsia="宋体" w:cs="宋体"/>
          <w:b/>
          <w:bCs/>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2.2.4、解吸时间：0～15min；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2.2.5、材料：硼硅酸盐玻璃；</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2.2.6、解吸时可反吹，并具备冷阱清洁模式和冷阱洁净度检查模式；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2.2.7、分流解吸：可设置；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2.2.8、支持在当前或新的吸附管处重新收集样品。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2.3、气路切换阀</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2.3.1、温控范围：150～350℃；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2.3.2、阀驱动器：电动；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2.3.3、解吸时间0-60min。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2.4、传输线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2.4.1、传输线温度可调节，气路全程保温，温控范围：40～350℃，长度≥1m，易于连接分析仪器（如GC或GC/MS）；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2.5、通讯端口：RS-232或局域网，启动-就绪对接端口（可保障无人值守）；</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2.6.1、适配：其他任意厂商的GC或GC/MS。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3.1、热脱附仪1套；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3.2、连接数据分析仪器装置1套。</w:t>
      </w:r>
      <w:r/>
    </w:p>
    <w:p>
      <w:pPr>
        <w:pStyle w:val="975"/>
        <w:numPr>
          <w:ilvl w:val="5"/>
          <w:numId w:val="0"/>
        </w:numPr>
        <w:pageBreakBefore w:val="0"/>
        <w:spacing w:before="0" w:after="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（十八）老化仪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1.1、设置简单，升温快、控温精准，温度实时显示；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1.2、气路管采用PTFE管，密封材料全部使用PTFE材质，无挥发、无残留；</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1.3、可同时活化1-20支解析管，可根据解析管的数量，自行调整活化流量。恒温活化温度均匀，保证样品管老化效果的一致性；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1.4、活化完成后可自动降温、自动关闭气路，同时具有超温自动保护功能。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2.1、控温范围：室温～400℃；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2.2、控温精度：±1℃；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2.3、活化工位：1～20位；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2.4、活化计时：99小时99分99秒；</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2.5、流量范围：0～1000mL/min；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2.6、功率：500W；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2.7、电源：220V 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2.8、解析管规格：可活化国产、进口Tenax管、活性炭管、复合管等。</w:t>
      </w:r>
      <w:r/>
    </w:p>
    <w:p>
      <w:pPr>
        <w:pStyle w:val="975"/>
        <w:numPr>
          <w:ilvl w:val="5"/>
          <w:numId w:val="0"/>
        </w:numPr>
        <w:pageBreakBefore w:val="0"/>
        <w:spacing w:before="0" w:after="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（十九）气袋进样器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1.1、温度：-20℃～50℃(运行)，-40℃～70℃(储存)；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1.2、湿度：10%到90%(运行)，5%到90%(储存)；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1.3、样品袋规格1L；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1.4、样品位数≥28位；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1.5、最大抽取时间；≥99秒，最大平衡时间：≥99秒；</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1.6、最小进样量：50μL（以定量环确定）；最大进样量：5mL（以定量环确定）；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1.7、控制方式：上位机控制；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1.8、PC控制定量环加热温度≥150℃；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1.9、具有标气稀释功能，标样配置点≥8个（可任意设置浓度）；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1.10、进样器每个采样口随时切换气袋、针筒和苏玛罐进样；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1.11、进样器具备超高浓度样品检测功能，遇高浓度样品时进样器会自动停机；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▲1.12、主机功能：与各品牌气相色谱可以实现反控功能，无需依赖循环时间的设定，可保证了样品进样均为有效进样，自动化完成进样管路清洗，定量环清洗，气袋清洗以及气体样品进样；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1.13、软件功能：快速完成样品位置的编辑，样品信息录入，可自动检测高浓度样品防止在色谱柱被高浓度污染时导致后续样品分析错误；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1.14、样品位数：16+12N位，可增加样品入口模块，每增加一个模块增加12位样品，单台最大支持88位；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1.15、进样方式：定量环进样；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1.16、配套的采样装置：注射器或者采气袋；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 管路材质：经过惰性化处理聚四氟乙烯。</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1.18、采样泵：最大采样速度，≥10L/每分钟；可达真空度≤-100kpa；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1.19、进样精度：10次进样总烃柱及甲烷柱峰面积RSD&lt;0.5%；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1.20、数据接口：USB接口，网线接口，232串口接口。</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2.1、气袋进样器1套；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2.2、连接数据分析仪器装置1套。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（二十）石墨炉原子吸收仪</w:t>
      </w:r>
      <w:r>
        <w:rPr>
          <w:rFonts w:hint="eastAsia" w:hAnsi="宋体" w:eastAsia="宋体" w:cs="宋体"/>
          <w:color w:val="ff0000"/>
          <w:sz w:val="24"/>
          <w:szCs w:val="24"/>
          <w:highlight w:val="none"/>
          <w:lang w:val="en-US" w:eastAsia="zh-CN"/>
        </w:rPr>
        <w:t xml:space="preserve">（核心产品）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应用于对用于对各类样品中主量、微量及痕量元素的定性、半定量和定量分析。仪器以固体检测器为基础，由进样系统、原子化器（火焰和石墨炉）、光路系统、检测器、分析软件和计算机系统组成，全自动控制，仪器监控仪表全部由计算机控制，任何仪器参数都无需手动调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2、工作条件要求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2.1、适于在气温+15℃～+35℃，相对湿度20-80％的环境条件下长期连续运行；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2.2、适于在交流电源相电压为230V±10％，频率50/60Hz的中国电网条件下长期正常工作；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2.3、配置的电器插头须符合中国相关标准，否则提供与插头相匹配的插座，并提供适当数量的备品；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若仪器对使用环境中的水、电（包括电压高低、频率适应性、电压稳定度）、电磁干扰、振动强度、接地、空气清洁度、温湿度等条件有特殊要求，投标人须在投标书中加以详细说明，并给出周密的解决方案及预计所需费用，其费用计入产品的评标价格中。</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3、性能要求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3.1、标配石墨炉加氧除碳炉内消解装置：在石墨炉灰化阶段软件可自动控制加氧时间和流量，12.5ppb的加标回收率在95-105%范围，RSD小于3%</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3.2、</w:t>
      </w:r>
      <w:r>
        <w:rPr>
          <w:rFonts w:hint="eastAsia" w:ascii="宋体" w:hAnsi="宋体" w:eastAsia="宋体" w:cs="宋体"/>
          <w:color w:val="auto"/>
          <w:sz w:val="24"/>
          <w:szCs w:val="24"/>
          <w:highlight w:val="none"/>
          <w:lang w:eastAsia="zh-CN"/>
        </w:rPr>
        <w:t xml:space="preserve">石墨炉灵敏度，25μg/L,Cu 进样20微升，特征质量&lt;16.5pg，精密度RSD&lt;2%，线性相关系数必须大于0.999；</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3.3、分析软件：全中文操作软件，</w:t>
      </w:r>
      <w:r>
        <w:rPr>
          <w:rFonts w:hint="eastAsia" w:ascii="宋体" w:hAnsi="宋体" w:eastAsia="宋体" w:cs="宋体"/>
          <w:sz w:val="24"/>
          <w:szCs w:val="24"/>
          <w:highlight w:val="none"/>
          <w:lang w:eastAsia="zh-CN"/>
        </w:rPr>
        <w:t xml:space="preserve">和中文帮助软件；而且测量报告也必须为全中文报告。控制软件可以在中文版Windows10下运行，可以脱离仪器安装在其它计算机上进行模拟运行（模拟点火、熄火、样品分析），同时模拟软件具有数据处理功能；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3.4、数据处理：仪器吸收值、浓度或发射强度等读数可在0.01至100倍的范围内扩展。积分时间可按0.1秒的增量在0.1至60秒之间任选，读数方式包括时间平均积分、峰面积和峰高测量法，同时内置数理统计功能；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▲3.5、校正曲线：多达15个标准点的各种校正曲线法供选择，可任选单标进行曲线斜率重校；</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3.6、仪器诊断软件和网络通讯，数据再处理功能；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3.7、每一元素的测量参数自动优化并推荐最佳值，无需使用者进行估计；</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3.8、具有在主软件运行时同时运行离线数据处理（Offline）的功能；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3.9、数据档案管理（Data Manager）功能，支持数据的备份、恢复、删除，支持数据的文本格式输出。</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4、技术参数要求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4.1、进样系统</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▲4.1.1、石墨炉AAS进样系统，单盘具有100位以上的自动进样器，进样量1-99微升连续可调；配备加氧装置，加氧流量由软件全自动控制，流量可选。</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4.2、光学系统：1800线/mm平面光栅分光系统；</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4.3、波长范围：184 - 900nm；</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▲4.4、检测器：全谱高灵敏度阵列式CCD固态检测器，含有内置式低噪声CMOS电荷放大器阵列，样品光束和参比光束同时检测；石墨炉采用纵向塞曼背景校正，同时石墨炉采用横向加热方式；</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4.5、灯选择：内置两种灯电源，可连接空心阴极灯和无极放电灯；通过软件由计算机控制灯的选择和自动准直，可自动识别灯名称和设定灯电流推荐值；</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4.6、灯位数：具有八灯位；</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4.7、石墨炉必须配备全彩色摄像装置，监控温度&gt; 1000度，以便实时监测石墨炉进样针的位置、样品溶液的干燥、灰化、原子化和清洗等全过程；</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4.8、电源：内置直流石墨炉电源，整个仪器为一个整体。</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5、单套配置要求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5.1、石墨炉原子吸收主机1套；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5.2、中文软件1套；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5.3、空心阴极灯8个；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5.4、石墨炉自动进样系统1套；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5.5、石墨管10根；</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5.6、自动进样小管2000个；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5.7、废液桶1套；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5.8、自动进样针2根；</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5.9、冷却循环水1套；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5.10、</w:t>
      </w:r>
      <w:r>
        <w:rPr>
          <w:rFonts w:hint="eastAsia" w:ascii="宋体" w:hAnsi="宋体" w:eastAsia="宋体" w:cs="宋体"/>
          <w:color w:val="auto"/>
          <w:sz w:val="24"/>
          <w:szCs w:val="24"/>
          <w:highlight w:val="none"/>
          <w:lang w:val="en-US" w:eastAsia="zh-CN"/>
        </w:rPr>
        <w:t xml:space="preserve">连接数据分析仪器装置</w:t>
      </w:r>
      <w:r>
        <w:rPr>
          <w:rFonts w:hint="eastAsia" w:ascii="宋体" w:hAnsi="宋体" w:eastAsia="宋体" w:cs="宋体"/>
          <w:color w:val="auto"/>
          <w:sz w:val="24"/>
          <w:szCs w:val="24"/>
          <w:highlight w:val="none"/>
          <w:lang w:eastAsia="zh-CN"/>
        </w:rPr>
        <w:t xml:space="preserve">1套；</w:t>
      </w:r>
      <w:r/>
    </w:p>
    <w:p>
      <w:p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5.11、远程数据传输装置1套。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（二十一）火焰原子吸收仪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1、设备用途</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应用于对各类样品中主量、微量及痕量元素的定性、半定量和定量分析。仪器以固体检测器为基础，由进样系统、火焰原子化器、光路系统、检测器、分析软件和计算机系统组成，全自动控制，仪器监控仪表全部由计算机控制，任何仪器参数都不需要手动调节的原子吸收光谱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2、工作条件要求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2.1、适于在气温+15℃～+35℃，相对湿度20-80％的环境条件下长期连续运行；</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2.2、适于在交流电源相电压为230V±10％，频率50/60Hz的中国电网条件下长期正常工作；</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若仪器对使用环境中的水、电（包括电压高低、频率适应性、电压稳定度）、电磁干扰、振动强度、接地、空气清洁度、温湿度等条件有特殊要求，投标人须在投标书中加以详细说明，并给出周密的解决方案及预计所需费用，其费用计入产品的评标价格中。</w:t>
      </w:r>
      <w:r/>
    </w:p>
    <w:p>
      <w:pPr>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3、性能指标</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3.1、火焰AAS的灵敏度，2ppm Cu 吸光度大于0.35</w:t>
      </w:r>
      <w:r>
        <w:rPr>
          <w:rFonts w:hint="eastAsia" w:ascii="宋体" w:hAnsi="宋体" w:eastAsia="宋体" w:cs="宋体"/>
          <w:color w:val="auto"/>
          <w:sz w:val="24"/>
          <w:szCs w:val="24"/>
          <w:highlight w:val="none"/>
          <w:lang w:eastAsia="zh-CN"/>
        </w:rPr>
        <w:t xml:space="preserve">ABS</w:t>
      </w:r>
      <w:r>
        <w:rPr>
          <w:rFonts w:hint="eastAsia" w:ascii="宋体" w:hAnsi="宋体" w:eastAsia="宋体" w:cs="宋体"/>
          <w:sz w:val="24"/>
          <w:szCs w:val="24"/>
          <w:highlight w:val="none"/>
          <w:lang w:eastAsia="zh-CN"/>
        </w:rPr>
        <w:t xml:space="preserve">，精密度RSD &lt; 0.4%。；</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3.2、分析软件：全中文AAS操作软件，和中文帮助软件；而且测量报告也必须为全中文报告。控制软件可以在中文版Windows 10下运行，可以脱离仪器安装在其它计算机上进行模拟运行（模拟点火、熄火、样品分析），同时模拟软件具有数据处理功能；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3.3、数据处理：仪器吸收值、浓度或发射强度等读数可在0.01至100倍的范围内扩展。积分时间可按0.1秒的增量在0.1至60秒之间任选，同时内置数理统计功能；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3.4、校正曲线：多达15个标准点的各种校正曲线法供选择，可任选单标进行曲线斜率重校；</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3.5、每一元素的测量参数自动优化并推荐最佳值，无需使用者进行估计；</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3.6、具有在主软件运行时同时运行离线数据处理（Offline）的功能；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3.7、数据档案管理（Data Manager）功能，支持数据的备份、恢复、删除，支持数据的文</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本格式输出。</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4、技术参数要求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4.1、进样系统</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4.1.1、火焰AAS耐HF酸进样系统，耐： 50% (v/v) HCl、HNO3、H2SO4、H3PO4，20% (v/v) HF，30% (w/v)NaOH以及30%的高盐样品。可调式通用型雾化器，高强度惰性材料预混室，全钛燃烧头；</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4.1.2、火焰系统安全保护：安全联锁装置与燃烧头，雾化器/端盖，排液系统，废液桶液面高度，气体流量等联锁，防止在任何不当条件下点火，当监测不到火焰或任何锁定功能能激活时，联锁系统会自动关闭燃烧气体，以防万一。突然断电时，仪器会从任何操作方式按预设程序自动关机，确保安全。</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4.2、燃烧器系统：预混燃烧器可通过软件控制驱动装置自动换入样品室。火焰在光路中的准直，燃烧器的垂直，水平位置的调节完全自动化，并由软件控制自动进行位置最佳化；</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光学系统：波长范围：184 - 900nm，可实时双光束，236nm和597nm双闪耀波长，1800线/mm平面光栅分光系统；内置两种灯电源，可连接空心阴极灯和无极放电灯，具有八灯位；可通过软件由计算机控制灯的选择和自动准直，可自动识别灯名称和设定灯电流推荐值；</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▲4.4、检测器：全谱高灵敏度阵列式CCD固态检测器，含有内置式低噪声CMOS电荷放大器阵列，样品光束和参比光束同时检测；</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4.5、火焰采用高强度宽范围氘灯背景校正，可校正357nm铬。</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5、单套配置要求</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5.1、火焰原子吸收主机1套；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5.2、中文软件1套；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5.3、进样系统1套；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5.4、空心阴极灯8个；</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5.5、空压机1套；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5.6、废液桶及连接管线1套；</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5.7、</w:t>
      </w:r>
      <w:r>
        <w:rPr>
          <w:rFonts w:hint="eastAsia" w:ascii="宋体" w:hAnsi="宋体" w:eastAsia="宋体" w:cs="宋体"/>
          <w:color w:val="auto"/>
          <w:sz w:val="24"/>
          <w:szCs w:val="24"/>
          <w:highlight w:val="none"/>
          <w:lang w:val="en-US" w:eastAsia="zh-CN"/>
        </w:rPr>
        <w:t xml:space="preserve">连接数据分析仪器装置</w:t>
      </w:r>
      <w:r>
        <w:rPr>
          <w:rFonts w:hint="eastAsia" w:ascii="宋体" w:hAnsi="宋体" w:eastAsia="宋体" w:cs="宋体"/>
          <w:color w:val="auto"/>
          <w:sz w:val="24"/>
          <w:szCs w:val="24"/>
          <w:highlight w:val="none"/>
          <w:lang w:eastAsia="zh-CN"/>
        </w:rPr>
        <w:t xml:space="preserve">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 xml:space="preserve">5.8、远程数据传输装置1套。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（二十二）原子荧光光度计</w:t>
      </w:r>
      <w:r/>
    </w:p>
    <w:p>
      <w:pPr>
        <w:pStyle w:val="975"/>
        <w:numPr>
          <w:ilvl w:val="5"/>
          <w:numId w:val="0"/>
        </w:numPr>
        <w:pageBreakBefore w:val="0"/>
        <w:spacing w:before="0"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1、技术参数要求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1.1、适用于样品中砷、汞、硒、锡、铅、铋、锑、碲、锗、镉、锌、金十二种元素的痕量分析；</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1.2、相对标准偏差RSD：&lt;0.6%,漂移：≤1.5%/30min，噪声：≤1.5%，道间干扰：≤2%；</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1.3、检出限（D.L.）：</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砷（As）、锑（Sb）、硒（Se）、铋（Bi）、碲（Te）、锡（Sn）和铅（Pb）＜0.01µg/L；汞（Hg）和镉（Cd）＜0.001µg/L；锗（Ge）＜0.05µg/L；锌（Zn）＜1.0µg/L；金（Au）＜3.0µg/L；</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1.4、进样系统：顺序注射进样系统；</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1.5、主机内置至少两个注射泵和一个蠕动泵结构，以支持三种进样模式：①双注射泵模式；②注射泵+蠕动泵联用模式；③单蠕动泵模式。三种模式可任意切换，满足不同应用需求。</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1.6、采用一体式蠕动泵进样实时排废，六滚轴、小泵头、整体压块式设计；</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▲1.7、光学系统：双通道，平面扇形光路非倾斜夹角设计，元素灯与检测器处于同一水平面内，各通道元素灯与检测器夹角一致，保证道间一致性</w:t>
      </w:r>
      <w:r>
        <w:rPr>
          <w:rFonts w:hint="eastAsia" w:ascii="宋体" w:hAnsi="宋体" w:eastAsia="宋体" w:cs="宋体"/>
          <w:b/>
          <w:bCs/>
          <w:color w:val="auto"/>
          <w:sz w:val="24"/>
          <w:szCs w:val="24"/>
          <w:highlight w:val="none"/>
          <w:lang w:eastAsia="zh-CN"/>
        </w:rPr>
        <w:t xml:space="preserve">（提供仪器照片证明文件）</w:t>
      </w:r>
      <w:r>
        <w:rPr>
          <w:rFonts w:hint="eastAsia" w:ascii="宋体" w:hAnsi="宋体" w:eastAsia="宋体" w:cs="宋体"/>
          <w:color w:val="auto"/>
          <w:sz w:val="24"/>
          <w:szCs w:val="24"/>
          <w:highlight w:val="none"/>
          <w:lang w:eastAsia="zh-CN"/>
        </w:rPr>
        <w:t xml:space="preserve">。</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1.8、光源</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1.8.1、灯电源支持双道自动激发启辉；具备信号增强功能，可提高检出性能。</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1.9、氢化物反应装置</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1.9.1、新型化学气液分离器，免加水，废液直排，有效消除水蒸气；</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▲1.9.2、具备原子化器炉丝电流监控功能，软件实时监控炉丝状态； </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▲1.10、气路系统双路MFC质量流量控制模块，高精度温度补偿型流量传感器，支持多种气体使用。</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1.11、数据处理系统</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1.11.1、可实现全面的系统自检，具备图形化的设备状态监控和参数显示，仪器自诊断，异常状态报警；</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1.11.2、具备漂移软校准功能、QCP质控功能，支持多标曲自动检测</w:t>
      </w:r>
      <w:r>
        <w:rPr>
          <w:rFonts w:hint="eastAsia" w:ascii="宋体" w:hAnsi="宋体" w:eastAsia="宋体" w:cs="宋体"/>
          <w:b/>
          <w:bCs/>
          <w:sz w:val="24"/>
          <w:szCs w:val="24"/>
          <w:highlight w:val="none"/>
          <w:lang w:eastAsia="zh-CN"/>
        </w:rPr>
        <w:t xml:space="preserve">（提供漂移校准证明文件）</w:t>
      </w:r>
      <w:r>
        <w:rPr>
          <w:rFonts w:hint="eastAsia" w:ascii="宋体" w:hAnsi="宋体" w:eastAsia="宋体" w:cs="宋体"/>
          <w:sz w:val="24"/>
          <w:szCs w:val="24"/>
          <w:highlight w:val="none"/>
          <w:lang w:eastAsia="zh-CN"/>
        </w:rPr>
        <w:t xml:space="preserve">；</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1.11.3、具备自动清洗、大流量吹扫功能；</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1.11.4、无人值守功能：专用夜间模式，支持仪器运行结束后休眠，以及定时自动唤醒并执行预热功能，支持静态预热和动态预热功能</w:t>
      </w:r>
      <w:r>
        <w:rPr>
          <w:rFonts w:hint="eastAsia" w:ascii="宋体" w:hAnsi="宋体" w:eastAsia="宋体" w:cs="宋体"/>
          <w:b/>
          <w:bCs/>
          <w:sz w:val="24"/>
          <w:szCs w:val="24"/>
          <w:highlight w:val="none"/>
          <w:lang w:eastAsia="zh-CN"/>
        </w:rPr>
        <w:t xml:space="preserve">（提供软件截图）</w:t>
      </w:r>
      <w:r>
        <w:rPr>
          <w:rFonts w:hint="eastAsia" w:ascii="宋体" w:hAnsi="宋体" w:eastAsia="宋体" w:cs="宋体"/>
          <w:sz w:val="24"/>
          <w:szCs w:val="24"/>
          <w:highlight w:val="none"/>
          <w:lang w:eastAsia="zh-CN"/>
        </w:rPr>
        <w:t xml:space="preserve">；</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1.11.5、监控和报警信息：运行保护报警系统，无载气安全保护、炉丝短路断路保护、气路漏气保护、氢化物反应剧烈保护。</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2、单套配置要求</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2.1、主机1台；</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2.2、空心阴极灯-砷、汞、硒各</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sz w:val="24"/>
          <w:szCs w:val="24"/>
          <w:highlight w:val="none"/>
          <w:lang w:eastAsia="zh-CN"/>
        </w:rPr>
        <w:t xml:space="preserve">个；</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2.3、注射泵2套；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2.4、160位自动进样器1台；</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2.5、使用说明书1套；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2.6、气液分离器2套；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w:t>
      </w:r>
      <w:r>
        <w:rPr>
          <w:rFonts w:hint="eastAsia" w:ascii="宋体" w:hAnsi="宋体" w:eastAsia="宋体" w:cs="宋体"/>
          <w:sz w:val="24"/>
          <w:szCs w:val="24"/>
          <w:highlight w:val="none"/>
          <w:lang w:val="en-US" w:eastAsia="zh-CN"/>
        </w:rPr>
        <w:t xml:space="preserve">连接数据分析仪器装置</w:t>
      </w:r>
      <w:r>
        <w:rPr>
          <w:rFonts w:hint="eastAsia" w:ascii="宋体" w:hAnsi="宋体" w:eastAsia="宋体" w:cs="宋体"/>
          <w:sz w:val="24"/>
          <w:szCs w:val="24"/>
          <w:highlight w:val="none"/>
          <w:lang w:eastAsia="zh-CN"/>
        </w:rPr>
        <w:t xml:space="preserve">2套；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2.8、移动</w:t>
      </w:r>
      <w:r>
        <w:rPr>
          <w:rFonts w:hint="eastAsia" w:ascii="宋体" w:hAnsi="宋体" w:eastAsia="宋体" w:cs="宋体"/>
          <w:sz w:val="24"/>
          <w:szCs w:val="24"/>
          <w:highlight w:val="none"/>
          <w:lang w:val="en-US" w:eastAsia="zh-CN"/>
        </w:rPr>
        <w:t xml:space="preserve">连接数据分析仪器装置</w:t>
      </w:r>
      <w:r>
        <w:rPr>
          <w:rFonts w:hint="eastAsia" w:ascii="宋体" w:hAnsi="宋体" w:eastAsia="宋体" w:cs="宋体"/>
          <w:sz w:val="24"/>
          <w:szCs w:val="24"/>
          <w:highlight w:val="none"/>
          <w:lang w:eastAsia="zh-CN"/>
        </w:rPr>
        <w:t xml:space="preserve">1套；</w:t>
      </w:r>
      <w:r/>
    </w:p>
    <w:p>
      <w:pP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2.9、远程数据传输装置1套；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2.10、</w:t>
      </w:r>
      <w:r>
        <w:rPr>
          <w:rFonts w:hint="eastAsia" w:ascii="宋体" w:hAnsi="宋体" w:eastAsia="宋体" w:cs="宋体"/>
          <w:color w:val="auto"/>
          <w:sz w:val="24"/>
          <w:szCs w:val="24"/>
          <w:highlight w:val="none"/>
          <w:lang w:eastAsia="zh-CN"/>
        </w:rPr>
        <w:t xml:space="preserve">泵管、炉丝1套。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（二十三）全自动红外测油仪</w:t>
      </w:r>
      <w:r>
        <w:rPr>
          <w:rFonts w:hint="eastAsia" w:hAnsi="宋体" w:eastAsia="宋体" w:cs="宋体"/>
          <w:color w:val="ff0000"/>
          <w:sz w:val="24"/>
          <w:szCs w:val="24"/>
          <w:highlight w:val="none"/>
          <w:lang w:val="en-US" w:eastAsia="zh-CN"/>
        </w:rPr>
        <w:t xml:space="preserve">（核心产品）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仪器测量采用三波长红外分光光度法，符合“HJ637-2018”标准。可连续测量测量油类、石油类和动植物油，配备双硅酸镁吸附柱系统，可实时显示硅酸镁有效剩余量及使用量，一根硅酸镁吸附柱使用完后自动切换到另一根硅酸镁吸附柱</w:t>
      </w:r>
      <w:r>
        <w:rPr>
          <w:rFonts w:hint="eastAsia" w:ascii="宋体" w:hAnsi="宋体" w:eastAsia="宋体" w:cs="宋体"/>
          <w:b/>
          <w:bCs/>
          <w:sz w:val="24"/>
          <w:szCs w:val="24"/>
          <w:highlight w:val="none"/>
          <w:lang w:val="en-US" w:eastAsia="zh-CN"/>
        </w:rPr>
        <w:t xml:space="preserve">（提供仪器高清实物照片证明并加盖公章）</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1.2、采用高精度注射泵，可实现根据客户要求，任意选定四氯乙烯用量，准确注射，试剂注射、萃取、分离自动完成，自带反冲洗功能，无交叉污染；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1.3、软件有谱图扫描功能，并且无论同时做单个水样或多个水样，每一个水样都有一个独立的谱图，不能集合在一个谱图中，方便随时查看。并且报告以Excel和PTF的形式呈现，用户可选；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采样瓶即为萃取瓶，要求配备700ml专用并且带有刻度的磨砂广口萃取瓶，广口萃取瓶可直接用于现场采样，且可直接读取水样体积，可直接上机萃取做样，无需转移到量筒中读取水样体积，避免水样转移带来的油损失，符合（HJ/T 91-2002）；</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1.5、进样器的样品位数≥10位，配合软件设置可实现无限循环做样。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进样器具有三套独立上下运行的机械臂；四氯乙烯的添加、水样的萃取、废液的排放和萃取液的收集各由一套独立的机械臂控制完成；三套机械臂可同时上下运行，也可独立运行，实现4个样品同时作业，提高工作效率。每个机械臂均采用闭环设计，具有撞针报警，自动停止功能</w:t>
      </w:r>
      <w:r>
        <w:rPr>
          <w:rFonts w:hint="eastAsia" w:ascii="宋体" w:hAnsi="宋体" w:eastAsia="宋体" w:cs="宋体"/>
          <w:b/>
          <w:bCs/>
          <w:sz w:val="24"/>
          <w:szCs w:val="24"/>
          <w:highlight w:val="none"/>
          <w:lang w:val="en-US" w:eastAsia="zh-CN"/>
        </w:rPr>
        <w:t xml:space="preserve">(提供仪器的三套二维机械臂同时停在不同位置的高清照片)；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1.7、仪器主机上自带工控机（触摸屏），一套软件中可以同时拥有手动、自动两种操作模式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1.8、样品盘可以定制，可同时接融4种或4种以上不同规格的采样瓶</w:t>
      </w:r>
      <w:r>
        <w:rPr>
          <w:rFonts w:hint="eastAsia" w:ascii="宋体" w:hAnsi="宋体" w:eastAsia="宋体" w:cs="宋体"/>
          <w:b/>
          <w:bCs/>
          <w:sz w:val="24"/>
          <w:szCs w:val="24"/>
          <w:highlight w:val="none"/>
          <w:lang w:val="en-US" w:eastAsia="zh-CN"/>
        </w:rPr>
        <w:t xml:space="preserve">（提供仪器样品盘的高清实物照片证明）；</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1.9、仪器测试得出的三个吸光度，通过HJ637-2018上的浓度公式计算出来的结果和仪器显示的结果必须一致；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▲1.10、水样读取有自动和手动两种方法可供用户选择。仪器采用钛针液面探测技术自动测量水样体积，不接受钛针液面探测技术以外的其它方式测量水样体积</w:t>
      </w:r>
      <w:r>
        <w:rPr>
          <w:rFonts w:hint="eastAsia" w:ascii="宋体" w:hAnsi="宋体" w:eastAsia="宋体" w:cs="宋体"/>
          <w:b/>
          <w:bCs/>
          <w:sz w:val="24"/>
          <w:szCs w:val="24"/>
          <w:highlight w:val="none"/>
          <w:lang w:val="en-US" w:eastAsia="zh-CN"/>
        </w:rPr>
        <w:t xml:space="preserve">（提供仪器高清照片证明）；</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注射泵重复7次注射25ml重量法称重RSD&lt;0.05%，重复7次注射2.5ml重量法称重RSD&lt;0.5%；采用闭环设计，管路堵塞造成压力过大时会立即报警，并停止运行，防止内压过大导致流路系统损伤，阀在旋转不到位时，软件须立即报警，并停止运行，防止仪器继续运行导致注射器爆裂</w:t>
      </w:r>
      <w:r>
        <w:rPr>
          <w:rFonts w:hint="eastAsia" w:ascii="宋体" w:hAnsi="宋体" w:eastAsia="宋体" w:cs="宋体"/>
          <w:b/>
          <w:bCs/>
          <w:sz w:val="24"/>
          <w:szCs w:val="24"/>
          <w:highlight w:val="none"/>
          <w:lang w:val="en-US" w:eastAsia="zh-CN"/>
        </w:rPr>
        <w:t xml:space="preserve">（提供软件报警提示照片证明并加盖公章）；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▲1.12、注射泵和多通道旋转阀直接相接，中间无管线连接，最大程度减少交叉污染。注射泵及多通阀不能安装在测量主机上</w:t>
      </w:r>
      <w:r>
        <w:rPr>
          <w:rFonts w:hint="eastAsia" w:ascii="宋体" w:hAnsi="宋体" w:eastAsia="宋体" w:cs="宋体"/>
          <w:b/>
          <w:bCs/>
          <w:sz w:val="24"/>
          <w:szCs w:val="24"/>
          <w:highlight w:val="none"/>
          <w:lang w:val="en-US" w:eastAsia="zh-CN"/>
        </w:rPr>
        <w:t xml:space="preserve">（提供仪器高清实物照片的证明材料并加盖公章）；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1.13、为了防止萃取过程中酸性物质挥发导致机械臂腐蚀，机械臂不能安装在进样器转盘中间，且电源线不能裸露在外</w:t>
      </w:r>
      <w:r>
        <w:rPr>
          <w:rFonts w:hint="eastAsia" w:ascii="宋体" w:hAnsi="宋体" w:eastAsia="宋体" w:cs="宋体"/>
          <w:b/>
          <w:bCs/>
          <w:sz w:val="24"/>
          <w:szCs w:val="24"/>
          <w:highlight w:val="none"/>
          <w:lang w:val="en-US" w:eastAsia="zh-CN"/>
        </w:rPr>
        <w:t xml:space="preserve">（提供高清实物照片的证明材料并加盖公章）；</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1.14、注射泵质保三年；多通道旋转阀采用全陶瓷材料，质保五年。</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1.15、萃取：搅拌萃取；测量范围：0-50000mg/L，超量程自动稀释；分辨率：0.001mg/L；检出限：0.05mg/L；重现性：RSD&lt;2%；仪器线性：R&gt;0.999；准确度：±5%；波数范围：2400-3400cm-1。</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2.1、全自动红外测油仪主机1台；</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2.2、全自动定量萃取进样器1台；</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2.3、系统操作软件1套；</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2.4、700ml专用萃取瓶配备100个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2.5、连接数据分析仪器装置1套；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2.6、移动连接数据分析仪器装置1套。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（二十四）连续流动分析仪</w:t>
      </w:r>
      <w:r>
        <w:rPr>
          <w:rFonts w:hint="eastAsia" w:hAnsi="宋体" w:eastAsia="宋体" w:cs="宋体"/>
          <w:color w:val="ff0000"/>
          <w:sz w:val="24"/>
          <w:szCs w:val="24"/>
          <w:highlight w:val="none"/>
          <w:lang w:val="en-US" w:eastAsia="zh-CN"/>
        </w:rPr>
        <w:t xml:space="preserve">（核心产品）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用于水中挥发酚、总磷、阴离子表面活性剂、氨氮项目的全自动分析，多个项目可同时检测，同时出结果。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2、功能要求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仪器采用一体化双通道主机设计，即每台双通道主机上面含有2个独立的分析模块通道，具备扩展功能，可增加一台进样器将两台主机拆分成2套独立的检测系统，有能保证2套检测系统能分别放在不同实验室时均可同时独立开展工作；</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2.2、仪器比色计采用最新一代的数据处理技术与电脑直接相连以提高数据处理效率。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3、工作环境要求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3.1、电压：AC220V±l0%，50Hz；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3.2、温度：0℃～40℃；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3.3、湿度：≤90％。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4.1、多功能自动进样器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4.1.1、圆形设计，配备100位样品架，11ml样品杯，可以在单个样品杯中多次吸取；</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4.1.2、进样器具有多种进样针模式，双针、三针、四针都可以拓展设定。</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4.2、内置清洗泵，转速可调节，保证清洗水量；</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4.3、采用USB接口，软件可控制进样时间和清洗时间。</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▲4.4、高精度蠕动泵</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4.4.1、单台主机单个蠕动泵盖下管位数≥24通道，提管位数实物图；提供2台主机泵；</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4.4.2、单台双通道主机配备1个空气注入电磁阀，每一个电磁阀可以安装四路空气注入，注入空气的频率与蠕动泵转动频率相同；</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4.4.3、电磁阀由光电感应器精准控制打空气的时间间隔（</w:t>
      </w:r>
      <w:r>
        <w:rPr>
          <w:rFonts w:hint="eastAsia" w:ascii="宋体" w:hAnsi="宋体" w:eastAsia="宋体" w:cs="宋体"/>
          <w:b/>
          <w:bCs/>
          <w:color w:val="auto"/>
          <w:sz w:val="24"/>
          <w:szCs w:val="24"/>
          <w:highlight w:val="none"/>
          <w:lang w:val="en-US" w:eastAsia="zh-CN"/>
        </w:rPr>
        <w:t xml:space="preserve">提供光电感应切割光线装置实物图）。</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4.4.4、蠕动泵速度范围：0-200转/小时；</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4.4.5、每一液体片断具有同样的体积和同样的试剂/样品比，这样保证了高度的重现性。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4.5、化学分析模块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4.5.1、混合圈是由化学惰性的玻璃制成，防腐蚀，同时能清楚地观察内部的反应情况和气泡模式是否规则，便于维护、检查；</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4.5.2、内径≥2mm，避免了较脏样品的堵塞；</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4.5.3、在线蒸馏器，在线紫外加压消解器，在线透析，在线萃取，在线恒温等样品前处理装置全部装载在化学分析模块上，不需要额外的电源控制器和电源线；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4.5.4、具有渗漏导出管，出现漏液时可自行排出，不会影响到设备。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4.6、高精度双光束检测器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4.6.1、无需手动调整基线，灵敏度，增益和光通量，完全计算机软件控制；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4.6.2、采用50mm比色池；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▲4.6.3、采用LED光源，滤光片固化；每个项目同时具备两个相同能量相同波长的LED光源。共计8个LED光源；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4.6.4、采用双光束原理，一束测定样品吸收，另一束相同能量相同波长的光束进入参比池，测定背景参比；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4.6.5、带暗置比色装置：两个模块的两套双光束比色计在同一个暗盒内。</w:t>
      </w:r>
      <w:r/>
    </w:p>
    <w:p>
      <w:pPr>
        <w:numPr>
          <w:ilvl w:val="0"/>
          <w:numId w:val="0"/>
        </w:numPr>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4.7、测试项目技术指标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4.7.1、挥发酚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（1）分析方法：4-氨基安替比林分光光度法；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（2）测量范围：0-200ug/L；检测限：≤0.3ug/L；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（3）蒸馏过程无需使用氮吹或者气体钢瓶；也无需使用气液分离膜装置减少耗材损耗。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4.7.2、总磷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（1）分析方法：磷钼蓝分光光度法；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（2）测量范围：0-5mg/L；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（3）检测限：≤0.10mg/L；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（4）具有在线高温高压消解装置，内置分析模块。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4.7.3、阴离子表面活性剂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（1）分析方法：亚甲基蓝分光光度法；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（2）测量范围：0-1.0mg/L，检测限：≤0.02mg/L；</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（3）具有氯仿在线过滤器；氯仿无需超声处理。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（4）氨氮分析模块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4.7.4、分析方法：水杨酸钠分光光度法；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4.7.5、测量范围：0-10mg/L；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4.7.6、检出极限：≤0.010mg/L。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4.8、系统控制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4.8.1、中文操作界面；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4.8.2、自动存储校准曲线并可重复调用；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4.8.3、自动计算最低检出限；</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4.8.4、视图会随着样品浓度变化而变化，所有峰都在视图里面； </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4.8.5、每一个通道都能选择峰高或者峰面积进行计算</w:t>
      </w:r>
      <w:r>
        <w:rPr>
          <w:rFonts w:hint="eastAsia" w:ascii="宋体" w:hAnsi="宋体" w:eastAsia="宋体" w:cs="宋体"/>
          <w:b/>
          <w:bCs/>
          <w:color w:val="auto"/>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4.8.6、软件具有无人值守拓展功能，配合试剂清洗切换阀可实现自动清洗管道功能。</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4.9、消耗品和化学试剂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4.9.1、供货商需提供消耗品（泵管，连接管等）（提供细化清单）；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5.1、多功能自动进样器1台；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5.2、化学反应主机2台；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5.3、蠕动泵≥24位/台2台；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5.4、空气注入电磁阀2组；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5.5、挥发酚分析模块1套；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5.6、总磷分析模块1套；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5.7、阴离子表面活性剂分析模块1套；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5.8、氨氮分析模块1套；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5.9、高精度双光束数字式检测器4台；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5.10、配置LED光源8个；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5.11、系统操控软件1套；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5.12、随机备品备件1套；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5.13、连接数据分析仪器装置2套；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5.14、移动连接数据分析仪器装置1套；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5.15、远程数据传输装置1套；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5.16、冷却水循环装置1套。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（二十五）液液萃取仪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1.1、自动萃取，自动清洗，自动排废；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▲1.2、采用封闭式气流内循环震荡原理，萃取过程无需人工放气；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1.3、一键萃取震荡，自动静置分层；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1.4、自动加入洗涤液，自动洗涤和清洗；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1.5、废液自动排放，并由活性炭储罐自动过滤吸附处理；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1.6、至少可一次性萃取6组样品，操作须简单便捷；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1.7、触摸屏操作，一键可设定运行参数自动运行。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2.1、萃取时间及过程：0～999秒，0～99次（可任意调节）；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2.2、清洗方式：可调节清洗量0～9999s,可设置清洗次数0～9999次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2.3、废液收集槽：一体式收集槽、容量大不溢出；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2.4、分层方式：自动萃取程序运行，自动静置分层，手工放液；</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2.5、废液处理：自动排废；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2.6、废气处理：自动排气；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2.7、萃取强度：选档调节功率0～100，强度可调；</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2.8、额定功率：260W；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2.9、额定电压：220V±22v。</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（二十六）固相萃取仪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农产品、环境样品、动植物样品、水产品中有机物残留检测的样品固相萃取净化，保护GC/MS、GC和HPLC等贵重仪器中色谱柱和检测器免受污染，使设备长时间保持较高灵敏度，加速样品处理速度，从而提高灵敏度，降低最低检测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2.1、工作条件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2.1.1、工作温度：4℃～40℃；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2.1.2、相对湿度：20～80%；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2.2、进样系统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2.2.1、可自动完成固相萃取的全过程（柱活化、上样、淋洗、吹柱、洗脱）；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2.2.2、萃取通道：1～4通道，实现多通道的同时活化、同时上样、同时洗脱，最大限度的提高工作效率；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2.2.3、连续处理样品能力：标配32位/15mL、32位/50mL样品架及收集套件，选配64位/15mL样品架及收集套件；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2.2.4、多功能柱适配模块支持2种以上不同规格spe柱，完全达到全自动化要求；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2.2.5、上样及溶剂加载方式：机械臂XYZ三维定位进样方式，进样针直取样品或溶剂，不经过阀切换，将样品或溶剂直接加载至SPE柱，管路死体积小；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2.2.6、可适用1 mL、3 mL、6 mL，12mL标准固相萃取小柱；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2.2.7、精密耐有机试剂的注射泵，上样流速：0.5～100mL/min，精度≤0.1%CV；</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2.2.8、至少6种有机溶剂可供活化、淋洗、洗脱、清洗样品管时选择，并且具有自动清洗管道功能。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▲2.2.9、密封方式：采用可重复使用聚四氟乙烯密封垫，过柱时每个SPE柱单独密封，避免交叉污染；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2.2.10、清洗槽：专用进样针清洗槽，进行进样针内外壁清洗，可选不同溶剂自动循环式清洗进样针内外壁，进样针清洗槽具有自动排废通道，避免交叉污染；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2.2.11、气泡隔离式取样技术：自动进样器具有防止样品扩散功能，可以在样品前后夹真实气泡，气泡体积可选，肉眼直观可见；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2.2.12、样品管规格：标配15mL、50mL样品管，多种规格可定制，仪器可叠加上样，可实现最大400mL上样量；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▲2.2.13、样品加载方式：样品管位置固定，只机械臂移动取样、上样，减少了样品架移动带来的仪器故障；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2.2.14、收集方式：最高64位收集位数，不受SPE小柱规格限制； SPE柱收集架具有自动步进的收集方式，可直接收集或馏分收集SPE柱流出溶液；</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2.2.15、分段收集：最多可实现8段收集；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2.2.16、收集管规格：标配15mL、50mL样品管，多种规格可定制；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2.2.17、具有自动在线干燥SPE柱功能，可使气体吹出柱内液体，适用于水样或者换相的方法；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2.2.18、过柱溶液收集：SPE柱流出液可选择收集，或者按照有机废液、无机废液分开排放；</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2.2.19、完全上样技术：采用正压上样过柱，可以对样品管底部最后一滴样品全部吸取、转移过柱，实现样品的全部过柱，采用创新性的样品管清洗技术，对样品管内壁进行彻底的清洗，二次上样，实现真正的完全上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2.2.20、等待/浸泡功能：在过柱时，不施加压力，溶剂在小柱上保留时间可选，让溶剂充分停留在小柱上，提高洗脱效率；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2.2.21、管路系统经过惰性化处理，耐受各种有机试剂；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2.2.22、针随液面下降功能；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2.2.23、可以实现样品管清洗或样品稀释。</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2.3、操作软件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2.3.1、操作简单易懂，可实时显示工作状态，光标提醒过柱方法进度，让操作者一目了然；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2.3.2、图形化操作界面，更加简单明了，软件序列方式编辑，序列完成多个过柱方法，需提供免费升级软件服务；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2.3.3、具有溶剂监测功能，溶剂不足时报警。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3.1、全自动固相萃取仪4通道主机1台；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3.2、6mL密封垫50个；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3.3、3mL密封垫50个；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3.4、试剂瓶750mL6个；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3.5、废液管3个；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3.6、1L玻璃试剂瓶含聚四氟乙烯内衬盖5个；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3.7、试剂瓶底座1个；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3.8、32位50mL收集架1个；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3.9、32位50mL样品架1个；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3.10、50mL锥底塑料样品管50个；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3.11、32位15mL收集架1个；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3.12、32位15mL样品架1个；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3.13、15mL样品管50个；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3.14、32位6mL萃取块1个；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3.15、32位3mL萃取块1个。</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（二十七）氮吹浓缩仪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主要应用领域：有机试剂样品氮吹浓缩。</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2.1、可适用于实验室常用15mL和50mL离心管，免除了样品转移；</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2.2、倾斜式创新吹嘴设计，极大提高浓缩速率，省时省气；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2.3、可调节式吹针：闭盖状态下，通过外部旋钮可对吹针角度进行调节；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2.4、可拆卸式气嘴：每个气嘴都可独立拆卸、更换；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▲2.5、仪器具有程序升压功能，压力可调，有效避免样品损失、节约氮气，真正实现快速浓缩；不少于30个样品位，采用氮吹、水浴加热方式对样品进行快速浓缩。</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2.6、水浴加热：采用新式导向加热膜技术，受热更均匀；样品架导流孔设计，使受热水体流动达到充分混匀，确保样品受热均匀；</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2.7、至少7寸大小LCD彩色触摸屏智能图形化操作界面：实时显示温度、压力和时间等参数；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2.8、透明玻璃窗设计，内设彩色LED灯对浓缩状态进行提示，能够便于观察浓缩状态；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2.9、开启盖子后自动暂停运行，闭盖后自动恢复运行状态；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2.10、开盖悬停设计，上盖可以悬停在任意位置，取样方便、安全；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2.11、保护配置：浓缩终点自动停止水浴加热；蜂鸣器报警；超温停止加热；</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2.12、仪器选材：不锈钢材料或耐化学试剂塑料，能经受实验室特殊环境长时间考验。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3.1、浓缩仪主机1台；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3.2、电源线1根；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3.3、废液管1根；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3.4、氮气管路1根；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3.5、使用说明书（装箱单、检验卡、说明书）1套；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3.6、15mL试管架1个；</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3.7、15mL标准样品管50个；</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3.8、50mL试管架1套；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3.9、50mL标准样品管50个。</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（二十八）石墨消解器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用于AAs或ICP等分析样品中无机元素前处理。仪器采用常压湿法消解原理，可程控梯度升降温设计，可循环的梯度消解程序，智能消解样品，石墨整体加热，样品管整体落入石墨体内部加热，受热更加均匀，快速。消解方法符合EPA以及国家标准和行业标准规范。</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2.1、工作电压：220V±10%；50/60Hz，最大输出功率：3000W；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2.2、温度：10～35℃；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2.3、湿度：20%～80%；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2.4、加热材质：铸铝加热板、采用高孔隙率石墨体导热槽加热，石墨体表面多层喷涂特氟龙防腐处理；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2.5、控温范围：室温～250℃；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2.6、仪器控制：PID控温，真彩触摸屏控制器，支持离线运行；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2.7、控温精度：优于0.5℃；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2.8、孔间温差：优于1℃；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2.9、样品位数：≥60位；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2.10、总重量（Kg）：≤45。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3.1、消解主机1台；</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sz w:val="24"/>
          <w:szCs w:val="24"/>
          <w:highlight w:val="none"/>
          <w:lang w:val="en-US" w:eastAsia="zh-CN"/>
        </w:rPr>
        <w:t xml:space="preserve">玻璃消解管60根；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3.3、塑料消解管（PP材质）200根；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3.4、真彩触摸屏控制器及软件1个；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3.5、样品架（带聚四氟乙烯涂层，20孔位）3套；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3.6、操作手册1套。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（二十九）COD消解器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1.1、设定时间：0～999min；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1.2、测定时间：不大于两小时；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1.3、显示方式：不小于5寸触摸屏；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1.4、消解位数：不少于12位；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1.5、加热方式：微晶玻璃加热；</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1.6、冷却方式：风冷+水冷双重冷却方式；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1.7、回流管：球形回流冷凝管；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1.8、额定功率：2000W。</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（三十）高氯COD消解器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适用于油田、沿海炼油厂、油库、氯碱厂、农药、化工等行业以及废水深海排放等高氯水体（水和废水，氯离子浓度大于1000mg/L）中的化学需氧量COD的样品消解，符合高氯COD</w:t>
      </w:r>
      <w:r>
        <w:rPr>
          <w:rFonts w:hint="eastAsia" w:ascii="宋体" w:hAnsi="宋体" w:eastAsia="宋体" w:cs="宋体"/>
          <w:sz w:val="24"/>
          <w:szCs w:val="24"/>
          <w:highlight w:val="none"/>
          <w:vertAlign w:val="subscript"/>
          <w:lang w:val="en-US" w:eastAsia="zh-CN"/>
        </w:rPr>
        <w:t xml:space="preserve">cr</w:t>
      </w:r>
      <w:r>
        <w:rPr>
          <w:rFonts w:hint="eastAsia" w:ascii="宋体" w:hAnsi="宋体" w:eastAsia="宋体" w:cs="宋体"/>
          <w:sz w:val="24"/>
          <w:szCs w:val="24"/>
          <w:highlight w:val="none"/>
          <w:lang w:val="en-US" w:eastAsia="zh-CN"/>
        </w:rPr>
        <w:t xml:space="preserve">测定-高氯废水 化学需氧量的测定 氯气校正法HJ/T 70-2001。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2.1、设定时间：0～999min；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2.2、测定时间：不大于两小时；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2.3、显示方式：智能温控仪；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▲2.4、消解位数：6位，氮气流量单路微电脑控制；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2.5、加热方式：一体石墨加热；</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2.6、冷却方式：风冷+水冷双重冷却方式；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2.7、回流管：球形回流冷凝管；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2.8、额定功率：1800W。</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（三十一）酸化-吹气-吸收装置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1、仪器用途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适用于环保、科研、水文、水利等单位的地表水、地下水、生活污水和工业废水中的硫化物进行酸化-吹气-吸收的前处理；土壤和沉积物中硫化物进行酸化-吹气-吸收的前处理。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2、适用标准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《水质硫化物的测定 亚甲基兰分光光度法》HJ 1226-2021；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《水质硫化物的测定 碘量法》HJ/T 60-2000。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3.1、自动控制水浴系统：PID精准控温。蒸馏瓶体积满足《水质硫化物的测定 亚甲基兰分光光度法》HJ 1226-2021要求，配置蒸馏瓶数量：12个。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3.2、加热功率：2000W,加热快速且均匀。</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3.3、温度范围：0～99℃，控温精度 ±1℃。</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3.4、自动加水、补水、排水、防溢。</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3.5、加酸方式</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3.5.1、垂直加酸、氮气吹脱、酸化吸收一体化设计。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3.5.3、四氟旋塞，耐酸碱耐腐蚀。</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3.5.4、无需升降支架，稳定无漏气。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3.6、氮吹系统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3.6.1、采用进口传感器，阀调数显（流量数字显示）。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3.6.2、六路单独控制，双安全阀设计，确保实验安全有效进行。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3.6.3、流量调节范围：0～600mL/min，控制精度±2%。</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3.6.4、氮气恒定吹扫，根据国家标准，分流量分时段工作，可实现全自动流量切换，确保实验回收率高。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3.7、气源智能化控制，到达时间，自动关闭气源。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3.8、主机设有氮气源专用接口，系统带有过压保护。</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3.9、操作系统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3.9.1、不小于7寸彩色电容触摸屏。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3.9.2、位于仪器正前方，方便实验参数设置及操作。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3.9.3、工作条件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（1）供电电源：AC 220V，50Hz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（2）环境温度：10～35℃  </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（3）环境湿度：＜60%RH</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（三十二）实验室配气仪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1.1、开机自检，自动进入预稀释配气状态，自动检测故障、故障提示和故障处理功能；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1.2、实时显示工作状态、运行时间和方法参数；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1.3、具有一键启动自动完成整个稀释配气过程，自动控制标气置换、稀释吹扫等功能；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1.4、可一键启动自动完成稀释配气输出，根据稀释配气模式自动实现一直稀释、多次稀释重复进样、6点校准曲线进样稀释；</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1.5、具有三种稀释配气模式，可根据需求选择；</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1.6、标气经过的管线、部件等均采用惰性材料并惰性处理，无吸附、无残留；</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1.7、采用高精度电子流量传感器采集计算稀释气流量和标气流量；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1.8、可同步输出信号启动色谱仪主机及色谱连接数据分析仪器装置；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1.9、吹扫时间：≤30min。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2.1、电源电压：交流220V±10％50Hz；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2.2、电源功率：120W；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2.3、相对湿度：≤85%（非凝结）；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2.4、大气压力：80～106kPa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▲2.5、稀释倍数：氧氩氮底气标气1～500氢氦底气标气1～300；</w:t>
      </w:r>
      <w:r/>
    </w:p>
    <w:p>
      <w:pPr>
        <w:pStyle w:val="975"/>
        <w:numPr>
          <w:ilvl w:val="5"/>
          <w:numId w:val="0"/>
        </w:numPr>
        <w:pageBreakBefore w:val="0"/>
        <w:spacing w:before="0" w:after="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（三十三）单开门样品存储柜</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 xml:space="preserve">1.样式：立式</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箱内温度</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是</w:t>
      </w:r>
      <w:r>
        <w:rPr>
          <w:rFonts w:hint="eastAsia" w:ascii="宋体" w:hAnsi="宋体" w:cs="仿宋_GB2312"/>
          <w:color w:val="000000" w:themeColor="text1"/>
          <w:sz w:val="24"/>
          <w:szCs w:val="24"/>
          <w:highlight w:val="none"/>
          <w14:textFill>
            <w14:solidFill>
              <w14:schemeClr w14:val="tx1"/>
            </w14:solidFill>
          </w14:textFill>
        </w:rPr>
        <w:t xml:space="preserve">2℃～8℃</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有效容积≥400L</w:t>
      </w:r>
      <w:r>
        <w:rPr>
          <w:rFonts w:hint="eastAsia" w:ascii="宋体" w:hAnsi="宋体" w:cs="仿宋_GB2312"/>
          <w:color w:val="000000" w:themeColor="text1"/>
          <w:sz w:val="24"/>
          <w:szCs w:val="24"/>
          <w:highlight w:val="none"/>
          <w14:textFill>
            <w14:solidFill>
              <w14:schemeClr w14:val="tx1"/>
            </w14:solidFill>
          </w14:textFill>
        </w:rPr>
        <w:t xml:space="preserve">。</w:t>
      </w:r>
      <w:r/>
    </w:p>
    <w:p>
      <w:pPr>
        <w:numPr>
          <w:ilvl w:val="0"/>
          <w:numId w:val="0"/>
        </w:numPr>
        <w:jc w:val="left"/>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2.</w:t>
      </w:r>
      <w:r>
        <w:rPr>
          <w:rFonts w:hint="eastAsia" w:ascii="宋体" w:hAnsi="宋体" w:cs="仿宋"/>
          <w:color w:val="000000" w:themeColor="text1"/>
          <w:sz w:val="24"/>
          <w:szCs w:val="24"/>
          <w:highlight w:val="none"/>
          <w:lang w:val="en-US" w:eastAsia="zh-CN"/>
          <w14:textFill>
            <w14:solidFill>
              <w14:schemeClr w14:val="tx1"/>
            </w14:solidFill>
          </w14:textFill>
        </w:rPr>
        <w:t xml:space="preserve">外部尺寸：高度≥1920mm</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val="en-US" w:eastAsia="zh-CN"/>
          <w14:textFill>
            <w14:solidFill>
              <w14:schemeClr w14:val="tx1"/>
            </w14:solidFill>
          </w14:textFill>
        </w:rPr>
        <w:t xml:space="preserve">3</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制冷方式</w:t>
      </w:r>
      <w:r>
        <w:rPr>
          <w:rFonts w:hint="eastAsia" w:ascii="宋体" w:hAnsi="宋体" w:cs="宋体"/>
          <w:color w:val="000000" w:themeColor="text1"/>
          <w:sz w:val="24"/>
          <w:szCs w:val="24"/>
          <w:highlight w:val="none"/>
          <w14:textFill>
            <w14:solidFill>
              <w14:schemeClr w14:val="tx1"/>
            </w14:solidFill>
          </w14:textFill>
        </w:rPr>
        <w:t xml:space="preserve">：风冷。</w:t>
      </w:r>
      <w:bookmarkStart w:id="82" w:name="_Hlk523904081"/>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4</w:t>
      </w:r>
      <w:r>
        <w:rPr>
          <w:rFonts w:hint="eastAsia" w:ascii="宋体" w:hAnsi="宋体" w:cs="仿宋_GB2312"/>
          <w:color w:val="000000" w:themeColor="text1"/>
          <w:sz w:val="24"/>
          <w:szCs w:val="24"/>
          <w:highlight w:val="none"/>
          <w14:textFill>
            <w14:solidFill>
              <w14:schemeClr w14:val="tx1"/>
            </w14:solidFill>
          </w14:textFill>
        </w:rPr>
        <w:t xml:space="preserve">.工作条件：环境温度10～32℃，电源220V/50Hz。</w:t>
      </w:r>
      <w:bookmarkEnd w:id="82"/>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5</w:t>
      </w:r>
      <w:r>
        <w:rPr>
          <w:rFonts w:hint="eastAsia" w:ascii="宋体" w:hAnsi="宋体" w:cs="仿宋_GB2312"/>
          <w:color w:val="000000" w:themeColor="text1"/>
          <w:sz w:val="24"/>
          <w:szCs w:val="24"/>
          <w:highlight w:val="none"/>
          <w14:textFill>
            <w14:solidFill>
              <w14:schemeClr w14:val="tx1"/>
            </w14:solidFill>
          </w14:textFill>
        </w:rPr>
        <w:t xml:space="preserve">.测试孔：</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至少</w:t>
      </w:r>
      <w:r>
        <w:rPr>
          <w:rFonts w:hint="eastAsia" w:ascii="宋体" w:hAnsi="宋体" w:cs="仿宋_GB2312"/>
          <w:color w:val="000000" w:themeColor="text1"/>
          <w:sz w:val="24"/>
          <w:szCs w:val="24"/>
          <w:highlight w:val="none"/>
          <w14:textFill>
            <w14:solidFill>
              <w14:schemeClr w14:val="tx1"/>
            </w14:solidFill>
          </w14:textFill>
        </w:rPr>
        <w:t xml:space="preserve">1个，方便安装温湿度记录仪。</w:t>
      </w:r>
      <w:r/>
    </w:p>
    <w:p>
      <w:pPr>
        <w:jc w:val="left"/>
        <w:spacing w:line="360" w:lineRule="auto"/>
        <w:rPr>
          <w:rFonts w:hint="eastAsia" w:ascii="宋体" w:hAnsi="宋体" w:cs="仿宋_GB2312"/>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冷凝器</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:机舱内置丝管冷凝器</w:t>
      </w:r>
      <w:r>
        <w:rPr>
          <w:rFonts w:hint="eastAsia" w:ascii="宋体" w:hAnsi="宋体" w:cs="仿宋_GB2312"/>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bookmarkStart w:id="83" w:name="_Hlk523407953"/>
      <w:r/>
      <w:bookmarkStart w:id="84" w:name="_Hlk523409766"/>
      <w:r/>
      <w:bookmarkStart w:id="85" w:name="_Hlk523840617"/>
      <w:r>
        <w:rPr>
          <w:rFonts w:hint="eastAsia" w:ascii="宋体" w:hAnsi="宋体" w:cs="仿宋_GB2312"/>
          <w:color w:val="000000" w:themeColor="text1"/>
          <w:sz w:val="24"/>
          <w:szCs w:val="24"/>
          <w:highlight w:val="none"/>
          <w:lang w:val="en-US" w:eastAsia="zh-CN"/>
          <w14:textFill>
            <w14:solidFill>
              <w14:schemeClr w14:val="tx1"/>
            </w14:solidFill>
          </w14:textFill>
        </w:rPr>
        <w:t xml:space="preserve">7</w:t>
      </w:r>
      <w:r>
        <w:rPr>
          <w:rFonts w:hint="eastAsia" w:ascii="宋体" w:hAnsi="宋体" w:cs="仿宋_GB2312"/>
          <w:color w:val="000000" w:themeColor="text1"/>
          <w:sz w:val="24"/>
          <w:szCs w:val="24"/>
          <w:highlight w:val="none"/>
          <w14:textFill>
            <w14:solidFill>
              <w14:schemeClr w14:val="tx1"/>
            </w14:solidFill>
          </w14:textFill>
        </w:rPr>
        <w:t xml:space="preserve">.风道设计：</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采用</w:t>
      </w:r>
      <w:r>
        <w:rPr>
          <w:rFonts w:hint="eastAsia" w:ascii="宋体" w:hAnsi="宋体" w:cs="仿宋_GB2312"/>
          <w:color w:val="000000" w:themeColor="text1"/>
          <w:sz w:val="24"/>
          <w:szCs w:val="24"/>
          <w:highlight w:val="none"/>
          <w14:textFill>
            <w14:solidFill>
              <w14:schemeClr w14:val="tx1"/>
            </w14:solidFill>
          </w14:textFill>
        </w:rPr>
        <w:t xml:space="preserve">循环风冷背吹技术，</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避免因储存物品的阻挡导致通风不畅或温度不均匀</w:t>
      </w:r>
      <w:r>
        <w:rPr>
          <w:rFonts w:hint="eastAsia" w:ascii="宋体" w:hAnsi="宋体" w:cs="仿宋_GB2312"/>
          <w:color w:val="000000" w:themeColor="text1"/>
          <w:sz w:val="24"/>
          <w:szCs w:val="24"/>
          <w:highlight w:val="none"/>
          <w14:textFill>
            <w14:solidFill>
              <w14:schemeClr w14:val="tx1"/>
            </w14:solidFill>
          </w14:textFill>
        </w:rPr>
        <w:t xml:space="preserve">。</w:t>
      </w:r>
      <w:bookmarkEnd w:id="83"/>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bookmarkStart w:id="86" w:name="_Hlk523398592"/>
      <w:r>
        <w:rPr>
          <w:rFonts w:hint="eastAsia" w:ascii="宋体" w:hAnsi="宋体" w:cs="仿宋_GB2312"/>
          <w:color w:val="000000" w:themeColor="text1"/>
          <w:sz w:val="24"/>
          <w:szCs w:val="24"/>
          <w:highlight w:val="none"/>
          <w:lang w:val="en-US" w:eastAsia="zh-CN"/>
          <w14:textFill>
            <w14:solidFill>
              <w14:schemeClr w14:val="tx1"/>
            </w14:solidFill>
          </w14:textFill>
        </w:rPr>
        <w:t xml:space="preserve">8</w:t>
      </w:r>
      <w:r>
        <w:rPr>
          <w:rFonts w:hint="eastAsia" w:ascii="宋体" w:hAnsi="宋体" w:cs="仿宋_GB2312"/>
          <w:color w:val="000000" w:themeColor="text1"/>
          <w:sz w:val="24"/>
          <w:szCs w:val="24"/>
          <w:highlight w:val="none"/>
          <w14:textFill>
            <w14:solidFill>
              <w14:schemeClr w14:val="tx1"/>
            </w14:solidFill>
          </w14:textFill>
        </w:rPr>
        <w:t xml:space="preserve">.制冷系统：</w:t>
      </w:r>
      <w:bookmarkEnd w:id="84"/>
      <w:r/>
      <w:bookmarkEnd w:id="86"/>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通过强制风冷循环系统实现均匀的温度布局，同时</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须</w:t>
      </w:r>
      <w:r>
        <w:rPr>
          <w:rFonts w:hint="eastAsia" w:ascii="宋体" w:hAnsi="宋体" w:cs="仿宋_GB2312"/>
          <w:color w:val="000000" w:themeColor="text1"/>
          <w:sz w:val="24"/>
          <w:szCs w:val="24"/>
          <w:highlight w:val="none"/>
          <w14:textFill>
            <w14:solidFill>
              <w14:schemeClr w14:val="tx1"/>
            </w14:solidFill>
          </w14:textFill>
        </w:rPr>
        <w:t xml:space="preserve">保证更小的温度波动，</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实现样本储存温度的稳定；</w:t>
      </w:r>
      <w:r>
        <w:rPr>
          <w:rFonts w:hint="eastAsia" w:ascii="宋体" w:hAnsi="宋体" w:cs="仿宋_GB2312"/>
          <w:color w:val="000000" w:themeColor="text1"/>
          <w:sz w:val="24"/>
          <w:szCs w:val="24"/>
          <w:highlight w:val="none"/>
          <w14:textFill>
            <w14:solidFill>
              <w14:schemeClr w14:val="tx1"/>
            </w14:solidFill>
          </w14:textFill>
        </w:rPr>
        <w:t xml:space="preserve">翅片式蒸发器配合独特的循环风冷背吹技术设计，</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确保</w:t>
      </w:r>
      <w:r>
        <w:rPr>
          <w:rFonts w:hint="eastAsia" w:ascii="宋体" w:hAnsi="宋体" w:cs="仿宋_GB2312"/>
          <w:color w:val="000000" w:themeColor="text1"/>
          <w:sz w:val="24"/>
          <w:szCs w:val="24"/>
          <w:highlight w:val="none"/>
          <w14:textFill>
            <w14:solidFill>
              <w14:schemeClr w14:val="tx1"/>
            </w14:solidFill>
          </w14:textFill>
        </w:rPr>
        <w:t xml:space="preserve">箱内无霜。</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9</w:t>
      </w:r>
      <w:r>
        <w:rPr>
          <w:rFonts w:hint="eastAsia" w:ascii="宋体" w:hAnsi="宋体" w:cs="仿宋_GB2312"/>
          <w:color w:val="000000" w:themeColor="text1"/>
          <w:sz w:val="24"/>
          <w:szCs w:val="24"/>
          <w:highlight w:val="none"/>
          <w14:textFill>
            <w14:solidFill>
              <w14:schemeClr w14:val="tx1"/>
            </w14:solidFill>
          </w14:textFill>
        </w:rPr>
        <w:t xml:space="preserve">.温度控制：</w:t>
      </w:r>
      <w:r>
        <w:rPr>
          <w:rFonts w:hint="eastAsia" w:ascii="宋体" w:hAnsi="宋体" w:cs="仿宋_GB2312"/>
          <w:color w:val="000000" w:themeColor="text1"/>
          <w:sz w:val="24"/>
          <w:szCs w:val="24"/>
          <w:highlight w:val="none"/>
          <w14:textFill>
            <w14:solidFill>
              <w14:schemeClr w14:val="tx1"/>
            </w14:solidFill>
          </w14:textFill>
        </w:rPr>
        <w:t xml:space="preserve">微电脑控制系统，L</w:t>
      </w:r>
      <w:r>
        <w:rPr>
          <w:rFonts w:ascii="宋体" w:hAnsi="宋体" w:cs="仿宋_GB2312"/>
          <w:color w:val="000000" w:themeColor="text1"/>
          <w:sz w:val="24"/>
          <w:szCs w:val="24"/>
          <w:highlight w:val="none"/>
          <w14:textFill>
            <w14:solidFill>
              <w14:schemeClr w14:val="tx1"/>
            </w14:solidFill>
          </w14:textFill>
        </w:rPr>
        <w:t xml:space="preserve">ED</w:t>
      </w:r>
      <w:r>
        <w:rPr>
          <w:rFonts w:hint="eastAsia" w:ascii="宋体" w:hAnsi="宋体" w:cs="仿宋_GB2312"/>
          <w:color w:val="000000" w:themeColor="text1"/>
          <w:sz w:val="24"/>
          <w:szCs w:val="24"/>
          <w:highlight w:val="none"/>
          <w14:textFill>
            <w14:solidFill>
              <w14:schemeClr w14:val="tx1"/>
            </w14:solidFill>
          </w14:textFill>
        </w:rPr>
        <w:t xml:space="preserve">数码显示温度数据，可确保精确稳定的运行；精准的电子温度控制及显示，精度</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达到0.1℃。</w:t>
      </w:r>
      <w:r>
        <w:rPr>
          <w:rFonts w:ascii="宋体" w:hAnsi="宋体" w:cs="仿宋_GB2312"/>
          <w:color w:val="000000" w:themeColor="text1"/>
          <w:sz w:val="24"/>
          <w:szCs w:val="24"/>
          <w:highlight w:val="none"/>
          <w14:textFill>
            <w14:solidFill>
              <w14:schemeClr w14:val="tx1"/>
            </w14:solidFill>
          </w14:textFill>
        </w:rPr>
        <w:t xml:space="preserve"> </w:t>
      </w:r>
      <w:r/>
    </w:p>
    <w:p>
      <w:pPr>
        <w:jc w:val="left"/>
        <w:spacing w:line="360" w:lineRule="auto"/>
        <w:rPr>
          <w:rFonts w:ascii="宋体" w:hAnsi="宋体" w:cs="仿宋_GB2312"/>
          <w:bCs/>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10</w:t>
      </w:r>
      <w:r>
        <w:rPr>
          <w:rFonts w:hint="eastAsia" w:ascii="宋体" w:hAnsi="宋体" w:cs="仿宋_GB2312"/>
          <w:color w:val="000000" w:themeColor="text1"/>
          <w:sz w:val="24"/>
          <w:szCs w:val="24"/>
          <w:highlight w:val="none"/>
          <w14:textFill>
            <w14:solidFill>
              <w14:schemeClr w14:val="tx1"/>
            </w14:solidFill>
          </w14:textFill>
        </w:rPr>
        <w:t xml:space="preserve">.</w:t>
      </w:r>
      <w:bookmarkStart w:id="87" w:name="_Hlk523127081"/>
      <w:r>
        <w:rPr>
          <w:rFonts w:hint="eastAsia" w:ascii="宋体" w:hAnsi="宋体" w:cs="仿宋_GB2312"/>
          <w:color w:val="000000" w:themeColor="text1"/>
          <w:sz w:val="24"/>
          <w:szCs w:val="24"/>
          <w:highlight w:val="none"/>
          <w14:textFill>
            <w14:solidFill>
              <w14:schemeClr w14:val="tx1"/>
            </w14:solidFill>
          </w14:textFill>
        </w:rPr>
        <w:t xml:space="preserve">报警系统：</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至少要有</w:t>
      </w:r>
      <w:r>
        <w:rPr>
          <w:rFonts w:hint="eastAsia" w:ascii="宋体" w:hAnsi="宋体" w:cs="仿宋_GB2312"/>
          <w:color w:val="000000" w:themeColor="text1"/>
          <w:sz w:val="24"/>
          <w:szCs w:val="24"/>
          <w:highlight w:val="none"/>
          <w14:textFill>
            <w14:solidFill>
              <w14:schemeClr w14:val="tx1"/>
            </w14:solidFill>
          </w14:textFill>
        </w:rPr>
        <w:t xml:space="preserve">高低温报警、</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传感器</w:t>
      </w:r>
      <w:r>
        <w:rPr>
          <w:rFonts w:hint="eastAsia" w:ascii="宋体" w:hAnsi="宋体" w:cs="仿宋_GB2312"/>
          <w:color w:val="000000" w:themeColor="text1"/>
          <w:sz w:val="24"/>
          <w:szCs w:val="24"/>
          <w:highlight w:val="none"/>
          <w14:textFill>
            <w14:solidFill>
              <w14:schemeClr w14:val="tx1"/>
            </w14:solidFill>
          </w14:textFill>
        </w:rPr>
        <w:t xml:space="preserve">故障报警、断电报警、</w:t>
      </w:r>
      <w:r>
        <w:rPr>
          <w:rFonts w:hint="eastAsia" w:ascii="宋体" w:hAnsi="宋体" w:cs="仿宋_GB2312"/>
          <w:color w:val="000000" w:themeColor="text1"/>
          <w:sz w:val="24"/>
          <w:szCs w:val="24"/>
          <w:highlight w:val="none"/>
          <w14:textFill>
            <w14:solidFill>
              <w14:schemeClr w14:val="tx1"/>
            </w14:solidFill>
          </w14:textFill>
        </w:rPr>
        <w:t xml:space="preserve">开关门异常报警</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具备声音蜂鸣和灯光闪烁的报警方式</w:t>
      </w:r>
      <w:r>
        <w:rPr>
          <w:rFonts w:hint="eastAsia" w:ascii="宋体" w:hAnsi="宋体" w:cs="仿宋_GB2312"/>
          <w:color w:val="000000" w:themeColor="text1"/>
          <w:sz w:val="24"/>
          <w:szCs w:val="24"/>
          <w:highlight w:val="none"/>
          <w14:textFill>
            <w14:solidFill>
              <w14:schemeClr w14:val="tx1"/>
            </w14:solidFill>
          </w14:textFill>
        </w:rPr>
        <w:t xml:space="preserve">。</w:t>
      </w:r>
      <w:bookmarkEnd w:id="85"/>
      <w:r/>
      <w:bookmarkEnd w:id="87"/>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（三十四）双开门样品存储柜</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 xml:space="preserve">1.样式：立式</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箱内温度</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是</w:t>
      </w:r>
      <w:r>
        <w:rPr>
          <w:rFonts w:hint="eastAsia" w:ascii="宋体" w:hAnsi="宋体" w:cs="仿宋_GB2312"/>
          <w:color w:val="000000" w:themeColor="text1"/>
          <w:sz w:val="24"/>
          <w:szCs w:val="24"/>
          <w:highlight w:val="none"/>
          <w14:textFill>
            <w14:solidFill>
              <w14:schemeClr w14:val="tx1"/>
            </w14:solidFill>
          </w14:textFill>
        </w:rPr>
        <w:t xml:space="preserve">2℃～8℃</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有效容积≥1000L</w:t>
      </w:r>
      <w:r>
        <w:rPr>
          <w:rFonts w:hint="eastAsia" w:ascii="宋体" w:hAnsi="宋体" w:cs="仿宋_GB2312"/>
          <w:color w:val="000000" w:themeColor="text1"/>
          <w:sz w:val="24"/>
          <w:szCs w:val="24"/>
          <w:highlight w:val="none"/>
          <w14:textFill>
            <w14:solidFill>
              <w14:schemeClr w14:val="tx1"/>
            </w14:solidFill>
          </w14:textFill>
        </w:rPr>
        <w:t xml:space="preserve">。</w:t>
      </w:r>
      <w:r/>
    </w:p>
    <w:p>
      <w:pPr>
        <w:jc w:val="left"/>
        <w:spacing w:line="360" w:lineRule="auto"/>
        <w:rPr>
          <w:rFonts w:hint="eastAsia"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2.</w:t>
      </w:r>
      <w:r>
        <w:rPr>
          <w:rFonts w:hint="eastAsia" w:ascii="宋体" w:hAnsi="宋体" w:cs="仿宋"/>
          <w:color w:val="000000" w:themeColor="text1"/>
          <w:sz w:val="24"/>
          <w:szCs w:val="24"/>
          <w:highlight w:val="none"/>
          <w:lang w:val="en-US" w:eastAsia="zh-CN"/>
          <w14:textFill>
            <w14:solidFill>
              <w14:schemeClr w14:val="tx1"/>
            </w14:solidFill>
          </w14:textFill>
        </w:rPr>
        <w:t xml:space="preserve">外部尺寸</w:t>
      </w:r>
      <w:r>
        <w:rPr>
          <w:rFonts w:hint="eastAsia" w:ascii="宋体" w:hAnsi="宋体" w:cs="仿宋_GB2312"/>
          <w:color w:val="000000" w:themeColor="text1"/>
          <w:sz w:val="24"/>
          <w:szCs w:val="24"/>
          <w:highlight w:val="none"/>
          <w14:textFill>
            <w14:solidFill>
              <w14:schemeClr w14:val="tx1"/>
            </w14:solidFill>
          </w14:textFill>
        </w:rPr>
        <w:t xml:space="preserve">（宽*深*高）</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1220*8</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60</w:t>
      </w:r>
      <w:r>
        <w:rPr>
          <w:rFonts w:hint="eastAsia" w:ascii="宋体" w:hAnsi="宋体" w:cs="仿宋_GB2312"/>
          <w:color w:val="000000" w:themeColor="text1"/>
          <w:sz w:val="24"/>
          <w:szCs w:val="24"/>
          <w:highlight w:val="none"/>
          <w14:textFill>
            <w14:solidFill>
              <w14:schemeClr w14:val="tx1"/>
            </w14:solidFill>
          </w14:textFill>
        </w:rPr>
        <w:t xml:space="preserve">*1885（mm）</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val="en-US" w:eastAsia="zh-CN"/>
          <w14:textFill>
            <w14:solidFill>
              <w14:schemeClr w14:val="tx1"/>
            </w14:solidFill>
          </w14:textFill>
        </w:rPr>
        <w:t xml:space="preserve">3</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制冷方式</w:t>
      </w:r>
      <w:r>
        <w:rPr>
          <w:rFonts w:hint="eastAsia" w:ascii="宋体" w:hAnsi="宋体" w:cs="宋体"/>
          <w:color w:val="000000" w:themeColor="text1"/>
          <w:sz w:val="24"/>
          <w:szCs w:val="24"/>
          <w:highlight w:val="none"/>
          <w14:textFill>
            <w14:solidFill>
              <w14:schemeClr w14:val="tx1"/>
            </w14:solidFill>
          </w14:textFill>
        </w:rPr>
        <w:t xml:space="preserve">：风冷。</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4</w:t>
      </w:r>
      <w:r>
        <w:rPr>
          <w:rFonts w:hint="eastAsia" w:ascii="宋体" w:hAnsi="宋体" w:cs="仿宋_GB2312"/>
          <w:color w:val="000000" w:themeColor="text1"/>
          <w:sz w:val="24"/>
          <w:szCs w:val="24"/>
          <w:highlight w:val="none"/>
          <w14:textFill>
            <w14:solidFill>
              <w14:schemeClr w14:val="tx1"/>
            </w14:solidFill>
          </w14:textFill>
        </w:rPr>
        <w:t xml:space="preserve">.工作条件：环境温度10～32℃，电源220V/50Hz。</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5</w:t>
      </w:r>
      <w:r>
        <w:rPr>
          <w:rFonts w:hint="eastAsia" w:ascii="宋体" w:hAnsi="宋体" w:cs="仿宋_GB2312"/>
          <w:color w:val="000000" w:themeColor="text1"/>
          <w:sz w:val="24"/>
          <w:szCs w:val="24"/>
          <w:highlight w:val="none"/>
          <w14:textFill>
            <w14:solidFill>
              <w14:schemeClr w14:val="tx1"/>
            </w14:solidFill>
          </w14:textFill>
        </w:rPr>
        <w:t xml:space="preserve">.测试孔：</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至少</w:t>
      </w:r>
      <w:r>
        <w:rPr>
          <w:rFonts w:hint="eastAsia" w:ascii="宋体" w:hAnsi="宋体" w:cs="仿宋_GB2312"/>
          <w:color w:val="000000" w:themeColor="text1"/>
          <w:sz w:val="24"/>
          <w:szCs w:val="24"/>
          <w:highlight w:val="none"/>
          <w14:textFill>
            <w14:solidFill>
              <w14:schemeClr w14:val="tx1"/>
            </w14:solidFill>
          </w14:textFill>
        </w:rPr>
        <w:t xml:space="preserve">1个，方便安装温湿度记录仪。</w:t>
      </w:r>
      <w:r/>
    </w:p>
    <w:p>
      <w:pPr>
        <w:jc w:val="left"/>
        <w:spacing w:line="360" w:lineRule="auto"/>
        <w:rPr>
          <w:rFonts w:hint="eastAsia" w:ascii="宋体" w:hAnsi="宋体" w:cs="仿宋_GB2312"/>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冷凝器</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机舱内置丝管冷凝器</w:t>
      </w:r>
      <w:r>
        <w:rPr>
          <w:rFonts w:hint="eastAsia" w:ascii="宋体" w:hAnsi="宋体" w:cs="仿宋_GB2312"/>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7</w:t>
      </w:r>
      <w:r>
        <w:rPr>
          <w:rFonts w:hint="eastAsia" w:ascii="宋体" w:hAnsi="宋体" w:cs="仿宋_GB2312"/>
          <w:color w:val="000000" w:themeColor="text1"/>
          <w:sz w:val="24"/>
          <w:szCs w:val="24"/>
          <w:highlight w:val="none"/>
          <w14:textFill>
            <w14:solidFill>
              <w14:schemeClr w14:val="tx1"/>
            </w14:solidFill>
          </w14:textFill>
        </w:rPr>
        <w:t xml:space="preserve">.风道设计：</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采用</w:t>
      </w:r>
      <w:r>
        <w:rPr>
          <w:rFonts w:hint="eastAsia" w:ascii="宋体" w:hAnsi="宋体" w:cs="仿宋_GB2312"/>
          <w:color w:val="000000" w:themeColor="text1"/>
          <w:sz w:val="24"/>
          <w:szCs w:val="24"/>
          <w:highlight w:val="none"/>
          <w14:textFill>
            <w14:solidFill>
              <w14:schemeClr w14:val="tx1"/>
            </w14:solidFill>
          </w14:textFill>
        </w:rPr>
        <w:t xml:space="preserve">循环风冷背吹技术，</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避免因储存物品的阻挡导致通风不畅或温度不均匀</w:t>
      </w:r>
      <w:r>
        <w:rPr>
          <w:rFonts w:hint="eastAsia" w:ascii="宋体" w:hAnsi="宋体" w:cs="仿宋_GB2312"/>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8</w:t>
      </w:r>
      <w:r>
        <w:rPr>
          <w:rFonts w:hint="eastAsia" w:ascii="宋体" w:hAnsi="宋体" w:cs="仿宋_GB2312"/>
          <w:color w:val="000000" w:themeColor="text1"/>
          <w:sz w:val="24"/>
          <w:szCs w:val="24"/>
          <w:highlight w:val="none"/>
          <w14:textFill>
            <w14:solidFill>
              <w14:schemeClr w14:val="tx1"/>
            </w14:solidFill>
          </w14:textFill>
        </w:rPr>
        <w:t xml:space="preserve">.制冷系统：</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通过强制风冷循环系统实现均匀的温度布局，同时</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须</w:t>
      </w:r>
      <w:r>
        <w:rPr>
          <w:rFonts w:hint="eastAsia" w:ascii="宋体" w:hAnsi="宋体" w:cs="仿宋_GB2312"/>
          <w:color w:val="000000" w:themeColor="text1"/>
          <w:sz w:val="24"/>
          <w:szCs w:val="24"/>
          <w:highlight w:val="none"/>
          <w14:textFill>
            <w14:solidFill>
              <w14:schemeClr w14:val="tx1"/>
            </w14:solidFill>
          </w14:textFill>
        </w:rPr>
        <w:t xml:space="preserve">保证更小的温度波动，</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实现样本储存温度的稳定；</w:t>
      </w:r>
      <w:r>
        <w:rPr>
          <w:rFonts w:hint="eastAsia" w:ascii="宋体" w:hAnsi="宋体" w:cs="仿宋_GB2312"/>
          <w:color w:val="000000" w:themeColor="text1"/>
          <w:sz w:val="24"/>
          <w:szCs w:val="24"/>
          <w:highlight w:val="none"/>
          <w14:textFill>
            <w14:solidFill>
              <w14:schemeClr w14:val="tx1"/>
            </w14:solidFill>
          </w14:textFill>
        </w:rPr>
        <w:t xml:space="preserve">翅片式蒸发器配合独特的循环风冷背吹技术设计，</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确保</w:t>
      </w:r>
      <w:r>
        <w:rPr>
          <w:rFonts w:hint="eastAsia" w:ascii="宋体" w:hAnsi="宋体" w:cs="仿宋_GB2312"/>
          <w:color w:val="000000" w:themeColor="text1"/>
          <w:sz w:val="24"/>
          <w:szCs w:val="24"/>
          <w:highlight w:val="none"/>
          <w14:textFill>
            <w14:solidFill>
              <w14:schemeClr w14:val="tx1"/>
            </w14:solidFill>
          </w14:textFill>
        </w:rPr>
        <w:t xml:space="preserve">箱内无霜。</w:t>
      </w:r>
      <w:r/>
    </w:p>
    <w:p>
      <w:pPr>
        <w:jc w:val="left"/>
        <w:spacing w:line="360" w:lineRule="auto"/>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9</w:t>
      </w:r>
      <w:r>
        <w:rPr>
          <w:rFonts w:hint="eastAsia" w:ascii="宋体" w:hAnsi="宋体" w:cs="仿宋_GB2312"/>
          <w:color w:val="000000" w:themeColor="text1"/>
          <w:sz w:val="24"/>
          <w:szCs w:val="24"/>
          <w:highlight w:val="none"/>
          <w14:textFill>
            <w14:solidFill>
              <w14:schemeClr w14:val="tx1"/>
            </w14:solidFill>
          </w14:textFill>
        </w:rPr>
        <w:t xml:space="preserve">.温度控制：</w:t>
      </w:r>
      <w:r>
        <w:rPr>
          <w:rFonts w:hint="eastAsia" w:ascii="宋体" w:hAnsi="宋体" w:cs="仿宋_GB2312"/>
          <w:color w:val="000000" w:themeColor="text1"/>
          <w:sz w:val="24"/>
          <w:szCs w:val="24"/>
          <w:highlight w:val="none"/>
          <w14:textFill>
            <w14:solidFill>
              <w14:schemeClr w14:val="tx1"/>
            </w14:solidFill>
          </w14:textFill>
        </w:rPr>
        <w:t xml:space="preserve">微电脑控制系统，L</w:t>
      </w:r>
      <w:r>
        <w:rPr>
          <w:rFonts w:ascii="宋体" w:hAnsi="宋体" w:cs="仿宋_GB2312"/>
          <w:color w:val="000000" w:themeColor="text1"/>
          <w:sz w:val="24"/>
          <w:szCs w:val="24"/>
          <w:highlight w:val="none"/>
          <w14:textFill>
            <w14:solidFill>
              <w14:schemeClr w14:val="tx1"/>
            </w14:solidFill>
          </w14:textFill>
        </w:rPr>
        <w:t xml:space="preserve">ED</w:t>
      </w:r>
      <w:r>
        <w:rPr>
          <w:rFonts w:hint="eastAsia" w:ascii="宋体" w:hAnsi="宋体" w:cs="仿宋_GB2312"/>
          <w:color w:val="000000" w:themeColor="text1"/>
          <w:sz w:val="24"/>
          <w:szCs w:val="24"/>
          <w:highlight w:val="none"/>
          <w14:textFill>
            <w14:solidFill>
              <w14:schemeClr w14:val="tx1"/>
            </w14:solidFill>
          </w14:textFill>
        </w:rPr>
        <w:t xml:space="preserve">数码显示温度数据，可确保精确稳定的运行；精准的电子温度控制及显示，精度</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可</w:t>
      </w:r>
      <w:r>
        <w:rPr>
          <w:rFonts w:hint="eastAsia" w:ascii="宋体" w:hAnsi="宋体" w:cs="仿宋_GB2312"/>
          <w:color w:val="000000" w:themeColor="text1"/>
          <w:sz w:val="24"/>
          <w:szCs w:val="24"/>
          <w:highlight w:val="none"/>
          <w14:textFill>
            <w14:solidFill>
              <w14:schemeClr w14:val="tx1"/>
            </w14:solidFill>
          </w14:textFill>
        </w:rPr>
        <w:t xml:space="preserve">达到0.1℃。</w:t>
      </w:r>
      <w:r>
        <w:rPr>
          <w:rFonts w:ascii="宋体" w:hAnsi="宋体" w:cs="仿宋_GB2312"/>
          <w:color w:val="000000" w:themeColor="text1"/>
          <w:sz w:val="24"/>
          <w:szCs w:val="24"/>
          <w:highlight w:val="none"/>
          <w14:textFill>
            <w14:solidFill>
              <w14:schemeClr w14:val="tx1"/>
            </w14:solidFill>
          </w14:textFill>
        </w:rPr>
        <w:t xml:space="preserve"> </w:t>
      </w:r>
      <w:r/>
    </w:p>
    <w:p>
      <w:pPr>
        <w:jc w:val="left"/>
        <w:spacing w:line="360" w:lineRule="auto"/>
        <w:rPr>
          <w:rFonts w:hint="eastAsia"/>
          <w:highlight w:val="none"/>
          <w:lang w:val="en-US" w:eastAsia="zh-CN"/>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10</w:t>
      </w:r>
      <w:r>
        <w:rPr>
          <w:rFonts w:hint="eastAsia" w:ascii="宋体" w:hAnsi="宋体" w:cs="仿宋_GB2312"/>
          <w:color w:val="000000" w:themeColor="text1"/>
          <w:sz w:val="24"/>
          <w:szCs w:val="24"/>
          <w:highlight w:val="none"/>
          <w14:textFill>
            <w14:solidFill>
              <w14:schemeClr w14:val="tx1"/>
            </w14:solidFill>
          </w14:textFill>
        </w:rPr>
        <w:t xml:space="preserve">.报警系统：</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至少要有</w:t>
      </w:r>
      <w:r>
        <w:rPr>
          <w:rFonts w:hint="eastAsia" w:ascii="宋体" w:hAnsi="宋体" w:cs="仿宋_GB2312"/>
          <w:color w:val="000000" w:themeColor="text1"/>
          <w:sz w:val="24"/>
          <w:szCs w:val="24"/>
          <w:highlight w:val="none"/>
          <w14:textFill>
            <w14:solidFill>
              <w14:schemeClr w14:val="tx1"/>
            </w14:solidFill>
          </w14:textFill>
        </w:rPr>
        <w:t xml:space="preserve">高低温报警、</w:t>
      </w: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传感器</w:t>
      </w:r>
      <w:r>
        <w:rPr>
          <w:rFonts w:hint="eastAsia" w:ascii="宋体" w:hAnsi="宋体" w:cs="仿宋_GB2312"/>
          <w:color w:val="000000" w:themeColor="text1"/>
          <w:sz w:val="24"/>
          <w:szCs w:val="24"/>
          <w:highlight w:val="none"/>
          <w14:textFill>
            <w14:solidFill>
              <w14:schemeClr w14:val="tx1"/>
            </w14:solidFill>
          </w14:textFill>
        </w:rPr>
        <w:t xml:space="preserve">故障报警、断电报警、</w:t>
      </w:r>
      <w:r>
        <w:rPr>
          <w:rFonts w:hint="eastAsia" w:ascii="宋体" w:hAnsi="宋体" w:cs="仿宋_GB2312"/>
          <w:color w:val="000000" w:themeColor="text1"/>
          <w:sz w:val="24"/>
          <w:szCs w:val="24"/>
          <w:highlight w:val="none"/>
          <w14:textFill>
            <w14:solidFill>
              <w14:schemeClr w14:val="tx1"/>
            </w14:solidFill>
          </w14:textFill>
        </w:rPr>
        <w:t xml:space="preserve">开关门异常报警</w:t>
      </w:r>
      <w:r>
        <w:rPr>
          <w:rFonts w:hint="eastAsia" w:ascii="宋体" w:hAnsi="宋体" w:cs="仿宋_GB2312"/>
          <w:color w:val="000000" w:themeColor="text1"/>
          <w:sz w:val="24"/>
          <w:szCs w:val="24"/>
          <w:highlight w:val="none"/>
          <w:lang w:eastAsia="zh-CN"/>
          <w14:textFill>
            <w14:solidFill>
              <w14:schemeClr w14:val="tx1"/>
            </w14:solidFill>
          </w14:textFill>
        </w:rPr>
        <w:t xml:space="preserve">，</w:t>
      </w:r>
      <w:r>
        <w:rPr>
          <w:rFonts w:hint="eastAsia" w:ascii="宋体" w:hAnsi="宋体" w:cs="仿宋_GB2312"/>
          <w:color w:val="000000" w:themeColor="text1"/>
          <w:sz w:val="24"/>
          <w:szCs w:val="24"/>
          <w:highlight w:val="none"/>
          <w14:textFill>
            <w14:solidFill>
              <w14:schemeClr w14:val="tx1"/>
            </w14:solidFill>
          </w14:textFill>
        </w:rPr>
        <w:t xml:space="preserve">具备声音蜂鸣和灯光闪烁的报警方式</w:t>
      </w:r>
      <w:r>
        <w:rPr>
          <w:rFonts w:hint="eastAsia" w:ascii="宋体" w:hAnsi="宋体" w:cs="仿宋_GB2312"/>
          <w:color w:val="000000" w:themeColor="text1"/>
          <w:sz w:val="24"/>
          <w:szCs w:val="24"/>
          <w:highlight w:val="none"/>
          <w14:textFill>
            <w14:solidFill>
              <w14:schemeClr w14:val="tx1"/>
            </w14:solidFill>
          </w14:textFill>
        </w:rPr>
        <w:t xml:space="preserve">。</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（三十五）紫外灯箱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1.1、外形尺寸：≤320×330×270（mm）；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1.2、最大照射面积：≥250×250(mm)(可使用面积)；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1.3、可调和带拍照窗口附件；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1.4、电源：AC220V±10% 50HZ；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1.5、紫外灯管数量：不少于5根。</w:t>
      </w:r>
      <w:r/>
    </w:p>
    <w:p>
      <w:pPr>
        <w:pStyle w:val="975"/>
        <w:numPr>
          <w:ilvl w:val="5"/>
          <w:numId w:val="0"/>
        </w:numPr>
        <w:pageBreakBefore w:val="0"/>
        <w:spacing w:before="0" w:after="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（三十六）纯水机</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1.1、符合GB6682-2008 I级用水标准</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1.2、彩色触摸屏，动画式菜单控制系统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1.3、具有开机自检功能、大屏幕LCD点阵液晶式显示；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1.4、程序运行显示：产水、水满功能；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1.5、具有显示纯水、超纯水水质超标报警功能；</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1.6、全自动微电脑控制系统，多级菜单式操作；</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1.7、可同时在线2路水质监控，实时监测RO水和超纯水水质及水温；</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1.8、须采用优质膜片；</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1.9、全自动RO膜防垢冲洗程序，延长RO膜使用寿命；</w:t>
      </w:r>
      <w:r/>
    </w:p>
    <w:p>
      <w:pPr>
        <w:numPr>
          <w:ilvl w:val="0"/>
          <w:numId w:val="0"/>
        </w:numPr>
        <w:pageBreakBefore w:val="0"/>
        <w:spacing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sz w:val="24"/>
          <w:szCs w:val="24"/>
          <w:highlight w:val="none"/>
          <w:lang w:val="en-US" w:eastAsia="zh-CN"/>
        </w:rPr>
        <w:t xml:space="preserve">具有耗材寿命终结报警功能，故障可自动检测；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1.11、可设仪器开机密码，系统设置均由密码保护，防止未经授权的更改；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1.12、具有历史告警、历史取水记录以及耗材管理功能；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1.13、关机/断电自动记忆功能，配置压力桶，工作方式灵活；</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1.14、可设定时取水，分质取水；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1.15、储水桶和液位水箱储水方式，可满足不同需求；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1.16、全塑外壳，避免生锈；</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1.17、所有管路具备快插式接头，滤柱更换维护须便捷方便；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1.18、须采用优质树脂，具有全下垂流超纯化柱设计；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1.19、须采用双波长(185nm&amp;254nm)优质紫外灯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1.20、瞬间出水量：2.0升/分钟(储水桶有水时)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1.21、产水量（25℃）:≥20L/小时</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（三十七）低浓度颗粒物大流量烟尘仪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用于采集固定污染源排气中的颗粒物和烟气成份；自动测量烟气动压、烟气静压、流速、流量计前压力、流量计前温度、烟气温度、含湿量、烟气浓度等参数。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2.1、具有烟尘测量、烟气分析同步运行功能；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2.2、内置弹性气容，可实现流量超低流速的稳定控制与跟踪；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2.3、具有防倒吸功能，采样过程停电记忆功能；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2.4、含湿量兼容干湿球法和阻容法两种测量模式，并支持有线和无线双通信模式；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2.5、工况测量模块前置到烟枪末端，并支持有线和无线双通信模式；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2.6、无线通信采用433MHz无线射频通信模式，距离远，通信稳定；</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2.7、气体过滤及储水装置透明式设计，能直观看到过滤器及存水状态，方便维护</w:t>
      </w:r>
      <w:r>
        <w:rPr>
          <w:rFonts w:hint="eastAsia" w:ascii="宋体" w:hAnsi="宋体" w:eastAsia="宋体" w:cs="宋体"/>
          <w:b/>
          <w:bCs/>
          <w:color w:val="auto"/>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2.8、具备彩色触摸屏和物理按键，触摸和按键双操作</w:t>
      </w:r>
      <w:r>
        <w:rPr>
          <w:rFonts w:hint="eastAsia" w:ascii="宋体" w:hAnsi="宋体" w:eastAsia="宋体" w:cs="宋体"/>
          <w:b/>
          <w:bCs/>
          <w:color w:val="auto"/>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2.9、拥有物理按键快捷切换烟尘测量、烟气分析、烟气采样，具有功能状态指示灯</w:t>
      </w:r>
      <w:r>
        <w:rPr>
          <w:rFonts w:hint="eastAsia" w:ascii="宋体" w:hAnsi="宋体" w:eastAsia="宋体" w:cs="宋体"/>
          <w:b/>
          <w:bCs/>
          <w:color w:val="auto"/>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2.10、具备RS232、USB接口，支持数据通信，U盘数据转存输出；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2.11、仪器内置电子标签，可与软件配合实现仪器智能化管理；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2.12、拥有故障自检功能，气密性自动检测功能；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3.1、烟尘采样技术指标</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3.1.1、采样流量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▲（1）参数范围：(0～120)L/min；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（2）分辨率：0.1L/min；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（3）准确度：不超过±5%。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3.1.2、烟气动压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（1）参数范围：(0～2000)Pa；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（2）分辨率：1Pa；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（3）准确度：不超过±2%FS。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3.1.3、烟气静压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（1）参数范围：(-30～＋30)kPa；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（2）分辨率：0.01kPa；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（3）准确度：不超过±4%FS。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3.1.4、大气压</w:t>
      </w:r>
      <w:r>
        <w:rPr>
          <w:rFonts w:hint="eastAsia" w:ascii="宋体" w:hAnsi="宋体" w:eastAsia="宋体" w:cs="宋体"/>
          <w:sz w:val="24"/>
          <w:szCs w:val="24"/>
          <w:highlight w:val="none"/>
          <w:lang w:val="en-US" w:eastAsia="zh-CN"/>
        </w:rPr>
        <w:tab/>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（1）参数范围：(50～130)kPa；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（2）分辨率：0.01kPa；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（3）准确度：不超过±500Pa。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3.1.5、烟气温度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（1）参数范围：(0～500)℃可扩展；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（3）准确度：不超过±3℃。</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3.2、采样泵负载能力：≥60L/min（阻力为20kPa时）；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3.3、数据存储能力：烟尘文件、烟气文件、工况文件各不小于9000组；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3.4、主机重量：不大于8kg。</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4.1、主机1套；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4.2、烟尘多功能取样管1套；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4.3、含湿量检测器1套；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4.4、烟气取样器1套；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4.5、无线工况模块1套；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4.6、保存箱1个；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4.7、压模装置1套；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4.8、蓝牙打印机1套；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4.9、双肩背包1个。</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（三十八）低浓度颗粒物采样枪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测定固定污染源低浓度的颗粒物。取样管的前端具有加热功能，保持滤膜在设定温度下工作，可以适应高湿度、低温度等工况；一体式采样头（采样头、弯管、滤膜、网托、铝箔密封圈）整体称重，最大限度减少了滤膜质量和颗粒物损失的可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2、性能要求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2.1、适用于测定固定污染源颗粒物浓度低于20mg/m3的采样，最低检出限1mg/m3；</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2.2、结构紧凑，适应于标准GB/T16157中规定80mm的测孔直径；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2.3、采用直径Φ47mm的滤膜收集颗粒物；</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2.4、一体式采样嘴整体称重，样品无损失，采样误差小；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▲2.5、滤膜装置带有水陷阱装置，防止冷凝水倒流，满足各种高湿度低温度的状况；</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2.6、滤膜装置带加热功能，加热温度可以设定并自动调节，采用24V直流电源加热；</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2.7、采样管及采样头均采用钛合金材料，性能稳定、耐腐蚀、自损耗低；</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▲2.8、皮托管具有可以拆卸、可更换功能；</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2.9、具备加热采样头固定装置功能。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3.1、工作电压：DC24V 10A；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3.2、皮托管系数：0.84±0.01；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3.3、加热温度：(100～160)℃，可以设定；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3.4、加热功率：100W；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3.5、重量：≤2kg；</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3.6、测孔直径要求：≥Ф80mm；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3.7、材质：不锈钢；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3.8、密封措施：不锈钢环+塑胶垫圈；</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3.9、刻度标识：有。</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4.1、取样管1根；</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4.2、电源适配器1套；</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4.3、专用扳手1个；</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4.4、接地线1根。</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（三十九）便携式多气体检测仪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适用于大范围现场的快速检测及查找污染源等领域。</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2、执行标准</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2.1、GB 12358-2006作业场所环境气体检测报警仪通用技术要求。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3、功能要求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▲3.1、分体式设计，数据采用有线和无线双传输模式；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3.2、不小于5.0寸高亮触摸液晶屏；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3.3、配备人机工程学箱包，无需取出仪器即可快速开展检测工作；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▲3.4、气体传感器模块化设计，气体传感器可选；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3.5、气体模块之间为快接设计，无需手动拆卸螺丝进行连接；</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3.6、可快速开展检测工作，无需从箱包中取出；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3.7、大气压、环境温度、环境相对湿度可实时测量；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3.8、预留气象参数接口，可外接气象检测仪；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3.9、内置锂电池，可连续工作不低于10小时，电池可更换；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3.10、标准Type-C充电接口，支持交、直流两种供电方式；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3.11、自带报警灯提示；</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3.12、可搭载无人机进行走航检测。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4.1、外型尺寸：不大于</w:t>
      </w:r>
      <w:r>
        <w:rPr>
          <w:rFonts w:hint="eastAsia" w:ascii="宋体" w:hAnsi="宋体" w:eastAsia="宋体" w:cs="宋体"/>
          <w:color w:val="auto"/>
          <w:sz w:val="24"/>
          <w:szCs w:val="24"/>
          <w:highlight w:val="none"/>
          <w:lang w:val="en-US" w:eastAsia="zh-CN"/>
        </w:rPr>
        <w:t xml:space="preserve">250mm</w:t>
      </w:r>
      <w:r>
        <w:rPr>
          <w:rFonts w:hint="eastAsia" w:ascii="宋体" w:hAnsi="宋体" w:eastAsia="宋体" w:cs="宋体"/>
          <w:sz w:val="24"/>
          <w:szCs w:val="24"/>
          <w:highlight w:val="none"/>
          <w:lang w:val="en-US" w:eastAsia="zh-CN"/>
        </w:rPr>
        <w:t xml:space="preserve">×150mm×100mm；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4.2、数据存储：大于4000组。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4.3、硫化氢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4.3.1、参数范围：（0～50）umol/mol；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4.3.2、分辨率：0.01 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4.4、氯化氢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4.4.1、参数范围：（0～20）umol/mol；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4.4.2、分辨率：0.01 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4.5、一氧化碳</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4.5.1、参数范围：（0～200）umol/mol；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4.5.2、分辨率：0.01umol/mol。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4.6、氨气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4.6.1、参数范围：（0～100）umol/mol；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4.6.2、分辨率：0.01 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4.7、氯气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4.7.1、参数范围：（0～10）umol/mol；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4.7.2、分辨率：0.01 umol/mol。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4.8、环境温度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4.8.1、参数范围：（-40~120）℃；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4.8.2、分辨率：0.1℃。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4.9环、境湿度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4.9.1、参数范围：（0~100）%RH；</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4.9.2、分辨率：0.01%RH。</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4.10、大气压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4.10.1、参数范围：（50~130）kPa；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4.10.2、分辨率：0.01kPa。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5.1、主机1套；</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5.2、检测模块1套（含硫化氢、氯化氢、一氧化碳、氨气、氯气指标）；</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5.3、远程仪器数据显示平台1套；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5.4、有线通信数据线1根；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5.5、仪器防护包1个。</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（四十）移动电源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1性能要求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1.1、搭载高性能电芯，稳定性高，使用寿命长；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1.2、可同时进行DC24V、USB、Type-C输出；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1.3、多功能电量显示屏，可切换当前电压/剩余电量百分比显示；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1.4、具有短路、过载保护功能，大大提高产品的安全性和稳定性；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2.1、电池类型：三元聚合物锂电池；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2.2、电池电压：额定22.2V；</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2.3、电池容量：26Ah；</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2.4、放电电流：额定10A；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2.5、充电电流：额定3A。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3.2、充电器1套；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3.3、直流输出线1根；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3.4、反装插头转接线1根；</w:t>
      </w:r>
      <w:r/>
    </w:p>
    <w:p>
      <w:pP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3.5、插头转接线1根。</w:t>
      </w:r>
      <w:r/>
    </w:p>
    <w:p>
      <w:pP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（四十一）便携式抽滤装置</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主要用于水质采样的野外过滤。</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2、功能要求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▲2.1、自带电池，电池位置采用防潮设计，适合野外工作要求；续航能力：使用高容量锂电池，可持续开机20小时以上</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2.2、电量显示：液晶显示电量百分比；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2.3、便携性：要求产品小巧，便于携带；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2.4、要求一体化整机设计，设备内置气泵、电池、抽滤装置等，无需在野外组装气泵及抽滤装置；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2.5、集液瓶盖无需手拧，自动吸合；</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2.6、选用进口真空泵，耐酸碱腐蚀，真空度高，使用寿命长；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2.7、集液瓶体积不小于600ml；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2.8、抽滤头方便拆卸，清洗。抽滤头可真接插拔，不需使用工具或拧镙铨固定。</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3.1、便携式抽滤器主机1套；</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3.2、滤膜：孔径0.45um 10盒；</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3.3、充电器1个；</w:t>
      </w:r>
      <w:r/>
    </w:p>
    <w:p>
      <w:p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3.4、集液瓶（含盖子）5个。</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（四十二）便携式电导率仪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用于现场和实验室检测电导率，适用于市政污水、工业污水、饮用水、地表水、教育、科研等领域。</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2.1、电源要求：提供可充电锂电池；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2.2、存储温度：不小于–20~60°C范围，；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2.3、工作温度：不小于0~60°C范围；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2.4、工作湿度：＜90%；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2.5、语言：具有中文界面；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2.6、显示：可显示电导率、盐度、TDS（总溶解固体）、电阻率、温度；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2.7、数据内存：≥5000组数据；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2.8、数据传输：可通过USB接口进行数据传输；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2.9、外壳防护等级：不小于IP67。</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2.10、电导率电极技术指标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2.10.1、温度量程：不小于0.0~100.0℃范围；分辨率：不低于0.1℃；准确度：优于±0.3℃；</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2.10.2、电导率量程：不小于0.01μS/cm~200.0mS/cm范围，分辨率：不低于0.01μS/cm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2.10.3、电阻率量程：不小于2.5~49欧姆/cm 范围，分辨率：不低于0.1欧姆·厘米</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2.10.4、盐度量程：不小于0~40g/kg或‰，分辨率：优于0.01ppt；</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2.10.5、总溶解性固体量程：不小于0.0~40.0g/L范围以NaCl计算，分辨率：优于0.1mg/L。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3.1、电导率仪主机1台；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3.2、电导率电极一支；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3.3、电导率电极校准标准液：不少于100ml </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（四十三）细菌快速检测仪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可用于野外、现场或实验室中进行总菌群、粪生菌群、大肠杆菌、异养细菌、酵母和霉菌等水中的微生物测试。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2、工作条件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2.1、电源：可自主供电；</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2.2、环境操作温度：不小于0~40℃范围；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2.3、储存温度：不小于-40~60℃范围；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2.4、温度范围：不小于5～50℃。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3.1、滤膜法总大肠菌群和大肠杆菌培养基灵敏度：优于1CFU/mL。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3.2、便携式培养箱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3.2.1、温度稳定性：优于±0.5C；</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3.2.2、预热时间：1-3小时；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3.2.3、容量：不少于40个50mm培养皿。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4.1、使用手册1套；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4.2、便携式培养箱1套；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4.3、提供含除氯剂的取样袋不少于200个；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4.4、过滤器组件1套；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4.5、漏斗、培养皿、纸片等测试耗材不少于200次；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4.6、便携式2.5倍和5倍发光放大镜1套；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4.7、随机附件1套；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4.8、总大肠菌群/大肠杆菌测试的培养基不少于50次。</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（四十四）便携式溶氧仪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可在现场和实验室使用，适用于市政污水、工业污水、饮用水、环境监测、科研等行业。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2.1、电源要求：提供可充电锂电池；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2.2、存储温度：不小于–20~60 °C范围；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2.3、工作温度：不小于0~60°C范围；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2.4、工作湿度：＜90%，无冷凝；</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2.5、语言：具有中文界面。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2.6、显示：同时显示温度和溶解氧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2.7、数据内存：≥5000组数据；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2.8、数据传输：可通过USB接口传输数据；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2.9、外壳防护等级：不低于IP67。</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2.10、电极技术指标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2.10.1、温度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（1）量程：优于0.0～110.0℃；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（2）分辨率：优于0.1℃；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（3）准确度：优于±0.3℃。</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2.10.2、电极参数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（1）量程:不小于0.01~20.0mg/L或0~200%饱和度；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（2）分辨率：优于0.01 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（3）溶解氧的准确度：在0 ~8 mg/L时，优于±0.1mg/L；大于8.0mg/L时，优于±0.2mg/L。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3.1、便携式溶氧仪主机1台；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3.2、溶解氧电极1根。</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（四十五）便携式PH计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适用于市政污水、工业污水、饮用水、环境监测、教育、科研等领域的水质pH检测。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2.1、电源要求：提供可充电的电池；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2.2、存储温度：不少于–20～60°C范围，；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2.3、工作温度：不小于0～60°C范围；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2.4、工作湿度：＜90%，无冷凝；</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2.5、语言：中文；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2.6、主机显示：pH、mV、温度；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2.7、数据内存：≥5000组数据；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2.8、数据传输：可通过USB接口进行数据的传输；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2.9、温度校正：支持自动和手动；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2.10、外壳防护等级：不小于IP67。</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2.11、电极技术性能指标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2.12.1、温度</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（1）量程：大于0.0～110.0℃范围；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（2）分辨率：不低于0.1℃；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（3）准确度：不低于±0.3℃。</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2.12.2、pH电极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（1）量程：不低于0～14范围；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（2）分辨率：可选择0.1/0.01/0.001；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（3）精度：不低于0.02。</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3.1、支持pH/ORP电极的主机1套；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3.2、pH电极1个；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3.3、标准溶液（4.01，7.00，10.01）不少于500ml。</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（四十六）便携式浊度计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1、设备用途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用于户外和实验室水质浊度的测试，适用于饮用水、废水、纯水、工业用水和地表水等行业。</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2、工作条件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2.1、电源要求：电池或可充电电池供电；</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2.2、操作温度：不小于0~50℃范围；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2.3、湿度：＜90%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3.1、符合标准：满足标准方法HJ1075-2019的要求；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3.2、认证：CE认证或其他质量认证；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3.3、光源：不小于400nm-600nm范围或者860nm±30nm（LED光源）；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3.4、检测器：硅光电检测器或其他；</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3.5、测量范围：不小于0~1000NTU；</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3.6、准确度：优于±2%；</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3.7、可重复性：优于±1%或者0.01NTU；</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3.8、分辨率：不低于0.01NTU；</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3.9、杂散光：&lt;0.02NTU；</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3.10、具有自动信号平均功能，降低不均匀样品误差；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3.11、双检测器光学系统，智能消除色度、光波动、杂散光等的干扰；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3.12、支持中文界面；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3.13、具有屏幕在线帮助指引功能，操作简单方便；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3.14、支持USB数据传输；</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3.15、多种测量模式可选，当样品发生快速沉淀也可以准确的测量；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3.16、仪器防护等级：不低于IP67。</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4.1、便携式浊度仪主机（含电池）1套；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4.2、样品池不少于6个；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4.3、浊度标液 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4.4、验证标液1瓶；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4.5、硅油1瓶；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4.6、用户手册1套。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（四十七）便携式离心机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1.1、方便携带，带拉杆车，便于现场移动操作；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1.2、内置大容量锂电池，也可通过车载电源使用；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1.3、操作简单，一键切换启停状态，配备6段数码管可实时显示当前转速与剩余时间；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1.4、转子采用不锈钢材质，适合野外水质前处理；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1.5、主机采用机械动力学设计，减小主机晃动几率；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1.6、主机内部采用防水结构设计，减小因样品洒落造成的机器损坏几率；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1.7、350mL离心瓶，满足国标单次离心水样≥1L的要求；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1.8、离心瓶离心角度25°符合离心机设计标准要求；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1.9、转子采用4点平衡技术，稳定性高；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1.10、开机可自动显示电池电量，方便掌握电量及时充电；</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1.11、内置充电电路。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2.1、最高转速：≥2500r/min；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2.2、相对离心力：1091g；</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2.3、转速精度：±20r/min；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2.4、最大容量：满足4*350 mL；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2.5、旋转半径：156mm；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2.6、时间设置范围：1～99min；</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2.7、整体噪音：≤60dB。</w:t>
      </w:r>
      <w:r/>
    </w:p>
    <w:p>
      <w:pP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（四十八）表层采水器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1.1、常用容积：3L；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1.2、测温范围：0℃～50℃；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1.3、取样深度：0～20m；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1.4、测温误差：±1℃。</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2.1、蜡绳1根；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2.2、挂钩1根；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2.3、止水夹1个；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2.4、胶管1个；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2.5、内置温度计1支。</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（四十九）卡盖式采水器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1.1、瓶体使用UPVC管材,材质溶出/吸附小；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1.2、开闭式工作方法；</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1.3、结构简单可靠,使用方便；</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1.4、可单独使用也可连击挂锤；</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1.5、卡盖式结构；</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1.6、容量：≥2.5L。</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（五十）高温温度计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1.1、指针式温度计可以直接测量各种生产过程中的-80℃～+500℃范围内液体；</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1.2、测温杆直径10mm、表盘直径：φ100；</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1.3、精度：1.5级；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1.4、探温杆材质：不锈钢材质。</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（五十一）塞氏盘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1.1、塞氏圆盘1：亚克力板，直径约20cm，黑白色相间；</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1.2、塞氏圆盘2：PVC板，直径约30cm，全白色；</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1.3、不锈钢重锤，螺扣型；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1.4、刻度卷尺：≥20m，金属框架，带握柄。</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（五十二）测深仪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1.1、可于中,小型船舷外（内）安装,电缆≥10米；</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1.2、主要用于海、河、湖上水下定位和测量水深；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1.3、具备稳定测量技术与快速跟踪技术，可实时反映真实测量结果；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1.4、配有大容量SD存储，可按日期分文件名存储，方便查询；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1.5、量程：200米，100米；</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1.6、可自动检测盲区；</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1.7、最小显示分辨率：1cm；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1.8、精度：±1％*量程；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1.9、显示：中文LCD；</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1.10、工作电压：内置电池，外接充电器。</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（五十三）铁壳温度计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1.1、保护套：不锈钢材质；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1.2、测温范围：≥-5℃～40℃；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1.3、测温精度：0.2℃；</w:t>
      </w:r>
      <w:r/>
    </w:p>
    <w:p>
      <w:pP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1.4、测温误差：±0.2℃。</w:t>
      </w:r>
      <w:r/>
    </w:p>
    <w:p>
      <w:pP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（五十四）声级计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1.1、符合标准：符合GB/T 3785.1-2010 /IEC61672-1:2013声级计1级、GB/T 3241-2010 /IEC 61260-1:2014滤波器1级标准；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1.2、传声器：预极化测试电容传声器,灵敏度级：-28 dB(以1 V/Pa为参考0 dB)；</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1.3、频率范围：10 Hz～20 kHz；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1.4、Ａ/Ｄ位数：24位；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1.5、采样频率：48 kHz；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1.6、本机电噪声：10 dBA，15 dBC，20 dBZ；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1.7、测量范围：A计权声级20 dB～143 dB； C计权声级25 dB～143 dB；Z计权声级30 dB～143 dB；C计权峰值声级60 dB～146 dB；</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1.8、时间计权：并行（同时）F、S、I；</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1.9、频率计权：并行（同时）A、C、Z；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1.10、检波特性：真有效值数字检波；</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1.11、显示器：4.3英寸电容型触摸屏；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1.12、主要显示内容：可实时测量及显示9个以上测量指标、统计分布图、累积分布图、24小时分布图；</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1.13、主要测量功能：总值积分、统计积分、24小时自动监测、1/1 OCT分析；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1.14、主要测量指标：Lxyp、Lxeq,T、Lxeq,t、Lxmax、Lxmin、LxN、SD、SEL、Lxpeak等；（注：x为A，C，Z；y为F，S，I；N为5，10，50，90，95）；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1.15、1/1 OCT分析功能：标称中心频率：16 Hz、31.5 Hz、63 Hz、125 Hz、250 Hz、500 Hz、1 kHz、2 kHz、4 kHz、8 kHz、16 kHz；主要测量指标：频带瞬时声压级(Lp)、频带最大声压级(Lmax)、频带最小声压级(Lmin)、频带等效连续声压级(Leq,T)；</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1.16、数据存贮：16 G内部存储，配64 G TF卡；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1.17、输出接口：AC（交流）、DC（直流）、IO扩展口、USB接口、4G、WIFI、蓝牙；</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1.18、日历时钟：每月误差小于1 min，移除锂电池后时钟将丢失；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1.19、电源： 3.7 V 10000 mAh锂电池、9 VDC外接电源（20 W快充）,5小时内充满；</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1.20、测量时间：1 s到96 h任意设置；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1.21、工作温度：-20 ℃～60 ℃；</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1.22、相对湿度：20 %～90 %。</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2.1、声级计主机1套；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2.2、远程数据传输装置1套；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2.3、三脚架1套。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（五十五）声级校准器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1.1、符合标准：GB/T15173-2010和IEC60942对1级声校准器的技术要求；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1.2、声压级：94dB 114dB（以2×</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vertAlign w:val="superscript"/>
          <w:lang w:val="en-US" w:eastAsia="zh-CN"/>
        </w:rPr>
        <w:t xml:space="preserve">-5</w:t>
      </w:r>
      <w:r>
        <w:rPr>
          <w:rFonts w:hint="eastAsia" w:ascii="宋体" w:hAnsi="宋体" w:eastAsia="宋体" w:cs="宋体"/>
          <w:sz w:val="24"/>
          <w:szCs w:val="24"/>
          <w:highlight w:val="none"/>
          <w:lang w:val="en-US" w:eastAsia="zh-CN"/>
        </w:rPr>
        <w:t xml:space="preserve">Pa为参考）；</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1.3、声压级精度：±0.25dB（-10℃~+50℃）；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1.4、频率：1000Hz±0.5%；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1.5、谐波失真：≤1.5%；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1.6、总失真：≤2.5%；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1.7、电池：最长连续使用时间10小时；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1.8、稳定时间：小于15s；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1.9、使用环境温度范围：-10℃~+50℃；相对湿度：10%～90%；大气压力：68kPa~108kPa。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2.1、声校准器主机1台；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2.2、电池1套。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（五十六）应急防护用品箱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1.1、防毒面具：半面防毒面具，滤盒可拆卸硅胶材质主体，可防护各类有机气体酸蒸气等，须配套双面活性炭滤盒；</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1.2、护目镜：聚碳酸酯材质，可阻隔99%紫外线，防止化学实验室溅入；</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1.3、防护手套：采用乳胶材质，耐磨防滑，可耐实验过程酸碱试剂；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1.4、KN95口罩：无纺布熔喷和静电滤料材质头戴式可调整大小，灭菌独立包装；</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1.5、手电筒：外壳铝合金材质，光线最大射程≥300m，可提供USB充电；</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1.6、轻型防化服：不同尺寸可选，可防化学液体喷溅，多层高密度阻隔面料须结实耐用；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1.7、防雨鞋套：PVC面料≥42cm高位防水优质面料，-20℃不发硬，暴雨级防水，有效防滑；</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1.8、安全绳：须具备钢丝内芯高强拉力，配套半身安全带，加强尼龙内芯绳防滑手套，8字缓降器合计安全钩；</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医疗急救包：用于轻创护理基于户外应急综合，至少包括：急救保温毯、速冷冰袋、止血带、三角绷带、医用双氧水、清洗盐、医用手套、医用棉签、体温计、安全别针、不锈钢镊子、急救手册、标准记录板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1.10、应急背包：20升～50升容量可选，外袋可扩展容量、干湿分离全面防水具备夜间反光带、胸部扣具、腰带扣具、手提握把、透气垫辈、加密加厚织带，袋口处加强PVC密封膜。</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2.1、防毒面具1套；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2.2、护目镜1副；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2.3、防护手套1副；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2.4、KN95口罩10个；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2.5、手电筒1个；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2.6、轻型防化服1套；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2.7、防雨鞋套1套；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2.8、安全绳1副；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2.9、医疗急救包1套；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2.10、应急背包1个。</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（五十七）应急工作箱</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1.1、执法记录仪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1.1.1、防护等级：IP68（水深1米，持续2h）可在水中更换电池；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1.1.2、视频输入：至少满足主摄像头2304*1296/1920*1080/1280*720/848*480分辨率，30帧；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1.1.3、水平视场角：所有分辨率下110°；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1.1.4、视频网传：支持1080P/720P/480P网传；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1.1.5、环境光感应：支持；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1.1.6、红外夜视：支持；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1.1.7、白光灯：支持；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1.1.8、夜视距离：至少5米看清人体轮廓、3米看清人脸；</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1.1.9、触摸屏：支持；</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1.1.10、主摄像头照片像素至少4000万；</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1.1.11、充电时间：小于2.5小时；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1.1.12、续航时间：≥18小时（1080P条件下）；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1.1.13、图传时间：≥13小时（1080P条件下）。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1.2、录音笔</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1.2.1、存储：至少32GB机身存储10GB云存储；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1.2.2、指示灯：全向录音指示灯指向录音指示灯；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1.2.3、WiFi连接传输：1小时音频约2分钟传完；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1.2.4、蓝牙连接传输：1小时音频约20分钟传完；</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1.2.5、电池容量：至少8小时连续录音。</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1.3、手持终端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1.3.1、处理器：至少八核，1.4GHZ；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1.3.2、内存：至少4GB RAM+64GB ROM；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1.3.3、显示屏：≥4.0英寸彩色显示屏；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1.3.4、触摸屏：有；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1.3.5、电源：锂电池，正常工作状态下至少可使用10小时。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1.4、便携式电源</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1.4.1、额定功率：≥250W；</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1.4.2、充电输入：15V/1A-3A；</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1.4.3、产品尺寸：≤200*100*120mm；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1.4.4、工作温度：-20℃～60℃；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1.4.5、响应时间：＜5ms。</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1.5、仪器箱</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1.5.1、内箱尺寸：至少满足485*360*170mm；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1.5.2、上盖深度：≤45mm；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1.5.3、下盖深度：≤170mm；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1.5.4、箱内海绵数量：上盖蛋坑绵，下箱第1层网格绵深度≤70mm，第2层网格绵≤50mm，第3层网格绵≤40mn，1层衬垫。</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1.6移、动连接数据分析仪器装置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1.6.1、内存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（1）内存容量：不小于16GB，内存类型:DDR5，内存频率:4800MHz；</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（2）硬盘类型：固态硬盘；硬盘容量不小于512GB SSD。</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1.6.2、显示屏：不小于14英寸，屏幕刷新率：60Hz，屏幕分辨率满足1920×1200，宽屏，LED背光；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1.6.3、显存容量：共享系统内存；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1.6.4、显卡性能：支持DirectX 12；</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1.6.5、电源电池：4芯锂电池；</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1.6.6、摄像头：内置摄像头，具备生物识别功能，支持指纹识别；</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1.6.7、内置扬声器：有。</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1.7、移动远程数据传输装置</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1.7.1、数据传输方式：按需喷墨；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1.7.2、数据传输方向：双向逻辑查找；</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1.7.3、数据传输质量：最大分辨率 5760x1440 dpi；</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1.7.4、A4支持纸张尺寸 A4, A5, A6, B5, 10x15cm(4x6in), 13x18cm(5x7in),9x13cm(3.5x5 in), Letter(8 1/2x11in),Legal(8 1/2x14in), Envelopes: #10(4 1/8x9 1/2in), DL(110x220mm), C6(114x162mm)；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1.7.5、数据传输边距：可在驱动设置最小打印边距为每边3mm，页底、左、右边；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1.7.6、接口：USB接口，无线接口，支持无线连接。</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2.1、执法记录仪1套；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2.2、录音笔1支；</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2.3、手持终端2套；</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2.4、便携式电源1个；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2.5、仪器箱1个；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2.6、移动连接数据分析仪器装置1套；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2.7、移动远程数据传输装置1套。</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（五十八）重型防护服</w:t>
      </w:r>
      <w:r/>
    </w:p>
    <w:p>
      <w:pPr>
        <w:numPr>
          <w:ilvl w:val="0"/>
          <w:numId w:val="0"/>
        </w:numPr>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1.1、抗化学品渗透性：不渗透；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1.2、抗汽油性：浸泡5min内无裂纹、不发粘；</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1.3、涂覆PVC和氯丁胶的防化服面具具有阻燃性；</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1.4、耐老化性能：在125℃内的环境中24h不粘不脆裂；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1.5、耐寒性能：在-40℃内的环境中5min无裂纹；</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1.6、通风系统分配阀：通风出口分布于防化服内侧大腿部，臀部和头部；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1.7、全封闭式防化服的超压启发流量不小于30L/min时，通气阻力为100~200pa。</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（五十九）甲醛仪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1.1、以ppm和mg/m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lang w:val="en-US" w:eastAsia="zh-CN"/>
        </w:rPr>
        <w:t xml:space="preserve">为单位显示甲醛浓度，不受高湿度和温度影响，具备湿度及温度补偿功能；</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1.2、甲醛检测范围 0.00～10ppm（25℃情况下，0～12.3mg/m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lang w:val="en-US" w:eastAsia="zh-CN"/>
        </w:rPr>
        <w:t xml:space="preserve">）；</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1.3、辨析度：0.01ppm；</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1.4、精度：10％；</w:t>
      </w:r>
      <w:r/>
    </w:p>
    <w:p>
      <w:pPr>
        <w:numPr>
          <w:ilvl w:val="0"/>
          <w:numId w:val="0"/>
        </w:numPr>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1.5、温温度度范围：温度：－40～＋128℃；相对湿度：0～100％RH；精度温度：±0.4℃；相对湿度：±3％RH；</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caps w:val="0"/>
          <w:color w:val="000000"/>
          <w:spacing w:val="0"/>
          <w:sz w:val="24"/>
          <w:szCs w:val="24"/>
          <w:highlight w:val="none"/>
          <w:u w:val="none"/>
        </w:rPr>
        <w:t xml:space="preserve">响应时间</w:t>
      </w:r>
      <w:r>
        <w:rPr>
          <w:rFonts w:hint="eastAsia" w:ascii="宋体" w:hAnsi="宋体" w:eastAsia="宋体" w:cs="宋体"/>
          <w:caps w:val="0"/>
          <w:color w:val="000000"/>
          <w:spacing w:val="0"/>
          <w:sz w:val="24"/>
          <w:szCs w:val="24"/>
          <w:highlight w:val="none"/>
          <w:u w:val="none"/>
          <w:lang w:eastAsia="zh-CN"/>
        </w:rPr>
        <w:t xml:space="preserve">：</w:t>
      </w:r>
      <w:r>
        <w:rPr>
          <w:rFonts w:hint="eastAsia" w:ascii="宋体" w:hAnsi="宋体" w:eastAsia="宋体" w:cs="宋体"/>
          <w:caps w:val="0"/>
          <w:color w:val="000000"/>
          <w:spacing w:val="0"/>
          <w:sz w:val="24"/>
          <w:szCs w:val="24"/>
          <w:highlight w:val="none"/>
          <w:u w:val="none"/>
        </w:rPr>
        <w:t xml:space="preserve">10～60秒钟(根据测量模式的不同）</w:t>
      </w:r>
      <w:r>
        <w:rPr>
          <w:rFonts w:hint="eastAsia" w:ascii="宋体" w:hAnsi="宋体" w:eastAsia="宋体" w:cs="宋体"/>
          <w:caps w:val="0"/>
          <w:color w:val="000000"/>
          <w:spacing w:val="0"/>
          <w:sz w:val="24"/>
          <w:szCs w:val="24"/>
          <w:highlight w:val="none"/>
          <w:u w:val="none"/>
          <w:lang w:eastAsia="zh-CN"/>
        </w:rPr>
        <w:t xml:space="preserve">；</w:t>
      </w:r>
      <w:r/>
    </w:p>
    <w:p>
      <w:pPr>
        <w:pStyle w:val="984"/>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1.7、工作条件：5℃～35℃；25%～90%RH；</w:t>
      </w:r>
      <w:r/>
    </w:p>
    <w:p>
      <w:pPr>
        <w:pStyle w:val="984"/>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1.8、采样量：10毫升；</w:t>
      </w:r>
      <w:r/>
    </w:p>
    <w:p>
      <w:pPr>
        <w:pStyle w:val="984"/>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1.9、显示：4位液晶显示。</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（六十）气袋采样器</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1、执行标准</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《环境空气 总烃 甲烷 非甲烷总烃的测定》（HJ604-2017）。</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2、性能要求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2.1、真空箱内气路可更换，有效避免采样残留对下次采样的影响；</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2.2、可适用与1L-8L多型号采样气袋；</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2.3、采用被动采样法，样气直接进入气袋，无过程污染；</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2.4、主机与真空箱分体式设计、搭配更为灵活；</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2.5、采用无刷采样泵，采样速度快；</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2.6、内置可充电高能锂电池，支持长时间采样；</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2.7、内置电子标签，实现仪器出入库等智能化维护管理。</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3、技术参数要求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3.1、适用气袋体积：（1～8）L；</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▲3.2、电池持续工作时间：≥7小时；</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3.3、主机重量：≤5kg；</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3.4、工作电源内置锂电池：（DC22.2V/2.6Ah）。</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4、单套配置要求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4.1、主机1台；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4.2、真空保存箱1台；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4.3、烟气预处理器1套；</w:t>
      </w:r>
      <w:r/>
    </w:p>
    <w:p>
      <w:p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4.4、特氟龙气袋100个（1L）</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（六十一）移液枪</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1、技术参数要求</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1.1、单通道移液器的调节范围</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0uL～100uL，精度%：±0.6；精度μL：±0.6；偏差%：0.2；偏差μL：0.2；</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1000uL～10000uL，精度%：±0.6；精度μL：±60；偏差%：0.2；偏差μL：20。</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1.2、多通道移液器的调节范围</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10uL～100uL，精度%：±0.8；偏差%：0.3；偏差μL：0.1；</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20uL～200uL，精度%：±0.8；偏差%：0.3；偏差μL：0.2；</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30uL～300uL，精度%：±0.6；偏差%：0.3；偏差μL：0.5。</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1.3、冲程短，操作力度小；</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1.4、通用吸头锥；</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1.5、量程调节拨轮、机身和量程锁上设有识别标记；</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1.6、机身便于伸入狭窄容器取样；</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1.7、使用温度满足+15℃～+40℃；</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1.8、最高蒸汽压力≥500mbar；</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1.9、最大粘度≥260mPa s。</w:t>
      </w:r>
      <w:r/>
    </w:p>
    <w:p>
      <w:pPr>
        <w:pStyle w:val="975"/>
        <w:numPr>
          <w:ilvl w:val="5"/>
          <w:numId w:val="0"/>
        </w:numPr>
        <w:pageBreakBefore w:val="0"/>
        <w:spacing w:before="0" w:after="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（六十二）、程控封口机</w:t>
      </w:r>
      <w:r/>
    </w:p>
    <w:p>
      <w:pPr>
        <w:numPr>
          <w:ilvl w:val="0"/>
          <w:numId w:val="0"/>
        </w:numPr>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1、功能要求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1.1、可用于水中总大肠菌群和耐热大肠菌群、大肠埃希菌，绿脓假单胞菌群、肠球菌、菌落总数和军团菌多种项目的快速检测；</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1.2、便于野外携带，适用于应急检测；</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1.3、可靠性高：完全符合GB5750-2023国标方法及《水质总大肠菌群、类大肠菌群和大肠埃希氏菌的测定酶底物法》HJ1001-2018与MMO-MUG酶底物培养基配合使用。主机提供CE认证，ISO9001认证。</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1.4、操作方便，仅2个按键（开关键及倒退键）；</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1.5、带有计数功能的程控系统，有维护清洗窗口；</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1.6、快捷性高，无需无菌室，18～24小时检测出无需确认的准确结果；</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1.7、预热时间小于15分钟，12秒内完成定量盘封口；</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1.8、稳定性好：可连续做40000个样品，而不会出现漏孔，串孔等情况；</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1.9、加热辊外表温度恒定为：180℃±2℃（不大于183℃，不小于170℃）；</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1.10、外罩温度：＜40℃；</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1.11、工作噪音：＜50dba</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2、单套配置要求</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2.1、酶底物一次性培养基试剂100个；</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2.2、97孔定量盘100个；</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2.3、无菌取样瓶：含硫代硫酸钠，100个；</w:t>
      </w:r>
      <w:r/>
    </w:p>
    <w:p>
      <w:pPr>
        <w:numPr>
          <w:ilvl w:val="0"/>
          <w:numId w:val="0"/>
        </w:numP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2.4、97孔标准阳性比色盘1个；</w:t>
      </w:r>
      <w:r/>
    </w:p>
    <w:p>
      <w:pP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2.5、程控定量封口机1台。</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服务要求：</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1、自验收合格之日起，所有投标产品免费质保期不低于三年，并需按采购人要求提供长期技术支持和维修服务。质保期内若仪器出现故障，免收任何费用。在质保期内若有更换或维修的部件，则该部件的质保期从更换修好之日起重新计算。</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2、所有投标产品保质期届满后，中标人保证继续为招标人提供合同材料设备的维修服务，招标方按中标人给与的优惠维修服务价格向中标人支付相关维修费用（需提供主要备品、配件清单），中标人保证在合同材料设备使用期内以不高于本合同设备和相关配件的价格向采购方提供备品供应。</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3、售后服务：供货方要由专业人员负责售后技术服务、维修等，质保期内出现故障能够1小时响应、24小时到达现场服务以及故障应急处理方案，并负责48小时内修复。质保期内24小时内没有响应或在规定时间拒绝或没有派员到达采购方提供技术服务、修理或退换问题材料设备，采购方有权委托第三人对合同材料设备进行维修或提供技术服务，由此产生的一切费用由供货方承担。</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4、厂家有同系列仪器软件升级，买方享有免费升级的权力。</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5、免费培训采购人设备操作人员，培训具体要求为：</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1）针对本项目制作全面的培训计划并征得采购人同意后实施，须为用户操作人员现场进行使用及维护培训，直到用户人员基本能熟练操作独立上岗；投标书要求描述培训计划及内容。（投标文件中须列明培训方案、人次、天数及地点等）；</w:t>
      </w:r>
      <w:r/>
    </w:p>
    <w:p>
      <w:pPr>
        <w:pStyle w:val="1008"/>
        <w:ind w:left="0" w:firstLine="0"/>
        <w:spacing w:line="360" w:lineRule="auto"/>
        <w:rPr>
          <w:rFonts w:hint="eastAsia" w:ascii="宋体" w:hAnsi="宋体" w:eastAsia="宋体" w:cs="宋体"/>
          <w:b w:val="0"/>
          <w:bCs/>
          <w:highlight w:val="none"/>
        </w:rPr>
      </w:pPr>
      <w:r>
        <w:rPr>
          <w:rFonts w:hint="eastAsia" w:ascii="宋体" w:hAnsi="宋体" w:eastAsia="宋体" w:cs="宋体"/>
          <w:b w:val="0"/>
          <w:bCs/>
          <w:highlight w:val="none"/>
        </w:rPr>
        <w:t xml:space="preserve">（2）提供培训手册。</w:t>
      </w:r>
      <w:r/>
    </w:p>
    <w:p>
      <w:pPr>
        <w:jc w:val="lef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五、交货期要求及地点：</w:t>
      </w:r>
      <w:r/>
    </w:p>
    <w:p>
      <w:pPr>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1、自合同签订之日起三个月内完成仪器设备的到货、安装和调试工作（参数及服务要求中对货物供货期有规定的以其规定为准）。</w:t>
      </w:r>
      <w:r/>
    </w:p>
    <w:p>
      <w:pPr>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2、设备如果未能通过验收，中标供应商需对设备进行更换。</w:t>
      </w:r>
      <w:r/>
    </w:p>
    <w:p>
      <w:pPr>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3、采购人</w:t>
      </w:r>
      <w:r>
        <w:rPr>
          <w:rFonts w:hint="eastAsia" w:ascii="宋体" w:hAnsi="宋体" w:eastAsia="宋体" w:cs="宋体"/>
          <w:b w:val="0"/>
          <w:bCs/>
          <w:sz w:val="24"/>
          <w:szCs w:val="24"/>
          <w:highlight w:val="none"/>
        </w:rPr>
        <w:t xml:space="preserve">指定地点。</w:t>
      </w:r>
      <w:r/>
    </w:p>
    <w:p>
      <w:pPr>
        <w:pStyle w:val="1009"/>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、其他事宜</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1、中标人应保证所购货物是全新未开封的新产品。否则，由中标人原因产生的系列问题，均由中标人负责。中标人所供本合同确定的货物须达到国家最新相关技术规范标准，并满足招标文件的相关具体要求。</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2、中标人对交付的货物，在调试、保修阶段货物的质量、技术、管理和安全问题负责任。</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3、对采购人的操作人员进行培训，培训地点在项目现场。</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质保期内，因中标人货物质量问题出现的故障，在接到采购人通知后（投标文件所承诺）小时内响应、并抵达现场免费予以排除故障、修复或更换零部件。若中标人未能及时赶到排除故障，采购人可采取必要补救措施，相关费用由中标人承担。</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5、未按合同规定的质量要求交付货物，采购人拒收时，中标人承担不履行合同的违约责任。</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6、本合同所有货物的制造，都必须由中标人或投标文件中明确的供应商承担，所有货物的保管、安装都由中标人自己负责，不能分包，否则将按中标人不履行合同处理。</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7、中标人必须保守采购人的商业秘密，不得将与本合同有关的涉及采购人的相关信息和技术文件故意或过失泄露给第三方，否则依法承担商业损害赔偿责任。</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8、伴随服务：中标人应提供如下伴随服务：</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（1）实施所供货物的现场安装和试运行；</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（2）监督所供货物的现场安装和试运行并提供技术指导；</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（3）提供货物安装和维修所需的工具；</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（4）就所供货物的安装、试运行、运行、维护、修理等方面对采购人人员进行培训；</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9、伴随服务费用的承担：已含在签约合同价中，由中标人承担。</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10、当中标人违约，采购人全部或部分终止合同的情况下，对由此给采购人造成的损失承担赔偿责任。</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11、采购人使用该货物的任何一部分，当受第三方提出的侵犯其专利权、商标权或工业设计权的起诉时，一切后果由中标人负责。</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12、合同在执行过程中出现的未尽事宜，</w:t>
      </w:r>
      <w:r>
        <w:rPr>
          <w:rFonts w:hint="eastAsia" w:hAnsi="宋体" w:cs="宋体"/>
          <w:b w:val="0"/>
          <w:bCs/>
          <w:sz w:val="24"/>
          <w:szCs w:val="24"/>
          <w:highlight w:val="none"/>
          <w:lang w:val="en-US" w:eastAsia="zh-CN"/>
        </w:rPr>
        <w:t xml:space="preserve">双方</w:t>
      </w:r>
      <w:r>
        <w:rPr>
          <w:rFonts w:hint="eastAsia" w:ascii="宋体" w:hAnsi="宋体" w:eastAsia="宋体" w:cs="宋体"/>
          <w:b w:val="0"/>
          <w:bCs/>
          <w:sz w:val="24"/>
          <w:szCs w:val="24"/>
          <w:highlight w:val="none"/>
        </w:rPr>
        <w:t xml:space="preserve">在不违背合同和招标文件的原则下，协商解决。协商结果以“纪要”方式作为合同的附件，与合同具有同等效力。</w:t>
      </w:r>
      <w:r/>
    </w:p>
    <w:p>
      <w:pPr>
        <w:pStyle w:val="1009"/>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13、中标人已在投标前认真踏勘工地现场，熟悉工地现场,对于一切可能影响供货、投标报价的因素所需费用已在签约合同价中充分考虑。中标人任何以工地现场为由提出额外的赔偿、补偿、增加费用和延长工期等要求，采购人可不予采纳。</w:t>
      </w:r>
      <w:r/>
    </w:p>
    <w:p>
      <w:pPr>
        <w:pStyle w:val="1010"/>
        <w:spacing w:line="360" w:lineRule="auto"/>
        <w:rPr>
          <w:rFonts w:hint="eastAsia" w:ascii="宋体" w:hAnsi="宋体" w:eastAsia="宋体" w:cs="宋体"/>
          <w:b/>
          <w:szCs w:val="24"/>
          <w:highlight w:val="none"/>
        </w:rPr>
      </w:pPr>
      <w:r>
        <w:rPr>
          <w:rFonts w:hint="eastAsia" w:ascii="宋体" w:hAnsi="宋体" w:eastAsia="宋体" w:cs="宋体"/>
          <w:b/>
          <w:szCs w:val="24"/>
          <w:highlight w:val="none"/>
          <w:lang w:val="en-US" w:eastAsia="zh-CN"/>
        </w:rPr>
        <w:t xml:space="preserve">七</w:t>
      </w:r>
      <w:r>
        <w:rPr>
          <w:rFonts w:hint="eastAsia" w:ascii="宋体" w:hAnsi="宋体" w:eastAsia="宋体" w:cs="宋体"/>
          <w:b/>
          <w:szCs w:val="24"/>
          <w:highlight w:val="none"/>
        </w:rPr>
        <w:t xml:space="preserve">、验收要求</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在发货前，</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应对产品作出全面检查和对验收文件进行整理，并列出清单，作为采购人收货初验收和使用的技术条件依据，检验的结果应随货物交采购方。</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采购人与</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双方约定验收时间。</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应负责产品的安装、调试；采购人依据招标文件上的技术规格要求和有关质量标准进行现场验收，符合招标文件技术要求的，给予签收，验收不合格的不予签收，验收完毕后作出验收结果报告。</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lang w:val="en-US" w:eastAsia="zh-CN"/>
        </w:rPr>
        <w:t xml:space="preserve">按照本招标文件中所含的采购需求和指标，并以</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en-US" w:eastAsia="zh-CN"/>
        </w:rPr>
        <w:t xml:space="preserve">的实际需求为唯一标准进行验收。包括项目总体实施效果是否完备、正确、满足甲方的需求，是否达到预期。</w:t>
      </w:r>
      <w:r/>
    </w:p>
    <w:p>
      <w:pPr>
        <w:jc w:val="lef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八、付款方式</w:t>
      </w:r>
      <w:r/>
    </w:p>
    <w:p>
      <w:pPr>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1、合同签订后，采购人收到发票在10个工作日内支付30%的合同价款。</w:t>
      </w:r>
      <w:r/>
    </w:p>
    <w:p>
      <w:pPr>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2、货物到达后，经采购人开箱验收合格后，采购人收到发票在10个工作日内支付至80%的合同价款。</w:t>
      </w:r>
      <w:r/>
    </w:p>
    <w:p>
      <w:pPr>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3、设备安装调试并经过采购人组织的验收，无质量服务问题,采购人</w:t>
      </w:r>
      <w:r>
        <w:rPr>
          <w:rFonts w:hint="eastAsia" w:hAnsi="宋体" w:cs="宋体"/>
          <w:b w:val="0"/>
          <w:bCs w:val="0"/>
          <w:color w:val="auto"/>
          <w:sz w:val="24"/>
          <w:highlight w:val="none"/>
          <w:lang w:val="en-US" w:eastAsia="zh-CN"/>
        </w:rPr>
        <w:t xml:space="preserve">收到发票</w:t>
      </w:r>
      <w:r>
        <w:rPr>
          <w:rFonts w:hint="eastAsia" w:ascii="宋体" w:hAnsi="宋体" w:eastAsia="宋体" w:cs="宋体"/>
          <w:b w:val="0"/>
          <w:bCs w:val="0"/>
          <w:color w:val="auto"/>
          <w:sz w:val="24"/>
          <w:highlight w:val="none"/>
          <w:lang w:val="en-US" w:eastAsia="zh-CN"/>
        </w:rPr>
        <w:t xml:space="preserve">在10个工作日内支付至95%的合同价款。</w:t>
      </w:r>
      <w:r/>
    </w:p>
    <w:p>
      <w:pPr>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4、自</w:t>
      </w:r>
      <w:r>
        <w:rPr>
          <w:rFonts w:hint="eastAsia" w:hAnsi="宋体" w:cs="宋体"/>
          <w:b w:val="0"/>
          <w:bCs w:val="0"/>
          <w:color w:val="auto"/>
          <w:sz w:val="24"/>
          <w:highlight w:val="none"/>
          <w:lang w:val="en-US" w:eastAsia="zh-CN"/>
        </w:rPr>
        <w:t xml:space="preserve">采购人</w:t>
      </w:r>
      <w:r>
        <w:rPr>
          <w:rFonts w:hint="eastAsia" w:ascii="宋体" w:hAnsi="宋体" w:eastAsia="宋体" w:cs="宋体"/>
          <w:b w:val="0"/>
          <w:bCs w:val="0"/>
          <w:color w:val="auto"/>
          <w:sz w:val="24"/>
          <w:highlight w:val="none"/>
          <w:lang w:val="en-US" w:eastAsia="zh-CN"/>
        </w:rPr>
        <w:t xml:space="preserve">验收合格之日起一年后，所有设备使用无质量服务问题，</w:t>
      </w:r>
      <w:r>
        <w:rPr>
          <w:rFonts w:hint="eastAsia" w:hAnsi="宋体" w:cs="宋体"/>
          <w:b w:val="0"/>
          <w:bCs w:val="0"/>
          <w:color w:val="auto"/>
          <w:sz w:val="24"/>
          <w:highlight w:val="none"/>
          <w:lang w:val="en-US" w:eastAsia="zh-CN"/>
        </w:rPr>
        <w:t xml:space="preserve">采购人</w:t>
      </w:r>
      <w:r>
        <w:rPr>
          <w:rFonts w:hint="eastAsia" w:ascii="宋体" w:hAnsi="宋体" w:eastAsia="宋体" w:cs="宋体"/>
          <w:b w:val="0"/>
          <w:bCs w:val="0"/>
          <w:color w:val="auto"/>
          <w:sz w:val="24"/>
          <w:highlight w:val="none"/>
          <w:lang w:val="en-US" w:eastAsia="zh-CN"/>
        </w:rPr>
        <w:t xml:space="preserve">收到发票</w:t>
      </w:r>
      <w:r>
        <w:rPr>
          <w:rFonts w:hint="eastAsia" w:hAnsi="宋体" w:cs="宋体"/>
          <w:b w:val="0"/>
          <w:bCs w:val="0"/>
          <w:color w:val="auto"/>
          <w:sz w:val="24"/>
          <w:highlight w:val="none"/>
          <w:lang w:val="en-US" w:eastAsia="zh-CN"/>
        </w:rPr>
        <w:t xml:space="preserve">在10</w:t>
      </w:r>
      <w:r>
        <w:rPr>
          <w:rFonts w:hint="eastAsia" w:ascii="宋体" w:hAnsi="宋体" w:eastAsia="宋体" w:cs="宋体"/>
          <w:b w:val="0"/>
          <w:bCs w:val="0"/>
          <w:color w:val="auto"/>
          <w:sz w:val="24"/>
          <w:highlight w:val="none"/>
          <w:lang w:val="en-US" w:eastAsia="zh-CN"/>
        </w:rPr>
        <w:t xml:space="preserve">个工作日内付清尾款。</w:t>
      </w:r>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九、其他要求</w:t>
      </w:r>
      <w:r/>
    </w:p>
    <w:p>
      <w:pPr>
        <w:pStyle w:val="1008"/>
        <w:ind w:left="0" w:firstLine="480"/>
        <w:spacing w:line="360" w:lineRule="auto"/>
        <w:rPr>
          <w:rFonts w:hint="eastAsia" w:ascii="宋体" w:hAnsi="宋体" w:eastAsia="宋体" w:cs="宋体"/>
          <w:highlight w:val="none"/>
          <w:lang w:val="en-US" w:eastAsia="zh-CN"/>
        </w:rPr>
      </w:pPr>
      <w:r>
        <w:rPr>
          <w:rFonts w:hint="eastAsia" w:ascii="宋体" w:hAnsi="宋体" w:eastAsia="宋体" w:cs="宋体"/>
          <w:color w:val="auto"/>
          <w:sz w:val="24"/>
          <w:highlight w:val="none"/>
        </w:rPr>
        <w:t xml:space="preserve">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jc w:val="both"/>
        <w:spacing w:line="360" w:lineRule="auto"/>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r>
      <w:r/>
    </w:p>
    <w:p>
      <w:pPr>
        <w:spacing w:line="360" w:lineRule="auto"/>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br w:type="page" w:clear="all"/>
      </w:r>
      <w:r/>
    </w:p>
    <w:p>
      <w:pPr>
        <w:pStyle w:val="979"/>
        <w:ind w:left="0"/>
        <w:jc w:val="center"/>
        <w:keepLines w:val="0"/>
        <w:keepNext w:val="0"/>
        <w:pageBreakBefore w:val="0"/>
        <w:spacing w:after="0" w:line="360" w:lineRule="auto"/>
        <w:widowControl w:val="off"/>
        <w:rPr>
          <w:rFonts w:hint="eastAsia" w:ascii="宋体" w:hAnsi="宋体" w:eastAsia="宋体" w:cs="宋体"/>
          <w:b/>
          <w:bCs/>
          <w:spacing w:val="-20"/>
          <w:sz w:val="32"/>
          <w:szCs w:val="32"/>
          <w:highlight w:val="none"/>
        </w:rPr>
      </w:pPr>
      <w:r>
        <w:rPr>
          <w:rFonts w:hint="eastAsia" w:ascii="宋体" w:hAnsi="宋体" w:eastAsia="宋体" w:cs="宋体"/>
          <w:b/>
          <w:bCs/>
          <w:sz w:val="32"/>
          <w:szCs w:val="32"/>
          <w:highlight w:val="none"/>
          <w:lang w:val="en-US"/>
        </w:rPr>
        <w:t xml:space="preserve">第五章     </w:t>
      </w:r>
      <w:r>
        <w:rPr>
          <w:rFonts w:hint="eastAsia" w:ascii="宋体" w:hAnsi="宋体" w:eastAsia="宋体" w:cs="宋体"/>
          <w:b/>
          <w:bCs/>
          <w:spacing w:val="-20"/>
          <w:sz w:val="32"/>
          <w:szCs w:val="32"/>
          <w:highlight w:val="none"/>
        </w:rPr>
        <w:t xml:space="preserve">政府采购</w:t>
      </w:r>
      <w:r>
        <w:rPr>
          <w:rFonts w:hint="eastAsia" w:ascii="宋体" w:hAnsi="宋体" w:eastAsia="宋体" w:cs="宋体"/>
          <w:b/>
          <w:bCs/>
          <w:spacing w:val="-20"/>
          <w:sz w:val="32"/>
          <w:szCs w:val="32"/>
          <w:highlight w:val="none"/>
          <w:lang w:eastAsia="zh-CN"/>
        </w:rPr>
        <w:t xml:space="preserve">货物买卖</w:t>
      </w:r>
      <w:r>
        <w:rPr>
          <w:rFonts w:hint="eastAsia" w:ascii="宋体" w:hAnsi="宋体" w:eastAsia="宋体" w:cs="宋体"/>
          <w:b/>
          <w:bCs/>
          <w:spacing w:val="-20"/>
          <w:sz w:val="32"/>
          <w:szCs w:val="32"/>
          <w:highlight w:val="none"/>
        </w:rPr>
        <w:t xml:space="preserve">合同</w:t>
      </w:r>
      <w:r/>
    </w:p>
    <w:p>
      <w:pPr>
        <w:jc w:val="center"/>
        <w:keepLines w:val="0"/>
        <w:keepNext w:val="0"/>
        <w:pageBreakBefore w:val="0"/>
        <w:spacing w:line="360" w:lineRule="auto"/>
        <w:widowControl w:val="off"/>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r>
      <w:r/>
    </w:p>
    <w:p>
      <w:pPr>
        <w:ind w:left="0"/>
        <w:keepLines w:val="0"/>
        <w:keepNext w:val="0"/>
        <w:pageBreakBefore w:val="0"/>
        <w:spacing w:line="360" w:lineRule="auto"/>
        <w:widowControl w:val="off"/>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ind w:left="0"/>
        <w:keepLines w:val="0"/>
        <w:keepNext w:val="0"/>
        <w:pageBreakBefore w:val="0"/>
        <w:spacing w:line="360" w:lineRule="auto"/>
        <w:widowControl w:val="off"/>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ind w:left="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u w:val="single"/>
        </w:rPr>
        <w:t xml:space="preserve">                             </w:t>
      </w:r>
      <w:r/>
    </w:p>
    <w:p>
      <w:pPr>
        <w:ind w:left="0"/>
        <w:keepLines w:val="0"/>
        <w:keepNext w:val="0"/>
        <w:pageBreakBefore w:val="0"/>
        <w:spacing w:line="360" w:lineRule="auto"/>
        <w:widowControl w:val="off"/>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合同编号：</w:t>
      </w:r>
      <w:r>
        <w:rPr>
          <w:rFonts w:hint="eastAsia" w:ascii="宋体" w:hAnsi="宋体" w:eastAsia="宋体" w:cs="宋体"/>
          <w:sz w:val="32"/>
          <w:szCs w:val="32"/>
          <w:highlight w:val="none"/>
          <w:u w:val="single"/>
        </w:rPr>
        <w:t xml:space="preserve">                             </w:t>
      </w:r>
      <w:r/>
    </w:p>
    <w:p>
      <w:pPr>
        <w:ind w:left="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w:t>
      </w:r>
      <w:r>
        <w:rPr>
          <w:rFonts w:hint="eastAsia" w:ascii="宋体" w:hAnsi="宋体" w:eastAsia="宋体" w:cs="宋体"/>
          <w:sz w:val="32"/>
          <w:szCs w:val="32"/>
          <w:highlight w:val="none"/>
          <w:u w:val="single"/>
        </w:rPr>
        <w:t xml:space="preserve">                             </w:t>
      </w:r>
      <w:r/>
    </w:p>
    <w:p>
      <w:pPr>
        <w:ind w:left="0"/>
        <w:keepLines w:val="0"/>
        <w:keepNext w:val="0"/>
        <w:pageBreakBefore w:val="0"/>
        <w:spacing w:line="360" w:lineRule="auto"/>
        <w:widowControl w:val="off"/>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乙    方：</w:t>
      </w:r>
      <w:r>
        <w:rPr>
          <w:rFonts w:hint="eastAsia" w:ascii="宋体" w:hAnsi="宋体" w:eastAsia="宋体" w:cs="宋体"/>
          <w:sz w:val="32"/>
          <w:szCs w:val="32"/>
          <w:highlight w:val="none"/>
          <w:u w:val="single"/>
        </w:rPr>
        <w:t xml:space="preserve">                             </w:t>
      </w:r>
      <w:r/>
    </w:p>
    <w:p>
      <w:pPr>
        <w:ind w:left="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签订时间：</w:t>
      </w:r>
      <w:r>
        <w:rPr>
          <w:rFonts w:hint="eastAsia" w:ascii="宋体" w:hAnsi="宋体" w:eastAsia="宋体" w:cs="宋体"/>
          <w:sz w:val="32"/>
          <w:szCs w:val="32"/>
          <w:highlight w:val="none"/>
          <w:u w:val="single"/>
        </w:rPr>
        <w:t xml:space="preserve">                             </w:t>
      </w:r>
      <w:r/>
    </w:p>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left="0"/>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使</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用</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明</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1.本合同标准文本适用于购买现成货物的采购项目，不包括需要供应商定制开发、创新研发的货物采购项目。</w:t>
      </w:r>
      <w:r/>
    </w:p>
    <w:p>
      <w:pPr>
        <w:ind w:left="0" w:firstLine="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2.本合同标准文本为政府采购货物买卖合同编制提供参考，可以结合采购项目具体情况，对文本作必要的调整修订后使用。</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3.本合同标准文本各条款中，如涉及填写多家供应商、制造商，多种采购标的、分包主要内容等信息的，可根据采购项目具体情况添加信息项。</w:t>
      </w:r>
      <w:r/>
    </w:p>
    <w:p>
      <w:pPr>
        <w:ind w:left="0" w:firstLine="480"/>
        <w:jc w:val="both"/>
        <w:pageBreakBefore w:val="0"/>
        <w:spacing w:line="360" w:lineRule="auto"/>
        <w:rPr>
          <w:rFonts w:hint="eastAsia" w:ascii="宋体" w:hAnsi="宋体" w:eastAsia="宋体" w:cs="宋体"/>
          <w:sz w:val="24"/>
          <w:szCs w:val="24"/>
          <w:highlight w:val="none"/>
        </w:rPr>
        <w:sectPr>
          <w:headerReference w:type="default" r:id="rId10"/>
          <w:footerReference w:type="default" r:id="rId13"/>
          <w:footnotePr/>
          <w:endnotePr/>
          <w:type w:val="nextPage"/>
          <w:pgSz w:w="11906" w:h="16838" w:orient="portrait"/>
          <w:pgMar w:top="720" w:right="720" w:bottom="720" w:left="720" w:header="851" w:footer="992" w:gutter="0"/>
          <w:pgNumType w:start="1"/>
          <w:cols w:num="1" w:sep="0" w:space="425" w:equalWidth="1"/>
          <w:docGrid w:linePitch="360"/>
        </w:sectPr>
      </w:pPr>
      <w:r>
        <w:rPr>
          <w:rFonts w:hint="eastAsia" w:ascii="宋体" w:hAnsi="宋体" w:eastAsia="宋体" w:cs="宋体"/>
          <w:sz w:val="24"/>
          <w:szCs w:val="24"/>
          <w:highlight w:val="none"/>
        </w:rPr>
      </w:r>
      <w:r/>
    </w:p>
    <w:p>
      <w:pPr>
        <w:pStyle w:val="973"/>
        <w:ind w:left="0"/>
        <w:jc w:val="center"/>
        <w:pageBreakBefore w:val="0"/>
        <w:spacing w:before="0" w:line="360" w:lineRule="auto"/>
        <w:rPr>
          <w:rFonts w:hint="eastAsia" w:ascii="宋体" w:hAnsi="宋体" w:eastAsia="宋体" w:cs="宋体"/>
          <w:sz w:val="24"/>
          <w:szCs w:val="24"/>
          <w:highlight w:val="none"/>
        </w:rPr>
      </w:pPr>
      <w:r/>
      <w:bookmarkStart w:id="88" w:name="_Toc22209"/>
      <w:r/>
      <w:r/>
    </w:p>
    <w:p>
      <w:pPr>
        <w:pStyle w:val="973"/>
        <w:ind w:left="0"/>
        <w:jc w:val="center"/>
        <w:pageBreakBefore w:val="0"/>
        <w:spacing w:before="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第一节 政府采购合同协议书</w:t>
      </w:r>
      <w:bookmarkEnd w:id="88"/>
      <w:r/>
      <w:r/>
    </w:p>
    <w:p>
      <w:pPr>
        <w:pStyle w:val="973"/>
        <w:ind w:left="0"/>
        <w:jc w:val="center"/>
        <w:pageBreakBefore w:val="0"/>
        <w:spacing w:before="0"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、受采购人委托签订合同的单位</w:t>
      </w:r>
      <w:r>
        <w:rPr>
          <w:rFonts w:hint="eastAsia" w:ascii="宋体" w:hAnsi="宋体" w:eastAsia="宋体" w:cs="宋体"/>
          <w:sz w:val="24"/>
          <w:szCs w:val="24"/>
          <w:highlight w:val="none"/>
        </w:rPr>
        <w:t xml:space="preserve">或采购</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文件约定的合同甲方）</w:t>
      </w:r>
      <w:r/>
    </w:p>
    <w:p>
      <w:pPr>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w:t>
      </w:r>
      <w:r/>
    </w:p>
    <w:p>
      <w:pPr>
        <w:pStyle w:val="980"/>
        <w:ind w:left="0"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《中华人民共和国政府采购法》等有关的法律法规，以及</w:t>
      </w:r>
      <w:r>
        <w:rPr>
          <w:rFonts w:hint="eastAsia" w:ascii="宋体" w:hAnsi="宋体" w:eastAsia="宋体" w:cs="宋体"/>
          <w:i w:val="0"/>
          <w:iCs w:val="0"/>
          <w:sz w:val="24"/>
          <w:szCs w:val="24"/>
          <w:highlight w:val="none"/>
          <w:u w:val="none"/>
          <w:lang w:eastAsia="zh-CN"/>
        </w:rPr>
        <w:t xml:space="preserve">本采购项目</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lang w:val="en-US" w:eastAsia="zh-CN"/>
        </w:rPr>
        <w:t xml:space="preserve">/谈判</w:t>
      </w:r>
      <w:r>
        <w:rPr>
          <w:rFonts w:hint="eastAsia" w:ascii="宋体" w:hAnsi="宋体" w:eastAsia="宋体" w:cs="宋体"/>
          <w:sz w:val="24"/>
          <w:szCs w:val="24"/>
          <w:highlight w:val="none"/>
          <w:lang w:eastAsia="zh-CN"/>
        </w:rPr>
        <w:t xml:space="preserve">文件等</w:t>
      </w:r>
      <w:r>
        <w:rPr>
          <w:rFonts w:hint="eastAsia" w:ascii="宋体" w:hAnsi="宋体" w:eastAsia="宋体" w:cs="宋体"/>
          <w:sz w:val="24"/>
          <w:szCs w:val="24"/>
          <w:highlight w:val="none"/>
        </w:rPr>
        <w:t xml:space="preserve">采购文件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乙方的《投标（响应）文件》及《中标（成交）通知书》，甲乙双方同意签订本合同。具体情况及要求如下：     </w:t>
      </w:r>
      <w:r/>
    </w:p>
    <w:p>
      <w:pPr>
        <w:numPr>
          <w:ilvl w:val="0"/>
          <w:numId w:val="4"/>
        </w:numPr>
        <w:ind w:left="0"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pStyle w:val="980"/>
        <w:numPr>
          <w:ilvl w:val="0"/>
          <w:numId w:val="5"/>
        </w:numPr>
        <w:ind w:left="0" w:firstLine="480"/>
        <w:pageBreakBefore w:val="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u w:val="single"/>
        </w:rPr>
        <w:t xml:space="preserve">                                          </w:t>
      </w:r>
      <w:r/>
    </w:p>
    <w:p>
      <w:pPr>
        <w:pStyle w:val="980"/>
        <w:numPr>
          <w:ilvl w:val="-1"/>
          <w:numId w:val="0"/>
        </w:numPr>
        <w:ind w:left="0" w:firstLine="0"/>
        <w:pageBreakBefore w:val="0"/>
        <w:spacing w:after="0" w:line="360" w:lineRule="auto"/>
        <w:tabs>
          <w:tab w:val="left" w:pos="999" w:leader="none"/>
        </w:tabs>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         采购项目编号：</w:t>
      </w:r>
      <w:r>
        <w:rPr>
          <w:rFonts w:hint="eastAsia" w:ascii="宋体" w:hAnsi="宋体" w:eastAsia="宋体" w:cs="宋体"/>
          <w:sz w:val="24"/>
          <w:szCs w:val="24"/>
          <w:highlight w:val="none"/>
          <w:u w:val="single"/>
        </w:rPr>
        <w:t xml:space="preserve">                                          </w:t>
      </w:r>
      <w:r/>
    </w:p>
    <w:p>
      <w:pPr>
        <w:pStyle w:val="980"/>
        <w:ind w:left="0"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采购标的及数量</w:t>
      </w:r>
      <w:r>
        <w:rPr>
          <w:rFonts w:hint="eastAsia" w:ascii="宋体" w:hAnsi="宋体" w:eastAsia="宋体" w:cs="宋体"/>
          <w:sz w:val="24"/>
          <w:szCs w:val="24"/>
          <w:highlight w:val="none"/>
          <w:lang w:val="en-US" w:eastAsia="zh-CN"/>
        </w:rPr>
        <w:t xml:space="preserve">（台/套</w:t>
      </w:r>
      <w:r>
        <w:rPr>
          <w:rFonts w:hint="eastAsia" w:ascii="宋体" w:hAnsi="宋体" w:eastAsia="宋体" w:cs="宋体"/>
          <w:sz w:val="24"/>
          <w:szCs w:val="24"/>
          <w:highlight w:val="none"/>
          <w:lang w:val="en" w:eastAsia="zh-CN"/>
        </w:rPr>
        <w:t xml:space="preserve">/个/架/组等</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numPr>
          <w:ilvl w:val="-1"/>
          <w:numId w:val="0"/>
        </w:numPr>
        <w:ind w:left="0" w:firstLine="480"/>
        <w:pageBreakBefore w:val="0"/>
        <w:spacing w:line="360" w:lineRule="auto"/>
        <w:rPr>
          <w:rFonts w:hint="eastAsia" w:ascii="宋体" w:hAnsi="宋体" w:eastAsia="宋体" w:cs="宋体"/>
          <w:sz w:val="24"/>
          <w:szCs w:val="24"/>
          <w:highlight w:val="none"/>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 w:eastAsia="zh-CN"/>
        </w:rPr>
        <w:t xml:space="preserve">     </w:t>
      </w:r>
      <w:r>
        <w:rPr>
          <w:rFonts w:hint="eastAsia" w:ascii="宋体" w:hAnsi="宋体" w:eastAsia="宋体" w:cs="宋体"/>
          <w:sz w:val="24"/>
          <w:szCs w:val="24"/>
          <w:highlight w:val="none"/>
          <w:lang w:val="en-US" w:eastAsia="zh-CN"/>
        </w:rPr>
        <w:t xml:space="preserve">规格型号：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p>
    <w:p>
      <w:pPr>
        <w:ind w:left="0" w:firstLine="10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1"/>
          <w:numId w:val="0"/>
        </w:numPr>
        <w:ind w:left="0" w:firstLine="10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①涉及信息类产品，请填写该产品关键部件的品牌、型号：</w:t>
      </w:r>
      <w:r/>
    </w:p>
    <w:p>
      <w:pPr>
        <w:numPr>
          <w:ilvl w:val="-1"/>
          <w:numId w:val="0"/>
        </w:numPr>
        <w:ind w:left="0" w:firstLine="480"/>
        <w:pageBreakBefore w:val="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     标的名称：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p>
    <w:p>
      <w:pPr>
        <w:numPr>
          <w:ilvl w:val="-1"/>
          <w:numId w:val="0"/>
        </w:num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关键部件：</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978"/>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关键部件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978"/>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关键部件：</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u w:val="single"/>
          <w:lang w:val="en-US" w:eastAsia="zh-CN"/>
        </w:rPr>
        <w:t xml:space="preserve">       </w:t>
      </w:r>
      <w:r/>
    </w:p>
    <w:p>
      <w:pPr>
        <w:pStyle w:val="978"/>
        <w:numPr>
          <w:ilvl w:val="-1"/>
          <w:numId w:val="0"/>
        </w:numPr>
        <w:ind w:left="0" w:firstLine="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78"/>
        <w:numPr>
          <w:ilvl w:val="-1"/>
          <w:numId w:val="0"/>
        </w:numPr>
        <w:ind w:left="0" w:firstLine="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②涉及车辆采购，请填写是否属于新能源汽车：</w:t>
      </w:r>
      <w:r/>
    </w:p>
    <w:p>
      <w:pPr>
        <w:pStyle w:val="978"/>
        <w:numPr>
          <w:ilvl w:val="-1"/>
          <w:numId w:val="0"/>
        </w:numPr>
        <w:ind w:left="0" w:firstLine="0"/>
        <w:pageBreakBefore w:val="0"/>
        <w:spacing w:line="360" w:lineRule="auto"/>
        <w:rPr>
          <w:rFonts w:hint="eastAsia" w:ascii="宋体" w:hAnsi="宋体" w:eastAsia="宋体" w:cs="宋体"/>
          <w:iCs w:val="0"/>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，《政府采购品目分类目录》底级品目名称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数量：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val="0"/>
          <w:sz w:val="24"/>
          <w:szCs w:val="24"/>
          <w:highlight w:val="none"/>
          <w:lang w:val="en-US" w:eastAsia="zh-CN"/>
        </w:rPr>
        <w:t xml:space="preserve"> </w:t>
      </w:r>
      <w:r/>
    </w:p>
    <w:p>
      <w:pPr>
        <w:pStyle w:val="978"/>
        <w:numPr>
          <w:ilvl w:val="-1"/>
          <w:numId w:val="0"/>
        </w:numPr>
        <w:ind w:left="0" w:firstLine="0"/>
        <w:pageBreakBefore w:val="0"/>
        <w:spacing w:line="360" w:lineRule="auto"/>
        <w:rPr>
          <w:rFonts w:hint="eastAsia" w:ascii="宋体" w:hAnsi="宋体" w:eastAsia="宋体" w:cs="宋体"/>
          <w:iCs w:val="0"/>
          <w:sz w:val="24"/>
          <w:szCs w:val="24"/>
          <w:highlight w:val="none"/>
          <w:lang w:eastAsia="zh-CN"/>
        </w:rPr>
      </w:pP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否</w:t>
      </w:r>
      <w:r/>
    </w:p>
    <w:p>
      <w:pPr>
        <w:pStyle w:val="978"/>
        <w:numPr>
          <w:ilvl w:val="-1"/>
          <w:numId w:val="0"/>
        </w:numPr>
        <w:ind w:left="0" w:firstLine="0"/>
        <w:pageBreakBefore w:val="0"/>
        <w:spacing w:line="360" w:lineRule="auto"/>
        <w:rPr>
          <w:rFonts w:hint="eastAsia" w:ascii="宋体" w:hAnsi="宋体" w:eastAsia="宋体" w:cs="宋体"/>
          <w:iCs w:val="0"/>
          <w:sz w:val="24"/>
          <w:szCs w:val="24"/>
          <w:highlight w:val="none"/>
          <w:lang w:val="en-US" w:eastAsia="zh-CN"/>
        </w:rPr>
      </w:pPr>
      <w:r>
        <w:rPr>
          <w:rFonts w:hint="eastAsia" w:ascii="宋体" w:hAnsi="宋体" w:eastAsia="宋体" w:cs="宋体"/>
          <w:iCs w:val="0"/>
          <w:sz w:val="24"/>
          <w:szCs w:val="24"/>
          <w:highlight w:val="none"/>
          <w:lang w:val="en-US" w:eastAsia="zh-CN"/>
        </w:rPr>
        <w:t xml:space="preserve">    （</w:t>
      </w:r>
      <w:r>
        <w:rPr>
          <w:rFonts w:hint="eastAsia" w:ascii="宋体" w:hAnsi="宋体" w:eastAsia="宋体" w:cs="宋体"/>
          <w:iCs w:val="0"/>
          <w:sz w:val="24"/>
          <w:szCs w:val="24"/>
          <w:highlight w:val="none"/>
          <w:lang w:val="en" w:eastAsia="zh-CN"/>
        </w:rPr>
        <w:t xml:space="preserve">4</w:t>
      </w:r>
      <w:r>
        <w:rPr>
          <w:rFonts w:hint="eastAsia" w:ascii="宋体" w:hAnsi="宋体" w:eastAsia="宋体" w:cs="宋体"/>
          <w:iCs w:val="0"/>
          <w:sz w:val="24"/>
          <w:szCs w:val="24"/>
          <w:highlight w:val="none"/>
          <w:lang w:val="en-US" w:eastAsia="zh-CN"/>
        </w:rPr>
        <w:t xml:space="preserve">）政府采购组织形式：</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政府集中采购</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val="en-US" w:eastAsia="zh-CN"/>
        </w:rPr>
        <w:t xml:space="preserve">部门集中采购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val="en-US" w:eastAsia="zh-CN"/>
        </w:rPr>
        <w:t xml:space="preserve">分散采购</w:t>
      </w:r>
      <w:r/>
    </w:p>
    <w:p>
      <w:pPr>
        <w:pStyle w:val="978"/>
        <w:numPr>
          <w:ilvl w:val="-1"/>
          <w:numId w:val="0"/>
        </w:numPr>
        <w:ind w:left="0" w:firstLine="420"/>
        <w:pageBreakBefore w:val="0"/>
        <w:spacing w:line="360" w:lineRule="auto"/>
        <w:rPr>
          <w:rFonts w:hint="eastAsia" w:ascii="宋体" w:hAnsi="宋体" w:eastAsia="宋体" w:cs="宋体"/>
          <w:iCs w:val="0"/>
          <w:sz w:val="24"/>
          <w:szCs w:val="24"/>
          <w:highlight w:val="none"/>
          <w:lang w:eastAsia="zh-CN"/>
        </w:rPr>
      </w:pPr>
      <w:r>
        <w:rPr>
          <w:rFonts w:hint="eastAsia" w:ascii="宋体" w:hAnsi="宋体" w:eastAsia="宋体" w:cs="宋体"/>
          <w:iCs w:val="0"/>
          <w:sz w:val="24"/>
          <w:szCs w:val="24"/>
          <w:highlight w:val="none"/>
          <w:lang w:val="en-US" w:eastAsia="zh-CN"/>
        </w:rPr>
        <w:t xml:space="preserve">（</w:t>
      </w:r>
      <w:r>
        <w:rPr>
          <w:rFonts w:hint="eastAsia" w:ascii="宋体" w:hAnsi="宋体" w:eastAsia="宋体" w:cs="宋体"/>
          <w:iCs w:val="0"/>
          <w:sz w:val="24"/>
          <w:szCs w:val="24"/>
          <w:highlight w:val="none"/>
          <w:lang w:val="en" w:eastAsia="zh-CN"/>
        </w:rPr>
        <w:t xml:space="preserve">5</w:t>
      </w:r>
      <w:r>
        <w:rPr>
          <w:rFonts w:hint="eastAsia" w:ascii="宋体" w:hAnsi="宋体" w:eastAsia="宋体" w:cs="宋体"/>
          <w:iCs w:val="0"/>
          <w:sz w:val="24"/>
          <w:szCs w:val="24"/>
          <w:highlight w:val="none"/>
          <w:lang w:val="en-US" w:eastAsia="zh-CN"/>
        </w:rPr>
        <w:t xml:space="preserve">）政府采购方式：</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公开招标</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邀请招标</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竞争性谈判</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竞争性磋商</w:t>
      </w:r>
      <w:r/>
    </w:p>
    <w:p>
      <w:pPr>
        <w:pStyle w:val="978"/>
        <w:numPr>
          <w:ilvl w:val="-1"/>
          <w:numId w:val="0"/>
        </w:numPr>
        <w:ind w:left="0" w:firstLine="420"/>
        <w:pageBreakBefore w:val="0"/>
        <w:spacing w:line="360" w:lineRule="auto"/>
        <w:rPr>
          <w:rFonts w:hint="eastAsia" w:ascii="宋体" w:hAnsi="宋体" w:eastAsia="宋体" w:cs="宋体"/>
          <w:iCs w:val="0"/>
          <w:sz w:val="24"/>
          <w:szCs w:val="24"/>
          <w:highlight w:val="none"/>
          <w:u w:val="single"/>
          <w:lang w:val="en-US" w:eastAsia="zh-CN"/>
        </w:rPr>
      </w:pPr>
      <w:r>
        <w:rPr>
          <w:rFonts w:hint="eastAsia" w:ascii="宋体" w:hAnsi="宋体" w:eastAsia="宋体" w:cs="宋体"/>
          <w:sz w:val="24"/>
          <w:szCs w:val="24"/>
          <w:highlight w:val="none"/>
          <w:u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询价</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单一来源</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框架协议</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其他：</w:t>
      </w:r>
      <w:r>
        <w:rPr>
          <w:rFonts w:hint="eastAsia" w:ascii="宋体" w:hAnsi="宋体" w:eastAsia="宋体" w:cs="宋体"/>
          <w:iCs w:val="0"/>
          <w:sz w:val="24"/>
          <w:szCs w:val="24"/>
          <w:highlight w:val="none"/>
          <w:u w:val="single"/>
          <w:lang w:val="en-US" w:eastAsia="zh-CN"/>
        </w:rPr>
        <w:t xml:space="preserve">          </w:t>
      </w:r>
      <w:r/>
    </w:p>
    <w:p>
      <w:pPr>
        <w:pStyle w:val="978"/>
        <w:numPr>
          <w:ilvl w:val="-1"/>
          <w:numId w:val="0"/>
        </w:numPr>
        <w:ind w:left="0" w:firstLine="420"/>
        <w:pageBreakBefore w:val="0"/>
        <w:spacing w:line="360" w:lineRule="auto"/>
        <w:rPr>
          <w:rFonts w:hint="eastAsia" w:ascii="宋体" w:hAnsi="宋体" w:eastAsia="宋体" w:cs="宋体"/>
          <w:iCs w:val="0"/>
          <w:sz w:val="24"/>
          <w:szCs w:val="24"/>
          <w:highlight w:val="none"/>
          <w:u w:val="none"/>
          <w:lang w:val="en-US" w:eastAsia="zh-CN"/>
        </w:rPr>
      </w:pPr>
      <w:r>
        <w:rPr>
          <w:rFonts w:hint="eastAsia" w:ascii="宋体" w:hAnsi="宋体" w:eastAsia="宋体" w:cs="宋体"/>
          <w:iCs w:val="0"/>
          <w:sz w:val="24"/>
          <w:szCs w:val="24"/>
          <w:highlight w:val="none"/>
          <w:u w:val="none"/>
          <w:lang w:val="en-US" w:eastAsia="zh-CN"/>
        </w:rPr>
        <w:t xml:space="preserve">（注：在框架协议采购的第二阶段，可选择使用该合同文本）</w:t>
      </w:r>
      <w:r/>
    </w:p>
    <w:p>
      <w:pPr>
        <w:pStyle w:val="978"/>
        <w:numPr>
          <w:ilvl w:val="-1"/>
          <w:numId w:val="0"/>
        </w:numPr>
        <w:ind w:left="0" w:firstLine="24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中标（成交）采购标的制造商是否为中小企业：</w:t>
      </w:r>
      <w:r>
        <w:rPr>
          <w:rFonts w:ascii="Wingdings" w:hAnsi="Wingdings" w:eastAsia="Wingdings" w:cs="Wingding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      </w:t>
      </w:r>
      <w:r>
        <w:rPr>
          <w:rFonts w:ascii="Wingdings" w:hAnsi="Wingdings" w:eastAsia="Wingdings" w:cs="Wingding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p>
    <w:p>
      <w:pPr>
        <w:numPr>
          <w:ilvl w:val="-1"/>
          <w:numId w:val="0"/>
        </w:numPr>
        <w:ind w:left="0" w:firstLine="0"/>
        <w:pageBreakBefore w:val="0"/>
        <w:spacing w:line="360" w:lineRule="auto"/>
        <w:rPr>
          <w:rFonts w:hint="eastAsia" w:ascii="宋体" w:hAnsi="宋体" w:eastAsia="宋体" w:cs="宋体"/>
          <w:iCs/>
          <w:sz w:val="24"/>
          <w:szCs w:val="24"/>
          <w:highlight w:val="none"/>
        </w:rPr>
      </w:pPr>
      <w:r>
        <w:rPr>
          <w:rFonts w:hint="eastAsia" w:ascii="宋体" w:hAnsi="宋体" w:eastAsia="宋体" w:cs="宋体"/>
          <w:sz w:val="24"/>
          <w:szCs w:val="24"/>
          <w:highlight w:val="none"/>
          <w:lang w:val="en-US" w:eastAsia="zh-CN"/>
        </w:rPr>
        <w:t xml:space="preserve">         本合同</w:t>
      </w:r>
      <w:r>
        <w:rPr>
          <w:rFonts w:hint="eastAsia" w:ascii="宋体" w:hAnsi="宋体" w:eastAsia="宋体" w:cs="宋体"/>
          <w:sz w:val="24"/>
          <w:szCs w:val="24"/>
          <w:highlight w:val="none"/>
        </w:rPr>
        <w:t xml:space="preserve">是否</w:t>
      </w:r>
      <w:r>
        <w:rPr>
          <w:rFonts w:hint="eastAsia" w:ascii="宋体" w:hAnsi="宋体" w:eastAsia="宋体" w:cs="宋体"/>
          <w:sz w:val="24"/>
          <w:szCs w:val="24"/>
          <w:highlight w:val="none"/>
          <w:lang w:eastAsia="zh-CN"/>
        </w:rPr>
        <w:t xml:space="preserve">为专门面向</w:t>
      </w:r>
      <w:r>
        <w:rPr>
          <w:rFonts w:hint="eastAsia" w:ascii="宋体" w:hAnsi="宋体" w:eastAsia="宋体" w:cs="宋体"/>
          <w:sz w:val="24"/>
          <w:szCs w:val="24"/>
          <w:highlight w:val="none"/>
        </w:rPr>
        <w:t xml:space="preserve">中小企业</w:t>
      </w:r>
      <w:r>
        <w:rPr>
          <w:rFonts w:hint="eastAsia" w:ascii="宋体" w:hAnsi="宋体" w:eastAsia="宋体" w:cs="宋体"/>
          <w:sz w:val="24"/>
          <w:szCs w:val="24"/>
          <w:highlight w:val="none"/>
          <w:lang w:eastAsia="zh-CN"/>
        </w:rPr>
        <w:t xml:space="preserve">的采</w:t>
      </w:r>
      <w:r>
        <w:rPr>
          <w:rFonts w:hint="eastAsia" w:ascii="宋体" w:hAnsi="宋体" w:eastAsia="宋体" w:cs="宋体"/>
          <w:sz w:val="24"/>
          <w:szCs w:val="24"/>
          <w:highlight w:val="none"/>
          <w:shd w:val="clear" w:color="auto"/>
          <w:lang w:eastAsia="zh-CN"/>
        </w:rPr>
        <w:t xml:space="preserve">购</w:t>
      </w:r>
      <w:r>
        <w:rPr>
          <w:rFonts w:hint="eastAsia" w:ascii="宋体" w:hAnsi="宋体" w:eastAsia="宋体" w:cs="宋体"/>
          <w:sz w:val="24"/>
          <w:szCs w:val="24"/>
          <w:highlight w:val="none"/>
          <w:shd w:val="clear" w:color="auto"/>
        </w:rPr>
        <w:t xml:space="preserve">合同</w:t>
      </w:r>
      <w:r>
        <w:rPr>
          <w:rFonts w:hint="eastAsia" w:ascii="宋体" w:hAnsi="宋体" w:eastAsia="宋体" w:cs="宋体"/>
          <w:sz w:val="24"/>
          <w:szCs w:val="24"/>
          <w:highlight w:val="none"/>
          <w:shd w:val="clear" w:color="auto"/>
          <w:lang w:eastAsia="zh-CN"/>
        </w:rPr>
        <w:t xml:space="preserve">（中小企业预留合同）</w:t>
      </w:r>
      <w:r>
        <w:rPr>
          <w:rFonts w:hint="eastAsia" w:ascii="宋体" w:hAnsi="宋体" w:eastAsia="宋体" w:cs="宋体"/>
          <w:sz w:val="24"/>
          <w:szCs w:val="24"/>
          <w:highlight w:val="none"/>
          <w:shd w:val="clear" w:color="auto"/>
        </w:rPr>
        <w:t xml:space="preserve">：</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lang w:val="en-US" w:eastAsia="zh-CN"/>
        </w:rPr>
        <w:t xml:space="preserve">  </w:t>
      </w:r>
      <w:r>
        <w:rPr>
          <w:rFonts w:hint="eastAsia" w:ascii="宋体" w:hAnsi="宋体" w:eastAsia="宋体" w:cs="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1"/>
          <w:numId w:val="0"/>
        </w:numPr>
        <w:ind w:left="0" w:firstLine="0"/>
        <w:pageBreakBefore w:val="0"/>
        <w:spacing w:line="360" w:lineRule="auto"/>
        <w:rPr>
          <w:rFonts w:hint="eastAsia" w:ascii="宋体" w:hAnsi="宋体" w:eastAsia="宋体" w:cs="宋体"/>
          <w:iCs/>
          <w:sz w:val="24"/>
          <w:szCs w:val="24"/>
          <w:highlight w:val="none"/>
        </w:rPr>
      </w:pPr>
      <w:r>
        <w:rPr>
          <w:rFonts w:hint="eastAsia" w:ascii="宋体" w:hAnsi="宋体" w:eastAsia="宋体" w:cs="宋体"/>
          <w:sz w:val="24"/>
          <w:szCs w:val="24"/>
          <w:highlight w:val="none"/>
          <w:lang w:val="en-US" w:eastAsia="zh-CN"/>
        </w:rPr>
        <w:t xml:space="preserve">         若本项目不专门面向中小企业采购，是否给予小微企业评审优惠：</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1"/>
          <w:numId w:val="0"/>
        </w:numPr>
        <w:ind w:left="0" w:firstLine="0"/>
        <w:pageBreakBefore w:val="0"/>
        <w:spacing w:line="360" w:lineRule="auto"/>
        <w:rPr>
          <w:rFonts w:hint="eastAsia" w:ascii="宋体" w:hAnsi="宋体" w:eastAsia="宋体" w:cs="宋体"/>
          <w:iCs/>
          <w:sz w:val="24"/>
          <w:szCs w:val="24"/>
          <w:highlight w:val="none"/>
        </w:rPr>
      </w:pPr>
      <w:r>
        <w:rPr>
          <w:rFonts w:hint="eastAsia" w:ascii="宋体" w:hAnsi="宋体" w:eastAsia="宋体" w:cs="宋体"/>
          <w:sz w:val="24"/>
          <w:szCs w:val="24"/>
          <w:highlight w:val="none"/>
          <w:lang w:val="en-US" w:eastAsia="zh-CN"/>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0"/>
          <w:numId w:val="0"/>
        </w:numPr>
        <w:ind w:left="0" w:firstLine="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中标（成交）采购标的制造商是否为监狱企业：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 w:eastAsia="zh-CN"/>
        </w:rPr>
        <w:t xml:space="preserve">7</w:t>
      </w:r>
      <w:r>
        <w:rPr>
          <w:rFonts w:hint="eastAsia" w:ascii="宋体" w:hAnsi="宋体" w:eastAsia="宋体" w:cs="宋体"/>
          <w:sz w:val="24"/>
          <w:szCs w:val="24"/>
          <w:highlight w:val="none"/>
        </w:rPr>
        <w:t xml:space="preserve">）合同是否分包：</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96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分包主要内容：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left="0" w:firstLine="9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left="0" w:firstLine="96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left="0" w:firstLine="9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highlight w:val="none"/>
        </w:rPr>
        <w:t xml:space="preserve">：</w:t>
      </w:r>
      <w:r/>
    </w:p>
    <w:p>
      <w:pPr>
        <w:ind w:left="0" w:firstLine="960"/>
        <w:pageBreakBefore w:val="0"/>
        <w:spacing w:line="360" w:lineRule="auto"/>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w:t>
      </w:r>
      <w:r>
        <w:rPr>
          <w:rFonts w:hint="eastAsia" w:ascii="宋体" w:hAnsi="宋体" w:eastAsia="宋体" w:cs="宋体"/>
          <w:iCs/>
          <w:sz w:val="24"/>
          <w:szCs w:val="24"/>
          <w:highlight w:val="none"/>
          <w:lang w:val="en-US" w:eastAsia="zh-CN"/>
        </w:rPr>
        <w:t xml:space="preserve">  </w:t>
      </w:r>
      <w:r/>
    </w:p>
    <w:p>
      <w:pPr>
        <w:ind w:left="0" w:firstLine="960"/>
        <w:pageBreakBefore w:val="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残疾人福利性单位</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监狱</w:t>
      </w:r>
      <w:r>
        <w:rPr>
          <w:rFonts w:hint="eastAsia" w:ascii="宋体" w:hAnsi="宋体" w:eastAsia="宋体" w:cs="宋体"/>
          <w:iCs/>
          <w:sz w:val="24"/>
          <w:szCs w:val="24"/>
          <w:highlight w:val="none"/>
        </w:rPr>
        <w:t xml:space="preserve">企业</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其他</w:t>
      </w:r>
      <w:r/>
    </w:p>
    <w:p>
      <w:pPr>
        <w:numPr>
          <w:ilvl w:val="-1"/>
          <w:numId w:val="0"/>
        </w:numPr>
        <w:ind w:left="0" w:firstLine="0"/>
        <w:pageBreakBefore w:val="0"/>
        <w:spacing w:line="360" w:lineRule="auto"/>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978"/>
        <w:ind w:left="0"/>
        <w:pageBreakBefore w:val="0"/>
        <w:spacing w:line="360" w:lineRule="auto"/>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1"/>
          <w:numId w:val="0"/>
        </w:numPr>
        <w:ind w:left="0" w:firstLine="48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 w:eastAsia="zh-CN"/>
        </w:rPr>
        <w:t xml:space="preserve">9</w:t>
      </w:r>
      <w:r>
        <w:rPr>
          <w:rFonts w:hint="eastAsia" w:ascii="宋体" w:hAnsi="宋体" w:eastAsia="宋体" w:cs="宋体"/>
          <w:b w:val="0"/>
          <w:bCs w:val="0"/>
          <w:sz w:val="24"/>
          <w:szCs w:val="24"/>
          <w:highlight w:val="none"/>
          <w:u w:val="none"/>
          <w:lang w:val="en-US" w:eastAsia="zh-CN"/>
        </w:rPr>
        <w:t xml:space="preserve">）是否涉及进口产品：</w:t>
      </w:r>
      <w:r/>
    </w:p>
    <w:p>
      <w:pPr>
        <w:numPr>
          <w:ilvl w:val="-1"/>
          <w:numId w:val="0"/>
        </w:numPr>
        <w:ind w:left="0" w:firstLine="960"/>
        <w:pageBreakBefore w:val="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，《政府采购品目分类目录》底级品目名称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金额：</w:t>
      </w:r>
      <w:r>
        <w:rPr>
          <w:rFonts w:hint="eastAsia" w:ascii="宋体" w:hAnsi="宋体" w:eastAsia="宋体" w:cs="宋体"/>
          <w:sz w:val="24"/>
          <w:szCs w:val="24"/>
          <w:highlight w:val="none"/>
          <w:u w:val="single"/>
          <w:lang w:val="en-US" w:eastAsia="zh-CN"/>
        </w:rPr>
        <w:t xml:space="preserve">        </w:t>
      </w:r>
      <w:r/>
    </w:p>
    <w:p>
      <w:pPr>
        <w:numPr>
          <w:ilvl w:val="-1"/>
          <w:numId w:val="0"/>
        </w:numPr>
        <w:ind w:left="0" w:firstLine="960"/>
        <w:pageBreakBefore w:val="0"/>
        <w:spacing w:line="360" w:lineRule="auto"/>
        <w:rPr>
          <w:rFonts w:hint="eastAsia" w:ascii="宋体" w:hAnsi="宋体" w:eastAsia="宋体" w:cs="宋体"/>
          <w:iCs w:val="0"/>
          <w:sz w:val="24"/>
          <w:szCs w:val="24"/>
          <w:highlight w:val="none"/>
        </w:rPr>
      </w:pPr>
      <w:r>
        <w:rPr>
          <w:rFonts w:hint="eastAsia" w:ascii="宋体" w:hAnsi="宋体" w:eastAsia="宋体" w:cs="宋体"/>
          <w:sz w:val="24"/>
          <w:szCs w:val="24"/>
          <w:highlight w:val="none"/>
          <w:lang w:val="en-US" w:eastAsia="zh-CN"/>
        </w:rPr>
        <w:t xml:space="preserve">        国别：</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规格型号：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val="0"/>
          <w:sz w:val="24"/>
          <w:szCs w:val="24"/>
          <w:highlight w:val="none"/>
        </w:rPr>
        <w:t xml:space="preserve">      </w:t>
      </w:r>
      <w:r/>
    </w:p>
    <w:p>
      <w:pPr>
        <w:ind w:left="0" w:firstLine="960"/>
        <w:pageBreakBefore w:val="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否</w:t>
      </w:r>
      <w:r/>
    </w:p>
    <w:p>
      <w:pPr>
        <w:numPr>
          <w:ilvl w:val="-1"/>
          <w:numId w:val="0"/>
        </w:numPr>
        <w:ind w:left="0" w:firstLine="0"/>
        <w:pageBreakBefore w:val="0"/>
        <w:spacing w:line="360" w:lineRule="auto"/>
        <w:tabs>
          <w:tab w:val="left" w:pos="740" w:leader="none"/>
        </w:tabs>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    （1</w:t>
      </w:r>
      <w:r>
        <w:rPr>
          <w:rFonts w:hint="eastAsia" w:ascii="宋体" w:hAnsi="宋体" w:eastAsia="宋体" w:cs="宋体"/>
          <w:b w:val="0"/>
          <w:bCs w:val="0"/>
          <w:sz w:val="24"/>
          <w:szCs w:val="24"/>
          <w:highlight w:val="none"/>
          <w:u w:val="none"/>
          <w:lang w:val="en" w:eastAsia="zh-CN"/>
        </w:rPr>
        <w:t xml:space="preserve">0</w:t>
      </w:r>
      <w:r>
        <w:rPr>
          <w:rFonts w:hint="eastAsia" w:ascii="宋体" w:hAnsi="宋体" w:eastAsia="宋体" w:cs="宋体"/>
          <w:b w:val="0"/>
          <w:bCs w:val="0"/>
          <w:sz w:val="24"/>
          <w:szCs w:val="24"/>
          <w:highlight w:val="none"/>
          <w:u w:val="none"/>
          <w:lang w:val="en-US" w:eastAsia="zh-CN"/>
        </w:rPr>
        <w:t xml:space="preserve">）是否涉及节能产品：</w:t>
      </w:r>
      <w:r/>
    </w:p>
    <w:p>
      <w:pPr>
        <w:numPr>
          <w:ilvl w:val="-1"/>
          <w:numId w:val="0"/>
        </w:numPr>
        <w:ind w:left="0" w:firstLine="0"/>
        <w:pageBreakBefore w:val="0"/>
        <w:spacing w:line="360" w:lineRule="auto"/>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b w:val="0"/>
          <w:bCs w:val="0"/>
          <w:sz w:val="24"/>
          <w:szCs w:val="24"/>
          <w:highlight w:val="none"/>
          <w:u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，《节能产品政府采购品目清单》的底级品目名称：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sz w:val="24"/>
          <w:szCs w:val="24"/>
          <w:highlight w:val="none"/>
          <w:lang w:val="en-US" w:eastAsia="zh-CN"/>
        </w:rPr>
        <w:t xml:space="preserve">     </w:t>
      </w:r>
      <w:r/>
    </w:p>
    <w:p>
      <w:pPr>
        <w:numPr>
          <w:ilvl w:val="-1"/>
          <w:numId w:val="0"/>
        </w:numPr>
        <w:ind w:left="0" w:firstLine="0"/>
        <w:pageBreakBefore w:val="0"/>
        <w:spacing w:line="360" w:lineRule="auto"/>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强制采购</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优先采购</w:t>
      </w:r>
      <w:r>
        <w:rPr>
          <w:rFonts w:hint="eastAsia" w:ascii="宋体" w:hAnsi="宋体" w:eastAsia="宋体" w:cs="宋体"/>
          <w:iCs/>
          <w:sz w:val="24"/>
          <w:szCs w:val="24"/>
          <w:highlight w:val="none"/>
          <w:lang w:val="en-US" w:eastAsia="zh-CN"/>
        </w:rPr>
        <w:t xml:space="preserve">    </w:t>
      </w:r>
      <w:r/>
    </w:p>
    <w:p>
      <w:pPr>
        <w:numPr>
          <w:ilvl w:val="-1"/>
          <w:numId w:val="0"/>
        </w:numPr>
        <w:ind w:left="0" w:firstLine="0"/>
        <w:pageBreakBefore w:val="0"/>
        <w:spacing w:line="360" w:lineRule="auto"/>
        <w:tabs>
          <w:tab w:val="left" w:pos="740" w:leader="none"/>
        </w:tabs>
        <w:rPr>
          <w:rFonts w:hint="eastAsia" w:ascii="宋体" w:hAnsi="宋体" w:eastAsia="宋体" w:cs="宋体"/>
          <w:iCs w:val="0"/>
          <w:sz w:val="24"/>
          <w:szCs w:val="24"/>
          <w:highlight w:val="none"/>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否</w:t>
      </w:r>
      <w:r/>
    </w:p>
    <w:p>
      <w:pPr>
        <w:numPr>
          <w:ilvl w:val="-1"/>
          <w:numId w:val="0"/>
        </w:numPr>
        <w:ind w:left="0" w:firstLine="0"/>
        <w:pageBreakBefore w:val="0"/>
        <w:spacing w:line="360" w:lineRule="auto"/>
        <w:tabs>
          <w:tab w:val="left" w:pos="740" w:leader="none"/>
        </w:tabs>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          是否涉及环境标志产品：</w:t>
      </w:r>
      <w:r/>
    </w:p>
    <w:p>
      <w:pPr>
        <w:numPr>
          <w:ilvl w:val="-1"/>
          <w:numId w:val="0"/>
        </w:numPr>
        <w:ind w:left="0" w:firstLine="0"/>
        <w:pageBreakBefore w:val="0"/>
        <w:spacing w:line="360" w:lineRule="auto"/>
        <w:tabs>
          <w:tab w:val="left" w:pos="740" w:leader="none"/>
        </w:tabs>
        <w:rPr>
          <w:rFonts w:hint="eastAsia" w:ascii="宋体" w:hAnsi="宋体" w:eastAsia="宋体" w:cs="宋体"/>
          <w:iCs w:val="0"/>
          <w:sz w:val="24"/>
          <w:szCs w:val="24"/>
          <w:highlight w:val="none"/>
          <w:lang w:eastAsia="zh-CN"/>
        </w:rPr>
      </w:pPr>
      <w:r>
        <w:rPr>
          <w:rFonts w:hint="eastAsia" w:ascii="宋体" w:hAnsi="宋体" w:eastAsia="宋体" w:cs="宋体"/>
          <w:b w:val="0"/>
          <w:bCs w:val="0"/>
          <w:sz w:val="24"/>
          <w:szCs w:val="24"/>
          <w:highlight w:val="none"/>
          <w:u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，《环境标志产品政府采购品目清单》的底级品目名称：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sz w:val="24"/>
          <w:szCs w:val="24"/>
          <w:highlight w:val="none"/>
          <w:lang w:val="en-US" w:eastAsia="zh-CN"/>
        </w:rPr>
        <w:t xml:space="preserve"> </w:t>
      </w:r>
      <w:r/>
    </w:p>
    <w:p>
      <w:pPr>
        <w:numPr>
          <w:ilvl w:val="-1"/>
          <w:numId w:val="0"/>
        </w:numPr>
        <w:ind w:left="0" w:firstLine="0"/>
        <w:pageBreakBefore w:val="0"/>
        <w:spacing w:line="360" w:lineRule="auto"/>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强制采购</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优先采购</w:t>
      </w:r>
      <w:r>
        <w:rPr>
          <w:rFonts w:hint="eastAsia" w:ascii="宋体" w:hAnsi="宋体" w:eastAsia="宋体" w:cs="宋体"/>
          <w:iCs/>
          <w:sz w:val="24"/>
          <w:szCs w:val="24"/>
          <w:highlight w:val="none"/>
          <w:lang w:val="en-US" w:eastAsia="zh-CN"/>
        </w:rPr>
        <w:t xml:space="preserve">    </w:t>
      </w:r>
      <w:r/>
    </w:p>
    <w:p>
      <w:pPr>
        <w:numPr>
          <w:ilvl w:val="-1"/>
          <w:numId w:val="0"/>
        </w:numPr>
        <w:ind w:left="0" w:firstLine="0"/>
        <w:pageBreakBefore w:val="0"/>
        <w:spacing w:line="360" w:lineRule="auto"/>
        <w:tabs>
          <w:tab w:val="left" w:pos="740" w:leader="none"/>
        </w:tabs>
        <w:rPr>
          <w:rFonts w:hint="eastAsia" w:ascii="宋体" w:hAnsi="宋体" w:eastAsia="宋体" w:cs="宋体"/>
          <w:b w:val="0"/>
          <w:bCs w:val="0"/>
          <w:sz w:val="24"/>
          <w:szCs w:val="24"/>
          <w:highlight w:val="none"/>
          <w:u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否</w:t>
      </w:r>
      <w:r/>
    </w:p>
    <w:p>
      <w:pPr>
        <w:pStyle w:val="978"/>
        <w:numPr>
          <w:ilvl w:val="-1"/>
          <w:numId w:val="0"/>
        </w:numPr>
        <w:ind w:left="0" w:firstLine="0"/>
        <w:pageBreakBefore w:val="0"/>
        <w:spacing w:line="360" w:lineRule="auto"/>
        <w:rPr>
          <w:rFonts w:hint="eastAsia" w:ascii="宋体" w:hAnsi="宋体" w:eastAsia="宋体" w:cs="宋体"/>
          <w:i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          </w:t>
      </w:r>
      <w:r>
        <w:rPr>
          <w:rFonts w:hint="eastAsia" w:ascii="宋体" w:hAnsi="宋体" w:eastAsia="宋体" w:cs="宋体"/>
          <w:b w:val="0"/>
          <w:bCs w:val="0"/>
          <w:sz w:val="24"/>
          <w:szCs w:val="24"/>
          <w:highlight w:val="none"/>
          <w:u w:val="none"/>
          <w:lang w:val="en-US" w:eastAsia="zh-CN"/>
        </w:rPr>
        <w:t xml:space="preserve">是否涉及绿色产品：</w:t>
      </w:r>
      <w:r>
        <w:rPr>
          <w:rFonts w:hint="eastAsia" w:ascii="宋体" w:hAnsi="宋体" w:eastAsia="宋体" w:cs="宋体"/>
          <w:iCs w:val="0"/>
          <w:sz w:val="24"/>
          <w:szCs w:val="24"/>
          <w:highlight w:val="none"/>
          <w:u w:val="none"/>
          <w:lang w:val="en-US" w:eastAsia="zh-CN"/>
        </w:rPr>
        <w:t xml:space="preserve"> </w:t>
      </w:r>
      <w:r/>
    </w:p>
    <w:p>
      <w:pPr>
        <w:pStyle w:val="978"/>
        <w:ind w:left="0" w:firstLine="420"/>
        <w:pageBreakBefore w:val="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iCs w:val="0"/>
          <w:sz w:val="24"/>
          <w:szCs w:val="24"/>
          <w:highlight w:val="none"/>
          <w:u w:val="none"/>
          <w:lang w:val="en-US" w:eastAsia="zh-CN"/>
        </w:rPr>
        <w:t xml:space="preserve">     </w:t>
      </w:r>
      <w:r>
        <w:rPr>
          <w:rFonts w:ascii="Wingdings" w:hAnsi="Wingdings" w:eastAsia="Wingdings" w:cs="Wingdings"/>
          <w:iCs w:val="0"/>
          <w:sz w:val="24"/>
          <w:szCs w:val="24"/>
          <w:highlight w:val="none"/>
          <w:u w:val="none"/>
        </w:rPr>
        <w:t xml:space="preserve">¨</w:t>
      </w:r>
      <w:r>
        <w:rPr>
          <w:rFonts w:hint="eastAsia" w:ascii="宋体" w:hAnsi="宋体" w:eastAsia="宋体" w:cs="宋体"/>
          <w:iCs w:val="0"/>
          <w:sz w:val="24"/>
          <w:szCs w:val="24"/>
          <w:highlight w:val="none"/>
          <w:u w:val="none"/>
        </w:rPr>
        <w:t xml:space="preserve">是</w:t>
      </w:r>
      <w:r>
        <w:rPr>
          <w:rFonts w:hint="eastAsia" w:ascii="宋体" w:hAnsi="宋体" w:eastAsia="宋体" w:cs="宋体"/>
          <w:iCs w:val="0"/>
          <w:sz w:val="24"/>
          <w:szCs w:val="24"/>
          <w:highlight w:val="none"/>
          <w:u w:val="none"/>
          <w:lang w:eastAsia="zh-CN"/>
        </w:rPr>
        <w:t xml:space="preserve">，绿色产品政府采购相关政策确定的底级品目名称：</w:t>
      </w:r>
      <w:r>
        <w:rPr>
          <w:rFonts w:hint="eastAsia" w:ascii="宋体" w:hAnsi="宋体" w:eastAsia="宋体" w:cs="宋体"/>
          <w:sz w:val="24"/>
          <w:szCs w:val="24"/>
          <w:highlight w:val="none"/>
          <w:u w:val="single"/>
          <w:lang w:val="en-US" w:eastAsia="zh-CN"/>
        </w:rPr>
        <w:t xml:space="preserve">         </w:t>
      </w:r>
      <w:r/>
    </w:p>
    <w:p>
      <w:pPr>
        <w:numPr>
          <w:ilvl w:val="-1"/>
          <w:numId w:val="0"/>
        </w:numPr>
        <w:ind w:left="0" w:firstLine="0"/>
        <w:pageBreakBefore w:val="0"/>
        <w:spacing w:line="360" w:lineRule="auto"/>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强制采购</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优先采购</w:t>
      </w:r>
      <w:r>
        <w:rPr>
          <w:rFonts w:hint="eastAsia" w:ascii="宋体" w:hAnsi="宋体" w:eastAsia="宋体" w:cs="宋体"/>
          <w:iCs/>
          <w:sz w:val="24"/>
          <w:szCs w:val="24"/>
          <w:highlight w:val="none"/>
          <w:lang w:val="en-US" w:eastAsia="zh-CN"/>
        </w:rPr>
        <w:t xml:space="preserve">    </w:t>
      </w:r>
      <w:r/>
    </w:p>
    <w:p>
      <w:pPr>
        <w:pStyle w:val="978"/>
        <w:ind w:left="0" w:firstLine="42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iCs w:val="0"/>
          <w:sz w:val="24"/>
          <w:szCs w:val="24"/>
          <w:highlight w:val="none"/>
          <w:u w:val="none"/>
          <w:lang w:val="en-US" w:eastAsia="zh-CN"/>
        </w:rPr>
        <w:t xml:space="preserve">     </w:t>
      </w:r>
      <w:r>
        <w:rPr>
          <w:rFonts w:ascii="Wingdings" w:hAnsi="Wingdings" w:eastAsia="Wingdings" w:cs="Wingdings"/>
          <w:iCs w:val="0"/>
          <w:sz w:val="24"/>
          <w:szCs w:val="24"/>
          <w:highlight w:val="none"/>
          <w:u w:val="none"/>
        </w:rPr>
        <w:t xml:space="preserve">¨</w:t>
      </w:r>
      <w:r>
        <w:rPr>
          <w:rFonts w:hint="eastAsia" w:ascii="宋体" w:hAnsi="宋体" w:eastAsia="宋体" w:cs="宋体"/>
          <w:iCs w:val="0"/>
          <w:sz w:val="24"/>
          <w:szCs w:val="24"/>
          <w:highlight w:val="none"/>
          <w:u w:val="none"/>
        </w:rPr>
        <w:t xml:space="preserve">否</w:t>
      </w:r>
      <w:r/>
    </w:p>
    <w:p>
      <w:pPr>
        <w:numPr>
          <w:ilvl w:val="-1"/>
          <w:numId w:val="0"/>
        </w:numPr>
        <w:ind w:left="0" w:firstLine="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w:t>
      </w:r>
      <w:r>
        <w:rPr>
          <w:rFonts w:hint="eastAsia" w:ascii="宋体" w:hAnsi="宋体" w:eastAsia="宋体" w:cs="宋体"/>
          <w:sz w:val="24"/>
          <w:szCs w:val="24"/>
          <w:highlight w:val="none"/>
          <w:lang w:val="en" w:eastAsia="zh-CN"/>
        </w:rPr>
        <w:t xml:space="preserve">1</w:t>
      </w:r>
      <w:r>
        <w:rPr>
          <w:rFonts w:hint="eastAsia" w:ascii="宋体" w:hAnsi="宋体" w:eastAsia="宋体" w:cs="宋体"/>
          <w:sz w:val="24"/>
          <w:szCs w:val="24"/>
          <w:highlight w:val="none"/>
          <w:lang w:val="en-US" w:eastAsia="zh-CN"/>
        </w:rPr>
        <w:t xml:space="preserve">）涉及商品包装和快递包装的，是否参考</w:t>
      </w:r>
      <w:r>
        <w:rPr>
          <w:rFonts w:hint="eastAsia" w:ascii="宋体" w:hAnsi="宋体" w:eastAsia="宋体" w:cs="宋体"/>
          <w:sz w:val="24"/>
          <w:szCs w:val="24"/>
          <w:highlight w:val="none"/>
        </w:rPr>
        <w:t xml:space="preserve">《商品包装政府采购需求标准（试行）》、《快递包装政府采购需求标准（试行）》</w:t>
      </w:r>
      <w:r>
        <w:rPr>
          <w:rFonts w:hint="eastAsia" w:ascii="宋体" w:hAnsi="宋体" w:eastAsia="宋体" w:cs="宋体"/>
          <w:sz w:val="24"/>
          <w:szCs w:val="24"/>
          <w:highlight w:val="none"/>
          <w:lang w:eastAsia="zh-CN"/>
        </w:rPr>
        <w:t xml:space="preserve">明确产品及相关快递服务的具体包装要求：</w:t>
      </w:r>
      <w:r/>
    </w:p>
    <w:p>
      <w:pPr>
        <w:numPr>
          <w:ilvl w:val="-1"/>
          <w:numId w:val="0"/>
        </w:numPr>
        <w:ind w:left="0" w:firstLine="960"/>
        <w:pageBreakBefore w:val="0"/>
        <w:spacing w:line="360" w:lineRule="auto"/>
        <w:rPr>
          <w:rFonts w:hint="eastAsia" w:ascii="宋体" w:hAnsi="宋体" w:eastAsia="宋体" w:cs="宋体"/>
          <w:iCs w:val="0"/>
          <w:sz w:val="24"/>
          <w:szCs w:val="24"/>
          <w:highlight w:val="none"/>
          <w:lang w:val="en-US" w:eastAsia="zh-CN"/>
        </w:rPr>
      </w:pP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否</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不涉及</w:t>
      </w:r>
      <w:r/>
    </w:p>
    <w:p>
      <w:pPr>
        <w:numPr>
          <w:ilvl w:val="0"/>
          <w:numId w:val="4"/>
        </w:numPr>
        <w:ind w:left="0"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left="0" w:firstLine="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left="0" w:firstLine="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分包金额</w:t>
      </w:r>
      <w:r>
        <w:rPr>
          <w:rFonts w:hint="eastAsia" w:ascii="宋体" w:hAnsi="宋体" w:eastAsia="宋体" w:cs="宋体"/>
          <w:sz w:val="24"/>
          <w:szCs w:val="24"/>
          <w:highlight w:val="none"/>
          <w:lang w:eastAsia="zh-CN"/>
        </w:rPr>
        <w:t xml:space="preserve">（如有）</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p>
    <w:p>
      <w:pPr>
        <w:ind w:left="0" w:firstLine="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left="0" w:firstLine="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（注：固定单价合同应填写单价和最高限价）</w:t>
      </w:r>
      <w:r/>
    </w:p>
    <w:p>
      <w:pPr>
        <w:numPr>
          <w:ilvl w:val="-1"/>
          <w:numId w:val="0"/>
        </w:numPr>
        <w:ind w:left="0" w:firstLine="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合同定价方式</w:t>
      </w:r>
      <w:r>
        <w:rPr>
          <w:rFonts w:hint="eastAsia" w:ascii="宋体" w:hAnsi="宋体" w:eastAsia="宋体" w:cs="宋体"/>
          <w:sz w:val="24"/>
          <w:szCs w:val="24"/>
          <w:highlight w:val="none"/>
          <w:lang w:eastAsia="zh-CN"/>
        </w:rPr>
        <w:t xml:space="preserve">（采用组合定价方式的，可以勾选多项）</w:t>
      </w:r>
      <w:r>
        <w:rPr>
          <w:rFonts w:hint="eastAsia" w:ascii="宋体" w:hAnsi="宋体" w:eastAsia="宋体" w:cs="宋体"/>
          <w:sz w:val="24"/>
          <w:szCs w:val="24"/>
          <w:highlight w:val="none"/>
        </w:rPr>
        <w:t xml:space="preserve">：</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固定总价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固定单价</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固定费率</w:t>
      </w:r>
      <w:r>
        <w:rPr>
          <w:rFonts w:hint="eastAsia" w:ascii="宋体" w:hAnsi="宋体" w:eastAsia="宋体" w:cs="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成本补偿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绩效激励</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其他</w:t>
      </w:r>
      <w:r>
        <w:rPr>
          <w:rFonts w:hint="eastAsia" w:ascii="宋体" w:hAnsi="宋体" w:eastAsia="宋体" w:cs="宋体"/>
          <w:sz w:val="24"/>
          <w:szCs w:val="24"/>
          <w:highlight w:val="none"/>
          <w:u w:val="single"/>
        </w:rPr>
        <w:t xml:space="preserve">       </w:t>
      </w:r>
      <w:r/>
    </w:p>
    <w:p>
      <w:pPr>
        <w:pStyle w:val="989"/>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）付款方式（按项目实际勾选填写）：</w:t>
      </w:r>
      <w:r/>
    </w:p>
    <w:p>
      <w:pPr>
        <w:ind w:left="0" w:firstLine="720"/>
        <w:pageBreakBefore w:val="0"/>
        <w:spacing w:line="360" w:lineRule="auto"/>
        <w:rPr>
          <w:rFonts w:hint="eastAsia" w:ascii="宋体" w:hAnsi="宋体" w:eastAsia="宋体" w:cs="宋体"/>
          <w:sz w:val="24"/>
          <w:szCs w:val="24"/>
          <w:highlight w:val="none"/>
          <w:u w:val="singl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全额付款：</w:t>
      </w:r>
      <w:r>
        <w:rPr>
          <w:rFonts w:hint="eastAsia" w:ascii="宋体" w:hAnsi="宋体" w:eastAsia="宋体" w:cs="宋体"/>
          <w:sz w:val="24"/>
          <w:szCs w:val="24"/>
          <w:highlight w:val="none"/>
          <w:u w:val="single"/>
        </w:rPr>
        <w:t xml:space="preserve">     （应</w:t>
      </w:r>
      <w:r>
        <w:rPr>
          <w:rFonts w:hint="eastAsia" w:ascii="宋体" w:hAnsi="宋体" w:eastAsia="宋体" w:cs="宋体"/>
          <w:sz w:val="24"/>
          <w:szCs w:val="24"/>
          <w:highlight w:val="none"/>
          <w:u w:val="single"/>
          <w:lang w:eastAsia="zh-CN"/>
        </w:rPr>
        <w:t xml:space="preserve">明确</w:t>
      </w:r>
      <w:r>
        <w:rPr>
          <w:rFonts w:hint="eastAsia" w:ascii="宋体" w:hAnsi="宋体" w:eastAsia="宋体" w:cs="宋体"/>
          <w:sz w:val="24"/>
          <w:szCs w:val="24"/>
          <w:highlight w:val="none"/>
          <w:u w:val="single"/>
        </w:rPr>
        <w:t xml:space="preserve">一次性支付合同款项</w:t>
      </w:r>
      <w:r>
        <w:rPr>
          <w:rFonts w:hint="eastAsia" w:ascii="宋体" w:hAnsi="宋体" w:eastAsia="宋体" w:cs="宋体"/>
          <w:sz w:val="24"/>
          <w:szCs w:val="24"/>
          <w:highlight w:val="none"/>
          <w:u w:val="single"/>
          <w:lang w:eastAsia="zh-CN"/>
        </w:rPr>
        <w:t xml:space="preserve">的条件</w:t>
      </w:r>
      <w:r>
        <w:rPr>
          <w:rFonts w:hint="eastAsia" w:ascii="宋体" w:hAnsi="宋体" w:eastAsia="宋体" w:cs="宋体"/>
          <w:sz w:val="24"/>
          <w:szCs w:val="24"/>
          <w:highlight w:val="none"/>
          <w:u w:val="single"/>
        </w:rPr>
        <w:t xml:space="preserve">）                    </w:t>
      </w:r>
      <w:r/>
    </w:p>
    <w:p>
      <w:pPr>
        <w:ind w:left="0" w:firstLine="720"/>
        <w:pageBreakBefore w:val="0"/>
        <w:spacing w:line="36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分期付款：</w:t>
      </w:r>
      <w:r>
        <w:rPr>
          <w:rFonts w:hint="eastAsia" w:ascii="宋体" w:hAnsi="宋体" w:eastAsia="宋体" w:cs="宋体"/>
          <w:sz w:val="24"/>
          <w:szCs w:val="24"/>
          <w:highlight w:val="none"/>
          <w:u w:val="single"/>
        </w:rPr>
        <w:t xml:space="preserve">  （应明确分期支付合同款项的各期比例和支付条件</w:t>
      </w:r>
      <w:r>
        <w:rPr>
          <w:rFonts w:hint="eastAsia" w:ascii="宋体" w:hAnsi="宋体" w:eastAsia="宋体" w:cs="宋体"/>
          <w:sz w:val="24"/>
          <w:szCs w:val="24"/>
          <w:highlight w:val="none"/>
          <w:u w:val="single"/>
          <w:lang w:eastAsia="zh-CN"/>
        </w:rPr>
        <w:t xml:space="preserve">，各期支付条件应与分期履约验收情况挂钩</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lang w:eastAsia="zh-CN"/>
        </w:rPr>
        <w:t xml:space="preserve">其中涉及预付款的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（应明确预付款的支付比例和支付条件） </w:t>
      </w:r>
      <w:r/>
    </w:p>
    <w:p>
      <w:pPr>
        <w:ind w:left="0" w:firstLine="720"/>
        <w:pageBreakBefore w:val="0"/>
        <w:spacing w:line="360" w:lineRule="auto"/>
        <w:rPr>
          <w:rFonts w:hint="eastAsia" w:ascii="宋体" w:hAnsi="宋体" w:eastAsia="宋体" w:cs="宋体"/>
          <w:sz w:val="24"/>
          <w:szCs w:val="24"/>
          <w:highlight w:val="none"/>
          <w:u w:val="singl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成本补偿：</w:t>
      </w:r>
      <w:r>
        <w:rPr>
          <w:rFonts w:hint="eastAsia" w:ascii="宋体" w:hAnsi="宋体" w:eastAsia="宋体" w:cs="宋体"/>
          <w:sz w:val="24"/>
          <w:szCs w:val="24"/>
          <w:highlight w:val="none"/>
          <w:u w:val="single"/>
        </w:rPr>
        <w:t xml:space="preserve">      （应明确按照成本补偿方式的支付方式和支付条件）   </w:t>
      </w:r>
      <w:r/>
    </w:p>
    <w:p>
      <w:pPr>
        <w:ind w:left="0" w:firstLine="720"/>
        <w:pageBreakBefore w:val="0"/>
        <w:spacing w:line="36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绩效激励：</w:t>
      </w:r>
      <w:r>
        <w:rPr>
          <w:rFonts w:hint="eastAsia" w:ascii="宋体" w:hAnsi="宋体" w:eastAsia="宋体" w:cs="宋体"/>
          <w:sz w:val="24"/>
          <w:szCs w:val="24"/>
          <w:highlight w:val="none"/>
          <w:u w:val="single"/>
        </w:rPr>
        <w:t xml:space="preserve">      （应明确按照绩效激励方式的支付方式和支付条件）   </w:t>
      </w:r>
      <w:r/>
    </w:p>
    <w:p>
      <w:pPr>
        <w:numPr>
          <w:ilvl w:val="0"/>
          <w:numId w:val="4"/>
        </w:numPr>
        <w:ind w:left="0" w:firstLine="482"/>
        <w:pageBreakBefore w:val="0"/>
        <w:spacing w:line="360" w:lineRule="auto"/>
        <w:rPr>
          <w:rFonts w:hint="eastAsia" w:ascii="宋体" w:hAnsi="宋体" w:eastAsia="宋体" w:cs="宋体"/>
          <w:b/>
          <w:bCs w:val="0"/>
          <w:sz w:val="24"/>
          <w:szCs w:val="24"/>
          <w:highlight w:val="none"/>
          <w:u w:val="single"/>
        </w:rPr>
      </w:pPr>
      <w:r>
        <w:rPr>
          <w:rFonts w:hint="eastAsia" w:ascii="宋体" w:hAnsi="宋体" w:eastAsia="宋体" w:cs="宋体"/>
          <w:b/>
          <w:bCs w:val="0"/>
          <w:sz w:val="24"/>
          <w:szCs w:val="24"/>
          <w:highlight w:val="none"/>
        </w:rPr>
        <w:t xml:space="preserve">合同履行</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left="0"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履约</w:t>
      </w:r>
      <w:r>
        <w:rPr>
          <w:rFonts w:hint="eastAsia" w:ascii="宋体" w:hAnsi="宋体" w:eastAsia="宋体" w:cs="宋体"/>
          <w:sz w:val="24"/>
          <w:szCs w:val="24"/>
          <w:highlight w:val="none"/>
        </w:rPr>
        <w:t xml:space="preserve">地点</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highlight w:val="none"/>
          <w:u w:val="single"/>
        </w:rPr>
        <w:t xml:space="preserve">                             </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（3）履约担保：</w:t>
      </w:r>
      <w:r>
        <w:rPr>
          <w:rFonts w:hint="eastAsia" w:ascii="宋体" w:hAnsi="宋体" w:eastAsia="宋体" w:cs="宋体"/>
          <w:sz w:val="24"/>
          <w:szCs w:val="24"/>
          <w:highlight w:val="none"/>
          <w:lang w:val="en-US" w:eastAsia="zh-CN"/>
        </w:rPr>
        <w:t xml:space="preserve">是否收取履约保证金：</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lang w:eastAsia="zh-CN"/>
        </w:rPr>
        <w:t xml:space="preserve">是</w:t>
      </w:r>
      <w:r>
        <w:rPr>
          <w:rFonts w:hint="eastAsia" w:ascii="宋体" w:hAnsi="宋体" w:eastAsia="宋体" w:cs="宋体"/>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lang w:eastAsia="zh-CN"/>
        </w:rPr>
        <w:t xml:space="preserve">否</w:t>
      </w:r>
      <w:r/>
    </w:p>
    <w:p>
      <w:pPr>
        <w:pStyle w:val="978"/>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  收取履约保证金形式：</w:t>
      </w:r>
      <w:r>
        <w:rPr>
          <w:rFonts w:hint="eastAsia" w:ascii="宋体" w:hAnsi="宋体" w:eastAsia="宋体" w:cs="宋体"/>
          <w:bCs/>
          <w:sz w:val="24"/>
          <w:szCs w:val="24"/>
          <w:highlight w:val="none"/>
          <w:u w:val="single"/>
        </w:rPr>
        <w:t xml:space="preserve">                            </w:t>
      </w:r>
      <w:r/>
    </w:p>
    <w:p>
      <w:pPr>
        <w:pStyle w:val="978"/>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收取履约保证金金额：</w:t>
      </w:r>
      <w:r>
        <w:rPr>
          <w:rFonts w:hint="eastAsia" w:ascii="宋体" w:hAnsi="宋体" w:eastAsia="宋体" w:cs="宋体"/>
          <w:bCs/>
          <w:sz w:val="24"/>
          <w:szCs w:val="24"/>
          <w:highlight w:val="none"/>
          <w:u w:val="single"/>
        </w:rPr>
        <w:t xml:space="preserve">                            </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u w:val="none"/>
          <w:lang w:val="en-US" w:eastAsia="zh-CN"/>
        </w:rPr>
        <w:t xml:space="preserve">    履约担保期限</w:t>
      </w: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p>
    <w:p>
      <w:pPr>
        <w:ind w:left="0"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（4）分期履行要求：</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p>
    <w:p>
      <w:pPr>
        <w:ind w:left="0"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eastAsia="zh-CN"/>
        </w:rPr>
        <w:t xml:space="preserve">风险处置措施和替代方案</w:t>
      </w:r>
      <w:r>
        <w:rPr>
          <w:rFonts w:hint="eastAsia" w:ascii="宋体" w:hAnsi="宋体" w:eastAsia="宋体" w:cs="宋体"/>
          <w:bCs/>
          <w:sz w:val="24"/>
          <w:szCs w:val="24"/>
          <w:highlight w:val="none"/>
        </w:rPr>
        <w:t xml:space="preserve">：</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sz w:val="24"/>
          <w:szCs w:val="24"/>
          <w:highlight w:val="none"/>
          <w:u w:val="single"/>
        </w:rPr>
        <w:t xml:space="preserve">                                                </w:t>
      </w:r>
      <w:r/>
    </w:p>
    <w:p>
      <w:pPr>
        <w:numPr>
          <w:ilvl w:val="0"/>
          <w:numId w:val="4"/>
        </w:numPr>
        <w:ind w:left="0"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6"/>
        </w:numPr>
        <w:ind w:left="0"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自行组织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委托第三方组织</w:t>
      </w:r>
      <w:r/>
    </w:p>
    <w:p>
      <w:pPr>
        <w:numPr>
          <w:ilvl w:val="0"/>
          <w:numId w:val="0"/>
        </w:numPr>
        <w:ind w:left="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验收主体：</w:t>
      </w:r>
      <w:r>
        <w:rPr>
          <w:rFonts w:hint="eastAsia" w:ascii="宋体" w:hAnsi="宋体" w:eastAsia="宋体" w:cs="宋体"/>
          <w:bCs/>
          <w:sz w:val="24"/>
          <w:szCs w:val="24"/>
          <w:highlight w:val="none"/>
          <w:u w:val="single"/>
        </w:rPr>
        <w:t xml:space="preserve">                  </w:t>
      </w:r>
      <w:r/>
    </w:p>
    <w:p>
      <w:pPr>
        <w:ind w:left="0" w:firstLine="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是否邀请本项目的其他供应商</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是否进行抽查检测：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lang w:eastAsia="zh-CN"/>
        </w:rPr>
        <w:t xml:space="preserve">，抽查比例：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pageBreakBefore w:val="0"/>
        <w:spacing w:line="360" w:lineRule="auto"/>
        <w:rPr>
          <w:rFonts w:hint="eastAsia" w:ascii="宋体" w:hAnsi="宋体" w:eastAsia="宋体" w:cs="宋体"/>
          <w:bCs/>
          <w:sz w:val="24"/>
          <w:szCs w:val="24"/>
          <w:highlight w:val="none"/>
          <w:u w:val="single"/>
          <w:lang w:eastAsia="zh-CN"/>
        </w:rPr>
      </w:pPr>
      <w:r>
        <w:rPr>
          <w:rFonts w:hint="eastAsia" w:ascii="宋体" w:hAnsi="宋体" w:eastAsia="宋体" w:cs="宋体"/>
          <w:bCs/>
          <w:sz w:val="24"/>
          <w:szCs w:val="24"/>
          <w:highlight w:val="none"/>
          <w:lang w:val="en-US" w:eastAsia="zh-CN"/>
        </w:rPr>
        <w:t xml:space="preserve">是否存在破坏性检测：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u w:val="single"/>
          <w:lang w:eastAsia="zh-CN"/>
        </w:rPr>
        <w:t xml:space="preserve">（应明确对被破坏的检测产品的处理方式）</w:t>
      </w:r>
      <w:r/>
    </w:p>
    <w:p>
      <w:pPr>
        <w:ind w:left="0" w:firstLine="96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验收组织的其他事项：</w:t>
      </w:r>
      <w:r>
        <w:rPr>
          <w:rFonts w:hint="eastAsia" w:ascii="宋体" w:hAnsi="宋体" w:eastAsia="宋体" w:cs="宋体"/>
          <w:bCs/>
          <w:sz w:val="24"/>
          <w:szCs w:val="24"/>
          <w:highlight w:val="none"/>
          <w:u w:val="single"/>
        </w:rPr>
        <w:t xml:space="preserve">                </w:t>
      </w:r>
      <w:r/>
    </w:p>
    <w:p>
      <w:pPr>
        <w:ind w:left="0" w:firstLine="48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   日内组织验收）</w:t>
      </w:r>
      <w:r>
        <w:rPr>
          <w:rFonts w:hint="eastAsia" w:ascii="宋体" w:hAnsi="宋体" w:eastAsia="宋体" w:cs="宋体"/>
          <w:bCs/>
          <w:sz w:val="24"/>
          <w:szCs w:val="24"/>
          <w:highlight w:val="none"/>
          <w:u w:val="single"/>
          <w:lang w:val="en-US" w:eastAsia="zh-CN"/>
        </w:rPr>
        <w:t xml:space="preserve"> </w:t>
      </w:r>
      <w:r/>
    </w:p>
    <w:p>
      <w:pPr>
        <w:ind w:left="0"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ind w:left="0" w:firstLine="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eastAsia="zh-CN"/>
        </w:rPr>
        <w:t xml:space="preserve">（应明确分期</w:t>
      </w:r>
      <w:r>
        <w:rPr>
          <w:rFonts w:hint="eastAsia" w:ascii="宋体" w:hAnsi="宋体" w:eastAsia="宋体" w:cs="宋体"/>
          <w:bCs/>
          <w:sz w:val="24"/>
          <w:szCs w:val="24"/>
          <w:highlight w:val="none"/>
          <w:u w:val="single"/>
          <w:lang w:val="en" w:eastAsia="zh-CN"/>
        </w:rPr>
        <w:t xml:space="preserve">/分项验收的工作安排</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p>
    <w:p>
      <w:pPr>
        <w:ind w:left="0"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（4）履约验收程序：</w:t>
      </w:r>
      <w:r>
        <w:rPr>
          <w:rFonts w:hint="eastAsia" w:ascii="宋体" w:hAnsi="宋体" w:eastAsia="宋体" w:cs="宋体"/>
          <w:bCs/>
          <w:sz w:val="24"/>
          <w:szCs w:val="24"/>
          <w:highlight w:val="none"/>
          <w:u w:val="single"/>
        </w:rPr>
        <w:t xml:space="preserve">                                         </w:t>
      </w:r>
      <w:r/>
    </w:p>
    <w:p>
      <w:pPr>
        <w:ind w:left="0" w:firstLine="48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highlight w:val="none"/>
          <w:u w:val="single"/>
        </w:rPr>
        <w:t xml:space="preserve">                                      </w:t>
      </w:r>
      <w:r/>
    </w:p>
    <w:p>
      <w:pPr>
        <w:ind w:left="0" w:firstLine="48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（6）履约验收标准：</w:t>
      </w:r>
      <w:r>
        <w:rPr>
          <w:rFonts w:hint="eastAsia" w:ascii="宋体" w:hAnsi="宋体" w:eastAsia="宋体" w:cs="宋体"/>
          <w:bCs/>
          <w:sz w:val="24"/>
          <w:szCs w:val="24"/>
          <w:highlight w:val="none"/>
          <w:u w:val="single"/>
        </w:rPr>
        <w:t xml:space="preserve">                                         </w:t>
      </w:r>
      <w:r/>
    </w:p>
    <w:p>
      <w:pPr>
        <w:pStyle w:val="978"/>
        <w:ind w:left="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none"/>
          <w:lang w:val="en-US" w:eastAsia="zh-CN"/>
        </w:rPr>
        <w:t xml:space="preserve">7</w:t>
      </w:r>
      <w:r>
        <w:rPr>
          <w:rFonts w:hint="eastAsia" w:ascii="宋体" w:hAnsi="宋体" w:eastAsia="宋体" w:cs="宋体"/>
          <w:bCs/>
          <w:sz w:val="24"/>
          <w:szCs w:val="24"/>
          <w:highlight w:val="none"/>
          <w:u w:val="none"/>
          <w:lang w:eastAsia="zh-CN"/>
        </w:rPr>
        <w:t xml:space="preserve">）是否以采购活动中供应商提供的样品作为参考：</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48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      </w:t>
      </w:r>
      <w:r>
        <w:rPr>
          <w:rFonts w:hint="eastAsia" w:ascii="宋体" w:hAnsi="宋体" w:eastAsia="宋体" w:cs="宋体"/>
          <w:bCs/>
          <w:i w:val="0"/>
          <w:iCs w:val="0"/>
          <w:sz w:val="24"/>
          <w:szCs w:val="24"/>
          <w:highlight w:val="none"/>
          <w:u w:val="single"/>
        </w:rPr>
        <w:t xml:space="preserve">（产权过户登记等）</w:t>
      </w:r>
      <w:r>
        <w:rPr>
          <w:rFonts w:hint="eastAsia" w:ascii="宋体" w:hAnsi="宋体" w:eastAsia="宋体" w:cs="宋体"/>
          <w:bCs/>
          <w:sz w:val="24"/>
          <w:szCs w:val="24"/>
          <w:highlight w:val="none"/>
          <w:u w:val="single"/>
        </w:rPr>
        <w:t xml:space="preserve">          </w:t>
      </w:r>
      <w:r/>
    </w:p>
    <w:p>
      <w:pPr>
        <w:numPr>
          <w:ilvl w:val="0"/>
          <w:numId w:val="4"/>
        </w:numPr>
        <w:ind w:left="0"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本协议书与下列文件一起构成合同文件，如下述文件之间有任何抵触、矛盾或歧义，应按以下顺序解释：</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）政府采购合同专用条款</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）政府采购合同通用条款</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）投标（响应）文件</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（7）有关技术文件，图纸</w:t>
      </w:r>
      <w:r/>
    </w:p>
    <w:p>
      <w:pPr>
        <w:pStyle w:val="978"/>
        <w:ind w:left="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4"/>
        </w:numPr>
        <w:ind w:left="0"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合同生效</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生效。</w:t>
      </w:r>
      <w:r/>
    </w:p>
    <w:p>
      <w:pPr>
        <w:numPr>
          <w:ilvl w:val="0"/>
          <w:numId w:val="4"/>
        </w:numPr>
        <w:ind w:left="0"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合同份数</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份，均具有同等法律效力。</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合同订立地点：</w:t>
      </w:r>
      <w:r>
        <w:rPr>
          <w:rFonts w:hint="eastAsia" w:ascii="宋体" w:hAnsi="宋体" w:eastAsia="宋体" w:cs="宋体"/>
          <w:sz w:val="24"/>
          <w:szCs w:val="24"/>
          <w:highlight w:val="none"/>
          <w:u w:val="single"/>
        </w:rPr>
        <w:t xml:space="preserve">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附件：具体标</w:t>
      </w:r>
      <w:r>
        <w:rPr>
          <w:rFonts w:hint="eastAsia" w:ascii="宋体" w:hAnsi="宋体" w:eastAsia="宋体" w:cs="宋体"/>
          <w:sz w:val="24"/>
          <w:szCs w:val="24"/>
          <w:highlight w:val="none"/>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highlight w:val="none"/>
        </w:rPr>
        <w:t xml:space="preserve">、联合协议、分包</w:t>
      </w:r>
      <w:r>
        <w:rPr>
          <w:rFonts w:hint="eastAsia" w:ascii="宋体" w:hAnsi="宋体" w:eastAsia="宋体" w:cs="宋体"/>
          <w:sz w:val="24"/>
          <w:szCs w:val="24"/>
          <w:highlight w:val="none"/>
          <w:lang w:eastAsia="zh-CN"/>
        </w:rPr>
        <w:t xml:space="preserve">意向</w:t>
      </w:r>
      <w:r>
        <w:rPr>
          <w:rFonts w:hint="eastAsia" w:ascii="宋体" w:hAnsi="宋体" w:eastAsia="宋体" w:cs="宋体"/>
          <w:sz w:val="24"/>
          <w:szCs w:val="24"/>
          <w:highlight w:val="none"/>
        </w:rPr>
        <w:t xml:space="preserve">协议等。</w:t>
      </w:r>
      <w:r/>
    </w:p>
    <w:tbl>
      <w:tblPr>
        <w:tblStyle w:val="977"/>
        <w:tblW w:w="10682"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405"/>
        <w:gridCol w:w="3068"/>
        <w:gridCol w:w="2518"/>
        <w:gridCol w:w="2691"/>
      </w:tblGrid>
      <w:tr>
        <w:trPr>
          <w:trHeight w:val="0"/>
        </w:trPr>
        <w:tc>
          <w:tcPr>
            <w:gridSpan w:val="2"/>
            <w:tcBorders>
              <w:bottom w:val="single" w:color="auto" w:sz="2" w:space="0"/>
              <w:right w:val="single" w:color="auto" w:sz="2" w:space="0"/>
            </w:tcBorders>
            <w:tcW w:w="5473"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w:t>
            </w:r>
            <w:r>
              <w:rPr>
                <w:rFonts w:hint="eastAsia" w:ascii="宋体" w:hAnsi="宋体" w:eastAsia="宋体" w:cs="宋体"/>
                <w:sz w:val="24"/>
                <w:szCs w:val="24"/>
                <w:highlight w:val="none"/>
                <w:lang w:eastAsia="zh-CN"/>
              </w:rPr>
              <w:t xml:space="preserve">、受采购人委托签订合同的单位</w:t>
            </w:r>
            <w:r>
              <w:rPr>
                <w:rFonts w:hint="eastAsia" w:ascii="宋体" w:hAnsi="宋体" w:eastAsia="宋体" w:cs="宋体"/>
                <w:sz w:val="24"/>
                <w:szCs w:val="24"/>
                <w:highlight w:val="none"/>
              </w:rPr>
              <w:t xml:space="preserve">或采购文件约定的合同甲方）</w:t>
            </w:r>
            <w:r/>
          </w:p>
        </w:tc>
        <w:tc>
          <w:tcPr>
            <w:gridSpan w:val="2"/>
            <w:tcBorders>
              <w:left w:val="single" w:color="auto" w:sz="2" w:space="0"/>
              <w:bottom w:val="single" w:color="auto" w:sz="2" w:space="0"/>
            </w:tcBorders>
            <w:tcW w:w="5209"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w:t>
            </w:r>
            <w:r>
              <w:rPr>
                <w:rFonts w:hint="eastAsia" w:ascii="宋体" w:hAnsi="宋体" w:eastAsia="宋体" w:cs="宋体"/>
                <w:sz w:val="24"/>
                <w:szCs w:val="24"/>
                <w:highlight w:val="none"/>
                <w:lang w:eastAsia="zh-CN"/>
              </w:rPr>
              <w:t xml:space="preserve">或合同章</w:t>
            </w:r>
            <w:r>
              <w:rPr>
                <w:rFonts w:hint="eastAsia" w:ascii="宋体" w:hAnsi="宋体" w:eastAsia="宋体" w:cs="宋体"/>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w:t>
            </w:r>
            <w:r>
              <w:rPr>
                <w:rFonts w:hint="eastAsia" w:ascii="宋体" w:hAnsi="宋体" w:eastAsia="宋体" w:cs="宋体"/>
                <w:sz w:val="24"/>
                <w:szCs w:val="24"/>
                <w:highlight w:val="none"/>
                <w:lang w:eastAsia="zh-CN"/>
              </w:rPr>
              <w:t xml:space="preserve">或合同章</w:t>
            </w:r>
            <w:r>
              <w:rPr>
                <w:rFonts w:hint="eastAsia" w:ascii="宋体" w:hAnsi="宋体" w:eastAsia="宋体" w:cs="宋体"/>
                <w:sz w:val="24"/>
                <w:szCs w:val="24"/>
                <w:highlight w:val="none"/>
              </w:rPr>
              <w:t xml:space="preserve">）</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right w:val="single" w:color="auto" w:sz="2" w:space="0"/>
            </w:tcBorders>
            <w:tcW w:w="2405" w:type="dxa"/>
            <w:vAlign w:val="center"/>
            <w:vMerge w:val="restart"/>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left="0" w:firstLine="115"/>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auto" w:sz="2" w:space="0"/>
              <w:left w:val="single" w:color="auto" w:sz="2" w:space="0"/>
              <w:right w:val="single" w:color="auto" w:sz="2" w:space="0"/>
            </w:tcBorders>
            <w:tcW w:w="3068" w:type="dxa"/>
            <w:vAlign w:val="center"/>
            <w:vMerge w:val="restart"/>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Borders>
              <w:bottom w:val="single" w:color="auto" w:sz="2" w:space="0"/>
              <w:right w:val="single" w:color="auto" w:sz="2" w:space="0"/>
            </w:tcBorders>
            <w:tcW w:w="2405" w:type="dxa"/>
            <w:vAlign w:val="center"/>
            <w:vMerge w:val="continue"/>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2" w:space="0"/>
              <w:bottom w:val="single" w:color="auto" w:sz="2" w:space="0"/>
              <w:right w:val="single" w:color="auto" w:sz="2" w:space="0"/>
            </w:tcBorders>
            <w:tcW w:w="3068" w:type="dxa"/>
            <w:vAlign w:val="center"/>
            <w:vMerge w:val="continue"/>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住</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住</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所</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tcBorders>
              <w:top w:val="single" w:color="auto" w:sz="2" w:space="0"/>
              <w:bottom w:val="single" w:color="auto" w:sz="2" w:space="0"/>
              <w:right w:val="single" w:color="auto" w:sz="2" w:space="0"/>
            </w:tcBorders>
            <w:tcW w:w="240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306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518"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auto" w:sz="2" w:space="0"/>
              <w:left w:val="single" w:color="auto" w:sz="2" w:space="0"/>
              <w:bottom w:val="single" w:color="auto" w:sz="2" w:space="0"/>
            </w:tcBorders>
            <w:tcW w:w="2691" w:type="dxa"/>
            <w:vAlign w:val="center"/>
            <w:textDirection w:val="lrTb"/>
            <w:noWrap w:val="false"/>
          </w:tcPr>
          <w:p>
            <w:pPr>
              <w:ind w:left="0"/>
              <w:jc w:val="center"/>
              <w:pageBreakBefore w:val="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0"/>
        </w:trPr>
        <w:tc>
          <w:tcPr>
            <w:gridSpan w:val="4"/>
            <w:tcBorders>
              <w:top w:val="single" w:color="auto" w:sz="2" w:space="0"/>
            </w:tcBorders>
            <w:tcW w:w="10682" w:type="dxa"/>
            <w:vAlign w:val="center"/>
            <w:textDirection w:val="lrTb"/>
            <w:noWrap w:val="false"/>
          </w:tcPr>
          <w:p>
            <w:pPr>
              <w:pStyle w:val="980"/>
              <w:ind w:left="0"/>
              <w:jc w:val="left"/>
              <w:pageBreakBefore w:val="0"/>
              <w:spacing w:after="0" w:line="360" w:lineRule="auto"/>
              <w:rPr>
                <w:rFonts w:hint="eastAsia"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pStyle w:val="973"/>
        <w:ind w:left="0"/>
        <w:jc w:val="center"/>
        <w:pageBreakBefore w:val="0"/>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br w:type="page" w:clear="all"/>
      </w:r>
      <w:bookmarkStart w:id="89" w:name="_Toc27624"/>
      <w:r>
        <w:rPr>
          <w:rFonts w:hint="eastAsia" w:ascii="宋体" w:hAnsi="宋体" w:eastAsia="宋体" w:cs="宋体"/>
          <w:b w:val="0"/>
          <w:bCs w:val="0"/>
          <w:sz w:val="32"/>
          <w:szCs w:val="32"/>
          <w:highlight w:val="none"/>
        </w:rPr>
        <w:t xml:space="preserve">第二节 政府采购合同通用条款</w:t>
      </w:r>
      <w:bookmarkEnd w:id="89"/>
      <w:r/>
      <w:r/>
    </w:p>
    <w:p>
      <w:pPr>
        <w:ind w:left="0"/>
        <w:jc w:val="left"/>
        <w:pageBreakBefore w:val="0"/>
        <w:spacing w:line="360" w:lineRule="auto"/>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bCs/>
          <w:sz w:val="24"/>
          <w:szCs w:val="24"/>
          <w:highlight w:val="none"/>
        </w:rPr>
        <w:t xml:space="preserve">定义</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sz w:val="24"/>
          <w:szCs w:val="24"/>
          <w:highlight w:val="none"/>
        </w:rPr>
        <w:t xml:space="preserve">政府采购合同专用条款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政府采购合同通用条款</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投标（响应）文件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有关技术文件</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图纸</w:t>
      </w:r>
      <w:r>
        <w:rPr>
          <w:rFonts w:hint="eastAsia" w:ascii="宋体" w:hAnsi="宋体" w:eastAsia="宋体" w:cs="宋体"/>
          <w:sz w:val="24"/>
          <w:szCs w:val="24"/>
          <w:highlight w:val="none"/>
          <w:lang w:eastAsia="zh-CN"/>
        </w:rPr>
        <w:t xml:space="preserve">，以及</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left="0"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left"/>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4"/>
          <w:szCs w:val="24"/>
          <w:highlight w:val="none"/>
          <w14:textFill>
            <w14:solidFill>
              <w14:schemeClr w14:val="tx1"/>
            </w14:solidFill>
          </w14:textFill>
        </w:rPr>
        <w:t xml:space="preserve">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4"/>
          <w:szCs w:val="24"/>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left="0" w:firstLine="480"/>
        <w:jc w:val="left"/>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项目中的部分履约内容，分给具有相应资质条件的供应商履行合同的行为。</w:t>
      </w:r>
      <w:r/>
    </w:p>
    <w:p>
      <w:pPr>
        <w:ind w:left="0"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“联合体”系指</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两个以上的自然人、法人或者</w:t>
      </w:r>
      <w:r>
        <w:rPr>
          <w:rFonts w:hint="eastAsia" w:ascii="宋体" w:hAnsi="宋体" w:eastAsia="宋体" w:cs="宋体"/>
          <w:sz w:val="24"/>
          <w:szCs w:val="24"/>
          <w:highlight w:val="none"/>
          <w:lang w:val="en-US" w:eastAsia="zh-CN"/>
        </w:rPr>
        <w:t xml:space="preserve">非法人</w:t>
      </w:r>
      <w:r>
        <w:rPr>
          <w:rFonts w:hint="eastAsia" w:ascii="宋体" w:hAnsi="宋体" w:eastAsia="宋体" w:cs="宋体"/>
          <w:sz w:val="24"/>
          <w:szCs w:val="24"/>
          <w:highlight w:val="none"/>
        </w:rPr>
        <w:t xml:space="preserve">组织组成，</w:t>
      </w:r>
      <w:r>
        <w:rPr>
          <w:rFonts w:hint="eastAsia" w:ascii="宋体" w:hAnsi="宋体" w:eastAsia="宋体" w:cs="宋体"/>
          <w:sz w:val="24"/>
          <w:szCs w:val="24"/>
          <w:highlight w:val="none"/>
          <w:lang w:eastAsia="zh-CN"/>
        </w:rPr>
        <w:t xml:space="preserve">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7"/>
        </w:numPr>
        <w:ind w:left="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left="0" w:firstLine="480"/>
        <w:jc w:val="left"/>
        <w:pageBreakBefore w:val="0"/>
        <w:spacing w:line="360" w:lineRule="auto"/>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价款</w:t>
      </w:r>
      <w:r>
        <w:rPr>
          <w:rFonts w:hint="eastAsia" w:ascii="宋体" w:hAnsi="宋体" w:eastAsia="宋体" w:cs="宋体"/>
          <w:color w:val="000000" w:themeColor="text1"/>
          <w:sz w:val="24"/>
          <w:szCs w:val="24"/>
          <w:highlight w:val="none"/>
          <w14:textFill>
            <w14:solidFill>
              <w14:schemeClr w14:val="tx1"/>
            </w14:solidFill>
          </w14:textFill>
        </w:rPr>
        <w:t xml:space="preserve">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ind w:left="0"/>
        <w:jc w:val="left"/>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履行合同的时间、地点和方式</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sz w:val="24"/>
          <w:szCs w:val="24"/>
          <w:highlight w:val="none"/>
        </w:rPr>
        <w:t xml:space="preserve">乙方应当在约定的时间、地点</w:t>
      </w:r>
      <w:r>
        <w:rPr>
          <w:rFonts w:hint="eastAsia" w:ascii="宋体" w:hAnsi="宋体" w:eastAsia="宋体" w:cs="宋体"/>
          <w:sz w:val="24"/>
          <w:szCs w:val="24"/>
          <w:highlight w:val="none"/>
          <w:lang w:eastAsia="zh-CN"/>
        </w:rPr>
        <w:t xml:space="preserve">，按照约定</w:t>
      </w:r>
      <w:r>
        <w:rPr>
          <w:rFonts w:hint="eastAsia" w:ascii="宋体" w:hAnsi="宋体" w:eastAsia="宋体" w:cs="宋体"/>
          <w:sz w:val="24"/>
          <w:szCs w:val="24"/>
          <w:highlight w:val="none"/>
        </w:rPr>
        <w:t xml:space="preserve">方式履行合同。</w:t>
      </w:r>
      <w:r/>
    </w:p>
    <w:p>
      <w:pPr>
        <w:ind w:left="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甲方的权利和义务</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 甲方有权要求乙方对缺陷部分予以修复，并按合同约定享有货物保修及其他合同约定的权利。</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 w:val="24"/>
          <w:szCs w:val="24"/>
          <w:highlight w:val="none"/>
          <w:lang w:eastAsia="zh-CN"/>
        </w:rPr>
        <w:t xml:space="preserve">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视为验收通过。</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合同价款，不得以内部人员变更、履行内部付款流程等为由，拒绝或迟延支付。</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由甲方承担的其他义务和责任。</w:t>
      </w:r>
      <w:r/>
    </w:p>
    <w:p>
      <w:pPr>
        <w:ind w:left="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乙方的权利和义务</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 xml:space="preserve">，负责与本合同有关的事务。</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w:t>
      </w:r>
      <w:r>
        <w:rPr>
          <w:rFonts w:hint="eastAsia" w:ascii="宋体" w:hAnsi="宋体" w:eastAsia="宋体" w:cs="宋体"/>
          <w:color w:val="000000" w:themeColor="text1"/>
          <w:sz w:val="24"/>
          <w:szCs w:val="24"/>
          <w:highlight w:val="none"/>
          <w14:textFill>
            <w14:solidFill>
              <w14:schemeClr w14:val="tx1"/>
            </w14:solidFill>
          </w14:textFill>
        </w:rPr>
        <w:t xml:space="preserve">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w:t>
      </w:r>
      <w:r>
        <w:rPr>
          <w:rFonts w:hint="eastAsia" w:ascii="宋体" w:hAnsi="宋体" w:eastAsia="宋体" w:cs="宋体"/>
          <w:color w:val="000000" w:themeColor="text1"/>
          <w:sz w:val="24"/>
          <w:szCs w:val="24"/>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及验收</w:t>
      </w:r>
      <w:r>
        <w:rPr>
          <w:rFonts w:hint="eastAsia" w:ascii="宋体" w:hAnsi="宋体" w:eastAsia="宋体" w:cs="宋体"/>
          <w:color w:val="000000" w:themeColor="text1"/>
          <w:sz w:val="24"/>
          <w:szCs w:val="24"/>
          <w:highlight w:val="none"/>
          <w14:textFill>
            <w14:solidFill>
              <w14:schemeClr w14:val="tx1"/>
            </w14:solidFill>
          </w14:textFill>
        </w:rPr>
        <w:t xml:space="preserve">，并负责项目实施过程中的所有协调工作。</w:t>
      </w:r>
      <w:r/>
    </w:p>
    <w:p>
      <w:pPr>
        <w:pStyle w:val="979"/>
        <w:ind w:left="0" w:firstLine="422"/>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合同价款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79"/>
        <w:ind w:left="0" w:firstLine="422"/>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8"/>
        </w:numPr>
        <w:ind w:left="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行</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left="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ind w:left="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szCs w:val="24"/>
          <w:highlight w:val="none"/>
          <w14:textFill>
            <w14:solidFill>
              <w14:schemeClr w14:val="tx1"/>
            </w14:solidFill>
          </w14:textFill>
        </w:rPr>
        <w:t xml:space="preserve">要求</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 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约</w:t>
      </w:r>
      <w:r>
        <w:rPr>
          <w:rFonts w:hint="eastAsia" w:ascii="宋体" w:hAnsi="宋体" w:eastAsia="宋体" w:cs="宋体"/>
          <w:bCs/>
          <w:color w:val="000000" w:themeColor="text1"/>
          <w:sz w:val="24"/>
          <w:szCs w:val="24"/>
          <w:highlight w:val="none"/>
          <w14:textFill>
            <w14:solidFill>
              <w14:schemeClr w14:val="tx1"/>
            </w14:solidFill>
          </w14:textFill>
        </w:rPr>
        <w:t xml:space="preserve">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 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约</w:t>
      </w:r>
      <w:r>
        <w:rPr>
          <w:rFonts w:hint="eastAsia" w:ascii="宋体" w:hAnsi="宋体" w:eastAsia="宋体" w:cs="宋体"/>
          <w:bCs/>
          <w:color w:val="000000" w:themeColor="text1"/>
          <w:sz w:val="24"/>
          <w:szCs w:val="24"/>
          <w:highlight w:val="none"/>
          <w14:textFill>
            <w14:solidFill>
              <w14:schemeClr w14:val="tx1"/>
            </w14:solidFill>
          </w14:textFill>
        </w:rPr>
        <w:t xml:space="preserve">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 w:val="24"/>
          <w:szCs w:val="24"/>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w:t>
      </w:r>
      <w:r>
        <w:rPr>
          <w:rFonts w:hint="eastAsia" w:ascii="宋体" w:hAnsi="宋体" w:eastAsia="宋体" w:cs="宋体"/>
          <w:color w:val="000000" w:themeColor="text1"/>
          <w:sz w:val="24"/>
          <w:szCs w:val="24"/>
          <w:highlight w:val="none"/>
          <w14:textFill>
            <w14:solidFill>
              <w14:schemeClr w14:val="tx1"/>
            </w14:solidFill>
          </w14:textFill>
        </w:rPr>
        <w:t xml:space="preserve">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价款</w:t>
      </w:r>
      <w:r>
        <w:rPr>
          <w:rFonts w:hint="eastAsia" w:ascii="宋体" w:hAnsi="宋体" w:eastAsia="宋体" w:cs="宋体"/>
          <w:color w:val="000000" w:themeColor="text1"/>
          <w:sz w:val="24"/>
          <w:szCs w:val="24"/>
          <w:highlight w:val="none"/>
          <w14:textFill>
            <w14:solidFill>
              <w14:schemeClr w14:val="tx1"/>
            </w14:solidFill>
          </w14:textFill>
        </w:rPr>
        <w:t xml:space="preserve">中。</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 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 w:val="24"/>
          <w:szCs w:val="24"/>
          <w:highlight w:val="none"/>
          <w14:textFill>
            <w14:solidFill>
              <w14:schemeClr w14:val="tx1"/>
            </w14:solidFill>
          </w14:textFill>
        </w:rPr>
        <w:t xml:space="preserve">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 w:val="24"/>
          <w:szCs w:val="24"/>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 w:val="24"/>
          <w:szCs w:val="24"/>
          <w:highlight w:val="none"/>
          <w14:textFill>
            <w14:solidFill>
              <w14:schemeClr w14:val="tx1"/>
            </w14:solidFill>
          </w14:textFill>
        </w:rPr>
        <w:t xml:space="preserve">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，并作为履约验收的内容，必要时甲方可以要求乙方在履约验收环节出具检测报告。</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sz w:val="24"/>
          <w:szCs w:val="24"/>
          <w:highlight w:val="none"/>
        </w:rPr>
        <w:t xml:space="preserve">乙方在运输到达之前</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提前通知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，并提示货物运输装卸的注意事项</w:t>
      </w:r>
      <w:r>
        <w:rPr>
          <w:rFonts w:hint="eastAsia" w:ascii="宋体" w:hAnsi="宋体" w:eastAsia="宋体" w:cs="宋体"/>
          <w:color w:val="000000"/>
          <w:sz w:val="24"/>
          <w:szCs w:val="24"/>
          <w:highlight w:val="none"/>
          <w:lang w:eastAsia="zh-CN"/>
        </w:rPr>
        <w:t xml:space="preserve">，甲方配合乙方做好货物的接收工作。</w:t>
      </w:r>
      <w:r/>
    </w:p>
    <w:p>
      <w:pPr>
        <w:pStyle w:val="978"/>
        <w:ind w:left="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sz w:val="24"/>
          <w:szCs w:val="24"/>
          <w:highlight w:val="none"/>
        </w:rPr>
        <w:t xml:space="preserve">如因包装</w:t>
      </w:r>
      <w:r>
        <w:rPr>
          <w:rFonts w:hint="eastAsia" w:ascii="宋体" w:hAnsi="宋体" w:eastAsia="宋体" w:cs="宋体"/>
          <w:color w:val="000000"/>
          <w:sz w:val="24"/>
          <w:szCs w:val="24"/>
          <w:highlight w:val="none"/>
          <w:lang w:eastAsia="zh-CN"/>
        </w:rPr>
        <w:t xml:space="preserve">、运输</w:t>
      </w:r>
      <w:r>
        <w:rPr>
          <w:rFonts w:hint="eastAsia" w:ascii="宋体" w:hAnsi="宋体" w:eastAsia="宋体" w:cs="宋体"/>
          <w:color w:val="000000"/>
          <w:sz w:val="24"/>
          <w:szCs w:val="24"/>
          <w:highlight w:val="none"/>
        </w:rPr>
        <w:t xml:space="preserve">问题导致货物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有权要求降价、换货、拒收部分或整批货物，由此</w:t>
      </w:r>
      <w:r>
        <w:rPr>
          <w:rFonts w:hint="eastAsia" w:ascii="宋体" w:hAnsi="宋体" w:eastAsia="宋体" w:cs="宋体"/>
          <w:color w:val="000000"/>
          <w:sz w:val="24"/>
          <w:szCs w:val="24"/>
          <w:highlight w:val="none"/>
          <w:lang w:eastAsia="zh-CN"/>
        </w:rPr>
        <w:t xml:space="preserve">产生</w:t>
      </w:r>
      <w:r>
        <w:rPr>
          <w:rFonts w:hint="eastAsia" w:ascii="宋体" w:hAnsi="宋体" w:eastAsia="宋体" w:cs="宋体"/>
          <w:color w:val="000000"/>
          <w:sz w:val="24"/>
          <w:szCs w:val="24"/>
          <w:highlight w:val="none"/>
        </w:rPr>
        <w:t xml:space="preserve">的费用和损失，均由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p>
    <w:p>
      <w:pPr>
        <w:ind w:left="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auto"/>
          <w:sz w:val="24"/>
          <w:szCs w:val="24"/>
          <w:highlight w:val="none"/>
        </w:rPr>
        <w:t xml:space="preserve">质量标准和保证</w:t>
      </w:r>
      <w:r/>
    </w:p>
    <w:p>
      <w:pPr>
        <w:pStyle w:val="981"/>
        <w:ind w:left="0"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 质量标准</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rPr>
        <w:t xml:space="preserve">定的</w:t>
      </w:r>
      <w:r>
        <w:rPr>
          <w:rFonts w:hint="eastAsia" w:ascii="宋体" w:hAnsi="宋体" w:eastAsia="宋体" w:cs="宋体"/>
          <w:sz w:val="24"/>
          <w:szCs w:val="24"/>
          <w:highlight w:val="none"/>
        </w:rPr>
        <w:t xml:space="preserve">品牌、规格型号、技术性能、配置、质量、数量等要求。</w:t>
      </w:r>
      <w:r>
        <w:rPr>
          <w:rFonts w:hint="eastAsia" w:ascii="宋体" w:hAnsi="宋体" w:eastAsia="宋体" w:cs="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981"/>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 保证</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highlight w:val="none"/>
        </w:rPr>
        <w:t xml:space="preserve">在其使用寿命期内具</w:t>
      </w:r>
      <w:r>
        <w:rPr>
          <w:rFonts w:hint="eastAsia" w:ascii="宋体" w:hAnsi="宋体" w:eastAsia="宋体" w:cs="宋体"/>
          <w:sz w:val="24"/>
          <w:szCs w:val="24"/>
          <w:highlight w:val="none"/>
          <w:lang w:eastAsia="zh-CN"/>
        </w:rPr>
        <w:t xml:space="preserve">备合同约定</w:t>
      </w:r>
      <w:r>
        <w:rPr>
          <w:rFonts w:hint="eastAsia" w:ascii="宋体" w:hAnsi="宋体" w:eastAsia="宋体" w:cs="宋体"/>
          <w:sz w:val="24"/>
          <w:szCs w:val="24"/>
          <w:highlight w:val="none"/>
        </w:rPr>
        <w:t xml:space="preserve">的性能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的违约责任</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auto"/>
          <w:sz w:val="24"/>
          <w:szCs w:val="24"/>
          <w:highlight w:val="none"/>
        </w:rPr>
        <w:t xml:space="preserve">权利瑕疵担保</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 乙方保证对其出售的货物享有合法的权利。</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sz w:val="24"/>
          <w:szCs w:val="24"/>
          <w:highlight w:val="none"/>
        </w:rPr>
        <w:t xml:space="preserve">乙方保证在交付的货物上不存在抵押权等担保物权。</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w:t>
      </w:r>
      <w:r>
        <w:rPr>
          <w:rFonts w:hint="eastAsia" w:ascii="宋体" w:hAnsi="宋体" w:eastAsia="宋体" w:cs="宋体"/>
          <w:color w:val="000000" w:themeColor="text1"/>
          <w:sz w:val="24"/>
          <w:szCs w:val="24"/>
          <w:highlight w:val="none"/>
          <w14:textFill>
            <w14:solidFill>
              <w14:schemeClr w14:val="tx1"/>
            </w14:solidFill>
          </w14:textFill>
        </w:rPr>
        <w:t xml:space="preserve">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 w:val="24"/>
          <w:szCs w:val="24"/>
          <w:highlight w:val="none"/>
          <w14:textFill>
            <w14:solidFill>
              <w14:schemeClr w14:val="tx1"/>
            </w14:solidFill>
          </w14:textFill>
        </w:rPr>
        <w:t xml:space="preserve">侵权的，则由乙方承担全部责任。</w:t>
      </w:r>
      <w:r/>
    </w:p>
    <w:p>
      <w:pPr>
        <w:ind w:left="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知识产权保护</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 w:val="24"/>
          <w:szCs w:val="24"/>
          <w:highlight w:val="none"/>
        </w:rPr>
        <w:t xml:space="preserve">何第三人的知识产权等权利。</w:t>
      </w:r>
      <w:bookmarkStart w:id="90"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90"/>
      <w:r>
        <w:rPr>
          <w:rFonts w:hint="eastAsia" w:ascii="宋体" w:hAnsi="宋体" w:eastAsia="宋体" w:cs="宋体"/>
          <w:color w:val="auto"/>
          <w:sz w:val="24"/>
          <w:szCs w:val="24"/>
          <w:highlight w:val="none"/>
        </w:rPr>
        <w:t xml:space="preserve">。</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保密义务</w:t>
      </w:r>
      <w:r/>
    </w:p>
    <w:p>
      <w:pPr>
        <w:ind w:left="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11.1 </w:t>
      </w:r>
      <w:r>
        <w:rPr>
          <w:rFonts w:hint="eastAsia" w:ascii="宋体" w:hAnsi="宋体" w:eastAsia="宋体" w:cs="宋体"/>
          <w:sz w:val="24"/>
          <w:szCs w:val="24"/>
          <w:highlight w:val="none"/>
        </w:rPr>
        <w:t xml:space="preserve">甲、乙双方</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采购和合同履行过程中所获悉的</w:t>
      </w:r>
      <w:r>
        <w:rPr>
          <w:rFonts w:hint="eastAsia" w:ascii="宋体" w:hAnsi="宋体" w:eastAsia="宋体" w:cs="宋体"/>
          <w:sz w:val="24"/>
          <w:szCs w:val="24"/>
          <w:highlight w:val="none"/>
          <w:lang w:eastAsia="zh-CN"/>
        </w:rPr>
        <w:t xml:space="preserve">国家秘密、工作秘密、</w:t>
      </w:r>
      <w:r>
        <w:rPr>
          <w:rFonts w:hint="eastAsia" w:ascii="宋体" w:hAnsi="宋体" w:eastAsia="宋体" w:cs="宋体"/>
          <w:sz w:val="24"/>
          <w:szCs w:val="24"/>
          <w:highlight w:val="none"/>
        </w:rPr>
        <w:t xml:space="preserve">商业秘密或者其他应当保密的信息，均有保密义务</w:t>
      </w:r>
      <w:r>
        <w:rPr>
          <w:rFonts w:hint="eastAsia" w:ascii="宋体" w:hAnsi="宋体" w:eastAsia="宋体" w:cs="宋体"/>
          <w:sz w:val="24"/>
          <w:szCs w:val="24"/>
          <w:highlight w:val="none"/>
          <w:lang w:eastAsia="zh-CN"/>
        </w:rPr>
        <w:t xml:space="preserve">且不受合同有效期所限，直至该信息成为公开信息</w:t>
      </w:r>
      <w:r>
        <w:rPr>
          <w:rFonts w:hint="eastAsia" w:ascii="宋体" w:hAnsi="宋体" w:eastAsia="宋体" w:cs="宋体"/>
          <w:sz w:val="24"/>
          <w:szCs w:val="24"/>
          <w:highlight w:val="none"/>
        </w:rPr>
        <w:t xml:space="preserve">。泄露、不正当地使用</w:t>
      </w:r>
      <w:r>
        <w:rPr>
          <w:rFonts w:hint="eastAsia" w:ascii="宋体" w:hAnsi="宋体" w:eastAsia="宋体" w:cs="宋体"/>
          <w:sz w:val="24"/>
          <w:szCs w:val="24"/>
          <w:highlight w:val="none"/>
          <w:lang w:eastAsia="zh-CN"/>
        </w:rPr>
        <w:t xml:space="preserve">国家秘密、工作秘密、</w:t>
      </w:r>
      <w:r>
        <w:rPr>
          <w:rFonts w:hint="eastAsia" w:ascii="宋体" w:hAnsi="宋体" w:eastAsia="宋体" w:cs="宋体"/>
          <w:sz w:val="24"/>
          <w:szCs w:val="24"/>
          <w:highlight w:val="none"/>
        </w:rPr>
        <w:t xml:space="preserve">商业秘密或者</w:t>
      </w:r>
      <w:r>
        <w:rPr>
          <w:rFonts w:hint="eastAsia" w:ascii="宋体" w:hAnsi="宋体" w:eastAsia="宋体" w:cs="宋体"/>
          <w:sz w:val="24"/>
          <w:szCs w:val="24"/>
          <w:highlight w:val="none"/>
          <w:lang w:eastAsia="zh-CN"/>
        </w:rPr>
        <w:t xml:space="preserve">其他应当保密的</w:t>
      </w:r>
      <w:r>
        <w:rPr>
          <w:rFonts w:hint="eastAsia" w:ascii="宋体" w:hAnsi="宋体" w:eastAsia="宋体" w:cs="宋体"/>
          <w:sz w:val="24"/>
          <w:szCs w:val="24"/>
          <w:highlight w:val="none"/>
        </w:rPr>
        <w:t xml:space="preserve">信息，应当承担</w:t>
      </w:r>
      <w:r>
        <w:rPr>
          <w:rFonts w:hint="eastAsia" w:ascii="宋体" w:hAnsi="宋体" w:eastAsia="宋体" w:cs="宋体"/>
          <w:sz w:val="24"/>
          <w:szCs w:val="24"/>
          <w:highlight w:val="none"/>
          <w:lang w:eastAsia="zh-CN"/>
        </w:rPr>
        <w:t xml:space="preserve">相应</w:t>
      </w:r>
      <w:r>
        <w:rPr>
          <w:rFonts w:hint="eastAsia" w:ascii="宋体" w:hAnsi="宋体" w:eastAsia="宋体" w:cs="宋体"/>
          <w:sz w:val="24"/>
          <w:szCs w:val="24"/>
          <w:highlight w:val="none"/>
        </w:rPr>
        <w:t xml:space="preserve">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合同价款支付</w:t>
      </w:r>
      <w:r/>
    </w:p>
    <w:p>
      <w:pPr>
        <w:ind w:left="0"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pStyle w:val="973"/>
        <w:ind w:left="0" w:firstLine="480"/>
        <w:pageBreakBefore w:val="0"/>
        <w:spacing w:before="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sz w:val="24"/>
          <w:szCs w:val="24"/>
          <w:highlight w:val="none"/>
        </w:rPr>
        <w:t xml:space="preserve">对于满足合同约定支付条件的，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宋体" w:hAnsi="宋体" w:eastAsia="宋体" w:cs="宋体"/>
          <w:b w:val="0"/>
          <w:bCs w:val="0"/>
          <w:color w:val="auto"/>
          <w:sz w:val="24"/>
          <w:szCs w:val="24"/>
          <w:highlight w:val="none"/>
        </w:rPr>
        <w:t xml:space="preserve">将资金支付到合同约定的</w:t>
      </w:r>
      <w:r>
        <w:rPr>
          <w:rFonts w:hint="eastAsia" w:ascii="宋体" w:hAnsi="宋体" w:eastAsia="宋体" w:cs="宋体"/>
          <w:b w:val="0"/>
          <w:bCs w:val="0"/>
          <w:color w:val="auto"/>
          <w:sz w:val="24"/>
          <w:szCs w:val="24"/>
          <w:highlight w:val="none"/>
          <w:lang w:eastAsia="zh-CN"/>
        </w:rPr>
        <w:t xml:space="preserve">乙方</w:t>
      </w:r>
      <w:r>
        <w:rPr>
          <w:rFonts w:hint="eastAsia" w:ascii="宋体" w:hAnsi="宋体" w:eastAsia="宋体" w:cs="宋体"/>
          <w:b w:val="0"/>
          <w:bCs w:val="0"/>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rPr>
        <w:t xml:space="preserve">】中</w:t>
      </w:r>
      <w:r>
        <w:rPr>
          <w:rFonts w:hint="eastAsia" w:ascii="宋体" w:hAnsi="宋体" w:eastAsia="宋体" w:cs="宋体"/>
          <w:b w:val="0"/>
          <w:bCs w:val="0"/>
          <w:color w:val="auto"/>
          <w:sz w:val="24"/>
          <w:szCs w:val="24"/>
          <w:highlight w:val="none"/>
          <w:lang w:eastAsia="zh-CN"/>
        </w:rPr>
        <w:t xml:space="preserve">约</w:t>
      </w:r>
      <w:r>
        <w:rPr>
          <w:rFonts w:hint="eastAsia" w:ascii="宋体" w:hAnsi="宋体" w:eastAsia="宋体" w:cs="宋体"/>
          <w:b w:val="0"/>
          <w:bCs w:val="0"/>
          <w:color w:val="auto"/>
          <w:sz w:val="24"/>
          <w:szCs w:val="24"/>
          <w:highlight w:val="none"/>
        </w:rPr>
        <w:t xml:space="preserve">定。</w:t>
      </w:r>
      <w:r/>
    </w:p>
    <w:p>
      <w:pPr>
        <w:pStyle w:val="979"/>
        <w:ind w:left="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sz w:val="24"/>
          <w:szCs w:val="24"/>
          <w:highlight w:val="none"/>
        </w:rPr>
        <w:t xml:space="preserve">乙方应当以支票、汇票、本票或者金融机构、担保机构出具的保函等非现金形式提交。</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 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left="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售后服务</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 除项目不涉及或采购活动中明确约定无须承担外，乙方还应提供下列服务：</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sz w:val="24"/>
          <w:szCs w:val="24"/>
          <w:highlight w:val="none"/>
          <w:lang w:eastAsia="zh-CN"/>
        </w:rPr>
        <w:t xml:space="preserve">；</w:t>
      </w:r>
      <w:r/>
    </w:p>
    <w:p>
      <w:pPr>
        <w:pStyle w:val="978"/>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违约责任</w:t>
      </w:r>
      <w:r/>
    </w:p>
    <w:p>
      <w:pPr>
        <w:ind w:lef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 迟延交货的违约责任</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left="0"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 迟延支付的违约责任</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9"/>
        </w:numPr>
        <w:ind w:left="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left="0" w:firstLine="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w:t>
      </w:r>
      <w:r>
        <w:rPr>
          <w:rFonts w:hint="eastAsia" w:ascii="宋体" w:hAnsi="宋体" w:eastAsia="宋体" w:cs="宋体"/>
          <w:sz w:val="24"/>
          <w:szCs w:val="24"/>
          <w:highlight w:val="none"/>
          <w:lang w:eastAsia="zh-CN"/>
        </w:rPr>
        <w:t xml:space="preserve">及时告知</w:t>
      </w:r>
      <w:r>
        <w:rPr>
          <w:rFonts w:hint="eastAsia" w:ascii="宋体" w:hAnsi="宋体" w:eastAsia="宋体" w:cs="宋体"/>
          <w:sz w:val="24"/>
          <w:szCs w:val="24"/>
          <w:highlight w:val="none"/>
        </w:rPr>
        <w:t xml:space="preserve">甲方，致使</w:t>
      </w:r>
      <w:r>
        <w:rPr>
          <w:rFonts w:hint="eastAsia" w:ascii="宋体" w:hAnsi="宋体" w:eastAsia="宋体" w:cs="宋体"/>
          <w:sz w:val="24"/>
          <w:szCs w:val="24"/>
          <w:highlight w:val="none"/>
          <w:lang w:eastAsia="zh-CN"/>
        </w:rPr>
        <w:t xml:space="preserve">合同</w:t>
      </w:r>
      <w:r>
        <w:rPr>
          <w:rFonts w:hint="eastAsia" w:ascii="宋体" w:hAnsi="宋体" w:eastAsia="宋体" w:cs="宋体"/>
          <w:sz w:val="24"/>
          <w:szCs w:val="24"/>
          <w:highlight w:val="none"/>
        </w:rPr>
        <w:t xml:space="preserve">履行发生困难的，甲方可以中止合同履行并要求乙方承担由此给甲方造成的损失。</w:t>
      </w:r>
      <w:r/>
    </w:p>
    <w:p>
      <w:pPr>
        <w:ind w:left="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并追究乙方的违约责</w:t>
      </w:r>
      <w:r>
        <w:rPr>
          <w:rFonts w:hint="eastAsia" w:ascii="宋体" w:hAnsi="宋体" w:eastAsia="宋体" w:cs="宋体"/>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978"/>
        <w:ind w:left="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sz w:val="24"/>
          <w:szCs w:val="24"/>
          <w:highlight w:val="none"/>
          <w:lang w:val="en-US" w:eastAsia="zh-CN"/>
        </w:rPr>
        <w:t xml:space="preserve">涉及国家利益、社会公共利益的情形</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highlight w:val="none"/>
        </w:rPr>
        <w:t xml:space="preserve">中止</w:t>
      </w:r>
      <w:r>
        <w:rPr>
          <w:rFonts w:hint="eastAsia" w:ascii="宋体" w:hAnsi="宋体" w:eastAsia="宋体" w:cs="宋体"/>
          <w:sz w:val="24"/>
          <w:szCs w:val="24"/>
          <w:highlight w:val="none"/>
          <w:lang w:eastAsia="zh-CN"/>
        </w:rPr>
        <w:t xml:space="preserve">或者终止</w:t>
      </w:r>
      <w:r>
        <w:rPr>
          <w:rFonts w:hint="eastAsia" w:ascii="宋体" w:hAnsi="宋体" w:eastAsia="宋体" w:cs="宋体"/>
          <w:sz w:val="24"/>
          <w:szCs w:val="24"/>
          <w:highlight w:val="none"/>
        </w:rPr>
        <w:t xml:space="preserve">合同。有过错的一方应当承担赔偿责任，双方都有过错的，各自承担相应的责任。</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合同分包</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不可抗力</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不可抗力是指合同双方不能预见、不能避免且不能克服的客观情况。</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任何一方对由于不可抗力造成的部分或全部不能履行合同不承担违约责任。但迟延履行后发生不可抗力的，不能免除责任。</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解决争议的方法</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.1 因本合同及合同有关事项发生的争议，由</w:t>
      </w:r>
      <w:r>
        <w:rPr>
          <w:rFonts w:hint="eastAsia" w:ascii="宋体" w:hAnsi="宋体" w:eastAsia="宋体" w:cs="宋体"/>
          <w:sz w:val="24"/>
          <w:szCs w:val="24"/>
          <w:highlight w:val="none"/>
          <w:lang w:eastAsia="zh-CN"/>
        </w:rPr>
        <w:t xml:space="preserve">甲乙双</w:t>
      </w:r>
      <w:r>
        <w:rPr>
          <w:rFonts w:hint="eastAsia" w:ascii="宋体" w:hAnsi="宋体" w:eastAsia="宋体" w:cs="宋体"/>
          <w:sz w:val="24"/>
          <w:szCs w:val="24"/>
          <w:highlight w:val="none"/>
        </w:rPr>
        <w:t xml:space="preserve">方友好协商解决。协商不成时，可以</w:t>
      </w:r>
      <w:r>
        <w:rPr>
          <w:rFonts w:hint="eastAsia" w:ascii="宋体" w:hAnsi="宋体" w:eastAsia="宋体" w:cs="宋体"/>
          <w:sz w:val="24"/>
          <w:szCs w:val="24"/>
          <w:highlight w:val="none"/>
          <w:lang w:eastAsia="zh-CN"/>
        </w:rPr>
        <w:t xml:space="preserve">向有关组织申请</w:t>
      </w:r>
      <w:r>
        <w:rPr>
          <w:rFonts w:hint="eastAsia" w:ascii="宋体" w:hAnsi="宋体" w:eastAsia="宋体" w:cs="宋体"/>
          <w:sz w:val="24"/>
          <w:szCs w:val="24"/>
          <w:highlight w:val="none"/>
        </w:rPr>
        <w:t xml:space="preserve">调解。合同一方或</w:t>
      </w:r>
      <w:r>
        <w:rPr>
          <w:rFonts w:hint="eastAsia" w:ascii="宋体" w:hAnsi="宋体" w:eastAsia="宋体" w:cs="宋体"/>
          <w:sz w:val="24"/>
          <w:szCs w:val="24"/>
          <w:highlight w:val="none"/>
          <w:lang w:eastAsia="zh-CN"/>
        </w:rPr>
        <w:t xml:space="preserve">双</w:t>
      </w:r>
      <w:r>
        <w:rPr>
          <w:rFonts w:hint="eastAsia" w:ascii="宋体" w:hAnsi="宋体" w:eastAsia="宋体" w:cs="宋体"/>
          <w:sz w:val="24"/>
          <w:szCs w:val="24"/>
          <w:highlight w:val="none"/>
        </w:rPr>
        <w:t xml:space="preserve">方不愿调解或调解不成的，可以通过仲裁或诉讼的方式解决争议。</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.3 如</w:t>
      </w:r>
      <w:r>
        <w:rPr>
          <w:rFonts w:hint="eastAsia" w:ascii="宋体" w:hAnsi="宋体" w:eastAsia="宋体" w:cs="宋体"/>
          <w:sz w:val="24"/>
          <w:szCs w:val="24"/>
          <w:highlight w:val="none"/>
          <w:lang w:eastAsia="zh-CN"/>
        </w:rPr>
        <w:t xml:space="preserve">甲乙双方</w:t>
      </w:r>
      <w:r>
        <w:rPr>
          <w:rFonts w:hint="eastAsia" w:ascii="宋体" w:hAnsi="宋体" w:eastAsia="宋体" w:cs="宋体"/>
          <w:sz w:val="24"/>
          <w:szCs w:val="24"/>
          <w:highlight w:val="none"/>
        </w:rPr>
        <w:t xml:space="preserve">有争议的事项不影响合同其他部分的履行，在争议解决期间，合同其他部分应</w:t>
      </w:r>
      <w:r>
        <w:rPr>
          <w:rFonts w:hint="eastAsia" w:ascii="宋体" w:hAnsi="宋体" w:eastAsia="宋体" w:cs="宋体"/>
          <w:sz w:val="24"/>
          <w:szCs w:val="24"/>
          <w:highlight w:val="none"/>
          <w:lang w:eastAsia="zh-CN"/>
        </w:rPr>
        <w:t xml:space="preserve">当</w:t>
      </w:r>
      <w:r>
        <w:rPr>
          <w:rFonts w:hint="eastAsia" w:ascii="宋体" w:hAnsi="宋体" w:eastAsia="宋体" w:cs="宋体"/>
          <w:sz w:val="24"/>
          <w:szCs w:val="24"/>
          <w:highlight w:val="none"/>
        </w:rPr>
        <w:t xml:space="preserve">继续履行。</w:t>
      </w:r>
      <w:r/>
    </w:p>
    <w:p>
      <w:pPr>
        <w:ind w:lef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政府采购政策</w:t>
      </w:r>
      <w:r/>
    </w:p>
    <w:p>
      <w:pPr>
        <w:ind w:left="0"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sz w:val="24"/>
          <w:szCs w:val="24"/>
          <w:highlight w:val="none"/>
          <w:lang w:val="en-GB"/>
        </w:rPr>
        <w:t xml:space="preserve">本合同应当按照规定执行政府采购政策。</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highlight w:val="none"/>
          <w:lang w:eastAsia="zh-CN"/>
        </w:rPr>
        <w:t xml:space="preserve">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979"/>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法律适用</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 本合同的订立、生效、解释、履行及与本合同有关的争议解决，均适用法律、行政法规。</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 本合同条款与法律、行政法规的强制性规定不一致的，双方当事人应按照法律、行政法规的强制性规定修改本合同的相关条款。</w:t>
      </w:r>
      <w:r/>
    </w:p>
    <w:p>
      <w:pPr>
        <w:numPr>
          <w:ilvl w:val="-1"/>
          <w:numId w:val="0"/>
        </w:numPr>
        <w:ind w:left="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 xml:space="preserve">通知</w:t>
      </w:r>
      <w:r/>
    </w:p>
    <w:p>
      <w:pPr>
        <w:pStyle w:val="978"/>
        <w:ind w:left="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978"/>
        <w:ind w:left="0" w:firstLine="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一方当事人变更名称、</w:t>
      </w:r>
      <w:r>
        <w:rPr>
          <w:rFonts w:hint="eastAsia" w:ascii="宋体" w:hAnsi="宋体" w:eastAsia="宋体" w:cs="宋体"/>
          <w:sz w:val="24"/>
          <w:szCs w:val="24"/>
          <w:highlight w:val="none"/>
          <w:lang w:eastAsia="zh-CN"/>
        </w:rPr>
        <w:t xml:space="preserve">住所</w:t>
      </w:r>
      <w:r>
        <w:rPr>
          <w:rFonts w:hint="eastAsia" w:ascii="宋体" w:hAnsi="宋体" w:eastAsia="宋体" w:cs="宋体"/>
          <w:sz w:val="24"/>
          <w:szCs w:val="24"/>
          <w:highlight w:val="none"/>
        </w:rPr>
        <w:t xml:space="preserve">、联系人、联系电话或电子邮箱</w:t>
      </w:r>
      <w:r>
        <w:rPr>
          <w:rFonts w:hint="eastAsia" w:ascii="宋体" w:hAnsi="宋体" w:eastAsia="宋体" w:cs="宋体"/>
          <w:sz w:val="24"/>
          <w:szCs w:val="24"/>
          <w:highlight w:val="none"/>
          <w:lang w:eastAsia="zh-CN"/>
        </w:rPr>
        <w:t xml:space="preserve">等信息</w:t>
      </w:r>
      <w:r>
        <w:rPr>
          <w:rFonts w:hint="eastAsia" w:ascii="宋体" w:hAnsi="宋体" w:eastAsia="宋体" w:cs="宋体"/>
          <w:sz w:val="24"/>
          <w:szCs w:val="24"/>
          <w:highlight w:val="none"/>
        </w:rPr>
        <w:t xml:space="preserve">的，应当在变更后3日内及时书面通知对方，对方实际收到变更通知前的送达仍为有效送达。</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10"/>
        </w:numPr>
        <w:ind w:left="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lef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left="0" w:firstLine="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91" w:name="_Toc20313"/>
      <w:r/>
      <w:r/>
    </w:p>
    <w:p>
      <w:pPr>
        <w:ind w:left="0"/>
        <w:jc w:val="center"/>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br w:type="page" w:clear="all"/>
      </w:r>
      <w:r/>
    </w:p>
    <w:p>
      <w:pPr>
        <w:pStyle w:val="973"/>
        <w:ind w:left="0"/>
        <w:jc w:val="center"/>
        <w:pageBreakBefore w:val="0"/>
        <w:spacing w:before="0"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第三节 政府采购合同专用条款</w:t>
      </w:r>
      <w:bookmarkEnd w:id="91"/>
      <w:r/>
      <w:r/>
    </w:p>
    <w:tbl>
      <w:tblPr>
        <w:tblStyle w:val="977"/>
        <w:tblW w:w="1068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15"/>
        <w:gridCol w:w="2184"/>
        <w:gridCol w:w="6483"/>
      </w:tblGrid>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联合体具体要求</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其他术语解释</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履约验收中甲方提出异议或作出说明的期限</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约定甲方承担的其他义务和责任</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约定乙方承担的其他义务和责任</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履行合同义务的顺序</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0"/>
        </w:trPr>
        <w:tc>
          <w:tcPr>
            <w:tcW w:w="2015" w:type="dxa"/>
            <w:vAlign w:val="center"/>
            <w:vMerge w:val="restart"/>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包装</w:t>
            </w:r>
            <w:r>
              <w:rPr>
                <w:rFonts w:hint="eastAsia" w:ascii="宋体" w:hAnsi="宋体" w:eastAsia="宋体" w:cs="宋体"/>
                <w:sz w:val="24"/>
                <w:szCs w:val="24"/>
                <w:highlight w:val="none"/>
                <w:lang w:eastAsia="zh-CN"/>
              </w:rPr>
              <w:t xml:space="preserve">特殊要求</w:t>
            </w:r>
            <w:r/>
          </w:p>
        </w:tc>
        <w:tc>
          <w:tcPr>
            <w:tcW w:w="6483" w:type="dxa"/>
            <w:vAlign w:val="center"/>
            <w:textDirection w:val="lrTb"/>
            <w:noWrap w:val="false"/>
          </w:tcPr>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vMerge w:val="continue"/>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指定现场</w:t>
            </w:r>
            <w:r/>
          </w:p>
        </w:tc>
        <w:tc>
          <w:tcPr>
            <w:tcW w:w="6483" w:type="dxa"/>
            <w:vAlign w:val="center"/>
            <w:textDirection w:val="lrTb"/>
            <w:noWrap w:val="false"/>
          </w:tcPr>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运输特殊要求</w:t>
            </w:r>
            <w:r/>
          </w:p>
        </w:tc>
        <w:tc>
          <w:tcPr>
            <w:tcW w:w="6483" w:type="dxa"/>
            <w:vAlign w:val="center"/>
            <w:textDirection w:val="lrTb"/>
            <w:noWrap w:val="false"/>
          </w:tcPr>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保险要求</w:t>
            </w:r>
            <w:r/>
          </w:p>
        </w:tc>
        <w:tc>
          <w:tcPr>
            <w:tcW w:w="6483" w:type="dxa"/>
            <w:vAlign w:val="center"/>
            <w:textDirection w:val="lrTb"/>
            <w:noWrap w:val="false"/>
          </w:tcPr>
          <w:p>
            <w:pPr>
              <w:ind w:left="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6483" w:type="dxa"/>
            <w:vAlign w:val="center"/>
            <w:textDirection w:val="lrTb"/>
            <w:noWrap w:val="false"/>
          </w:tcPr>
          <w:p>
            <w:pPr>
              <w:ind w:left="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货物质量缺陷</w:t>
            </w:r>
            <w:r/>
          </w:p>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响应时间</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pStyle w:val="978"/>
              <w:ind w:left="0" w:firstLine="0"/>
              <w:jc w:val="cente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184" w:type="dxa"/>
            <w:vAlign w:val="center"/>
            <w:textDirection w:val="lrTb"/>
            <w:noWrap w:val="false"/>
          </w:tcPr>
          <w:p>
            <w:pPr>
              <w:ind w:left="0"/>
              <w:jc w:val="both"/>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其他应当保密的信息</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合同价款支付</w:t>
            </w:r>
            <w:r>
              <w:rPr>
                <w:rFonts w:hint="eastAsia" w:ascii="宋体" w:hAnsi="宋体" w:eastAsia="宋体" w:cs="宋体"/>
                <w:sz w:val="24"/>
                <w:szCs w:val="24"/>
                <w:highlight w:val="none"/>
                <w:lang w:eastAsia="zh-CN"/>
              </w:rPr>
              <w:t xml:space="preserve">时间</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履约保证金不予退还的情形</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履约保证金退还时间及</w:t>
            </w:r>
            <w:r>
              <w:rPr>
                <w:rFonts w:hint="eastAsia" w:ascii="宋体" w:hAnsi="宋体" w:eastAsia="宋体" w:cs="宋体"/>
                <w:sz w:val="24"/>
                <w:szCs w:val="24"/>
                <w:highlight w:val="none"/>
                <w:lang w:eastAsia="zh-CN"/>
              </w:rPr>
              <w:t xml:space="preserve">逾期退还的</w:t>
            </w:r>
            <w:r>
              <w:rPr>
                <w:rFonts w:hint="eastAsia" w:ascii="宋体" w:hAnsi="宋体" w:eastAsia="宋体" w:cs="宋体"/>
                <w:sz w:val="24"/>
                <w:szCs w:val="24"/>
                <w:highlight w:val="none"/>
              </w:rPr>
              <w:t xml:space="preserve">违约金</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运行监督、维修期限</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货物回收的约定</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乙方提供的其他服务</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修理、重作、更换相关具体规定</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迟延交货赔偿费</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逾期付款利息</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r>
        <w:trPr>
          <w:trHeight w:val="0"/>
        </w:trPr>
        <w:tc>
          <w:tcPr>
            <w:tcBorders>
              <w:bottom w:val="single" w:color="auto" w:sz="2" w:space="0"/>
              <w:right w:val="single" w:color="auto" w:sz="2" w:space="0"/>
            </w:tcBorders>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2" w:space="0"/>
              <w:bottom w:val="single" w:color="auto" w:sz="2" w:space="0"/>
              <w:right w:val="single" w:color="auto" w:sz="2" w:space="0"/>
            </w:tcBorders>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其他违约责任</w:t>
            </w:r>
            <w:r/>
          </w:p>
        </w:tc>
        <w:tc>
          <w:tcPr>
            <w:tcBorders>
              <w:left w:val="single" w:color="auto" w:sz="2" w:space="0"/>
              <w:bottom w:val="single" w:color="auto" w:sz="2" w:space="0"/>
            </w:tcBorders>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r>
        <w:trPr>
          <w:trHeight w:val="0"/>
        </w:trPr>
        <w:tc>
          <w:tcPr>
            <w:tcBorders>
              <w:top w:val="single" w:color="auto" w:sz="2" w:space="0"/>
              <w:right w:val="single" w:color="auto" w:sz="2" w:space="0"/>
            </w:tcBorders>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right w:val="single" w:color="auto" w:sz="2" w:space="0"/>
            </w:tcBorders>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解决争议的方法</w:t>
            </w:r>
            <w:r/>
          </w:p>
        </w:tc>
        <w:tc>
          <w:tcPr>
            <w:tcBorders>
              <w:top w:val="single" w:color="auto" w:sz="2" w:space="0"/>
              <w:left w:val="single" w:color="auto" w:sz="2" w:space="0"/>
            </w:tcBorders>
            <w:tcW w:w="6483" w:type="dxa"/>
            <w:vAlign w:val="center"/>
            <w:textDirection w:val="lrTb"/>
            <w:noWrap w:val="false"/>
          </w:tcPr>
          <w:p>
            <w:pPr>
              <w:ind w:left="0"/>
              <w:jc w:val="left"/>
              <w:pageBreakBefore w:val="0"/>
              <w:spacing w:line="360" w:lineRule="auto"/>
              <w:rPr>
                <w:rFonts w:hint="eastAsia" w:ascii="宋体" w:hAnsi="宋体" w:eastAsia="宋体" w:cs="宋体"/>
                <w:b w:val="0"/>
                <w:bCs w:val="0"/>
                <w:iCs/>
                <w:sz w:val="24"/>
                <w:szCs w:val="24"/>
                <w:highlight w:val="none"/>
              </w:rPr>
            </w:pPr>
            <w:r>
              <w:rPr>
                <w:rFonts w:hint="eastAsia" w:ascii="宋体" w:hAnsi="宋体" w:eastAsia="宋体" w:cs="宋体"/>
                <w:b w:val="0"/>
                <w:bCs w:val="0"/>
                <w:iCs/>
                <w:sz w:val="24"/>
                <w:szCs w:val="24"/>
                <w:highlight w:val="none"/>
              </w:rPr>
              <w:t xml:space="preserve">因本合同及合同有关事项发生的争议，按下列第</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种方式解决：</w:t>
            </w:r>
            <w:r/>
          </w:p>
          <w:p>
            <w:pPr>
              <w:ind w:left="0"/>
              <w:jc w:val="left"/>
              <w:pageBreakBefore w:val="0"/>
              <w:spacing w:line="360" w:lineRule="auto"/>
              <w:rPr>
                <w:rFonts w:hint="eastAsia" w:ascii="宋体" w:hAnsi="宋体" w:eastAsia="宋体" w:cs="宋体"/>
                <w:b w:val="0"/>
                <w:bCs w:val="0"/>
                <w:iCs/>
                <w:sz w:val="24"/>
                <w:szCs w:val="24"/>
                <w:highlight w:val="none"/>
              </w:rPr>
            </w:pPr>
            <w:r>
              <w:rPr>
                <w:rFonts w:hint="eastAsia" w:ascii="宋体" w:hAnsi="宋体" w:eastAsia="宋体" w:cs="宋体"/>
                <w:b w:val="0"/>
                <w:bCs w:val="0"/>
                <w:iCs/>
                <w:sz w:val="24"/>
                <w:szCs w:val="24"/>
                <w:highlight w:val="none"/>
              </w:rPr>
              <w:t xml:space="preserve">（1）向</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仲裁委员会申请仲裁，仲裁地点为</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w:t>
            </w:r>
            <w:r/>
          </w:p>
          <w:p>
            <w:pPr>
              <w:ind w:left="0" w:firstLine="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b w:val="0"/>
                <w:bCs w:val="0"/>
                <w:iCs/>
                <w:sz w:val="24"/>
                <w:szCs w:val="24"/>
                <w:highlight w:val="none"/>
              </w:rPr>
              <w:t xml:space="preserve">（2）向</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人民法院起诉。</w:t>
            </w:r>
            <w:r/>
          </w:p>
        </w:tc>
      </w:tr>
      <w:tr>
        <w:trPr>
          <w:trHeight w:val="0"/>
        </w:trPr>
        <w:tc>
          <w:tcPr>
            <w:tcW w:w="2015" w:type="dxa"/>
            <w:vAlign w:val="center"/>
            <w:textDirection w:val="lrTb"/>
            <w:noWrap w:val="false"/>
          </w:tcPr>
          <w:p>
            <w:pPr>
              <w:ind w:left="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84"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6483" w:type="dxa"/>
            <w:vAlign w:val="center"/>
            <w:textDirection w:val="lrTb"/>
            <w:noWrap w:val="false"/>
          </w:tcPr>
          <w:p>
            <w:pPr>
              <w:ind w:left="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highlight w:val="none"/>
        </w:rPr>
      </w:pPr>
      <w:r>
        <w:rPr>
          <w:highlight w:val="none"/>
        </w:rPr>
      </w:r>
      <w:r/>
    </w:p>
    <w:p>
      <w:pPr>
        <w:pStyle w:val="9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79"/>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以下无正文</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乙方（单位盖章）：</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单位地址：</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                                          联系电话：</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代表签字：                                          代表签字：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24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合同签订日期：    年   月   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甲方和乙方应在中标通知书发放15天内签订本项目正式合同。如果乙方不履行签订正式合同的义务，采购代理机构有权取消乙方的中标资格，乙方并承担相应责任；如果甲方不履行签订正式合同的义务，则按照《政府采购法》规定承担相应责任。</w:t>
      </w:r>
      <w:bookmarkStart w:id="92" w:name="_Toc4193"/>
      <w:r/>
      <w:bookmarkEnd w:id="92"/>
      <w:r/>
      <w:bookmarkStart w:id="93" w:name="_Toc27326"/>
      <w:r/>
      <w:bookmarkEnd w:id="93"/>
      <w:r/>
      <w:bookmarkStart w:id="94" w:name="_Toc10483"/>
      <w:r/>
      <w:bookmarkEnd w:id="94"/>
      <w:r>
        <w:rPr>
          <w:rFonts w:hint="eastAsia" w:ascii="宋体" w:hAnsi="宋体" w:eastAsia="宋体" w:cs="宋体"/>
          <w:sz w:val="44"/>
          <w:szCs w:val="44"/>
          <w:highlight w:val="none"/>
        </w:rPr>
        <w:br w:type="page" w:clear="all"/>
      </w:r>
      <w:r/>
    </w:p>
    <w:p>
      <w:pPr>
        <w:pStyle w:val="993"/>
        <w:jc w:val="both"/>
        <w:keepLines w:val="0"/>
        <w:keepNext w:val="0"/>
        <w:spacing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第六章</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投标文件格式</w:t>
      </w:r>
      <w:r/>
    </w:p>
    <w:p>
      <w:pPr>
        <w:ind w:firstLine="2530"/>
        <w:jc w:val="both"/>
        <w:spacing w:line="360" w:lineRule="auto"/>
        <w:rPr>
          <w:rFonts w:hint="eastAsia" w:ascii="宋体" w:hAnsi="宋体" w:eastAsia="宋体" w:cs="宋体"/>
          <w:b/>
          <w:sz w:val="84"/>
          <w:szCs w:val="84"/>
          <w:highlight w:val="none"/>
        </w:rPr>
      </w:pPr>
      <w:r/>
      <w:bookmarkStart w:id="95" w:name="_Hlt26671244"/>
      <w:r/>
      <w:bookmarkEnd w:id="95"/>
      <w:r/>
      <w:bookmarkStart w:id="96" w:name="_Hlt26955039"/>
      <w:r/>
      <w:bookmarkEnd w:id="96"/>
      <w:r/>
      <w:bookmarkStart w:id="97" w:name="_Toc49090576"/>
      <w:r/>
      <w:bookmarkStart w:id="98" w:name="_Toc26554094"/>
      <w:r/>
      <w:bookmarkStart w:id="99" w:name="_Toc120614282"/>
      <w:r/>
      <w:r/>
    </w:p>
    <w:p>
      <w:pPr>
        <w:jc w:val="center"/>
        <w:spacing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投 标 文 件</w:t>
      </w:r>
      <w:r/>
    </w:p>
    <w:p>
      <w:pPr>
        <w:pStyle w:val="988"/>
        <w:ind w:firstLine="1687"/>
        <w:spacing w:line="360" w:lineRule="auto"/>
        <w:rPr>
          <w:rFonts w:hint="eastAsia" w:ascii="宋体" w:hAnsi="宋体" w:eastAsia="宋体" w:cs="宋体"/>
          <w:b/>
          <w:sz w:val="84"/>
          <w:szCs w:val="84"/>
          <w:highlight w:val="none"/>
        </w:rPr>
      </w:pPr>
      <w:r>
        <w:rPr>
          <w:rFonts w:hint="eastAsia" w:ascii="宋体" w:hAnsi="宋体" w:eastAsia="宋体" w:cs="宋体"/>
          <w:b/>
          <w:sz w:val="84"/>
          <w:szCs w:val="84"/>
          <w:highlight w:val="none"/>
        </w:rPr>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883"/>
        <w:jc w:val="center"/>
        <w:spacing w:line="360" w:lineRule="auto"/>
        <w:widowControl/>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rPr>
        <w:t xml:space="preserve">项目编号：</w:t>
      </w:r>
      <w:r>
        <w:rPr>
          <w:rFonts w:hint="eastAsia" w:hAnsi="宋体" w:cs="宋体"/>
          <w:b/>
          <w:bCs/>
          <w:i w:val="0"/>
          <w:iCs w:val="0"/>
          <w:caps w:val="0"/>
          <w:color w:val="auto"/>
          <w:spacing w:val="0"/>
          <w:sz w:val="44"/>
          <w:szCs w:val="44"/>
          <w:highlight w:val="none"/>
          <w:shd w:val="clear" w:color="auto" w:fill="ffffff"/>
          <w:lang w:eastAsia="zh-CN"/>
        </w:rPr>
        <w:t xml:space="preserve">JSZC-321100-LXDL-G2024-0019</w:t>
      </w:r>
      <w:r/>
    </w:p>
    <w:p>
      <w:pPr>
        <w:ind w:firstLine="880"/>
        <w:spacing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89"/>
        <w:ind w:firstLine="0"/>
        <w:jc w:val="center"/>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pStyle w:val="989"/>
        <w:ind w:firstLine="0"/>
        <w:jc w:val="center"/>
        <w:spacing w:line="360" w:lineRule="auto"/>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rPr>
        <w:t xml:space="preserve">项目名称</w:t>
      </w:r>
      <w:r>
        <w:rPr>
          <w:rFonts w:hint="eastAsia" w:ascii="宋体" w:hAnsi="宋体" w:eastAsia="宋体" w:cs="宋体"/>
          <w:b/>
          <w:bCs/>
          <w:sz w:val="44"/>
          <w:szCs w:val="44"/>
          <w:highlight w:val="none"/>
          <w:lang w:val="en-US"/>
        </w:rPr>
        <w:t xml:space="preserve">：镇江市生态环境监测站实验分析及应急监测仪器设备采购项目（二期）二次</w:t>
      </w:r>
      <w:r/>
    </w:p>
    <w:p>
      <w:pPr>
        <w:ind w:firstLine="643"/>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209"/>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ind w:firstLine="2209"/>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投标人名称</w:t>
      </w:r>
      <w:r>
        <w:rPr>
          <w:rFonts w:hint="eastAsia" w:ascii="宋体" w:hAnsi="宋体" w:eastAsia="宋体" w:cs="宋体"/>
          <w:b/>
          <w:sz w:val="44"/>
          <w:szCs w:val="44"/>
          <w:highlight w:val="none"/>
          <w:lang w:val="en-US"/>
        </w:rPr>
        <w:t xml:space="preserve">(盖章)</w:t>
      </w:r>
      <w:r>
        <w:rPr>
          <w:rFonts w:hint="eastAsia" w:ascii="宋体" w:hAnsi="宋体" w:eastAsia="宋体" w:cs="宋体"/>
          <w:b/>
          <w:sz w:val="44"/>
          <w:szCs w:val="44"/>
          <w:highlight w:val="none"/>
        </w:rPr>
        <w:t xml:space="preserve">：</w:t>
      </w:r>
      <w:r/>
    </w:p>
    <w:p>
      <w:pPr>
        <w:ind w:firstLine="6184"/>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r>
      <w:bookmarkEnd w:id="97"/>
      <w:r/>
      <w:bookmarkEnd w:id="98"/>
      <w:r/>
      <w:bookmarkEnd w:id="99"/>
      <w:r/>
      <w:r/>
    </w:p>
    <w:p>
      <w:pPr>
        <w:ind w:firstLine="883"/>
        <w:jc w:val="center"/>
        <w:spacing w:line="360" w:lineRule="auto"/>
        <w:rPr>
          <w:rFonts w:hint="eastAsia" w:ascii="宋体" w:hAnsi="宋体" w:eastAsia="宋体" w:cs="宋体"/>
          <w:b/>
          <w:sz w:val="44"/>
          <w:szCs w:val="44"/>
          <w:highlight w:val="none"/>
        </w:rPr>
        <w:sectPr>
          <w:headerReference w:type="default" r:id="rId11"/>
          <w:footerReference w:type="default" r:id="rId14"/>
          <w:footnotePr/>
          <w:endnotePr/>
          <w:type w:val="nextPage"/>
          <w:pgSz w:w="11906" w:h="16838" w:orient="portrait"/>
          <w:pgMar w:top="720" w:right="720" w:bottom="720" w:left="720" w:header="851" w:footer="992" w:gutter="0"/>
          <w:cols w:num="1" w:sep="0" w:space="1701" w:equalWidth="1"/>
          <w:docGrid w:linePitch="360"/>
        </w:sectPr>
      </w:pPr>
      <w:r>
        <w:rPr>
          <w:rFonts w:hint="eastAsia" w:ascii="宋体" w:hAnsi="宋体" w:eastAsia="宋体" w:cs="宋体"/>
          <w:b/>
          <w:sz w:val="44"/>
          <w:szCs w:val="44"/>
          <w:highlight w:val="none"/>
        </w:rPr>
        <w:t xml:space="preserve">日期：</w:t>
      </w:r>
      <w:r/>
    </w:p>
    <w:p>
      <w:pPr>
        <w:pStyle w:val="990"/>
        <w:ind w:left="0" w:firstLine="482"/>
        <w:jc w:val="center"/>
        <w:spacing w:before="0" w:line="360" w:lineRule="auto"/>
        <w:rPr>
          <w:rFonts w:hint="eastAsia" w:ascii="宋体" w:hAnsi="宋体" w:eastAsia="宋体" w:cs="宋体"/>
          <w:b w:val="0"/>
          <w:bCs w:val="0"/>
          <w:sz w:val="32"/>
          <w:szCs w:val="32"/>
          <w:highlight w:val="none"/>
          <w:lang w:val="en-US" w:eastAsia="zh-CN"/>
        </w:rPr>
      </w:pPr>
      <w:r>
        <w:rPr>
          <w:rFonts w:hint="eastAsia" w:ascii="宋体" w:hAnsi="宋体" w:eastAsia="宋体" w:cs="宋体"/>
          <w:b w:val="0"/>
          <w:bCs w:val="0"/>
          <w:sz w:val="32"/>
          <w:szCs w:val="32"/>
          <w:highlight w:val="none"/>
          <w:lang w:eastAsia="zh-CN"/>
        </w:rPr>
        <w:t xml:space="preserve">（</w:t>
      </w:r>
      <w:r>
        <w:rPr>
          <w:rFonts w:hint="eastAsia" w:ascii="宋体" w:hAnsi="宋体" w:eastAsia="宋体" w:cs="宋体"/>
          <w:b w:val="0"/>
          <w:bCs w:val="0"/>
          <w:sz w:val="32"/>
          <w:szCs w:val="32"/>
          <w:highlight w:val="none"/>
          <w:lang w:val="en-US" w:eastAsia="zh-CN"/>
        </w:rPr>
        <w:t xml:space="preserve">一</w:t>
      </w:r>
      <w:r>
        <w:rPr>
          <w:rFonts w:hint="eastAsia" w:ascii="宋体" w:hAnsi="宋体" w:eastAsia="宋体" w:cs="宋体"/>
          <w:b w:val="0"/>
          <w:bCs w:val="0"/>
          <w:sz w:val="32"/>
          <w:szCs w:val="32"/>
          <w:highlight w:val="none"/>
          <w:lang w:eastAsia="zh-CN"/>
        </w:rPr>
        <w:t xml:space="preserve">）</w:t>
      </w:r>
      <w:r>
        <w:rPr>
          <w:rFonts w:hint="eastAsia" w:ascii="宋体" w:hAnsi="宋体" w:eastAsia="宋体" w:cs="宋体"/>
          <w:b w:val="0"/>
          <w:bCs w:val="0"/>
          <w:sz w:val="32"/>
          <w:szCs w:val="32"/>
          <w:highlight w:val="none"/>
          <w:lang w:val="en-US" w:eastAsia="zh-CN"/>
        </w:rPr>
        <w:t xml:space="preserve">投标承诺函</w:t>
      </w:r>
      <w:r/>
    </w:p>
    <w:p>
      <w:pPr>
        <w:pStyle w:val="990"/>
        <w:ind w:left="0" w:firstLine="482"/>
        <w:spacing w:before="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致：江苏隆信项目管理有限公司</w:t>
      </w:r>
      <w:r/>
    </w:p>
    <w:p>
      <w:pPr>
        <w:pStyle w:val="989"/>
        <w:ind w:firstLine="48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根据贵方</w:t>
      </w:r>
      <w:r>
        <w:rPr>
          <w:rFonts w:hint="eastAsia" w:hAnsi="宋体" w:cs="宋体"/>
          <w:sz w:val="24"/>
          <w:szCs w:val="24"/>
          <w:highlight w:val="none"/>
          <w:lang w:val="en-US" w:eastAsia="zh-CN"/>
        </w:rPr>
        <w:t xml:space="preserve">镇江市生态环境监测站实验分析及应急监测仪器设备采购项目（二期）二次</w:t>
      </w:r>
      <w:r>
        <w:rPr>
          <w:rFonts w:hint="eastAsia" w:hAnsi="宋体" w:cs="宋体"/>
          <w:b w:val="0"/>
          <w:bCs w:val="0"/>
          <w:i w:val="0"/>
          <w:iCs w:val="0"/>
          <w:caps w:val="0"/>
          <w:color w:val="auto"/>
          <w:spacing w:val="0"/>
          <w:sz w:val="24"/>
          <w:szCs w:val="24"/>
          <w:highlight w:val="none"/>
          <w:shd w:val="clear" w:color="auto" w:fill="ffffff"/>
          <w:lang w:eastAsia="zh-CN"/>
        </w:rPr>
        <w:t xml:space="preserve">JSZC-321100-LXDL-G2024-0019</w:t>
      </w:r>
      <w:r>
        <w:rPr>
          <w:rFonts w:hint="eastAsia" w:ascii="宋体" w:hAnsi="宋体" w:eastAsia="宋体" w:cs="宋体"/>
          <w:sz w:val="24"/>
          <w:szCs w:val="24"/>
          <w:highlight w:val="none"/>
          <w:lang w:val="en-US"/>
        </w:rPr>
        <w:t xml:space="preserve">（项目编号）招标的投标邀请，</w:t>
      </w:r>
      <w:r>
        <w:rPr>
          <w:rFonts w:hint="eastAsia" w:ascii="宋体" w:hAnsi="宋体" w:eastAsia="宋体" w:cs="宋体"/>
          <w:sz w:val="24"/>
          <w:szCs w:val="24"/>
          <w:highlight w:val="none"/>
        </w:rPr>
        <w:t xml:space="preserve">正式授权下述签字人_________ (姓名和职务)代表我方______________（供应商的名称），全权处理本次项目</w:t>
      </w:r>
      <w:r>
        <w:rPr>
          <w:rFonts w:hint="eastAsia" w:ascii="宋体" w:hAnsi="宋体" w:eastAsia="宋体" w:cs="宋体"/>
          <w:sz w:val="24"/>
          <w:szCs w:val="24"/>
          <w:highlight w:val="none"/>
          <w:lang w:val="en-US"/>
        </w:rPr>
        <w:t xml:space="preserve">招标</w:t>
      </w:r>
      <w:r>
        <w:rPr>
          <w:rFonts w:hint="eastAsia" w:ascii="宋体" w:hAnsi="宋体" w:eastAsia="宋体" w:cs="宋体"/>
          <w:sz w:val="24"/>
          <w:szCs w:val="24"/>
          <w:highlight w:val="none"/>
        </w:rPr>
        <w:t xml:space="preserve">采购的有关事宜。</w:t>
      </w:r>
      <w:r/>
    </w:p>
    <w:p>
      <w:pPr>
        <w:pStyle w:val="1016"/>
        <w:ind w:firstLine="480"/>
        <w:spacing w:line="360" w:lineRule="auto"/>
        <w:tabs>
          <w:tab w:val="left" w:pos="36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据此函，__________（签字人）及（法定代表人）兹宣布同意如下：</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1. 我方的资格条件符合政府采购法和本次招标要求。</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2. 我方参加政府采购活动前三年内，在经营活动中没有重大违法记录。</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3. 参加本次采购活动前，我方没有被信用中国网站、中国政府采购网站列入失信被执行人名单、重大税收违法案件当事人名单、政府采购严重违法失信行为记录名单。</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4. 我方在全国范围内未受过财政部门禁止参加政府采购活动的处罚期限，或在全国范围内受过财政部门禁止参加政府采购活动的处罚期限已满。</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5. 我方没有为本采购项目提供整体设计、规范编制，以及项目管理、监理、检测等服务。</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6. 我方与参与本次采购活动的其他供应商的授权代理人(或法定代表人、项目经理、项目总监、项目负责人等)在采购文件发布日上月至投标截止日当月未在同一单位缴纳社会保险的。</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7. 我方与参与本次采购活动的其他供应商的法定代表人或委托代理人无夫妻、直系血亲关系的；</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8. 我方与参与本次采购活动的其他供应商的负责人不是同一人，也不存在直接控股、管理关系。</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9. 我方已详细审核全部招标文件及其有效补充文件，我们放弃对招标文件任何误解的权利，提交投标文件后，不对招标文件本身提出质疑。</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10. 我方同意并向贵方提供了与投标有关的所有证据和资料。</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11. 我方同意从规定的开标日期起遵循本投标文件，并在规定的投标有效期期满之前均具有约束力。</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12. 一旦我方中标，我方将根据招标文件的规定严格履行合同。</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13. 我方决不提供虚假材料谋取中标、决不采取不正当手段诋毁、排挤其他供应商、决不与采购人、其它供应商或者政府采购中心恶意串通、决不向采购人、采购代理机构和评委进行商业贿赂、决不在采购过程中与采购人进行协商谈判、决不拒绝有关部门监督检查或提供虚假情况。如有违反或者虚假陈述，无条件接受贵方及监督管理部门的处罚。</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14. 与本投标有关的正式联系方式为：  </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供应商名称：</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供应商通信地址：</w:t>
      </w:r>
      <w:r/>
    </w:p>
    <w:p>
      <w:pPr>
        <w:pStyle w:val="1016"/>
        <w:spacing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联系人电话：             </w:t>
      </w:r>
      <w:r/>
    </w:p>
    <w:p>
      <w:pPr>
        <w:pStyle w:val="998"/>
        <w:ind w:firstLine="0"/>
        <w:jc w:val="both"/>
        <w:spacing w:before="145" w:after="145"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法定代表人或委托代理人签字：</w:t>
      </w:r>
      <w:r/>
    </w:p>
    <w:p>
      <w:pPr>
        <w:pStyle w:val="998"/>
        <w:ind w:firstLine="0"/>
        <w:jc w:val="both"/>
        <w:spacing w:before="145" w:after="145"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投标供应商全称（公章）：</w:t>
      </w:r>
      <w:r/>
    </w:p>
    <w:p>
      <w:pPr>
        <w:pStyle w:val="998"/>
        <w:ind w:firstLine="0"/>
        <w:jc w:val="both"/>
        <w:spacing w:before="145" w:after="145"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日期：</w:t>
      </w:r>
      <w:r/>
    </w:p>
    <w:p>
      <w:pPr>
        <w:pStyle w:val="998"/>
        <w:ind w:firstLine="0"/>
        <w:jc w:val="both"/>
        <w:spacing w:before="145" w:after="145"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r>
      <w:r/>
    </w:p>
    <w:p>
      <w:pPr>
        <w:ind w:firstLine="643"/>
        <w:jc w:val="center"/>
        <w:spacing w:line="360" w:lineRule="auto"/>
        <w:rPr>
          <w:rFonts w:hint="eastAsia" w:ascii="宋体" w:hAnsi="宋体" w:eastAsia="宋体" w:cs="宋体"/>
          <w:sz w:val="24"/>
          <w:szCs w:val="24"/>
          <w:highlight w:val="none"/>
        </w:rPr>
      </w:pPr>
      <w:r>
        <w:rPr>
          <w:rFonts w:hint="eastAsia" w:ascii="宋体" w:hAnsi="宋体" w:eastAsia="宋体" w:cs="宋体"/>
          <w:b w:val="0"/>
          <w:bCs w:val="0"/>
          <w:sz w:val="32"/>
          <w:szCs w:val="32"/>
          <w:highlight w:val="none"/>
          <w:lang w:eastAsia="zh-CN"/>
        </w:rPr>
        <w:t xml:space="preserve">（</w:t>
      </w:r>
      <w:r>
        <w:rPr>
          <w:rFonts w:hint="eastAsia" w:ascii="宋体" w:hAnsi="宋体" w:eastAsia="宋体" w:cs="宋体"/>
          <w:b w:val="0"/>
          <w:bCs w:val="0"/>
          <w:sz w:val="32"/>
          <w:szCs w:val="32"/>
          <w:highlight w:val="none"/>
          <w:lang w:val="en-US" w:eastAsia="zh-CN"/>
        </w:rPr>
        <w:t xml:space="preserve">二</w:t>
      </w:r>
      <w:r>
        <w:rPr>
          <w:rFonts w:hint="eastAsia" w:ascii="宋体" w:hAnsi="宋体" w:eastAsia="宋体" w:cs="宋体"/>
          <w:b w:val="0"/>
          <w:bCs w:val="0"/>
          <w:sz w:val="32"/>
          <w:szCs w:val="32"/>
          <w:highlight w:val="none"/>
          <w:lang w:eastAsia="zh-CN"/>
        </w:rPr>
        <w:t xml:space="preserve">）</w:t>
      </w:r>
      <w:r>
        <w:rPr>
          <w:rFonts w:hint="eastAsia" w:ascii="宋体" w:hAnsi="宋体" w:eastAsia="宋体" w:cs="宋体"/>
          <w:b w:val="0"/>
          <w:bCs w:val="0"/>
          <w:sz w:val="32"/>
          <w:szCs w:val="32"/>
          <w:highlight w:val="none"/>
        </w:rPr>
        <w:t xml:space="preserve">具有独立承担民事责任的能力</w:t>
      </w:r>
      <w:r/>
    </w:p>
    <w:p>
      <w:pPr>
        <w:pStyle w:val="998"/>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提供法人或者其他组织的营业执照等证明文件扫描件；投标人为自然人的，提供其身份证扫描件</w:t>
      </w:r>
      <w:r>
        <w:rPr>
          <w:rFonts w:hint="eastAsia" w:ascii="宋体" w:hAnsi="宋体" w:eastAsia="宋体" w:cs="宋体"/>
          <w:sz w:val="24"/>
          <w:szCs w:val="24"/>
          <w:highlight w:val="none"/>
          <w:lang w:eastAsia="zh-CN"/>
        </w:rPr>
        <w:t xml:space="preserve">。</w:t>
      </w:r>
      <w:r/>
    </w:p>
    <w:p>
      <w:pPr>
        <w:pStyle w:val="99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43"/>
        <w:jc w:val="center"/>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三</w:t>
      </w:r>
      <w:r>
        <w:rPr>
          <w:rFonts w:hint="eastAsia" w:ascii="宋体" w:hAnsi="宋体" w:eastAsia="宋体" w:cs="宋体"/>
          <w:b w:val="0"/>
          <w:bCs w:val="0"/>
          <w:sz w:val="32"/>
          <w:szCs w:val="32"/>
          <w:highlight w:val="none"/>
        </w:rPr>
        <w:t xml:space="preserve">)良好的商业信誉和健全的财务会计制度</w:t>
      </w:r>
      <w:r/>
    </w:p>
    <w:p>
      <w:pPr>
        <w:pStyle w:val="998"/>
        <w:ind w:firstLine="480"/>
        <w:jc w:val="center"/>
        <w:spacing w:before="145" w:after="145" w:line="360" w:lineRule="auto"/>
        <w:rPr>
          <w:rFonts w:hint="eastAsia" w:ascii="宋体" w:hAnsi="宋体" w:eastAsia="宋体" w:cs="宋体"/>
          <w:szCs w:val="24"/>
          <w:highlight w:val="none"/>
        </w:rPr>
      </w:pP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rPr>
        <w:t xml:space="preserve">2023</w:t>
      </w:r>
      <w:r>
        <w:rPr>
          <w:rFonts w:hint="eastAsia" w:ascii="宋体" w:hAnsi="宋体" w:eastAsia="宋体" w:cs="宋体"/>
          <w:sz w:val="24"/>
          <w:szCs w:val="24"/>
          <w:highlight w:val="none"/>
        </w:rPr>
        <w:t xml:space="preserve">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sz w:val="24"/>
          <w:szCs w:val="24"/>
          <w:highlight w:val="none"/>
          <w:lang w:eastAsia="zh-CN"/>
        </w:rPr>
        <w:t xml:space="preserve">。</w:t>
      </w:r>
      <w:r/>
    </w:p>
    <w:p>
      <w:pPr>
        <w:pStyle w:val="998"/>
        <w:ind w:left="440" w:firstLine="480"/>
        <w:jc w:val="both"/>
        <w:spacing w:before="145" w:after="145"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ind w:firstLine="643"/>
        <w:jc w:val="center"/>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四</w:t>
      </w:r>
      <w:r>
        <w:rPr>
          <w:rFonts w:hint="eastAsia" w:ascii="宋体" w:hAnsi="宋体" w:eastAsia="宋体" w:cs="宋体"/>
          <w:b w:val="0"/>
          <w:bCs w:val="0"/>
          <w:sz w:val="32"/>
          <w:szCs w:val="32"/>
          <w:highlight w:val="none"/>
        </w:rPr>
        <w:t xml:space="preserve">)履行合同所必需的设备和专业技术能力</w:t>
      </w:r>
      <w:r/>
    </w:p>
    <w:p>
      <w:pPr>
        <w:pStyle w:val="998"/>
        <w:ind w:firstLine="480"/>
        <w:jc w:val="center"/>
        <w:spacing w:before="145" w:after="145" w:line="360" w:lineRule="auto"/>
        <w:rPr>
          <w:rFonts w:hint="eastAsia" w:ascii="宋体" w:hAnsi="宋体" w:eastAsia="宋体" w:cs="宋体"/>
          <w:szCs w:val="24"/>
          <w:highlight w:val="none"/>
        </w:rPr>
      </w:pPr>
      <w:r>
        <w:rPr>
          <w:rFonts w:hint="eastAsia" w:ascii="宋体" w:hAnsi="宋体" w:eastAsia="宋体" w:cs="宋体"/>
          <w:sz w:val="24"/>
          <w:szCs w:val="24"/>
          <w:highlight w:val="none"/>
        </w:rPr>
        <w:t xml:space="preserve">提供具备履行合同所必需的设备和专业技术能力的资格书面承诺函</w:t>
      </w:r>
      <w:r>
        <w:rPr>
          <w:rFonts w:hint="eastAsia" w:ascii="宋体" w:hAnsi="宋体" w:eastAsia="宋体" w:cs="宋体"/>
          <w:sz w:val="24"/>
          <w:szCs w:val="24"/>
          <w:highlight w:val="none"/>
          <w:lang w:eastAsia="zh-CN"/>
        </w:rPr>
        <w:t xml:space="preserve">。</w:t>
      </w:r>
      <w:r/>
    </w:p>
    <w:p>
      <w:pPr>
        <w:pStyle w:val="998"/>
        <w:ind w:left="440" w:firstLine="480"/>
        <w:jc w:val="both"/>
        <w:spacing w:before="145" w:after="145"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ind w:firstLine="643"/>
        <w:jc w:val="center"/>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五</w:t>
      </w:r>
      <w:r>
        <w:rPr>
          <w:rFonts w:hint="eastAsia" w:ascii="宋体" w:hAnsi="宋体" w:eastAsia="宋体" w:cs="宋体"/>
          <w:b w:val="0"/>
          <w:bCs w:val="0"/>
          <w:sz w:val="32"/>
          <w:szCs w:val="32"/>
          <w:highlight w:val="none"/>
        </w:rPr>
        <w:t xml:space="preserve">)依法缴纳税收和社会保障资金的良好记录</w:t>
      </w:r>
      <w:r/>
    </w:p>
    <w:p>
      <w:pPr>
        <w:pStyle w:val="998"/>
        <w:ind w:firstLine="480"/>
        <w:jc w:val="center"/>
        <w:spacing w:before="145" w:after="145" w:line="360" w:lineRule="auto"/>
        <w:rPr>
          <w:rFonts w:hint="eastAsia" w:ascii="宋体" w:hAnsi="宋体" w:eastAsia="宋体" w:cs="宋体"/>
          <w:szCs w:val="24"/>
          <w:highlight w:val="none"/>
        </w:rPr>
      </w:pPr>
      <w:r>
        <w:rPr>
          <w:rFonts w:hint="eastAsia" w:ascii="宋体" w:hAnsi="宋体" w:eastAsia="宋体" w:cs="宋体"/>
          <w:sz w:val="24"/>
          <w:szCs w:val="24"/>
          <w:highlight w:val="none"/>
        </w:rPr>
        <w:t xml:space="preserve">提供参加本次政府采购活动前半年内至少一个月依法缴纳税收和社会保险的凭据，或资格承诺函</w:t>
      </w:r>
      <w:r>
        <w:rPr>
          <w:rFonts w:hint="eastAsia" w:ascii="宋体" w:hAnsi="宋体" w:eastAsia="宋体" w:cs="宋体"/>
          <w:szCs w:val="24"/>
          <w:highlight w:val="none"/>
        </w:rPr>
        <w:t xml:space="preserve">。</w:t>
      </w:r>
      <w:r/>
    </w:p>
    <w:p>
      <w:pPr>
        <w:pStyle w:val="998"/>
        <w:ind w:firstLine="480"/>
        <w:jc w:val="center"/>
        <w:spacing w:before="145" w:after="145"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998"/>
        <w:ind w:firstLine="643"/>
        <w:jc w:val="center"/>
        <w:spacing w:before="145" w:after="145"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六</w:t>
      </w:r>
      <w:r>
        <w:rPr>
          <w:rFonts w:hint="eastAsia" w:ascii="宋体" w:hAnsi="宋体" w:eastAsia="宋体" w:cs="宋体"/>
          <w:b w:val="0"/>
          <w:bCs w:val="0"/>
          <w:sz w:val="32"/>
          <w:szCs w:val="32"/>
          <w:highlight w:val="none"/>
        </w:rPr>
        <w:t xml:space="preserve">）参加政府采购活动前三年内，在经营活动中没有重大违法记录</w:t>
      </w:r>
      <w:r/>
    </w:p>
    <w:p>
      <w:pPr>
        <w:pStyle w:val="998"/>
        <w:ind w:left="440" w:firstLine="480"/>
        <w:jc w:val="center"/>
        <w:spacing w:before="145" w:after="145" w:line="360" w:lineRule="auto"/>
        <w:rPr>
          <w:rFonts w:hint="eastAsia" w:ascii="宋体" w:hAnsi="宋体" w:eastAsia="宋体" w:cs="宋体"/>
          <w:szCs w:val="24"/>
          <w:highlight w:val="none"/>
          <w:lang w:val="en-US"/>
        </w:rPr>
      </w:pPr>
      <w:r>
        <w:rPr>
          <w:rFonts w:hint="eastAsia" w:ascii="宋体" w:hAnsi="宋体" w:eastAsia="宋体" w:cs="宋体"/>
          <w:sz w:val="24"/>
          <w:szCs w:val="24"/>
          <w:highlight w:val="none"/>
        </w:rPr>
        <w:t xml:space="preserve">提供参加本次政府采购活动前3年内在经营活动中没有重大违法记录的书面声明，或提供资格承诺函</w:t>
      </w:r>
      <w:r>
        <w:rPr>
          <w:rFonts w:hint="eastAsia" w:ascii="宋体" w:hAnsi="宋体" w:eastAsia="宋体" w:cs="宋体"/>
          <w:szCs w:val="24"/>
          <w:highlight w:val="none"/>
          <w:lang w:val="en-US"/>
        </w:rPr>
        <w:t xml:space="preserve">。</w:t>
      </w:r>
      <w:r/>
    </w:p>
    <w:p>
      <w:pPr>
        <w:pStyle w:val="998"/>
        <w:ind w:left="440" w:firstLine="480"/>
        <w:jc w:val="center"/>
        <w:spacing w:before="145" w:after="145" w:line="360" w:lineRule="auto"/>
        <w:rPr>
          <w:rFonts w:hint="eastAsia" w:ascii="宋体" w:hAnsi="宋体" w:eastAsia="宋体" w:cs="宋体"/>
          <w:szCs w:val="24"/>
          <w:highlight w:val="none"/>
          <w:lang w:val="en-US"/>
        </w:rPr>
      </w:pPr>
      <w:r>
        <w:rPr>
          <w:rFonts w:hint="eastAsia" w:ascii="宋体" w:hAnsi="宋体" w:eastAsia="宋体" w:cs="宋体"/>
          <w:szCs w:val="24"/>
          <w:highlight w:val="none"/>
          <w:lang w:val="en-US"/>
        </w:rPr>
      </w:r>
      <w:r/>
    </w:p>
    <w:p>
      <w:pPr>
        <w:ind w:firstLine="643"/>
        <w:jc w:val="center"/>
        <w:spacing w:line="360" w:lineRule="auto"/>
        <w:rPr>
          <w:rFonts w:hint="eastAsia" w:ascii="宋体" w:hAnsi="宋体" w:eastAsia="宋体" w:cs="宋体"/>
          <w:szCs w:val="24"/>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七</w:t>
      </w:r>
      <w:r>
        <w:rPr>
          <w:rFonts w:hint="eastAsia" w:ascii="宋体" w:hAnsi="宋体" w:eastAsia="宋体" w:cs="宋体"/>
          <w:b w:val="0"/>
          <w:bCs w:val="0"/>
          <w:sz w:val="32"/>
          <w:szCs w:val="32"/>
          <w:highlight w:val="none"/>
        </w:rPr>
        <w:t xml:space="preserve">)落实政府采购政策需满足的资格要求</w:t>
      </w:r>
      <w:r/>
    </w:p>
    <w:p>
      <w:pPr>
        <w:pStyle w:val="990"/>
        <w:ind w:left="0"/>
        <w:jc w:val="center"/>
        <w:spacing w:before="0" w:line="360" w:lineRule="auto"/>
        <w:tabs>
          <w:tab w:val="left" w:pos="10560" w:leader="none"/>
        </w:tabs>
        <w:rPr>
          <w:rFonts w:hint="eastAsia" w:ascii="宋体" w:hAnsi="宋体" w:eastAsia="宋体" w:cs="宋体"/>
          <w:b w:val="0"/>
          <w:bCs w:val="0"/>
          <w:color w:val="000000"/>
          <w:sz w:val="32"/>
          <w:szCs w:val="32"/>
          <w:highlight w:val="none"/>
          <w:shd w:val="clear" w:color="auto" w:fill="ffffff"/>
          <w:lang w:eastAsia="zh-CN"/>
        </w:rPr>
      </w:pPr>
      <w:r>
        <w:rPr>
          <w:rFonts w:hint="eastAsia" w:ascii="宋体" w:hAnsi="宋体" w:eastAsia="宋体" w:cs="宋体"/>
          <w:b w:val="0"/>
          <w:bCs w:val="0"/>
          <w:color w:val="000000"/>
          <w:sz w:val="32"/>
          <w:szCs w:val="32"/>
          <w:highlight w:val="none"/>
          <w:shd w:val="clear" w:color="auto" w:fill="ffffff"/>
          <w:lang w:eastAsia="zh-CN"/>
        </w:rPr>
      </w:r>
      <w:r/>
    </w:p>
    <w:p>
      <w:pPr>
        <w:pStyle w:val="990"/>
        <w:ind w:left="0"/>
        <w:jc w:val="center"/>
        <w:spacing w:before="0" w:line="360" w:lineRule="auto"/>
        <w:tabs>
          <w:tab w:val="left" w:pos="10560" w:leader="none"/>
        </w:tabs>
        <w:rPr>
          <w:rFonts w:hint="eastAsia" w:ascii="宋体" w:hAnsi="宋体" w:eastAsia="宋体" w:cs="宋体"/>
          <w:b w:val="0"/>
          <w:bCs w:val="0"/>
          <w:color w:val="000000"/>
          <w:sz w:val="32"/>
          <w:szCs w:val="32"/>
          <w:highlight w:val="none"/>
          <w:shd w:val="clear" w:color="auto" w:fill="ffffff"/>
          <w:lang w:eastAsia="zh-CN"/>
        </w:rPr>
      </w:pPr>
      <w:r>
        <w:rPr>
          <w:rFonts w:hint="eastAsia" w:ascii="宋体" w:hAnsi="宋体" w:eastAsia="宋体" w:cs="宋体"/>
          <w:b w:val="0"/>
          <w:bCs w:val="0"/>
          <w:color w:val="000000"/>
          <w:sz w:val="32"/>
          <w:szCs w:val="32"/>
          <w:highlight w:val="none"/>
          <w:shd w:val="clear" w:color="auto" w:fill="ffffff"/>
          <w:lang w:eastAsia="zh-CN"/>
        </w:rPr>
        <w:t xml:space="preserve">（</w:t>
      </w:r>
      <w:r>
        <w:rPr>
          <w:rFonts w:hint="eastAsia" w:ascii="宋体" w:hAnsi="宋体" w:eastAsia="宋体" w:cs="宋体"/>
          <w:b w:val="0"/>
          <w:bCs w:val="0"/>
          <w:color w:val="000000"/>
          <w:sz w:val="32"/>
          <w:szCs w:val="32"/>
          <w:highlight w:val="none"/>
          <w:shd w:val="clear" w:color="auto" w:fill="ffffff"/>
          <w:lang w:val="en-US" w:eastAsia="zh-CN"/>
        </w:rPr>
        <w:t xml:space="preserve">八</w:t>
      </w:r>
      <w:r>
        <w:rPr>
          <w:rFonts w:hint="eastAsia" w:ascii="宋体" w:hAnsi="宋体" w:eastAsia="宋体" w:cs="宋体"/>
          <w:b w:val="0"/>
          <w:bCs w:val="0"/>
          <w:color w:val="000000"/>
          <w:sz w:val="32"/>
          <w:szCs w:val="32"/>
          <w:highlight w:val="none"/>
          <w:shd w:val="clear" w:color="auto" w:fill="ffffff"/>
          <w:lang w:eastAsia="zh-CN"/>
        </w:rPr>
        <w:t xml:space="preserve">）信用查询</w:t>
      </w:r>
      <w:r/>
    </w:p>
    <w:p>
      <w:pPr>
        <w:pStyle w:val="990"/>
        <w:ind w:left="0"/>
        <w:jc w:val="center"/>
        <w:spacing w:before="0" w:line="360" w:lineRule="auto"/>
        <w:tabs>
          <w:tab w:val="left" w:pos="10560" w:leader="none"/>
        </w:tabs>
        <w:rPr>
          <w:rFonts w:hint="eastAsia" w:ascii="宋体" w:hAnsi="宋体" w:eastAsia="宋体" w:cs="宋体"/>
          <w:b w:val="0"/>
          <w:bCs w:val="0"/>
          <w:color w:val="000000"/>
          <w:sz w:val="32"/>
          <w:szCs w:val="32"/>
          <w:highlight w:val="none"/>
          <w:shd w:val="clear" w:color="auto" w:fill="ffffff"/>
          <w:lang w:eastAsia="zh-CN"/>
        </w:rPr>
      </w:pPr>
      <w:r>
        <w:rPr>
          <w:rFonts w:hint="eastAsia" w:ascii="宋体" w:hAnsi="宋体" w:eastAsia="宋体" w:cs="宋体"/>
          <w:color w:val="auto"/>
          <w:sz w:val="24"/>
          <w:szCs w:val="24"/>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ind w:firstLine="643"/>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643"/>
        <w:jc w:val="center"/>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九</w:t>
      </w:r>
      <w:r>
        <w:rPr>
          <w:rFonts w:hint="eastAsia" w:ascii="宋体" w:hAnsi="宋体" w:eastAsia="宋体" w:cs="宋体"/>
          <w:b w:val="0"/>
          <w:bCs w:val="0"/>
          <w:sz w:val="32"/>
          <w:szCs w:val="32"/>
          <w:highlight w:val="none"/>
        </w:rPr>
        <w:t xml:space="preserve">)法定代表人（负责人）身份证明书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同志，性别</w:t>
      </w:r>
      <w:r>
        <w:rPr>
          <w:rFonts w:hint="eastAsia" w:ascii="宋体" w:hAnsi="宋体" w:eastAsia="宋体" w:cs="宋体"/>
          <w:sz w:val="24"/>
          <w:szCs w:val="24"/>
          <w:highlight w:val="none"/>
          <w:u w:val="single"/>
        </w:rPr>
        <w:t xml:space="preserve"> （男/女） </w:t>
      </w:r>
      <w:r>
        <w:rPr>
          <w:rFonts w:hint="eastAsia" w:ascii="宋体" w:hAnsi="宋体" w:eastAsia="宋体" w:cs="宋体"/>
          <w:sz w:val="24"/>
          <w:szCs w:val="24"/>
          <w:highlight w:val="none"/>
        </w:rPr>
        <w:t xml:space="preserve">，居民身份证号</w:t>
      </w:r>
      <w:r>
        <w:rPr>
          <w:rFonts w:hint="eastAsia" w:ascii="宋体" w:hAnsi="宋体" w:eastAsia="宋体" w:cs="宋体"/>
          <w:sz w:val="24"/>
          <w:szCs w:val="24"/>
          <w:highlight w:val="none"/>
          <w:u w:val="single"/>
        </w:rPr>
        <w:t xml:space="preserve"> （身份证号码） </w:t>
      </w:r>
      <w:r>
        <w:rPr>
          <w:rFonts w:hint="eastAsia" w:ascii="宋体" w:hAnsi="宋体" w:eastAsia="宋体" w:cs="宋体"/>
          <w:sz w:val="24"/>
          <w:szCs w:val="24"/>
          <w:highlight w:val="none"/>
        </w:rPr>
        <w:t xml:space="preserve">，在我单位任</w:t>
      </w:r>
      <w:r>
        <w:rPr>
          <w:rFonts w:hint="eastAsia" w:ascii="宋体" w:hAnsi="宋体" w:eastAsia="宋体" w:cs="宋体"/>
          <w:sz w:val="24"/>
          <w:szCs w:val="24"/>
          <w:highlight w:val="none"/>
          <w:u w:val="single"/>
        </w:rPr>
        <w:t xml:space="preserve"> （职务） </w:t>
      </w:r>
      <w:r>
        <w:rPr>
          <w:rFonts w:hint="eastAsia" w:ascii="宋体" w:hAnsi="宋体" w:eastAsia="宋体" w:cs="宋体"/>
          <w:sz w:val="24"/>
          <w:szCs w:val="24"/>
          <w:highlight w:val="none"/>
        </w:rPr>
        <w:t xml:space="preserve">，系我单位主要负责人即法定代表人。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单位全称：</w:t>
      </w:r>
      <w:r>
        <w:rPr>
          <w:rFonts w:hint="eastAsia" w:ascii="宋体" w:hAnsi="宋体" w:eastAsia="宋体" w:cs="宋体"/>
          <w:sz w:val="24"/>
          <w:szCs w:val="24"/>
          <w:highlight w:val="none"/>
          <w:u w:val="singl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单位盖章：</w:t>
      </w:r>
      <w:r>
        <w:rPr>
          <w:rFonts w:hint="eastAsia" w:ascii="宋体" w:hAnsi="宋体" w:eastAsia="宋体" w:cs="宋体"/>
          <w:sz w:val="24"/>
          <w:szCs w:val="24"/>
          <w:highlight w:val="none"/>
          <w:u w:val="singl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年</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月</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日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附：法定代表人居民身份证扫描件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注：1.“法定代表人”直接参加投标响应活动的仅需填写本身份证明。</w:t>
      </w:r>
      <w:r/>
    </w:p>
    <w:p>
      <w:pPr>
        <w:pStyle w:val="998"/>
        <w:numPr>
          <w:ilvl w:val="0"/>
          <w:numId w:val="0"/>
        </w:numPr>
        <w:ind w:firstLine="482"/>
        <w:jc w:val="both"/>
        <w:spacing w:before="145" w:after="145" w:line="360" w:lineRule="auto"/>
        <w:rPr>
          <w:rFonts w:hint="eastAsia" w:ascii="宋体" w:hAnsi="宋体" w:eastAsia="宋体" w:cs="宋体"/>
          <w:b/>
          <w:bCs/>
          <w:szCs w:val="24"/>
          <w:highlight w:val="none"/>
          <w:u w:val="single"/>
        </w:rPr>
      </w:pPr>
      <w:r>
        <w:rPr>
          <w:rFonts w:hint="eastAsia" w:ascii="宋体" w:hAnsi="宋体" w:eastAsia="宋体" w:cs="宋体"/>
          <w:b/>
          <w:bCs/>
          <w:szCs w:val="24"/>
          <w:highlight w:val="none"/>
          <w:u w:val="single"/>
          <w:lang w:val="en-US" w:eastAsia="zh-CN"/>
        </w:rPr>
        <w:t xml:space="preserve">2.</w:t>
      </w:r>
      <w:r>
        <w:rPr>
          <w:rFonts w:hint="eastAsia" w:ascii="宋体" w:hAnsi="宋体" w:eastAsia="宋体" w:cs="宋体"/>
          <w:b/>
          <w:bCs/>
          <w:szCs w:val="24"/>
          <w:highlight w:val="none"/>
          <w:u w:val="single"/>
        </w:rPr>
        <w:t xml:space="preserve">供应商属于非法人组织的，按照法律、行政法规规定能够对外代表其从事民事活动的主要负责人，如个人独资企业的投资人，代表合伙企业执行合伙企业事务的合伙人等，视同法定代表人。</w:t>
      </w:r>
      <w:r/>
    </w:p>
    <w:p>
      <w:pPr>
        <w:pStyle w:val="998"/>
        <w:numPr>
          <w:ilvl w:val="0"/>
          <w:numId w:val="0"/>
        </w:numPr>
        <w:jc w:val="both"/>
        <w:spacing w:before="145" w:after="145" w:line="360" w:lineRule="auto"/>
        <w:rPr>
          <w:rFonts w:hint="eastAsia" w:ascii="宋体" w:hAnsi="宋体" w:eastAsia="宋体" w:cs="宋体"/>
          <w:b/>
          <w:bCs/>
          <w:szCs w:val="24"/>
          <w:highlight w:val="none"/>
          <w:u w:val="single"/>
        </w:rPr>
      </w:pPr>
      <w:r>
        <w:rPr>
          <w:rFonts w:hint="eastAsia" w:ascii="宋体" w:hAnsi="宋体" w:eastAsia="宋体" w:cs="宋体"/>
          <w:b/>
          <w:bCs/>
          <w:szCs w:val="24"/>
          <w:highlight w:val="none"/>
          <w:u w:val="single"/>
        </w:rPr>
      </w:r>
      <w:r/>
    </w:p>
    <w:p>
      <w:pPr>
        <w:jc w:val="center"/>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rPr>
        <w:t xml:space="preserve">十</w:t>
      </w:r>
      <w:r>
        <w:rPr>
          <w:rFonts w:hint="eastAsia" w:ascii="宋体" w:hAnsi="宋体" w:eastAsia="宋体" w:cs="宋体"/>
          <w:b w:val="0"/>
          <w:bCs w:val="0"/>
          <w:sz w:val="32"/>
          <w:szCs w:val="32"/>
          <w:highlight w:val="none"/>
        </w:rPr>
        <w:t xml:space="preserve">)法定代表人（负责人）授权委托书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法定代表人（负责人）</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 xml:space="preserve">授 权</w:t>
      </w:r>
      <w:r>
        <w:rPr>
          <w:rFonts w:hint="eastAsia" w:ascii="宋体" w:hAnsi="宋体" w:eastAsia="宋体" w:cs="宋体"/>
          <w:sz w:val="24"/>
          <w:szCs w:val="24"/>
          <w:highlight w:val="none"/>
          <w:u w:val="single"/>
        </w:rPr>
        <w:t xml:space="preserve">（委托代理人的姓名、职务）</w:t>
      </w:r>
      <w:r>
        <w:rPr>
          <w:rFonts w:hint="eastAsia" w:ascii="宋体" w:hAnsi="宋体" w:eastAsia="宋体" w:cs="宋体"/>
          <w:sz w:val="24"/>
          <w:szCs w:val="24"/>
          <w:highlight w:val="none"/>
        </w:rPr>
        <w:t xml:space="preserve">为我方就</w:t>
      </w:r>
      <w:r>
        <w:rPr>
          <w:rFonts w:hint="eastAsia" w:ascii="宋体" w:hAnsi="宋体" w:eastAsia="宋体" w:cs="宋体"/>
          <w:sz w:val="24"/>
          <w:szCs w:val="24"/>
          <w:highlight w:val="none"/>
          <w:u w:val="single"/>
        </w:rPr>
        <w:t xml:space="preserve">××××（代理机构）代理的××××（项目编号、项目名称）</w:t>
      </w:r>
      <w:r>
        <w:rPr>
          <w:rFonts w:hint="eastAsia" w:ascii="宋体" w:hAnsi="宋体" w:eastAsia="宋体" w:cs="宋体"/>
          <w:sz w:val="24"/>
          <w:szCs w:val="24"/>
          <w:highlight w:val="none"/>
        </w:rPr>
        <w:t xml:space="preserve">项目的投标活动的合法代理人，以本单位 名义全权处理一切与该项目</w:t>
      </w:r>
      <w:r>
        <w:rPr>
          <w:rFonts w:hint="eastAsia" w:ascii="宋体" w:hAnsi="宋体" w:eastAsia="宋体" w:cs="宋体"/>
          <w:sz w:val="24"/>
          <w:szCs w:val="24"/>
          <w:highlight w:val="none"/>
          <w:lang w:val="en-US"/>
        </w:rPr>
        <w:t xml:space="preserve">招</w:t>
      </w:r>
      <w:r>
        <w:rPr>
          <w:rFonts w:hint="eastAsia" w:ascii="宋体" w:hAnsi="宋体" w:eastAsia="宋体" w:cs="宋体"/>
          <w:sz w:val="24"/>
          <w:szCs w:val="24"/>
          <w:highlight w:val="none"/>
        </w:rPr>
        <w:t xml:space="preserve">标有关的事务（含合同签订）。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本授权委托书于年月日在相应位置签字或盖章后生效，特此声明。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委托代理人身份证号码：</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委托代理人联系电话：（手机）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法定代表人（负责人）签章：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附：委托代理人居民身份证扫描件 </w:t>
      </w:r>
      <w:r/>
    </w:p>
    <w:p>
      <w:pPr>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注：“法定代表人（负责人）”授权委托其他人投标的，须填写法定代表人身份证明书和本授权委托书。</w:t>
      </w:r>
      <w:r/>
    </w:p>
    <w:p>
      <w:pPr>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（十</w:t>
      </w:r>
      <w:r>
        <w:rPr>
          <w:rFonts w:hint="eastAsia" w:ascii="宋体" w:hAnsi="宋体" w:eastAsia="宋体" w:cs="宋体"/>
          <w:sz w:val="32"/>
          <w:szCs w:val="32"/>
          <w:highlight w:val="none"/>
          <w:lang w:val="en-US" w:eastAsia="zh-CN"/>
        </w:rPr>
        <w:t xml:space="preserve">一</w:t>
      </w:r>
      <w:r>
        <w:rPr>
          <w:rFonts w:hint="eastAsia" w:ascii="宋体" w:hAnsi="宋体" w:eastAsia="宋体" w:cs="宋体"/>
          <w:sz w:val="32"/>
          <w:szCs w:val="32"/>
          <w:highlight w:val="none"/>
        </w:rPr>
        <w:t xml:space="preserve">）资格承诺函</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（采购人、采购代理机构）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我单位参与</w:t>
      </w:r>
      <w:r>
        <w:rPr>
          <w:rFonts w:hint="eastAsia" w:ascii="宋体" w:hAnsi="宋体" w:eastAsia="宋体" w:cs="宋体"/>
          <w:sz w:val="24"/>
          <w:szCs w:val="24"/>
          <w:highlight w:val="none"/>
          <w:u w:val="single"/>
        </w:rPr>
        <w:t xml:space="preserve">  （项目名称）  （项目编号：    ）</w:t>
      </w:r>
      <w:r>
        <w:rPr>
          <w:rFonts w:hint="eastAsia" w:ascii="宋体" w:hAnsi="宋体" w:eastAsia="宋体" w:cs="宋体"/>
          <w:sz w:val="24"/>
          <w:szCs w:val="24"/>
          <w:highlight w:val="none"/>
        </w:rPr>
        <w:t xml:space="preserve">项目的政府采购活动，现承诺如下：</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1.我方具有良好的商业信誉和健全的财务会计制度。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2.我方具有履行合同所必需的设备和专业技术能力。</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3.我方具有依法缴纳税收和社会保障资金的良好记录。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4.我方参加本项目采购活动前三年内，在经营活动中没有重大违法记录。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若我单位承诺不实，自愿承担提供虚假材料谋取中标、成交的法律责任。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投标（响应）供应商（全称并盖章）：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供应商法定代表人或授权代表（签字或签章）：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说明：1.供应商可自行选择是否提供本承诺函，若不提供本承诺函的，应按采购文件要求提供相应的证明材料。</w:t>
      </w:r>
      <w:r/>
    </w:p>
    <w:p>
      <w:pPr>
        <w:numPr>
          <w:ilvl w:val="0"/>
          <w:numId w:val="0"/>
        </w:num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供应商可删减承诺事项，删减的承诺事项须按采购文件要求提供相应的证明材料。比如删去本承诺函第3项的，则应按采购文件要求提供依法缴纳税收和社会保障资金的良好记录。</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val="0"/>
          <w:bCs w:val="0"/>
          <w:sz w:val="32"/>
          <w:szCs w:val="32"/>
          <w:highlight w:val="none"/>
          <w:lang w:eastAsia="zh-CN"/>
        </w:rPr>
      </w:pPr>
      <w:r>
        <w:rPr>
          <w:rFonts w:hint="eastAsia" w:ascii="宋体" w:hAnsi="宋体" w:eastAsia="宋体" w:cs="宋体"/>
          <w:b w:val="0"/>
          <w:bCs w:val="0"/>
          <w:sz w:val="32"/>
          <w:szCs w:val="32"/>
          <w:highlight w:val="none"/>
          <w:lang w:eastAsia="zh-CN"/>
        </w:rPr>
        <w:br w:type="page" w:clear="all"/>
      </w:r>
      <w:r/>
    </w:p>
    <w:p>
      <w:pPr>
        <w:numPr>
          <w:ilvl w:val="0"/>
          <w:numId w:val="0"/>
        </w:numPr>
        <w:jc w:val="center"/>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b w:val="0"/>
          <w:bCs w:val="0"/>
          <w:sz w:val="32"/>
          <w:szCs w:val="32"/>
          <w:highlight w:val="none"/>
          <w:lang w:eastAsia="zh-CN"/>
        </w:rPr>
        <w:t xml:space="preserve">（</w:t>
      </w:r>
      <w:r>
        <w:rPr>
          <w:rFonts w:hint="eastAsia" w:ascii="宋体" w:hAnsi="宋体" w:eastAsia="宋体" w:cs="宋体"/>
          <w:b w:val="0"/>
          <w:bCs w:val="0"/>
          <w:sz w:val="32"/>
          <w:szCs w:val="32"/>
          <w:highlight w:val="none"/>
          <w:lang w:val="en-US" w:eastAsia="zh-CN"/>
        </w:rPr>
        <w:t xml:space="preserve">十二</w:t>
      </w:r>
      <w:r>
        <w:rPr>
          <w:rFonts w:hint="eastAsia" w:ascii="宋体" w:hAnsi="宋体" w:eastAsia="宋体" w:cs="宋体"/>
          <w:b w:val="0"/>
          <w:bCs w:val="0"/>
          <w:sz w:val="32"/>
          <w:szCs w:val="32"/>
          <w:highlight w:val="none"/>
          <w:lang w:eastAsia="zh-CN"/>
        </w:rPr>
        <w:t xml:space="preserve">）</w:t>
      </w:r>
      <w:r>
        <w:rPr>
          <w:rFonts w:hint="eastAsia" w:ascii="宋体" w:hAnsi="宋体" w:eastAsia="宋体" w:cs="宋体"/>
          <w:b w:val="0"/>
          <w:bCs w:val="0"/>
          <w:sz w:val="32"/>
          <w:szCs w:val="32"/>
          <w:highlight w:val="none"/>
        </w:rPr>
        <w:t xml:space="preserve">开标（报价）一览表（格式）</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单位名称（加盖公章）： </w:t>
      </w:r>
      <w:r/>
    </w:p>
    <w:tbl>
      <w:tblPr>
        <w:tblStyle w:val="977"/>
        <w:tblW w:w="10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700"/>
      </w:tblGrid>
      <w:tr>
        <w:trPr>
          <w:cantSplit/>
          <w:trHeight w:val="1207"/>
        </w:trPr>
        <w:tc>
          <w:tcPr>
            <w:tcW w:w="2980" w:type="dxa"/>
            <w:vAlign w:val="center"/>
            <w:textDirection w:val="lrTb"/>
            <w:noWrap w:val="false"/>
          </w:tcPr>
          <w:p>
            <w:pPr>
              <w:pStyle w:val="97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项目总报价</w:t>
            </w:r>
            <w:r/>
          </w:p>
        </w:tc>
        <w:tc>
          <w:tcPr>
            <w:tcW w:w="7700" w:type="dxa"/>
            <w:vAlign w:val="center"/>
            <w:textDirection w:val="lrTb"/>
            <w:noWrap w:val="false"/>
          </w:tcPr>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p>
        </w:tc>
      </w:tr>
      <w:tr>
        <w:trPr>
          <w:cantSplit/>
          <w:trHeight w:val="762"/>
        </w:trPr>
        <w:tc>
          <w:tcPr>
            <w:tcW w:w="2980" w:type="dxa"/>
            <w:vAlign w:val="center"/>
            <w:textDirection w:val="lrTb"/>
            <w:noWrap w:val="false"/>
          </w:tcPr>
          <w:p>
            <w:pPr>
              <w:pStyle w:val="97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w:t>
            </w:r>
            <w:r/>
          </w:p>
        </w:tc>
        <w:tc>
          <w:tcPr>
            <w:tcW w:w="770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8"/>
        </w:trPr>
        <w:tc>
          <w:tcPr>
            <w:tcW w:w="2980" w:type="dxa"/>
            <w:vAlign w:val="center"/>
            <w:textDirection w:val="lrTb"/>
            <w:noWrap w:val="false"/>
          </w:tcPr>
          <w:p>
            <w:pPr>
              <w:pStyle w:val="979"/>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rPr>
              <w:t xml:space="preserve">备注</w:t>
            </w:r>
            <w:r/>
          </w:p>
        </w:tc>
        <w:tc>
          <w:tcPr>
            <w:tcW w:w="770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79"/>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注： </w:t>
      </w:r>
      <w:r>
        <w:rPr>
          <w:rFonts w:hint="eastAsia" w:ascii="宋体" w:hAnsi="宋体" w:eastAsia="宋体" w:cs="宋体"/>
          <w:sz w:val="24"/>
          <w:szCs w:val="24"/>
          <w:highlight w:val="none"/>
          <w:u w:val="single"/>
        </w:rPr>
        <w:t xml:space="preserve">1.“项目总报价”包括本次招标要求提供的货物（服务）已支付或将支付的所有费用；</w:t>
      </w:r>
      <w:r/>
    </w:p>
    <w:p>
      <w:pPr>
        <w:pStyle w:val="979"/>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2.投标人必须据实填写此表，报价所含与招标文件要求的内容一致；</w:t>
      </w:r>
      <w:r/>
    </w:p>
    <w:p>
      <w:pPr>
        <w:pStyle w:val="979"/>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3.报价保留至小数点后两位，四舍五入。</w:t>
      </w:r>
      <w:r/>
    </w:p>
    <w:p>
      <w:pPr>
        <w:pStyle w:val="979"/>
        <w:ind w:left="482"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color w:val="000000"/>
          <w:sz w:val="24"/>
          <w:szCs w:val="24"/>
          <w:highlight w:val="none"/>
          <w:u w:val="single"/>
          <w:lang w:val="en-US"/>
        </w:rPr>
        <w:t xml:space="preserve">            </w:t>
      </w:r>
      <w:r/>
    </w:p>
    <w:p>
      <w:pPr>
        <w:numPr>
          <w:ilvl w:val="0"/>
          <w:numId w:val="0"/>
        </w:numPr>
        <w:ind w:firstLine="6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年</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月</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日</w:t>
      </w:r>
      <w:r/>
    </w:p>
    <w:p>
      <w:pPr>
        <w:numPr>
          <w:ilvl w:val="0"/>
          <w:numId w:val="0"/>
        </w:numPr>
        <w:ind w:firstLine="6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jc w:val="center"/>
        <w:spacing w:line="360" w:lineRule="auto"/>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明细报价</w:t>
      </w:r>
      <w:r/>
    </w:p>
    <w:tbl>
      <w:tblPr>
        <w:tblStyle w:val="977"/>
        <w:tblW w:w="10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88"/>
        <w:gridCol w:w="3039"/>
        <w:gridCol w:w="1040"/>
        <w:gridCol w:w="1790"/>
        <w:gridCol w:w="1412"/>
        <w:gridCol w:w="1097"/>
        <w:gridCol w:w="1067"/>
      </w:tblGrid>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设备名称</w:t>
            </w:r>
            <w:r/>
          </w:p>
        </w:tc>
        <w:tc>
          <w:tcPr>
            <w:shd w:val="clear" w:color="auto" w:fill="auto"/>
            <w:tcW w:w="104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数量</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是否接受进口</w:t>
            </w:r>
            <w:r/>
          </w:p>
        </w:tc>
        <w:tc>
          <w:tcPr>
            <w:shd w:val="clear" w:color="auto" w:fill="auto"/>
            <w:tcW w:w="1412" w:type="dxa"/>
            <w:vAlign w:val="center"/>
            <w:textDirection w:val="lrTb"/>
            <w:noWrap w:val="false"/>
          </w:tcPr>
          <w:p>
            <w:pPr>
              <w:jc w:val="center"/>
              <w:pageBreakBefore w:val="0"/>
              <w:spacing w:line="360" w:lineRule="auto"/>
              <w:widowControl/>
              <w:rPr>
                <w:rFonts w:hint="default" w:ascii="宋体" w:hAnsi="宋体" w:eastAsia="宋体" w:cs="宋体"/>
                <w:sz w:val="24"/>
                <w:szCs w:val="24"/>
                <w:highlight w:val="none"/>
                <w:lang w:val="en-US" w:eastAsia="zh-CN" w:bidi="ar"/>
              </w:rPr>
            </w:pPr>
            <w:r>
              <w:rPr>
                <w:rFonts w:hint="eastAsia" w:hAnsi="宋体" w:cs="宋体"/>
                <w:color w:val="000000" w:themeColor="text1"/>
                <w:sz w:val="24"/>
                <w:szCs w:val="24"/>
                <w:highlight w:val="none"/>
                <w:lang w:val="en-US" w:eastAsia="zh-CN" w:bidi="ar"/>
                <w14:textFill>
                  <w14:solidFill>
                    <w14:schemeClr w14:val="tx1"/>
                  </w14:solidFill>
                </w14:textFill>
              </w:rPr>
              <w:t xml:space="preserve">品牌、型号</w:t>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单价</w:t>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合价</w:t>
            </w:r>
            <w:r/>
          </w:p>
        </w:tc>
      </w:tr>
      <w:tr>
        <w:trPr>
          <w:jc w:val="center"/>
          <w:trHeight w:val="90"/>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台式PH计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2"/>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台式电导率</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BOD5曝气装置</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千分之一天平</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35"/>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十万分</w:t>
            </w:r>
            <w:r>
              <w:rPr>
                <w:rFonts w:hint="eastAsia" w:ascii="宋体" w:hAnsi="宋体" w:eastAsia="宋体" w:cs="宋体"/>
                <w:sz w:val="24"/>
                <w:szCs w:val="24"/>
                <w:highlight w:val="none"/>
                <w:lang w:eastAsia="zh-CN" w:bidi="ar"/>
              </w:rPr>
              <w:t xml:space="preserve">之</w:t>
            </w:r>
            <w:r>
              <w:rPr>
                <w:rFonts w:hint="eastAsia" w:ascii="宋体" w:hAnsi="宋体" w:eastAsia="宋体" w:cs="宋体"/>
                <w:sz w:val="24"/>
                <w:szCs w:val="24"/>
                <w:highlight w:val="none"/>
                <w:lang w:eastAsia="zh-Hans" w:bidi="ar"/>
              </w:rPr>
              <w:t xml:space="preserve">一天平</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马弗炉</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高压蒸汽灭菌器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恒温培养箱</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Hans" w:bidi="ar"/>
              </w:rPr>
              <w:t xml:space="preserve">离子计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超声波清洗器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可见光分光光度计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全自动CODcr分析仪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13</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水浴锅</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4</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气相色谱仪（FID、ECD）</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18"/>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5</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气相色谱质谱联用仪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18"/>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16</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Hans" w:bidi="ar"/>
              </w:rPr>
              <w:t xml:space="preserve">电感耦合等离子体发射光谱仪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17</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热脱附仪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18</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老化仪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19</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气袋进样器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20</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石墨炉原子吸收仪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火焰原子吸收仪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15"/>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原子荧光光度计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23</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hAnsi="宋体" w:cs="宋体"/>
                <w:sz w:val="24"/>
                <w:szCs w:val="24"/>
                <w:highlight w:val="none"/>
                <w:lang w:val="en-US" w:eastAsia="zh-CN" w:bidi="ar"/>
              </w:rPr>
              <w:t xml:space="preserve">全自动红外测油仪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55"/>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24</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连续流动分析仪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25</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液液萃取仪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26</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固相萃取仪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27</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氮吹浓缩仪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33"/>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28</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石墨消解器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433"/>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29</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COD消解器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30</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高氯COD消解器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Hans"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酸化-吹气-吸收装置</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实验室配气仪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33</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单开门样品存储柜</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34</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双开门样品存储柜</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90"/>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35</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紫外灯箱</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36</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纯水机</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37</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低浓度颗粒物大流量烟尘仪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38</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低浓度颗粒物采样枪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39</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Hans" w:bidi="ar"/>
              </w:rPr>
            </w:pPr>
            <w:r>
              <w:rPr>
                <w:rFonts w:hint="eastAsia" w:ascii="宋体" w:hAnsi="宋体" w:eastAsia="宋体" w:cs="宋体"/>
                <w:sz w:val="24"/>
                <w:szCs w:val="24"/>
                <w:highlight w:val="none"/>
                <w:lang w:val="en-US" w:eastAsia="zh-CN" w:bidi="ar"/>
              </w:rPr>
              <w:t xml:space="preserve">便携式多气体检测仪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40</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移动电源</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便携式抽滤装置</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便携式电导率仪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43</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细菌快速检测仪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44</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便携式溶氧仪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45</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便携式PH计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46</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便携式浊度计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47</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便携式离心机</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48</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表层采水器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49</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卡盖式采水器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50</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高温温度计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塞氏盘</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测深仪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53</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铁壳温度计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54</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声级计</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55</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声级校准器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56</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hAnsi="宋体" w:cs="宋体"/>
                <w:sz w:val="24"/>
                <w:szCs w:val="24"/>
                <w:highlight w:val="none"/>
                <w:lang w:val="en-US" w:eastAsia="zh-CN" w:bidi="ar"/>
              </w:rPr>
              <w:t xml:space="preserve">应急</w:t>
            </w:r>
            <w:r>
              <w:rPr>
                <w:rFonts w:hint="eastAsia" w:ascii="宋体" w:hAnsi="宋体" w:eastAsia="宋体" w:cs="宋体"/>
                <w:sz w:val="24"/>
                <w:szCs w:val="24"/>
                <w:highlight w:val="none"/>
                <w:lang w:val="en-US" w:eastAsia="zh-CN" w:bidi="ar"/>
              </w:rPr>
              <w:t xml:space="preserve">防护用品箱</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57</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应急工作箱</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58</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重型防护服</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59</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甲醛仪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60</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气袋采样器</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61</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移液枪</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shd w:val="clear" w:color="auto" w:fill="auto"/>
            <w:tcW w:w="709"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62</w:t>
            </w:r>
            <w:r/>
          </w:p>
        </w:tc>
        <w:tc>
          <w:tcPr>
            <w:gridSpan w:val="2"/>
            <w:shd w:val="clear" w:color="auto" w:fill="auto"/>
            <w:tcW w:w="342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Hans" w:bidi="ar"/>
              </w:rPr>
            </w:pPr>
            <w:r>
              <w:rPr>
                <w:rFonts w:hint="eastAsia" w:ascii="宋体" w:hAnsi="宋体" w:eastAsia="宋体" w:cs="宋体"/>
                <w:sz w:val="24"/>
                <w:szCs w:val="24"/>
                <w:highlight w:val="none"/>
                <w:lang w:val="en-US" w:eastAsia="zh-CN" w:bidi="ar"/>
              </w:rPr>
              <w:t xml:space="preserve">程控封口机</w:t>
            </w:r>
            <w:r/>
          </w:p>
        </w:tc>
        <w:tc>
          <w:tcPr>
            <w:shd w:val="clear" w:color="auto" w:fill="auto"/>
            <w:tcW w:w="10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790"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否</w:t>
            </w:r>
            <w:r/>
          </w:p>
        </w:tc>
        <w:tc>
          <w:tcPr>
            <w:shd w:val="clear" w:color="auto" w:fill="auto"/>
            <w:tcW w:w="1412"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c>
          <w:tcPr>
            <w:shd w:val="clear" w:color="auto" w:fill="auto"/>
            <w:tcW w:w="106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tc>
      </w:tr>
      <w:tr>
        <w:trPr>
          <w:jc w:val="center"/>
          <w:trHeight w:val="357"/>
        </w:trPr>
        <w:tc>
          <w:tcPr>
            <w:gridSpan w:val="2"/>
            <w:shd w:val="clear" w:color="auto" w:fill="auto"/>
            <w:tcW w:w="1097"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gridSpan w:val="6"/>
            <w:shd w:val="clear" w:color="auto" w:fill="auto"/>
            <w:tcW w:w="9445" w:type="dxa"/>
            <w:vAlign w:val="center"/>
            <w:textDirection w:val="lrTb"/>
            <w:noWrap w:val="false"/>
          </w:tcPr>
          <w:p>
            <w:pPr>
              <w:jc w:val="center"/>
              <w:pageBreakBefore w:val="0"/>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en-US" w:eastAsia="zh-CN" w:bidi="ar"/>
              </w:rPr>
              <w:t xml:space="preserve">总价</w:t>
            </w:r>
            <w:r/>
          </w:p>
        </w:tc>
      </w:tr>
    </w:tbl>
    <w:p>
      <w:pPr>
        <w:pStyle w:val="998"/>
        <w:ind w:left="0" w:firstLine="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98"/>
        <w:ind w:left="0" w:firstLine="0"/>
        <w:jc w:val="center"/>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（十三）技术部分</w:t>
      </w:r>
      <w:r>
        <w:rPr>
          <w:rFonts w:hint="eastAsia" w:ascii="宋体" w:hAnsi="宋体" w:eastAsia="宋体" w:cs="宋体"/>
          <w:b/>
          <w:color w:val="auto"/>
          <w:sz w:val="32"/>
          <w:szCs w:val="32"/>
          <w:highlight w:val="none"/>
        </w:rPr>
        <w:t xml:space="preserve">（与评分标准对应）</w:t>
      </w:r>
      <w:r/>
    </w:p>
    <w:p>
      <w:pPr>
        <w:pStyle w:val="998"/>
        <w:ind w:left="0" w:firstLine="0"/>
        <w:jc w:val="center"/>
        <w:spacing w:line="360" w:lineRule="auto"/>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技术响应及偏离表</w:t>
      </w:r>
      <w:r/>
    </w:p>
    <w:tbl>
      <w:tblPr>
        <w:tblStyle w:val="977"/>
        <w:tblW w:w="111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2"/>
        <w:gridCol w:w="2955"/>
        <w:gridCol w:w="2670"/>
        <w:gridCol w:w="2429"/>
        <w:gridCol w:w="2202"/>
      </w:tblGrid>
      <w:tr>
        <w:trPr>
          <w:jc w:val="center"/>
          <w:trHeight w:val="1005"/>
        </w:trPr>
        <w:tc>
          <w:tcPr>
            <w:tcW w:w="942"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序号</w:t>
            </w:r>
            <w:r/>
          </w:p>
        </w:tc>
        <w:tc>
          <w:tcPr>
            <w:tcW w:w="2955"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技术要求</w:t>
            </w:r>
            <w:r/>
          </w:p>
        </w:tc>
        <w:tc>
          <w:tcPr>
            <w:tcW w:w="2670"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采购需求中具体要求</w:t>
            </w:r>
            <w:r/>
          </w:p>
        </w:tc>
        <w:tc>
          <w:tcPr>
            <w:tcW w:w="2429" w:type="dxa"/>
            <w:vAlign w:val="center"/>
            <w:textDirection w:val="lrTb"/>
            <w:noWrap w:val="false"/>
          </w:tcPr>
          <w:p>
            <w:pPr>
              <w:pStyle w:val="973"/>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符合</w:t>
            </w:r>
            <w:r>
              <w:rPr>
                <w:rFonts w:hint="eastAsia" w:ascii="宋体" w:hAnsi="宋体" w:eastAsia="宋体" w:cs="宋体"/>
                <w:bCs/>
                <w:sz w:val="24"/>
                <w:szCs w:val="24"/>
                <w:highlight w:val="none"/>
              </w:rPr>
              <w:t xml:space="preserve">/正偏离/负偏离</w:t>
            </w:r>
            <w:r/>
          </w:p>
        </w:tc>
        <w:tc>
          <w:tcPr>
            <w:tcW w:w="2202"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备注（如果有偏离的请说明）</w:t>
            </w:r>
            <w:r/>
          </w:p>
        </w:tc>
      </w:tr>
      <w:tr>
        <w:trPr>
          <w:jc w:val="center"/>
          <w:trHeight w:val="937"/>
        </w:trPr>
        <w:tc>
          <w:tcPr>
            <w:tcW w:w="942" w:type="dxa"/>
            <w:vAlign w:val="center"/>
            <w:textDirection w:val="lrTb"/>
            <w:noWrap w:val="false"/>
          </w:tcPr>
          <w:p>
            <w:pPr>
              <w:jc w:val="center"/>
              <w:spacing w:line="360" w:lineRule="auto"/>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1</w:t>
            </w:r>
            <w:r/>
          </w:p>
        </w:tc>
        <w:tc>
          <w:tcPr>
            <w:tcW w:w="295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7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20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937"/>
        </w:trPr>
        <w:tc>
          <w:tcPr>
            <w:tcW w:w="942" w:type="dxa"/>
            <w:vAlign w:val="center"/>
            <w:textDirection w:val="lrTb"/>
            <w:noWrap w:val="false"/>
          </w:tcPr>
          <w:p>
            <w:pPr>
              <w:jc w:val="center"/>
              <w:spacing w:line="360" w:lineRule="auto"/>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2</w:t>
            </w:r>
            <w:r/>
          </w:p>
        </w:tc>
        <w:tc>
          <w:tcPr>
            <w:tcW w:w="295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7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20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937"/>
        </w:trPr>
        <w:tc>
          <w:tcPr>
            <w:tcW w:w="942" w:type="dxa"/>
            <w:vAlign w:val="center"/>
            <w:textDirection w:val="lrTb"/>
            <w:noWrap w:val="false"/>
          </w:tcPr>
          <w:p>
            <w:pPr>
              <w:jc w:val="center"/>
              <w:spacing w:line="360" w:lineRule="auto"/>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w:t>
            </w:r>
            <w:r/>
          </w:p>
        </w:tc>
        <w:tc>
          <w:tcPr>
            <w:tcW w:w="295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7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20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924"/>
        </w:trPr>
        <w:tc>
          <w:tcPr>
            <w:gridSpan w:val="5"/>
            <w:tcW w:w="11198"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供应商保证：除本偏离表列出的偏离外，我单位对招标文件的采购需求条款完全响应，无偏离。</w:t>
            </w:r>
            <w:r/>
          </w:p>
        </w:tc>
      </w:tr>
    </w:tbl>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sz w:val="24"/>
          <w:szCs w:val="24"/>
          <w:highlight w:val="none"/>
        </w:rPr>
        <w:t xml:space="preserve">（1）供应商应根据招标文件第四章“采购需求”填写本表。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（2）供应商如果对招标文件第四章“采购需求”的响应有偏离，应将偏离条款逐条如 实应答，并作出说明，行次不够请自行增加；</w:t>
      </w:r>
      <w:r>
        <w:rPr>
          <w:rFonts w:hint="eastAsia" w:ascii="宋体" w:hAnsi="宋体" w:eastAsia="宋体" w:cs="宋体"/>
          <w:b/>
          <w:bCs/>
          <w:sz w:val="24"/>
          <w:szCs w:val="24"/>
          <w:highlight w:val="none"/>
        </w:rPr>
        <w:t xml:space="preserve">如供应商无偏离事项，则在表格中“项目” 栏填写“无偏离项”即可。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如不提供此表，则视为供应商不满足招标文件第四章的所有条款要求，其响应无效。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年</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月</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sz w:val="24"/>
          <w:szCs w:val="24"/>
          <w:highlight w:val="none"/>
        </w:rPr>
        <w:t xml:space="preserve">日</w:t>
      </w:r>
      <w:r/>
    </w:p>
    <w:p>
      <w:pPr>
        <w:numPr>
          <w:ilvl w:val="0"/>
          <w:numId w:val="0"/>
        </w:numPr>
        <w:jc w:val="center"/>
        <w:spacing w:line="360" w:lineRule="auto"/>
        <w:rPr>
          <w:rFonts w:hint="eastAsia" w:ascii="宋体" w:hAnsi="宋体" w:eastAsia="宋体" w:cs="宋体"/>
          <w:b w:val="0"/>
          <w:bCs w:val="0"/>
          <w:sz w:val="32"/>
          <w:szCs w:val="32"/>
          <w:highlight w:val="none"/>
          <w:lang w:val="en-US" w:eastAsia="zh-CN"/>
        </w:rPr>
      </w:pPr>
      <w:r>
        <w:rPr>
          <w:rFonts w:hint="eastAsia" w:ascii="宋体" w:hAnsi="宋体" w:eastAsia="宋体" w:cs="宋体"/>
          <w:b w:val="0"/>
          <w:bCs w:val="0"/>
          <w:sz w:val="32"/>
          <w:szCs w:val="32"/>
          <w:highlight w:val="none"/>
          <w:lang w:val="en-US" w:eastAsia="zh-CN"/>
        </w:rPr>
      </w:r>
      <w:r/>
    </w:p>
    <w:p>
      <w:pPr>
        <w:pStyle w:val="988"/>
        <w:numPr>
          <w:ilvl w:val="0"/>
          <w:numId w:val="0"/>
        </w:numPr>
        <w:jc w:val="center"/>
        <w:spacing w:line="360" w:lineRule="auto"/>
        <w:rPr>
          <w:rFonts w:hint="eastAsia" w:ascii="宋体" w:hAnsi="宋体" w:eastAsia="宋体" w:cs="宋体"/>
          <w:sz w:val="32"/>
          <w:szCs w:val="32"/>
          <w:highlight w:val="none"/>
          <w:lang w:val="en-US"/>
        </w:rPr>
      </w:pPr>
      <w:r>
        <w:rPr>
          <w:rFonts w:hint="eastAsia" w:ascii="宋体" w:hAnsi="宋体" w:eastAsia="宋体" w:cs="宋体"/>
          <w:sz w:val="32"/>
          <w:szCs w:val="32"/>
          <w:highlight w:val="none"/>
          <w:lang w:val="en-US" w:eastAsia="zh-CN"/>
        </w:rPr>
        <w:t xml:space="preserve">（十四）</w:t>
      </w:r>
      <w:r>
        <w:rPr>
          <w:rFonts w:hint="eastAsia" w:ascii="宋体" w:hAnsi="宋体" w:eastAsia="宋体" w:cs="宋体"/>
          <w:sz w:val="32"/>
          <w:szCs w:val="32"/>
          <w:highlight w:val="none"/>
          <w:lang w:val="en-US"/>
        </w:rPr>
        <w:t xml:space="preserve">商务部分</w:t>
      </w:r>
      <w:r>
        <w:rPr>
          <w:rFonts w:hint="eastAsia" w:ascii="宋体" w:hAnsi="宋体" w:eastAsia="宋体" w:cs="宋体"/>
          <w:b/>
          <w:bCs/>
          <w:sz w:val="32"/>
          <w:szCs w:val="32"/>
          <w:highlight w:val="none"/>
          <w:lang w:val="en-US"/>
        </w:rPr>
        <w:t xml:space="preserve">（与评分标准对应）</w:t>
      </w:r>
      <w:r/>
    </w:p>
    <w:p>
      <w:pPr>
        <w:pStyle w:val="988"/>
        <w:numPr>
          <w:ilvl w:val="0"/>
          <w:numId w:val="0"/>
        </w:numPr>
        <w:jc w:val="both"/>
        <w:spacing w:line="360" w:lineRule="auto"/>
        <w:rPr>
          <w:rFonts w:hint="eastAsia" w:ascii="宋体" w:hAnsi="宋体" w:eastAsia="宋体" w:cs="宋体"/>
          <w:highlight w:val="none"/>
          <w:lang w:val="en-US"/>
        </w:rPr>
      </w:pPr>
      <w:r>
        <w:rPr>
          <w:rFonts w:hint="eastAsia" w:ascii="宋体" w:hAnsi="宋体" w:eastAsia="宋体" w:cs="宋体"/>
          <w:highlight w:val="none"/>
          <w:lang w:val="en-US"/>
        </w:rPr>
      </w:r>
      <w:r/>
    </w:p>
    <w:p>
      <w:pPr>
        <w:pStyle w:val="990"/>
        <w:ind w:left="0" w:right="320" w:firstLine="643"/>
        <w:jc w:val="center"/>
        <w:spacing w:line="360" w:lineRule="auto"/>
        <w:rPr>
          <w:rFonts w:hint="eastAsia" w:ascii="宋体" w:hAnsi="宋体" w:eastAsia="宋体" w:cs="宋体"/>
          <w:b w:val="0"/>
          <w:bCs w:val="0"/>
          <w:sz w:val="32"/>
          <w:szCs w:val="32"/>
          <w:highlight w:val="none"/>
          <w:lang w:val="en-US"/>
        </w:rPr>
      </w:pPr>
      <w:r>
        <w:rPr>
          <w:rFonts w:hint="eastAsia" w:ascii="宋体" w:hAnsi="宋体" w:eastAsia="宋体" w:cs="宋体"/>
          <w:b w:val="0"/>
          <w:bCs w:val="0"/>
          <w:sz w:val="32"/>
          <w:szCs w:val="32"/>
          <w:highlight w:val="none"/>
          <w:lang w:val="en-US"/>
        </w:rPr>
        <w:t xml:space="preserve">（</w:t>
      </w:r>
      <w:r>
        <w:rPr>
          <w:rFonts w:hint="eastAsia" w:ascii="宋体" w:hAnsi="宋体" w:eastAsia="宋体" w:cs="宋体"/>
          <w:b w:val="0"/>
          <w:bCs w:val="0"/>
          <w:sz w:val="32"/>
          <w:szCs w:val="32"/>
          <w:highlight w:val="none"/>
          <w:lang w:val="en-US" w:eastAsia="zh-CN"/>
        </w:rPr>
        <w:t xml:space="preserve">十五</w:t>
      </w:r>
      <w:r>
        <w:rPr>
          <w:rFonts w:hint="eastAsia" w:ascii="宋体" w:hAnsi="宋体" w:eastAsia="宋体" w:cs="宋体"/>
          <w:b w:val="0"/>
          <w:bCs w:val="0"/>
          <w:sz w:val="32"/>
          <w:szCs w:val="32"/>
          <w:highlight w:val="none"/>
          <w:lang w:val="en-US"/>
        </w:rPr>
        <w:t xml:space="preserve">）服务承诺（格式）</w:t>
      </w:r>
      <w:r/>
    </w:p>
    <w:p>
      <w:pPr>
        <w:ind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（一）企业情况简介：请投标人自行介绍本公司情况，格式自拟。</w:t>
      </w:r>
      <w:r/>
    </w:p>
    <w:p>
      <w:pPr>
        <w:ind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（二）投标人能力</w:t>
      </w:r>
      <w:r/>
    </w:p>
    <w:p>
      <w:pPr>
        <w:ind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（三）实施及服务能力</w:t>
      </w:r>
      <w:r/>
    </w:p>
    <w:p>
      <w:pPr>
        <w:ind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（四）服务要求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格式由供应商自定，必须针对本招标文件第四章、采购需求进行响应和表述</w:t>
      </w:r>
      <w:r>
        <w:rPr>
          <w:rFonts w:hint="eastAsia" w:ascii="宋体" w:hAnsi="宋体" w:eastAsia="宋体" w:cs="宋体"/>
          <w:bCs/>
          <w:sz w:val="24"/>
          <w:szCs w:val="24"/>
          <w:highlight w:val="none"/>
        </w:rPr>
        <w:t xml:space="preserve">（格式自拟），其他与服务相关的承诺随后填写。</w:t>
      </w:r>
      <w:r/>
    </w:p>
    <w:p>
      <w:pPr>
        <w:jc w:val="center"/>
        <w:spacing w:line="360" w:lineRule="auto"/>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center"/>
        <w:spacing w:line="360" w:lineRule="auto"/>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t xml:space="preserve">（</w:t>
      </w:r>
      <w:r>
        <w:rPr>
          <w:rFonts w:hint="eastAsia" w:ascii="宋体" w:hAnsi="宋体" w:eastAsia="宋体" w:cs="宋体"/>
          <w:b w:val="0"/>
          <w:bCs/>
          <w:sz w:val="32"/>
          <w:szCs w:val="32"/>
          <w:highlight w:val="none"/>
          <w:lang w:val="en-US" w:eastAsia="zh-CN"/>
        </w:rPr>
        <w:t xml:space="preserve">十六</w:t>
      </w:r>
      <w:r>
        <w:rPr>
          <w:rFonts w:hint="eastAsia" w:ascii="宋体" w:hAnsi="宋体" w:eastAsia="宋体" w:cs="宋体"/>
          <w:b w:val="0"/>
          <w:bCs/>
          <w:sz w:val="32"/>
          <w:szCs w:val="32"/>
          <w:highlight w:val="none"/>
        </w:rPr>
        <w:t xml:space="preserve">）中小企业声明函（货物类）</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pacing w:val="6"/>
          <w:sz w:val="24"/>
          <w:szCs w:val="24"/>
          <w:highlight w:val="none"/>
          <w:u w:val="single"/>
          <w:lang w:val="en-US"/>
        </w:rPr>
        <w:t xml:space="preserve"> </w:t>
      </w:r>
      <w:r>
        <w:rPr>
          <w:rFonts w:hint="eastAsia" w:ascii="宋体" w:hAnsi="宋体" w:eastAsia="宋体" w:cs="宋体"/>
          <w:spacing w:val="6"/>
          <w:sz w:val="24"/>
          <w:szCs w:val="24"/>
          <w:highlight w:val="none"/>
          <w:u w:val="single"/>
          <w:lang w:eastAsia="zh-CN"/>
        </w:rPr>
        <w:t xml:space="preserve">镇江市生态环境监测站</w:t>
      </w:r>
      <w:r>
        <w:rPr>
          <w:rFonts w:hint="eastAsia" w:ascii="宋体" w:hAnsi="宋体" w:eastAsia="宋体" w:cs="宋体"/>
          <w:spacing w:val="6"/>
          <w:sz w:val="24"/>
          <w:szCs w:val="24"/>
          <w:highlight w:val="none"/>
          <w:u w:val="single"/>
          <w:lang w:val="en-US"/>
        </w:rPr>
        <w:t xml:space="preserve"> </w:t>
      </w:r>
      <w:r>
        <w:rPr>
          <w:rFonts w:hint="eastAsia" w:ascii="宋体" w:hAnsi="宋体" w:eastAsia="宋体" w:cs="宋体"/>
          <w:spacing w:val="6"/>
          <w:sz w:val="24"/>
          <w:szCs w:val="24"/>
          <w:highlight w:val="none"/>
        </w:rPr>
        <w:t xml:space="preserve">的</w:t>
      </w:r>
      <w:r>
        <w:rPr>
          <w:rFonts w:hint="eastAsia" w:ascii="宋体" w:hAnsi="宋体" w:cs="宋体"/>
          <w:sz w:val="24"/>
          <w:szCs w:val="24"/>
          <w:highlight w:val="none"/>
          <w:u w:val="single"/>
          <w:lang w:eastAsia="zh-CN"/>
        </w:rPr>
        <w:t xml:space="preserve">镇江市生态环境监测站实验分析及应急监测仪器设备采购项目（二期）二次</w:t>
      </w:r>
      <w:r>
        <w:rPr>
          <w:rFonts w:hint="eastAsia" w:ascii="宋体" w:hAnsi="宋体" w:eastAsia="宋体" w:cs="宋体"/>
          <w:spacing w:val="6"/>
          <w:sz w:val="24"/>
          <w:szCs w:val="24"/>
          <w:highlight w:val="none"/>
        </w:rPr>
        <w:t xml:space="preserve">采购活动，货物和服务全部由符合政策要求的中小企业承接。相关企业（含联合体中的中小企业、签订分包意向协议的中小企业）的具体情况如下：  </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cs="宋体"/>
          <w:sz w:val="24"/>
          <w:szCs w:val="24"/>
          <w:highlight w:val="none"/>
          <w:u w:val="single"/>
          <w:lang w:eastAsia="zh-CN"/>
        </w:rPr>
        <w:t xml:space="preserve">镇江市生态环境监测站实验分析及应急监测仪器设备采购项目（二期）二次</w:t>
      </w:r>
      <w:r>
        <w:rPr>
          <w:rFonts w:hint="eastAsia" w:ascii="宋体" w:hAnsi="宋体" w:eastAsia="宋体" w:cs="宋体"/>
          <w:spacing w:val="6"/>
          <w:sz w:val="24"/>
          <w:szCs w:val="24"/>
          <w:highlight w:val="none"/>
        </w:rPr>
        <w:t xml:space="preserve">，属于（</w:t>
      </w:r>
      <w:r>
        <w:rPr>
          <w:rFonts w:hint="eastAsia" w:ascii="宋体" w:hAnsi="宋体" w:eastAsia="宋体" w:cs="宋体"/>
          <w:sz w:val="24"/>
          <w:szCs w:val="24"/>
          <w:highlight w:val="none"/>
          <w:u w:val="single"/>
          <w:lang w:val="en-US" w:eastAsia="zh-CN"/>
        </w:rPr>
        <w:t xml:space="preserve">其他未列明行业</w:t>
      </w:r>
      <w:r>
        <w:rPr>
          <w:rFonts w:hint="eastAsia" w:ascii="宋体" w:hAnsi="宋体" w:eastAsia="宋体" w:cs="宋体"/>
          <w:spacing w:val="6"/>
          <w:sz w:val="24"/>
          <w:szCs w:val="24"/>
          <w:highlight w:val="none"/>
        </w:rPr>
        <w:t xml:space="preserve">）行业；承接企业为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  </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w:t>
      </w:r>
      <w:r>
        <w:rPr>
          <w:rFonts w:hint="eastAsia" w:ascii="宋体" w:hAnsi="宋体" w:eastAsia="宋体" w:cs="宋体"/>
          <w:spacing w:val="6"/>
          <w:sz w:val="24"/>
          <w:szCs w:val="24"/>
          <w:highlight w:val="none"/>
          <w:u w:val="single"/>
        </w:rPr>
        <w:t xml:space="preserve"> </w:t>
      </w:r>
      <w:r>
        <w:rPr>
          <w:rFonts w:hint="eastAsia" w:ascii="宋体" w:hAnsi="宋体" w:cs="宋体"/>
          <w:sz w:val="24"/>
          <w:szCs w:val="24"/>
          <w:highlight w:val="none"/>
          <w:u w:val="single"/>
          <w:lang w:eastAsia="zh-CN"/>
        </w:rPr>
        <w:t xml:space="preserve">镇江市生态环境监测站实验分析及应急监测仪器设备采购项目（二期）二次</w:t>
      </w:r>
      <w:r>
        <w:rPr>
          <w:rFonts w:hint="eastAsia" w:ascii="宋体" w:hAnsi="宋体" w:eastAsia="宋体" w:cs="宋体"/>
          <w:spacing w:val="6"/>
          <w:sz w:val="24"/>
          <w:szCs w:val="24"/>
          <w:highlight w:val="none"/>
        </w:rPr>
        <w:t xml:space="preserve">，属于</w:t>
      </w:r>
      <w:r>
        <w:rPr>
          <w:rFonts w:hint="eastAsia" w:ascii="宋体" w:hAnsi="宋体" w:eastAsia="宋体" w:cs="宋体"/>
          <w:spacing w:val="6"/>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其他未列明行业</w:t>
      </w:r>
      <w:r>
        <w:rPr>
          <w:rFonts w:hint="eastAsia" w:ascii="宋体" w:hAnsi="宋体" w:eastAsia="宋体" w:cs="宋体"/>
          <w:spacing w:val="6"/>
          <w:sz w:val="24"/>
          <w:szCs w:val="24"/>
          <w:highlight w:val="none"/>
          <w:u w:val="single"/>
        </w:rPr>
        <w:t xml:space="preserve">）</w:t>
      </w:r>
      <w:r>
        <w:rPr>
          <w:rFonts w:hint="eastAsia" w:ascii="宋体" w:hAnsi="宋体" w:eastAsia="宋体" w:cs="宋体"/>
          <w:spacing w:val="6"/>
          <w:sz w:val="24"/>
          <w:szCs w:val="24"/>
          <w:highlight w:val="none"/>
        </w:rPr>
        <w:t xml:space="preserve">行业；承接企业为</w:t>
      </w:r>
      <w:r>
        <w:rPr>
          <w:rFonts w:hint="eastAsia" w:ascii="宋体" w:hAnsi="宋体" w:eastAsia="宋体" w:cs="宋体"/>
          <w:spacing w:val="6"/>
          <w:sz w:val="24"/>
          <w:szCs w:val="24"/>
          <w:highlight w:val="none"/>
          <w:u w:val="single"/>
        </w:rPr>
        <w:t xml:space="preserve">（企业名称）</w:t>
      </w:r>
      <w:r>
        <w:rPr>
          <w:rFonts w:hint="eastAsia" w:ascii="宋体" w:hAnsi="宋体" w:eastAsia="宋体" w:cs="宋体"/>
          <w:spacing w:val="6"/>
          <w:sz w:val="24"/>
          <w:szCs w:val="24"/>
          <w:highlight w:val="none"/>
        </w:rPr>
        <w:t xml:space="preserve">，从业人员</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人，营业收入为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万元，资产总额为</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万元，属于</w:t>
      </w:r>
      <w:r>
        <w:rPr>
          <w:rFonts w:hint="eastAsia" w:ascii="宋体" w:hAnsi="宋体" w:eastAsia="宋体" w:cs="宋体"/>
          <w:spacing w:val="6"/>
          <w:sz w:val="24"/>
          <w:szCs w:val="24"/>
          <w:highlight w:val="none"/>
          <w:u w:val="single"/>
        </w:rPr>
        <w:t xml:space="preserve">（中型企业、小型企业、微型企业）</w:t>
      </w:r>
      <w:r>
        <w:rPr>
          <w:rFonts w:hint="eastAsia" w:ascii="宋体" w:hAnsi="宋体" w:eastAsia="宋体" w:cs="宋体"/>
          <w:spacing w:val="6"/>
          <w:sz w:val="24"/>
          <w:szCs w:val="24"/>
          <w:highlight w:val="none"/>
        </w:rPr>
        <w:t xml:space="preserve">；</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  </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以上企业，不属于大企业的分支机构，不存在控股股东为大企业的情形，也不存在与大企业的负责人为同一人的情形。</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本企业对上述声明内容的真实性负责。如有虚假，将依法承担相应责任。  </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企业名称（盖章）：  </w:t>
      </w:r>
      <w:r>
        <w:rPr>
          <w:rFonts w:hint="eastAsia" w:ascii="宋体" w:hAnsi="宋体" w:eastAsia="宋体" w:cs="宋体"/>
          <w:spacing w:val="6"/>
          <w:sz w:val="24"/>
          <w:szCs w:val="24"/>
          <w:highlight w:val="none"/>
          <w:lang w:val="en-US"/>
        </w:rPr>
        <w:t xml:space="preserve">                       </w:t>
      </w:r>
      <w:r>
        <w:rPr>
          <w:rFonts w:hint="eastAsia" w:ascii="宋体" w:hAnsi="宋体" w:eastAsia="宋体" w:cs="宋体"/>
          <w:spacing w:val="6"/>
          <w:sz w:val="24"/>
          <w:szCs w:val="24"/>
          <w:highlight w:val="none"/>
        </w:rPr>
        <w:t xml:space="preserve">日 期：</w:t>
      </w:r>
      <w:r/>
    </w:p>
    <w:p>
      <w:pPr>
        <w:pStyle w:val="1001"/>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注：1.从业人员、营业收入、资产总额填报上一年度数据，无上一年度数据的新成立企业可不填报。</w:t>
      </w:r>
      <w:r/>
    </w:p>
    <w:p>
      <w:pPr>
        <w:pStyle w:val="1001"/>
        <w:ind w:firstLine="584"/>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2.本声明函中“属于（中型企业、小型企业、微型企业）”的内容，必须且只能选择其中之一填写。</w:t>
      </w:r>
      <w:r/>
    </w:p>
    <w:p>
      <w:pPr>
        <w:pStyle w:val="1001"/>
        <w:ind w:firstLine="584"/>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017"/>
        <w:ind w:left="0" w:firstLine="0"/>
        <w:jc w:val="center"/>
        <w:spacing w:line="360" w:lineRule="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十七</w:t>
      </w:r>
      <w:r>
        <w:rPr>
          <w:rFonts w:hint="eastAsia" w:ascii="宋体" w:hAnsi="宋体" w:eastAsia="宋体" w:cs="宋体"/>
          <w:b w:val="0"/>
          <w:bCs w:val="0"/>
          <w:sz w:val="32"/>
          <w:szCs w:val="32"/>
          <w:highlight w:val="none"/>
        </w:rPr>
        <w:t xml:space="preserve">）供应商相关信息一览表</w:t>
      </w:r>
      <w:r/>
    </w:p>
    <w:tbl>
      <w:tblPr>
        <w:tblStyle w:val="977"/>
        <w:tblW w:w="10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
        <w:gridCol w:w="928"/>
        <w:gridCol w:w="1260"/>
        <w:gridCol w:w="769"/>
        <w:gridCol w:w="1016"/>
        <w:gridCol w:w="26"/>
        <w:gridCol w:w="338"/>
        <w:gridCol w:w="451"/>
        <w:gridCol w:w="767"/>
        <w:gridCol w:w="53"/>
        <w:gridCol w:w="1039"/>
        <w:gridCol w:w="281"/>
        <w:gridCol w:w="739"/>
        <w:gridCol w:w="206"/>
        <w:gridCol w:w="375"/>
        <w:gridCol w:w="1376"/>
        <w:gridCol w:w="53"/>
      </w:tblGrid>
      <w:tr>
        <w:trPr>
          <w:gridAfter w:val="1"/>
          <w:jc w:val="center"/>
          <w:trHeight w:val="578"/>
        </w:trPr>
        <w:tc>
          <w:tcPr>
            <w:shd w:val="clear" w:color="auto" w:fill="d9d9d9"/>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w:t>
            </w:r>
            <w:r/>
          </w:p>
        </w:tc>
        <w:tc>
          <w:tcPr>
            <w:gridSpan w:val="15"/>
            <w:shd w:val="clear" w:color="auto" w:fill="d9d9d9"/>
            <w:tcW w:w="9624"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公司基本信息</w:t>
            </w:r>
            <w:r/>
          </w:p>
        </w:tc>
      </w:tr>
      <w:tr>
        <w:trPr>
          <w:gridAfter w:val="1"/>
          <w:jc w:val="center"/>
          <w:trHeight w:val="391"/>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3"/>
            <w:tcW w:w="2957" w:type="dxa"/>
            <w:vAlign w:val="center"/>
            <w:textDirection w:val="lrTb"/>
            <w:noWrap w:val="false"/>
          </w:tcPr>
          <w:p>
            <w:pPr>
              <w:pStyle w:val="100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公司名称</w:t>
            </w:r>
            <w:r/>
          </w:p>
        </w:tc>
        <w:tc>
          <w:tcPr>
            <w:gridSpan w:val="12"/>
            <w:tcW w:w="666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455"/>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gridSpan w:val="3"/>
            <w:tcW w:w="2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注册资金</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gridSpan w:val="5"/>
            <w:tcW w:w="2879"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公司地址</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460"/>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3"/>
            <w:tcW w:w="2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从业人数</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5"/>
            <w:tcW w:w="2879"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467"/>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3"/>
            <w:tcW w:w="2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5"/>
            <w:tcW w:w="2879"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帐号</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467"/>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3"/>
            <w:tcW w:w="2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5"/>
            <w:tcW w:w="2879"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548"/>
        </w:trPr>
        <w:tc>
          <w:tcPr>
            <w:shd w:val="clear" w:color="auto" w:fill="d9d9d9"/>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w:t>
            </w:r>
            <w:r/>
          </w:p>
        </w:tc>
        <w:tc>
          <w:tcPr>
            <w:gridSpan w:val="15"/>
            <w:shd w:val="clear" w:color="auto" w:fill="d9d9d9"/>
            <w:tcW w:w="9624"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公司财务状况</w:t>
            </w:r>
            <w:r/>
          </w:p>
        </w:tc>
      </w:tr>
      <w:tr>
        <w:trPr>
          <w:gridAfter w:val="1"/>
          <w:jc w:val="center"/>
          <w:trHeight w:val="467"/>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w:t>
            </w:r>
            <w:r/>
          </w:p>
        </w:tc>
        <w:tc>
          <w:tcPr>
            <w:gridSpan w:val="15"/>
            <w:tcW w:w="9624"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rPr>
              <w:t xml:space="preserve">2023年度</w:t>
            </w:r>
            <w:r>
              <w:rPr>
                <w:rFonts w:hint="eastAsia" w:ascii="宋体" w:hAnsi="宋体" w:eastAsia="宋体" w:cs="宋体"/>
                <w:b/>
                <w:sz w:val="24"/>
                <w:szCs w:val="24"/>
                <w:highlight w:val="none"/>
              </w:rPr>
              <w:t xml:space="preserve">财务状况</w:t>
            </w:r>
            <w:r/>
          </w:p>
        </w:tc>
      </w:tr>
      <w:tr>
        <w:trPr>
          <w:gridAfter w:val="1"/>
          <w:jc w:val="center"/>
          <w:trHeight w:val="352"/>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3"/>
            <w:tcW w:w="295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营业收入（万）：</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gridSpan w:val="5"/>
            <w:tcW w:w="287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利润总额（万）</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353"/>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gridSpan w:val="3"/>
            <w:tcW w:w="295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年末“固定资产合计”（万）</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5"/>
            <w:tcW w:w="287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年末“流动资产”余额（万）</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367"/>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3"/>
            <w:tcW w:w="295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年末“短期负债”余额（万）</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5"/>
            <w:tcW w:w="287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年末“长期负债”余额（万）</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388"/>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3"/>
            <w:tcW w:w="295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年末“资产总计”余额（万）</w:t>
            </w:r>
            <w:r/>
          </w:p>
        </w:tc>
        <w:tc>
          <w:tcPr>
            <w:gridSpan w:val="2"/>
            <w:tcW w:w="1042"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78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5"/>
            <w:tcW w:w="2879"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年末“货币资金”余额（万）</w:t>
            </w:r>
            <w:r/>
          </w:p>
        </w:tc>
        <w:tc>
          <w:tcPr>
            <w:gridSpan w:val="3"/>
            <w:tcW w:w="195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563"/>
        </w:trPr>
        <w:tc>
          <w:tcPr>
            <w:shd w:val="clear" w:color="auto" w:fill="d9d9d9"/>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w:t>
            </w:r>
            <w:r/>
          </w:p>
        </w:tc>
        <w:tc>
          <w:tcPr>
            <w:gridSpan w:val="15"/>
            <w:shd w:val="clear" w:color="auto" w:fill="d9d9d9"/>
            <w:tcW w:w="9624"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投标人其他信息</w:t>
            </w:r>
            <w:r/>
          </w:p>
        </w:tc>
      </w:tr>
      <w:tr>
        <w:trPr>
          <w:gridAfter w:val="1"/>
          <w:jc w:val="center"/>
          <w:trHeight w:val="809"/>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w:t>
            </w:r>
            <w:r/>
          </w:p>
        </w:tc>
        <w:tc>
          <w:tcPr>
            <w:gridSpan w:val="3"/>
            <w:tcW w:w="295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近三年公司取得的相关资质及等级：</w:t>
            </w:r>
            <w:r/>
          </w:p>
        </w:tc>
        <w:tc>
          <w:tcPr>
            <w:gridSpan w:val="12"/>
            <w:tcW w:w="666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806"/>
        </w:trPr>
        <w:tc>
          <w:tcPr>
            <w:tcW w:w="84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二）</w:t>
            </w:r>
            <w:r/>
          </w:p>
        </w:tc>
        <w:tc>
          <w:tcPr>
            <w:gridSpan w:val="3"/>
            <w:tcW w:w="2957" w:type="dxa"/>
            <w:vAlign w:val="center"/>
            <w:textDirection w:val="lrTb"/>
            <w:noWrap w:val="false"/>
          </w:tcPr>
          <w:p>
            <w:pPr>
              <w:pStyle w:val="1004"/>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近三年公司获得的荣誉及表彰情况</w:t>
            </w:r>
            <w:r/>
          </w:p>
        </w:tc>
        <w:tc>
          <w:tcPr>
            <w:gridSpan w:val="12"/>
            <w:tcW w:w="6667" w:type="dxa"/>
            <w:vAlign w:val="center"/>
            <w:textDirection w:val="lrTb"/>
            <w:noWrap w:val="false"/>
          </w:tcPr>
          <w:p>
            <w:pPr>
              <w:pStyle w:val="1004"/>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jc w:val="center"/>
          <w:trHeight w:val="578"/>
        </w:trPr>
        <w:tc>
          <w:tcPr>
            <w:shd w:val="clear" w:color="auto" w:fill="bfbfbf"/>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w:t>
            </w:r>
            <w:r/>
          </w:p>
        </w:tc>
        <w:tc>
          <w:tcPr>
            <w:gridSpan w:val="15"/>
            <w:shd w:val="clear" w:color="auto" w:fill="bfbfbf"/>
            <w:tcW w:w="9624"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提供本项目服务所必须的专业设备一览表</w:t>
            </w:r>
            <w:r/>
          </w:p>
        </w:tc>
      </w:tr>
      <w:tr>
        <w:trPr>
          <w:gridAfter w:val="1"/>
          <w:jc w:val="center"/>
          <w:trHeight w:val="459"/>
        </w:trPr>
        <w:tc>
          <w:tcPr>
            <w:shd w:val="clear" w:color="auto" w:fill="ffffff"/>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gridSpan w:val="6"/>
            <w:shd w:val="clear" w:color="auto" w:fill="ffffff"/>
            <w:tcW w:w="4337" w:type="dxa"/>
            <w:vAlign w:val="center"/>
            <w:textDirection w:val="lrTb"/>
            <w:noWrap w:val="false"/>
          </w:tcPr>
          <w:p>
            <w:pPr>
              <w:pStyle w:val="1004"/>
              <w:ind w:left="0" w:firstLine="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品牌、型号及主要参数配置简述</w:t>
            </w:r>
            <w:r/>
          </w:p>
        </w:tc>
        <w:tc>
          <w:tcPr>
            <w:gridSpan w:val="2"/>
            <w:shd w:val="clear" w:color="auto" w:fill="ffffff"/>
            <w:tcW w:w="1218"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购置年份</w:t>
            </w:r>
            <w:r/>
          </w:p>
        </w:tc>
        <w:tc>
          <w:tcPr>
            <w:gridSpan w:val="2"/>
            <w:shd w:val="clear" w:color="auto" w:fill="ffffff"/>
            <w:tcW w:w="1092"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价格</w:t>
            </w:r>
            <w:r/>
          </w:p>
        </w:tc>
        <w:tc>
          <w:tcPr>
            <w:gridSpan w:val="3"/>
            <w:shd w:val="clear" w:color="auto" w:fill="ffffff"/>
            <w:tcW w:w="1226"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gridSpan w:val="2"/>
            <w:shd w:val="clear" w:color="auto" w:fill="ffffff"/>
            <w:tcW w:w="1751"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用途</w:t>
            </w:r>
            <w:r/>
          </w:p>
        </w:tc>
      </w:tr>
      <w:tr>
        <w:trPr>
          <w:gridAfter w:val="1"/>
          <w:jc w:val="center"/>
          <w:trHeight w:val="483"/>
        </w:trPr>
        <w:tc>
          <w:tcPr>
            <w:shd w:val="clear" w:color="auto" w:fill="ffffff"/>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gridSpan w:val="6"/>
            <w:shd w:val="clear" w:color="auto" w:fill="ffffff"/>
            <w:tcW w:w="4337"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218"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092"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3"/>
            <w:shd w:val="clear" w:color="auto" w:fill="ffffff"/>
            <w:tcW w:w="1226"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751"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1"/>
          <w:jc w:val="center"/>
          <w:trHeight w:val="546"/>
        </w:trPr>
        <w:tc>
          <w:tcPr>
            <w:shd w:val="clear" w:color="auto" w:fill="ffffff"/>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p>
        </w:tc>
        <w:tc>
          <w:tcPr>
            <w:gridSpan w:val="6"/>
            <w:shd w:val="clear" w:color="auto" w:fill="ffffff"/>
            <w:tcW w:w="4337"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218"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092"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3"/>
            <w:shd w:val="clear" w:color="auto" w:fill="ffffff"/>
            <w:tcW w:w="1226"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751"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1"/>
          <w:jc w:val="center"/>
          <w:trHeight w:val="553"/>
        </w:trPr>
        <w:tc>
          <w:tcPr>
            <w:shd w:val="clear" w:color="auto" w:fill="ffffff"/>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tc>
        <w:tc>
          <w:tcPr>
            <w:gridSpan w:val="6"/>
            <w:shd w:val="clear" w:color="auto" w:fill="ffffff"/>
            <w:tcW w:w="4337"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218"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092"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3"/>
            <w:shd w:val="clear" w:color="auto" w:fill="ffffff"/>
            <w:tcW w:w="1226"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shd w:val="clear" w:color="auto" w:fill="ffffff"/>
            <w:tcW w:w="1751"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gridAfter w:val="1"/>
          <w:jc w:val="center"/>
          <w:trHeight w:val="578"/>
        </w:trPr>
        <w:tc>
          <w:tcPr>
            <w:shd w:val="clear" w:color="auto" w:fill="bfbfbf"/>
            <w:tcW w:w="847"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w:t>
            </w:r>
            <w:r/>
          </w:p>
        </w:tc>
        <w:tc>
          <w:tcPr>
            <w:gridSpan w:val="15"/>
            <w:shd w:val="clear" w:color="auto" w:fill="bfbfbf"/>
            <w:tcW w:w="9624"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提供本项目服务所必须的专业技术能力</w:t>
            </w:r>
            <w:r/>
          </w:p>
        </w:tc>
      </w:tr>
      <w:tr>
        <w:trPr>
          <w:gridAfter w:val="1"/>
          <w:jc w:val="center"/>
          <w:trHeight w:val="910"/>
        </w:trPr>
        <w:tc>
          <w:tcPr>
            <w:gridSpan w:val="16"/>
            <w:shd w:val="clear" w:color="auto" w:fill="ffffff"/>
            <w:tcW w:w="10471"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593"/>
        </w:trPr>
        <w:tc>
          <w:tcPr>
            <w:gridSpan w:val="2"/>
            <w:shd w:val="clear" w:color="auto" w:fill="d9d9d9"/>
            <w:tcW w:w="1775"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w:t>
            </w:r>
            <w:r/>
          </w:p>
        </w:tc>
        <w:tc>
          <w:tcPr>
            <w:gridSpan w:val="13"/>
            <w:shd w:val="clear" w:color="auto" w:fill="d9d9d9"/>
            <w:tcW w:w="7320"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本项目所提供的成功案例的清单</w:t>
            </w:r>
            <w:r/>
          </w:p>
        </w:tc>
        <w:tc>
          <w:tcPr>
            <w:gridSpan w:val="2"/>
            <w:shd w:val="clear" w:color="auto" w:fill="d9d9d9"/>
            <w:tcW w:w="1429" w:type="dxa"/>
            <w:vAlign w:val="center"/>
            <w:textDirection w:val="lrTb"/>
            <w:noWrap w:val="false"/>
          </w:tcPr>
          <w:p>
            <w:pPr>
              <w:pStyle w:val="1004"/>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Pr>
        <w:tc>
          <w:tcPr>
            <w:gridSpan w:val="2"/>
            <w:tcW w:w="1775"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采购单位名称</w:t>
            </w:r>
            <w:r/>
          </w:p>
        </w:tc>
        <w:tc>
          <w:tcPr>
            <w:tcW w:w="1260" w:type="dxa"/>
            <w:vAlign w:val="center"/>
            <w:textDirection w:val="lrTb"/>
            <w:noWrap w:val="false"/>
          </w:tcPr>
          <w:p>
            <w:pPr>
              <w:pStyle w:val="1004"/>
              <w:ind w:left="0" w:firstLine="0"/>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项目名称</w:t>
            </w:r>
            <w:r/>
          </w:p>
        </w:tc>
        <w:tc>
          <w:tcPr>
            <w:gridSpan w:val="2"/>
            <w:tcW w:w="1785"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合同金额（万）</w:t>
            </w:r>
            <w:r/>
          </w:p>
        </w:tc>
        <w:tc>
          <w:tcPr>
            <w:gridSpan w:val="5"/>
            <w:tcW w:w="1635"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联系人电话</w:t>
            </w:r>
            <w:r/>
          </w:p>
        </w:tc>
        <w:tc>
          <w:tcPr>
            <w:gridSpan w:val="2"/>
            <w:tcW w:w="1320"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验收情况</w:t>
            </w:r>
            <w:r/>
          </w:p>
        </w:tc>
        <w:tc>
          <w:tcPr>
            <w:gridSpan w:val="3"/>
            <w:tcW w:w="1320"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合同时间</w:t>
            </w:r>
            <w:r/>
          </w:p>
        </w:tc>
        <w:tc>
          <w:tcPr>
            <w:gridSpan w:val="2"/>
            <w:tcW w:w="1429"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合同内容</w:t>
            </w:r>
            <w:r/>
          </w:p>
        </w:tc>
      </w:tr>
      <w:tr>
        <w:trPr>
          <w:jc w:val="center"/>
          <w:trHeight w:val="713"/>
        </w:trPr>
        <w:tc>
          <w:tcPr>
            <w:gridSpan w:val="2"/>
            <w:tcW w:w="1775"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260"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tcW w:w="1785"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5"/>
            <w:tcW w:w="1635"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tcW w:w="1320"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3"/>
            <w:tcW w:w="1320"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tcW w:w="1429"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48"/>
        </w:trPr>
        <w:tc>
          <w:tcPr>
            <w:gridSpan w:val="2"/>
            <w:tcW w:w="1775"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260"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tcW w:w="1785"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5"/>
            <w:tcW w:w="1635"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tcW w:w="1320"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3"/>
            <w:tcW w:w="1320"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gridSpan w:val="2"/>
            <w:tcW w:w="1429" w:type="dxa"/>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bl>
    <w:p>
      <w:pPr>
        <w:pStyle w:val="1004"/>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注：1、如行数不够请自行添加。</w:t>
      </w:r>
      <w:r/>
    </w:p>
    <w:p>
      <w:pPr>
        <w:pStyle w:val="1004"/>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40"/>
        <w:jc w:val="center"/>
        <w:spacing w:line="360" w:lineRule="auto"/>
        <w:rPr>
          <w:rFonts w:hint="eastAsia" w:ascii="宋体" w:hAnsi="宋体" w:eastAsia="宋体" w:cs="宋体"/>
          <w:highlight w:val="none"/>
        </w:rPr>
      </w:pPr>
      <w:r>
        <w:rPr>
          <w:rFonts w:hint="eastAsia" w:ascii="宋体" w:hAnsi="宋体" w:eastAsia="宋体" w:cs="宋体"/>
          <w:b w:val="0"/>
          <w:bCs w:val="0"/>
          <w:sz w:val="32"/>
          <w:szCs w:val="32"/>
          <w:highlight w:val="none"/>
        </w:rPr>
        <w:t xml:space="preserve">(</w:t>
      </w:r>
      <w:r>
        <w:rPr>
          <w:rFonts w:hint="eastAsia" w:ascii="宋体" w:hAnsi="宋体" w:eastAsia="宋体" w:cs="宋体"/>
          <w:b w:val="0"/>
          <w:bCs w:val="0"/>
          <w:sz w:val="32"/>
          <w:szCs w:val="32"/>
          <w:highlight w:val="none"/>
          <w:lang w:val="en-US" w:eastAsia="zh-CN"/>
        </w:rPr>
        <w:t xml:space="preserve">十八</w:t>
      </w:r>
      <w:r>
        <w:rPr>
          <w:rFonts w:hint="eastAsia" w:ascii="宋体" w:hAnsi="宋体" w:eastAsia="宋体" w:cs="宋体"/>
          <w:b w:val="0"/>
          <w:bCs w:val="0"/>
          <w:sz w:val="32"/>
          <w:szCs w:val="32"/>
          <w:highlight w:val="none"/>
        </w:rPr>
        <w:t xml:space="preserve">)按招标文件要求供应商所能提供的其他文件</w:t>
      </w:r>
      <w:r/>
    </w:p>
    <w:p>
      <w:pPr>
        <w:jc w:val="center"/>
        <w:spacing w:line="360" w:lineRule="auto"/>
        <w:rPr>
          <w:rFonts w:hint="eastAsia" w:ascii="宋体" w:hAnsi="宋体" w:eastAsia="宋体" w:cs="宋体"/>
          <w:b/>
          <w:bCs/>
          <w:sz w:val="44"/>
          <w:szCs w:val="44"/>
          <w:highlight w:val="none"/>
        </w:rPr>
        <w:outlineLvl w:val="1"/>
      </w:pPr>
      <w:r>
        <w:rPr>
          <w:rFonts w:hint="eastAsia" w:ascii="宋体" w:hAnsi="宋体" w:eastAsia="宋体" w:cs="宋体"/>
          <w:b/>
          <w:bCs/>
          <w:sz w:val="44"/>
          <w:szCs w:val="44"/>
          <w:highlight w:val="none"/>
        </w:rPr>
        <w:br w:type="page" w:clear="all"/>
      </w:r>
      <w:r>
        <w:rPr>
          <w:rFonts w:hint="eastAsia" w:ascii="宋体" w:hAnsi="宋体" w:eastAsia="宋体" w:cs="宋体"/>
          <w:b/>
          <w:bCs/>
          <w:sz w:val="44"/>
          <w:szCs w:val="44"/>
          <w:highlight w:val="none"/>
        </w:rPr>
        <w:t xml:space="preserve">告供应商书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中标（成交）供应商：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如您需要帮助，请致电镇江市财政局政府采购管理处，电话：0511-80909958。我们将竭诚为您服务！</w:t>
      </w:r>
      <w:r/>
    </w:p>
    <w:p>
      <w:pPr>
        <w:ind w:right="160"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60" w:firstLine="480"/>
        <w:jc w:val="righ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镇江市财政局</w:t>
      </w:r>
      <w:r/>
    </w:p>
    <w:p>
      <w:pPr>
        <w:spacing w:line="360" w:lineRule="auto"/>
        <w:rPr>
          <w:rFonts w:hint="eastAsia" w:ascii="宋体" w:hAnsi="宋体" w:eastAsia="宋体" w:cs="宋体"/>
          <w:highlight w:val="none"/>
        </w:rPr>
      </w:pPr>
      <w:r>
        <w:rPr>
          <w:rFonts w:hint="eastAsia" w:ascii="宋体" w:hAnsi="宋体" w:eastAsia="宋体" w:cs="宋体"/>
          <w:highlight w:val="none"/>
        </w:rPr>
      </w:r>
      <w:r/>
    </w:p>
    <w:sectPr>
      <w:headerReference w:type="default" r:id="rId12"/>
      <w:footerReference w:type="default" r:id="rId15"/>
      <w:footnotePr/>
      <w:endnotePr/>
      <w:type w:val="nextPage"/>
      <w:pgSz w:w="11906" w:h="16838" w:orient="portrait"/>
      <w:pgMar w:top="720" w:right="720" w:bottom="720" w:left="7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libri">
    <w:panose1 w:val="020F0502020204030204"/>
  </w:font>
  <w:font w:name="Courier New">
    <w:panose1 w:val="02070309020205020404"/>
  </w:font>
  <w:font w:name="楷体_GB2312">
    <w:panose1 w:val="02010609060101010101"/>
  </w:font>
  <w:font w:name="Wingdings">
    <w:panose1 w:val="05000000000000000000"/>
  </w:font>
  <w:font w:name="华文楷体">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0"/>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lear" w:pos="4153" w:leader="none"/>
        <w:tab w:val="clear" w:pos="8306" w:leader="none"/>
      </w:tabs>
      <w:rPr>
        <w:iCs/>
        <w:lang w:val="en-US"/>
      </w:rPr>
    </w:pPr>
    <w:r>
      <w:rPr>
        <w:rFonts w:hint="eastAsia"/>
        <w:iCs/>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both"/>
      <w:tabs>
        <w:tab w:val="clear" w:pos="4153" w:leader="none"/>
        <w:tab w:val="clear" w:pos="8306" w:leader="none"/>
      </w:tabs>
    </w:pPr>
    <w:r>
      <w:rPr>
        <w:rFonts w:hint="eastAsia"/>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w:lvlJc w:val="left"/>
      <w:pPr>
        <w:ind w:left="0" w:firstLine="0"/>
      </w:pPr>
      <w:rPr>
        <w:rFonts w:hint="eastAsia"/>
      </w:rPr>
    </w:lvl>
    <w:lvl w:ilvl="1">
      <w:start w:val="1"/>
      <w:numFmt w:val="decimal"/>
      <w:isLgl/>
      <w:suff w:val="space"/>
      <w:lvlText w:val="%1.%2"/>
      <w:lvlJc w:val="left"/>
      <w:pPr>
        <w:ind w:left="0" w:firstLine="0"/>
      </w:pPr>
      <w:rPr>
        <w:rFonts w:hint="eastAsia"/>
        <w:sz w:val="30"/>
        <w:szCs w:val="30"/>
      </w:rPr>
    </w:lvl>
    <w:lvl w:ilvl="2">
      <w:start w:val="1"/>
      <w:numFmt w:val="decimal"/>
      <w:isLgl/>
      <w:suff w:val="space"/>
      <w:lvlText w:val="%1.%2.%3"/>
      <w:lvlJc w:val="left"/>
      <w:pPr>
        <w:ind w:left="240" w:firstLine="0"/>
      </w:pPr>
      <w:rPr>
        <w:rFonts w:hint="eastAsia" w:ascii="Times New Roman" w:hAnsi="Times New Roman" w:cs="Times New Roman"/>
        <w:sz w:val="28"/>
        <w:szCs w:val="32"/>
      </w:rPr>
    </w:lvl>
    <w:lvl w:ilvl="3">
      <w:start w:val="1"/>
      <w:numFmt w:val="decimal"/>
      <w:pStyle w:val="974"/>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pStyle w:val="975"/>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8"/>
  </w:num>
  <w:num w:numId="4">
    <w:abstractNumId w:val="9"/>
  </w:num>
  <w:num w:numId="5">
    <w:abstractNumId w:val="1"/>
  </w:num>
  <w:num w:numId="6">
    <w:abstractNumId w:val="7"/>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name w:val="Heading 1"/>
    <w:basedOn w:val="972"/>
    <w:next w:val="972"/>
    <w:link w:val="801"/>
    <w:uiPriority w:val="9"/>
    <w:qFormat/>
    <w:pPr>
      <w:keepLines/>
      <w:keepNext/>
      <w:spacing w:before="480" w:after="200"/>
      <w:outlineLvl w:val="0"/>
    </w:pPr>
    <w:rPr>
      <w:rFonts w:ascii="Arial" w:hAnsi="Arial" w:eastAsia="Arial" w:cs="Arial"/>
      <w:sz w:val="40"/>
      <w:szCs w:val="40"/>
    </w:rPr>
  </w:style>
  <w:style w:type="character" w:styleId="801">
    <w:name w:val="Heading 1 Char"/>
    <w:basedOn w:val="976"/>
    <w:link w:val="800"/>
    <w:uiPriority w:val="9"/>
    <w:rPr>
      <w:rFonts w:ascii="Arial" w:hAnsi="Arial" w:eastAsia="Arial" w:cs="Arial"/>
      <w:sz w:val="40"/>
      <w:szCs w:val="40"/>
    </w:rPr>
  </w:style>
  <w:style w:type="character" w:styleId="802">
    <w:name w:val="Heading 2 Char"/>
    <w:basedOn w:val="976"/>
    <w:link w:val="973"/>
    <w:uiPriority w:val="9"/>
    <w:rPr>
      <w:rFonts w:ascii="Arial" w:hAnsi="Arial" w:eastAsia="Arial" w:cs="Arial"/>
      <w:sz w:val="34"/>
    </w:rPr>
  </w:style>
  <w:style w:type="paragraph" w:styleId="803">
    <w:name w:val="Heading 3"/>
    <w:basedOn w:val="972"/>
    <w:next w:val="972"/>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basedOn w:val="976"/>
    <w:link w:val="803"/>
    <w:uiPriority w:val="9"/>
    <w:rPr>
      <w:rFonts w:ascii="Arial" w:hAnsi="Arial" w:eastAsia="Arial" w:cs="Arial"/>
      <w:sz w:val="30"/>
      <w:szCs w:val="30"/>
    </w:rPr>
  </w:style>
  <w:style w:type="character" w:styleId="805">
    <w:name w:val="Heading 4 Char"/>
    <w:basedOn w:val="976"/>
    <w:link w:val="974"/>
    <w:uiPriority w:val="9"/>
    <w:rPr>
      <w:rFonts w:ascii="Arial" w:hAnsi="Arial" w:eastAsia="Arial" w:cs="Arial"/>
      <w:b/>
      <w:bCs/>
      <w:sz w:val="26"/>
      <w:szCs w:val="26"/>
    </w:rPr>
  </w:style>
  <w:style w:type="paragraph" w:styleId="806">
    <w:name w:val="Heading 5"/>
    <w:basedOn w:val="972"/>
    <w:next w:val="972"/>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basedOn w:val="976"/>
    <w:link w:val="806"/>
    <w:uiPriority w:val="9"/>
    <w:rPr>
      <w:rFonts w:ascii="Arial" w:hAnsi="Arial" w:eastAsia="Arial" w:cs="Arial"/>
      <w:b/>
      <w:bCs/>
      <w:sz w:val="24"/>
      <w:szCs w:val="24"/>
    </w:rPr>
  </w:style>
  <w:style w:type="character" w:styleId="808">
    <w:name w:val="Heading 6 Char"/>
    <w:basedOn w:val="976"/>
    <w:link w:val="975"/>
    <w:uiPriority w:val="9"/>
    <w:rPr>
      <w:rFonts w:ascii="Arial" w:hAnsi="Arial" w:eastAsia="Arial" w:cs="Arial"/>
      <w:b/>
      <w:bCs/>
      <w:sz w:val="22"/>
      <w:szCs w:val="22"/>
    </w:rPr>
  </w:style>
  <w:style w:type="paragraph" w:styleId="809">
    <w:name w:val="Heading 7"/>
    <w:basedOn w:val="972"/>
    <w:next w:val="972"/>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basedOn w:val="976"/>
    <w:link w:val="809"/>
    <w:uiPriority w:val="9"/>
    <w:rPr>
      <w:rFonts w:ascii="Arial" w:hAnsi="Arial" w:eastAsia="Arial" w:cs="Arial"/>
      <w:b/>
      <w:bCs/>
      <w:i/>
      <w:iCs/>
      <w:sz w:val="22"/>
      <w:szCs w:val="22"/>
    </w:rPr>
  </w:style>
  <w:style w:type="paragraph" w:styleId="811">
    <w:name w:val="Heading 8"/>
    <w:basedOn w:val="972"/>
    <w:next w:val="972"/>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basedOn w:val="976"/>
    <w:link w:val="811"/>
    <w:uiPriority w:val="9"/>
    <w:rPr>
      <w:rFonts w:ascii="Arial" w:hAnsi="Arial" w:eastAsia="Arial" w:cs="Arial"/>
      <w:i/>
      <w:iCs/>
      <w:sz w:val="22"/>
      <w:szCs w:val="22"/>
    </w:rPr>
  </w:style>
  <w:style w:type="paragraph" w:styleId="813">
    <w:name w:val="Heading 9"/>
    <w:basedOn w:val="972"/>
    <w:next w:val="972"/>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basedOn w:val="976"/>
    <w:link w:val="813"/>
    <w:uiPriority w:val="9"/>
    <w:rPr>
      <w:rFonts w:ascii="Arial" w:hAnsi="Arial" w:eastAsia="Arial" w:cs="Arial"/>
      <w:i/>
      <w:iCs/>
      <w:sz w:val="21"/>
      <w:szCs w:val="21"/>
    </w:rPr>
  </w:style>
  <w:style w:type="paragraph" w:styleId="815">
    <w:name w:val="List Paragraph"/>
    <w:basedOn w:val="972"/>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2"/>
    <w:next w:val="972"/>
    <w:link w:val="818"/>
    <w:uiPriority w:val="10"/>
    <w:qFormat/>
    <w:pPr>
      <w:contextualSpacing/>
      <w:spacing w:before="300" w:after="200"/>
    </w:pPr>
    <w:rPr>
      <w:sz w:val="48"/>
      <w:szCs w:val="48"/>
    </w:rPr>
  </w:style>
  <w:style w:type="character" w:styleId="818">
    <w:name w:val="Title Char"/>
    <w:basedOn w:val="976"/>
    <w:link w:val="817"/>
    <w:uiPriority w:val="10"/>
    <w:rPr>
      <w:sz w:val="48"/>
      <w:szCs w:val="48"/>
    </w:rPr>
  </w:style>
  <w:style w:type="paragraph" w:styleId="819">
    <w:name w:val="Subtitle"/>
    <w:basedOn w:val="972"/>
    <w:next w:val="972"/>
    <w:link w:val="820"/>
    <w:uiPriority w:val="11"/>
    <w:qFormat/>
    <w:pPr>
      <w:spacing w:before="200" w:after="200"/>
    </w:pPr>
    <w:rPr>
      <w:sz w:val="24"/>
      <w:szCs w:val="24"/>
    </w:rPr>
  </w:style>
  <w:style w:type="character" w:styleId="820">
    <w:name w:val="Subtitle Char"/>
    <w:basedOn w:val="976"/>
    <w:link w:val="819"/>
    <w:uiPriority w:val="11"/>
    <w:rPr>
      <w:sz w:val="24"/>
      <w:szCs w:val="24"/>
    </w:rPr>
  </w:style>
  <w:style w:type="paragraph" w:styleId="821">
    <w:name w:val="Quote"/>
    <w:basedOn w:val="972"/>
    <w:next w:val="972"/>
    <w:link w:val="822"/>
    <w:uiPriority w:val="29"/>
    <w:qFormat/>
    <w:pPr>
      <w:ind w:left="720" w:right="720"/>
    </w:pPr>
    <w:rPr>
      <w:i/>
    </w:rPr>
  </w:style>
  <w:style w:type="character" w:styleId="822">
    <w:name w:val="Quote Char"/>
    <w:link w:val="821"/>
    <w:uiPriority w:val="29"/>
    <w:rPr>
      <w:i/>
    </w:rPr>
  </w:style>
  <w:style w:type="paragraph" w:styleId="823">
    <w:name w:val="Intense Quote"/>
    <w:basedOn w:val="972"/>
    <w:next w:val="972"/>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character" w:styleId="825">
    <w:name w:val="Header Char"/>
    <w:basedOn w:val="976"/>
    <w:link w:val="983"/>
    <w:uiPriority w:val="99"/>
  </w:style>
  <w:style w:type="character" w:styleId="826">
    <w:name w:val="Footer Char"/>
    <w:basedOn w:val="976"/>
    <w:link w:val="982"/>
    <w:uiPriority w:val="99"/>
  </w:style>
  <w:style w:type="paragraph" w:styleId="827">
    <w:name w:val="Caption"/>
    <w:basedOn w:val="972"/>
    <w:next w:val="972"/>
    <w:uiPriority w:val="35"/>
    <w:semiHidden/>
    <w:unhideWhenUsed/>
    <w:qFormat/>
    <w:pPr>
      <w:spacing w:line="276" w:lineRule="auto"/>
    </w:pPr>
    <w:rPr>
      <w:b/>
      <w:bCs/>
      <w:color w:val="4f81bd" w:themeColor="accent1"/>
      <w:sz w:val="18"/>
      <w:szCs w:val="18"/>
    </w:rPr>
  </w:style>
  <w:style w:type="character" w:styleId="828">
    <w:name w:val="Caption Char"/>
    <w:basedOn w:val="827"/>
    <w:link w:val="982"/>
    <w:uiPriority w:val="99"/>
  </w:style>
  <w:style w:type="table" w:styleId="829">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5">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6">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7">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8">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9">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0">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6">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7">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0">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1">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2">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3">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4">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5">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7">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8">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9">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0">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1">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2">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1">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2">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3">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4">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5">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6">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8">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9">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0">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1">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2">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3">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5">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6">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7">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8">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9">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0">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2">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3">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4">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5">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6">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7">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basedOn w:val="976"/>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basedOn w:val="976"/>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8"/>
    <w:link w:val="992"/>
    <w:uiPriority w:val="0"/>
    <w:qFormat/>
    <w:pPr>
      <w:widowControl w:val="off"/>
    </w:pPr>
    <w:rPr>
      <w:rFonts w:hint="default" w:ascii="宋体" w:hAnsi="Times New Roman" w:eastAsia="宋体" w:cs="Times New Roman"/>
      <w:sz w:val="22"/>
      <w:szCs w:val="22"/>
      <w:lang w:val="zh-CN" w:eastAsia="zh-CN" w:bidi="ar-SA"/>
    </w:rPr>
  </w:style>
  <w:style w:type="paragraph" w:styleId="973">
    <w:name w:val="Heading 2"/>
    <w:basedOn w:val="972"/>
    <w:next w:val="972"/>
    <w:uiPriority w:val="9"/>
    <w:unhideWhenUsed/>
    <w:qFormat/>
    <w:pPr>
      <w:keepLines/>
      <w:keepNext/>
      <w:spacing w:before="360" w:after="200"/>
      <w:outlineLvl w:val="1"/>
    </w:pPr>
    <w:rPr>
      <w:rFonts w:ascii="Arial" w:hAnsi="Arial" w:eastAsia="Arial" w:cs="Arial"/>
      <w:sz w:val="34"/>
    </w:rPr>
  </w:style>
  <w:style w:type="paragraph" w:styleId="974">
    <w:name w:val="Heading 4"/>
    <w:basedOn w:val="972"/>
    <w:next w:val="972"/>
    <w:link w:val="1023"/>
    <w:uiPriority w:val="0"/>
    <w:unhideWhenUsed/>
    <w:qFormat/>
    <w:pPr>
      <w:numPr>
        <w:ilvl w:val="3"/>
        <w:numId w:val="1"/>
      </w:numPr>
      <w:keepLines/>
      <w:keepNext/>
      <w:spacing w:before="280" w:after="290" w:line="372" w:lineRule="auto"/>
      <w:outlineLvl w:val="3"/>
    </w:pPr>
    <w:rPr>
      <w:rFonts w:eastAsia="黑体"/>
      <w:b/>
      <w:sz w:val="28"/>
    </w:rPr>
  </w:style>
  <w:style w:type="paragraph" w:styleId="975">
    <w:name w:val="Heading 6"/>
    <w:basedOn w:val="972"/>
    <w:next w:val="972"/>
    <w:uiPriority w:val="0"/>
    <w:unhideWhenUsed/>
    <w:qFormat/>
    <w:pPr>
      <w:numPr>
        <w:ilvl w:val="5"/>
        <w:numId w:val="1"/>
      </w:numPr>
      <w:keepLines/>
      <w:keepNext/>
      <w:spacing w:before="240" w:after="64" w:line="317" w:lineRule="auto"/>
      <w:outlineLvl w:val="5"/>
    </w:pPr>
    <w:rPr>
      <w:rFonts w:eastAsia="黑体"/>
      <w:b/>
      <w:sz w:val="24"/>
    </w:rPr>
  </w:style>
  <w:style w:type="character" w:styleId="976" w:default="1">
    <w:name w:val="Default Paragraph Font"/>
    <w:uiPriority w:val="0"/>
    <w:semiHidden/>
    <w:qFormat/>
  </w:style>
  <w:style w:type="table" w:styleId="977" w:default="1">
    <w:name w:val="Normal Table"/>
    <w:uiPriority w:val="0"/>
    <w:semiHidden/>
    <w:qFormat/>
    <w:tblPr>
      <w:tblCellMar>
        <w:left w:w="108" w:type="dxa"/>
        <w:top w:w="0" w:type="dxa"/>
        <w:right w:w="108" w:type="dxa"/>
        <w:bottom w:w="0" w:type="dxa"/>
      </w:tblCellMar>
    </w:tblPr>
  </w:style>
  <w:style w:type="paragraph" w:styleId="97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9">
    <w:name w:val="Body Text"/>
    <w:basedOn w:val="972"/>
    <w:next w:val="972"/>
    <w:uiPriority w:val="0"/>
    <w:qFormat/>
    <w:rPr>
      <w:rFonts w:ascii="楷体_GB2312" w:hAnsi="Arial" w:eastAsia="楷体_GB2312" w:cstheme="minorBidi"/>
      <w:sz w:val="28"/>
      <w:szCs w:val="22"/>
    </w:rPr>
  </w:style>
  <w:style w:type="paragraph" w:styleId="980">
    <w:name w:val="Body Text Indent"/>
    <w:basedOn w:val="972"/>
    <w:uiPriority w:val="0"/>
    <w:qFormat/>
    <w:pPr>
      <w:ind w:left="420"/>
      <w:spacing w:after="120"/>
    </w:pPr>
  </w:style>
  <w:style w:type="paragraph" w:styleId="981">
    <w:name w:val="Plain Text"/>
    <w:basedOn w:val="972"/>
    <w:uiPriority w:val="0"/>
    <w:qFormat/>
    <w:rPr>
      <w:rFonts w:ascii="宋体" w:hAnsi="Courier New" w:cs="Courier New"/>
      <w:szCs w:val="21"/>
    </w:rPr>
  </w:style>
  <w:style w:type="paragraph" w:styleId="982">
    <w:name w:val="Footer"/>
    <w:basedOn w:val="972"/>
    <w:uiPriority w:val="99"/>
    <w:unhideWhenUsed/>
    <w:qFormat/>
    <w:pPr>
      <w:spacing w:after="0" w:line="240" w:lineRule="auto"/>
      <w:tabs>
        <w:tab w:val="center" w:pos="7143" w:leader="none"/>
        <w:tab w:val="right" w:pos="14287" w:leader="none"/>
      </w:tabs>
    </w:pPr>
  </w:style>
  <w:style w:type="paragraph" w:styleId="983">
    <w:name w:val="Header"/>
    <w:basedOn w:val="97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4">
    <w:name w:val="Normal (Web)"/>
    <w:basedOn w:val="972"/>
    <w:uiPriority w:val="99"/>
    <w:unhideWhenUsed/>
    <w:qFormat/>
    <w:rPr>
      <w:rFonts w:cs="Times New Roman"/>
      <w:sz w:val="24"/>
      <w:lang w:val="en-US"/>
    </w:rPr>
  </w:style>
  <w:style w:type="paragraph" w:styleId="985">
    <w:name w:val="Body Text First Indent"/>
    <w:basedOn w:val="979"/>
    <w:uiPriority w:val="0"/>
    <w:qFormat/>
    <w:pPr>
      <w:ind w:firstLine="420"/>
      <w:spacing w:after="120"/>
      <w:tabs>
        <w:tab w:val="left" w:pos="2020" w:leader="none"/>
        <w:tab w:val="center" w:pos="4535" w:leader="none"/>
      </w:tabs>
    </w:pPr>
    <w:rPr>
      <w:rFonts w:ascii="Times New Roman"/>
      <w:sz w:val="21"/>
    </w:rPr>
  </w:style>
  <w:style w:type="table" w:styleId="9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7" w:customStyle="1">
    <w:name w:val="普通正文"/>
    <w:basedOn w:val="972"/>
    <w:uiPriority w:val="0"/>
    <w:qFormat/>
    <w:pPr>
      <w:ind w:firstLine="480"/>
      <w:spacing w:before="120" w:after="120" w:line="360" w:lineRule="auto"/>
    </w:pPr>
    <w:rPr>
      <w:rFonts w:ascii="Arial" w:hAnsi="Arial"/>
      <w:sz w:val="24"/>
      <w:szCs w:val="24"/>
    </w:rPr>
  </w:style>
  <w:style w:type="paragraph" w:styleId="988" w:customStyle="1">
    <w:name w:val="标题 211"/>
    <w:basedOn w:val="972"/>
    <w:uiPriority w:val="0"/>
    <w:qFormat/>
    <w:pPr>
      <w:outlineLvl w:val="1"/>
    </w:pPr>
  </w:style>
  <w:style w:type="paragraph" w:styleId="989" w:customStyle="1">
    <w:name w:val="列出段落1"/>
    <w:basedOn w:val="972"/>
    <w:uiPriority w:val="0"/>
    <w:qFormat/>
    <w:pPr>
      <w:ind w:firstLine="200"/>
    </w:pPr>
  </w:style>
  <w:style w:type="paragraph" w:styleId="990" w:customStyle="1">
    <w:name w:val="正文文本1"/>
    <w:basedOn w:val="972"/>
    <w:link w:val="994"/>
    <w:uiPriority w:val="0"/>
    <w:qFormat/>
    <w:pPr>
      <w:ind w:left="100"/>
      <w:spacing w:before="129"/>
    </w:pPr>
    <w:rPr>
      <w:sz w:val="18"/>
      <w:szCs w:val="18"/>
    </w:rPr>
  </w:style>
  <w:style w:type="character" w:styleId="991" w:customStyle="1">
    <w:name w:val="标题 3 Char"/>
    <w:basedOn w:val="992"/>
    <w:link w:val="993"/>
    <w:uiPriority w:val="0"/>
    <w:qFormat/>
    <w:rPr>
      <w:rFonts w:ascii="Times New Roman"/>
      <w:b/>
      <w:sz w:val="32"/>
      <w:szCs w:val="20"/>
      <w:lang w:val="en-US"/>
    </w:rPr>
  </w:style>
  <w:style w:type="character" w:styleId="992" w:customStyle="1">
    <w:name w:val="默认段落字体1"/>
    <w:link w:val="972"/>
    <w:uiPriority w:val="1"/>
    <w:unhideWhenUsed/>
    <w:qFormat/>
    <w:rPr>
      <w:rFonts w:hint="default" w:ascii="宋体" w:hAnsi="Times New Roman" w:eastAsia="宋体" w:cs="Times New Roman"/>
      <w:sz w:val="22"/>
      <w:szCs w:val="22"/>
      <w:lang w:val="zh-CN" w:eastAsia="zh-CN" w:bidi="ar-SA"/>
    </w:rPr>
  </w:style>
  <w:style w:type="paragraph" w:styleId="993" w:customStyle="1">
    <w:name w:val="标题 31"/>
    <w:basedOn w:val="972"/>
    <w:link w:val="991"/>
    <w:uiPriority w:val="0"/>
    <w:qFormat/>
    <w:pPr>
      <w:keepLines/>
      <w:keepNext/>
      <w:spacing w:line="413" w:lineRule="auto"/>
      <w:outlineLvl w:val="2"/>
    </w:pPr>
    <w:rPr>
      <w:rFonts w:ascii="Times New Roman"/>
      <w:b/>
      <w:sz w:val="32"/>
      <w:szCs w:val="20"/>
      <w:lang w:val="en-US"/>
    </w:rPr>
  </w:style>
  <w:style w:type="character" w:styleId="994" w:customStyle="1">
    <w:name w:val="正文文本 Char"/>
    <w:basedOn w:val="992"/>
    <w:link w:val="990"/>
    <w:uiPriority w:val="0"/>
    <w:qFormat/>
    <w:rPr>
      <w:sz w:val="18"/>
      <w:szCs w:val="18"/>
    </w:rPr>
  </w:style>
  <w:style w:type="paragraph" w:styleId="995" w:customStyle="1">
    <w:name w:val="标题 21"/>
    <w:basedOn w:val="972"/>
    <w:uiPriority w:val="0"/>
    <w:qFormat/>
    <w:pPr>
      <w:jc w:val="center"/>
      <w:keepLines/>
      <w:keepNext/>
      <w:spacing w:before="260" w:after="260" w:line="415" w:lineRule="auto"/>
      <w:outlineLvl w:val="1"/>
    </w:pPr>
    <w:rPr>
      <w:rFonts w:ascii="幼圆" w:hAnsi="幼圆" w:eastAsia="楷体_GB2312"/>
      <w:b/>
      <w:sz w:val="44"/>
      <w:szCs w:val="20"/>
    </w:rPr>
  </w:style>
  <w:style w:type="paragraph" w:styleId="996" w:customStyle="1">
    <w:name w:val="普通(网站)1"/>
    <w:basedOn w:val="972"/>
    <w:uiPriority w:val="0"/>
    <w:qFormat/>
    <w:rPr>
      <w:sz w:val="24"/>
      <w:lang w:val="en-US"/>
    </w:rPr>
  </w:style>
  <w:style w:type="paragraph" w:styleId="997" w:customStyle="1">
    <w:name w:val="正文缩进11"/>
    <w:basedOn w:val="972"/>
    <w:uiPriority w:val="0"/>
    <w:qFormat/>
    <w:pPr>
      <w:ind w:firstLine="420"/>
    </w:pPr>
  </w:style>
  <w:style w:type="paragraph" w:styleId="998" w:customStyle="1">
    <w:name w:val="正文（缩进）"/>
    <w:basedOn w:val="972"/>
    <w:uiPriority w:val="0"/>
    <w:qFormat/>
    <w:pPr>
      <w:ind w:firstLine="200"/>
      <w:spacing w:line="360" w:lineRule="auto"/>
    </w:pPr>
    <w:rPr>
      <w:sz w:val="24"/>
    </w:rPr>
  </w:style>
  <w:style w:type="paragraph" w:styleId="999" w:customStyle="1">
    <w:name w:val="普通(网站)11"/>
    <w:basedOn w:val="972"/>
    <w:uiPriority w:val="99"/>
    <w:unhideWhenUsed/>
    <w:qFormat/>
    <w:rPr>
      <w:rFonts w:cs="Times New Roman"/>
      <w:sz w:val="24"/>
      <w:lang w:val="en-US"/>
    </w:rPr>
  </w:style>
  <w:style w:type="paragraph" w:styleId="1000" w:customStyle="1">
    <w:name w:val="标题 311"/>
    <w:basedOn w:val="972"/>
    <w:next w:val="1001"/>
    <w:uiPriority w:val="0"/>
    <w:qFormat/>
    <w:pPr>
      <w:keepLines/>
      <w:keepNext/>
      <w:spacing w:before="260" w:after="260" w:line="415" w:lineRule="auto"/>
      <w:outlineLvl w:val="2"/>
    </w:pPr>
    <w:rPr>
      <w:b/>
      <w:sz w:val="32"/>
    </w:rPr>
  </w:style>
  <w:style w:type="paragraph" w:styleId="1001" w:customStyle="1">
    <w:name w:val="正文缩进112"/>
    <w:basedOn w:val="972"/>
    <w:next w:val="972"/>
    <w:uiPriority w:val="0"/>
    <w:qFormat/>
    <w:pPr>
      <w:ind w:firstLine="420"/>
    </w:pPr>
    <w:rPr>
      <w:rFonts w:ascii="Times New Roman"/>
      <w:sz w:val="20"/>
      <w:szCs w:val="20"/>
    </w:rPr>
  </w:style>
  <w:style w:type="paragraph" w:styleId="1002"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val="en-US" w:eastAsia="zh-CN" w:bidi="ar-SA"/>
    </w:rPr>
  </w:style>
  <w:style w:type="paragraph" w:styleId="1003" w:customStyle="1">
    <w:name w:val="首行缩进"/>
    <w:basedOn w:val="972"/>
    <w:uiPriority w:val="0"/>
    <w:qFormat/>
    <w:pPr>
      <w:ind w:firstLine="200"/>
    </w:pPr>
    <w:rPr>
      <w:szCs w:val="20"/>
    </w:rPr>
  </w:style>
  <w:style w:type="paragraph" w:styleId="1004" w:customStyle="1">
    <w:name w:val="正文缩进111"/>
    <w:basedOn w:val="972"/>
    <w:uiPriority w:val="0"/>
    <w:qFormat/>
    <w:pPr>
      <w:ind w:firstLine="420"/>
    </w:pPr>
    <w:rPr>
      <w:rFonts w:ascii="Times New Roman"/>
      <w:sz w:val="20"/>
      <w:szCs w:val="20"/>
    </w:rPr>
  </w:style>
  <w:style w:type="paragraph" w:styleId="1005" w:customStyle="1">
    <w:name w:val="列出段落12"/>
    <w:basedOn w:val="972"/>
    <w:uiPriority w:val="0"/>
    <w:qFormat/>
    <w:pPr>
      <w:ind w:firstLine="200"/>
    </w:pPr>
  </w:style>
  <w:style w:type="paragraph" w:styleId="1006" w:customStyle="1">
    <w:name w:val="标题 11"/>
    <w:basedOn w:val="972"/>
    <w:uiPriority w:val="0"/>
    <w:qFormat/>
    <w:pPr>
      <w:jc w:val="center"/>
      <w:keepNext/>
      <w:outlineLvl w:val="0"/>
    </w:pPr>
    <w:rPr>
      <w:rFonts w:ascii="??_GB2312" w:hAnsi="??_GB2312" w:eastAsia="Times New Roman"/>
      <w:sz w:val="28"/>
      <w:szCs w:val="28"/>
      <w:lang w:val="en-US"/>
    </w:rPr>
  </w:style>
  <w:style w:type="paragraph" w:styleId="1007" w:customStyle="1">
    <w:name w:val="正文首行缩进1"/>
    <w:basedOn w:val="990"/>
    <w:uiPriority w:val="0"/>
    <w:qFormat/>
    <w:pPr>
      <w:ind w:firstLine="100"/>
      <w:spacing w:after="120"/>
      <w:tabs>
        <w:tab w:val="left" w:pos="2020" w:leader="none"/>
        <w:tab w:val="center" w:pos="4535" w:leader="none"/>
      </w:tabs>
    </w:pPr>
    <w:rPr>
      <w:rFonts w:ascii="Times New Roman"/>
      <w:sz w:val="21"/>
    </w:rPr>
  </w:style>
  <w:style w:type="paragraph" w:styleId="1008" w:customStyle="1">
    <w:name w:val="正文1"/>
    <w:basedOn w:val="972"/>
    <w:uiPriority w:val="0"/>
    <w:qFormat/>
    <w:pPr>
      <w:ind w:firstLine="490"/>
      <w:spacing w:line="360" w:lineRule="auto"/>
    </w:pPr>
    <w:rPr>
      <w:rFonts w:ascii="宋体" w:hAnsi="宋体"/>
      <w:sz w:val="24"/>
      <w:szCs w:val="28"/>
    </w:rPr>
  </w:style>
  <w:style w:type="paragraph" w:styleId="100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10" w:customStyle="1">
    <w:name w:val="方案正文"/>
    <w:basedOn w:val="972"/>
    <w:uiPriority w:val="0"/>
    <w:qFormat/>
    <w:pPr>
      <w:spacing w:line="440" w:lineRule="atLeast"/>
    </w:pPr>
    <w:rPr>
      <w:rFonts w:asciiTheme="minorHAnsi" w:hAnsiTheme="minorHAnsi" w:eastAsiaTheme="minorEastAsia" w:cstheme="minorBidi"/>
      <w:sz w:val="24"/>
      <w:szCs w:val="22"/>
    </w:rPr>
  </w:style>
  <w:style w:type="character" w:styleId="1011" w:customStyle="1">
    <w:name w:val="font12"/>
    <w:basedOn w:val="976"/>
    <w:uiPriority w:val="0"/>
    <w:qFormat/>
    <w:rPr>
      <w:rFonts w:hint="eastAsia" w:ascii="宋体" w:hAnsi="宋体" w:eastAsia="宋体" w:cs="宋体"/>
      <w:b/>
      <w:bCs/>
      <w:color w:val="000000"/>
      <w:sz w:val="28"/>
      <w:szCs w:val="28"/>
      <w:u w:val="none"/>
    </w:rPr>
  </w:style>
  <w:style w:type="character" w:styleId="1012" w:customStyle="1">
    <w:name w:val="font111"/>
    <w:basedOn w:val="976"/>
    <w:uiPriority w:val="0"/>
    <w:qFormat/>
    <w:rPr>
      <w:rFonts w:hint="default" w:ascii="Times New Roman" w:hAnsi="Times New Roman" w:cs="Times New Roman"/>
      <w:color w:val="000000"/>
      <w:sz w:val="26"/>
      <w:szCs w:val="26"/>
      <w:u w:val="none"/>
    </w:rPr>
  </w:style>
  <w:style w:type="character" w:styleId="1013" w:customStyle="1">
    <w:name w:val="font122"/>
    <w:basedOn w:val="976"/>
    <w:uiPriority w:val="0"/>
    <w:qFormat/>
    <w:rPr>
      <w:rFonts w:hint="eastAsia" w:ascii="宋体" w:hAnsi="宋体" w:eastAsia="宋体" w:cs="宋体"/>
      <w:color w:val="000000"/>
      <w:sz w:val="24"/>
      <w:szCs w:val="24"/>
      <w:u w:val="none"/>
    </w:rPr>
  </w:style>
  <w:style w:type="character" w:styleId="1014" w:customStyle="1">
    <w:name w:val="font13"/>
    <w:basedOn w:val="976"/>
    <w:uiPriority w:val="0"/>
    <w:qFormat/>
    <w:rPr>
      <w:rFonts w:hint="eastAsia" w:ascii="宋体" w:hAnsi="宋体" w:eastAsia="宋体" w:cs="宋体"/>
      <w:b/>
      <w:bCs/>
      <w:color w:val="000000"/>
      <w:sz w:val="28"/>
      <w:szCs w:val="28"/>
      <w:u w:val="none"/>
    </w:rPr>
  </w:style>
  <w:style w:type="paragraph" w:styleId="1015" w:customStyle="1">
    <w:name w:val="正文文本缩进1"/>
    <w:basedOn w:val="972"/>
    <w:uiPriority w:val="0"/>
    <w:qFormat/>
    <w:pPr>
      <w:ind w:left="200"/>
      <w:spacing w:after="120"/>
    </w:pPr>
  </w:style>
  <w:style w:type="paragraph" w:styleId="1016" w:customStyle="1">
    <w:name w:val="Char"/>
    <w:basedOn w:val="972"/>
    <w:uiPriority w:val="0"/>
    <w:qFormat/>
    <w:rPr>
      <w:sz w:val="24"/>
    </w:rPr>
  </w:style>
  <w:style w:type="paragraph" w:styleId="1017" w:customStyle="1">
    <w:name w:val="正文缩进1"/>
    <w:basedOn w:val="972"/>
    <w:uiPriority w:val="0"/>
    <w:qFormat/>
    <w:pPr>
      <w:ind w:firstLine="420"/>
    </w:pPr>
  </w:style>
  <w:style w:type="paragraph" w:styleId="1018" w:customStyle="1">
    <w:name w:val="页眉1"/>
    <w:basedOn w:val="972"/>
    <w:uiPriority w:val="0"/>
    <w:qFormat/>
    <w:pPr>
      <w:jc w:val="center"/>
      <w:tabs>
        <w:tab w:val="center" w:pos="4153" w:leader="none"/>
        <w:tab w:val="right" w:pos="8306" w:leader="none"/>
      </w:tabs>
      <w:pBdr>
        <w:bottom w:val="single" w:color="000000" w:sz="6" w:space="1"/>
      </w:pBdr>
    </w:pPr>
    <w:rPr>
      <w:sz w:val="18"/>
      <w:szCs w:val="18"/>
    </w:rPr>
  </w:style>
  <w:style w:type="paragraph" w:styleId="1019" w:customStyle="1">
    <w:name w:val="页脚1"/>
    <w:basedOn w:val="972"/>
    <w:uiPriority w:val="0"/>
    <w:qFormat/>
    <w:pPr>
      <w:tabs>
        <w:tab w:val="center" w:pos="4153" w:leader="none"/>
        <w:tab w:val="right" w:pos="8306" w:leader="none"/>
      </w:tabs>
    </w:pPr>
    <w:rPr>
      <w:sz w:val="18"/>
      <w:szCs w:val="20"/>
    </w:rPr>
  </w:style>
  <w:style w:type="paragraph" w:styleId="1020" w:customStyle="1">
    <w:name w:val="批注文字1"/>
    <w:basedOn w:val="972"/>
    <w:uiPriority w:val="0"/>
    <w:qFormat/>
  </w:style>
  <w:style w:type="paragraph" w:styleId="1021"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_5"/>
    <w:uiPriority w:val="0"/>
    <w:qFormat/>
    <w:rPr>
      <w:rFonts w:hint="default" w:ascii="Times New Roman" w:hAnsi="Times New Roman" w:eastAsia="宋体" w:cs="Times New Roman"/>
      <w:sz w:val="24"/>
      <w:szCs w:val="24"/>
      <w:lang w:val="en-US" w:eastAsia="zh-CN" w:bidi="ar-SA"/>
    </w:rPr>
  </w:style>
  <w:style w:type="character" w:styleId="1023" w:customStyle="1">
    <w:name w:val="标题 4 字符"/>
    <w:link w:val="974"/>
    <w:uiPriority w:val="0"/>
    <w:qFormat/>
    <w:rPr>
      <w:rFonts w:eastAsia="黑体"/>
      <w:b/>
      <w:sz w:val="28"/>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dc:creator>
  <cp:lastModifiedBy>蒋圆圆</cp:lastModifiedBy>
  <cp:revision>3</cp:revision>
  <dcterms:created xsi:type="dcterms:W3CDTF">2024-05-06T07:16:00Z</dcterms:created>
  <dcterms:modified xsi:type="dcterms:W3CDTF">2024-07-04T06:52:11Z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9AAD538CA0554850834737C68260976C_13</vt:lpwstr>
  </property>
</Properties>
</file>