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r>
        <w:rPr>
          <w:rFonts w:hint="eastAsia" w:asciiTheme="minorEastAsia" w:hAnsiTheme="minorEastAsia" w:eastAsiaTheme="minorEastAsia" w:cstheme="minorEastAsia"/>
          <w:b/>
          <w:bCs/>
          <w:spacing w:val="-3"/>
          <w:sz w:val="48"/>
          <w:szCs w:val="48"/>
        </w:rPr>
        <w:t>2023年大丰区化肥减量增效示范区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r>
        <w:rPr>
          <w:rFonts w:hint="eastAsia" w:asciiTheme="minorEastAsia" w:hAnsiTheme="minorEastAsia" w:eastAsiaTheme="minorEastAsia" w:cstheme="minorEastAsia"/>
          <w:b/>
          <w:bCs/>
          <w:spacing w:val="-3"/>
          <w:sz w:val="48"/>
          <w:szCs w:val="48"/>
          <w:lang w:eastAsia="zh-CN"/>
        </w:rPr>
        <w:t>（有机无机复混肥、缓释肥、水溶肥、复合微生物肥、液体硅肥）采购项目</w:t>
      </w:r>
    </w:p>
    <w:p>
      <w:pPr>
        <w:spacing w:line="360" w:lineRule="auto"/>
        <w:jc w:val="center"/>
        <w:rPr>
          <w:rFonts w:hint="eastAsia" w:ascii="宋体" w:hAnsi="宋体" w:eastAsia="宋体" w:cs="宋体"/>
          <w:b/>
          <w:sz w:val="48"/>
          <w:szCs w:val="48"/>
          <w:lang w:eastAsia="zh-CN"/>
        </w:rPr>
      </w:pPr>
      <w:r>
        <w:rPr>
          <w:rFonts w:hint="eastAsia" w:ascii="宋体" w:hAnsi="宋体" w:cs="宋体"/>
          <w:b/>
          <w:sz w:val="48"/>
          <w:szCs w:val="48"/>
          <w:lang w:eastAsia="zh-CN"/>
        </w:rPr>
        <w:t>（</w:t>
      </w:r>
      <w:r>
        <w:rPr>
          <w:rFonts w:hint="eastAsia" w:ascii="宋体" w:hAnsi="宋体" w:cs="宋体"/>
          <w:b/>
          <w:sz w:val="48"/>
          <w:szCs w:val="48"/>
          <w:lang w:val="en-US" w:eastAsia="zh-CN"/>
        </w:rPr>
        <w:t>二次</w:t>
      </w:r>
      <w:r>
        <w:rPr>
          <w:rFonts w:hint="eastAsia" w:ascii="宋体" w:hAnsi="宋体" w:cs="宋体"/>
          <w:b/>
          <w:sz w:val="48"/>
          <w:szCs w:val="48"/>
          <w:lang w:eastAsia="zh-CN"/>
        </w:rPr>
        <w:t>）</w:t>
      </w:r>
    </w:p>
    <w:p>
      <w:pPr>
        <w:spacing w:line="360" w:lineRule="auto"/>
        <w:jc w:val="center"/>
        <w:rPr>
          <w:rFonts w:ascii="宋体" w:hAnsi="宋体" w:cs="宋体"/>
          <w:sz w:val="28"/>
          <w:szCs w:val="28"/>
        </w:rPr>
      </w:pPr>
    </w:p>
    <w:p>
      <w:pPr>
        <w:spacing w:line="360" w:lineRule="auto"/>
        <w:rPr>
          <w:rFonts w:hint="eastAsia" w:ascii="宋体" w:hAnsi="宋体" w:eastAsia="宋体" w:cs="宋体"/>
          <w:sz w:val="72"/>
          <w:szCs w:val="72"/>
          <w:lang w:val="en-US" w:eastAsia="zh-CN"/>
        </w:rPr>
      </w:pPr>
      <w:r>
        <w:rPr>
          <w:rFonts w:hint="eastAsia" w:ascii="宋体" w:hAnsi="宋体" w:cs="宋体"/>
          <w:sz w:val="72"/>
          <w:szCs w:val="72"/>
          <w:lang w:val="en-US" w:eastAsia="zh-CN"/>
        </w:rPr>
        <w:t xml:space="preserve"> </w:t>
      </w:r>
    </w:p>
    <w:p>
      <w:pPr>
        <w:pStyle w:val="54"/>
        <w:rPr>
          <w:rFonts w:ascii="宋体" w:hAnsi="宋体" w:eastAsia="宋体" w:cs="宋体"/>
          <w:color w:val="auto"/>
        </w:rPr>
      </w:pPr>
    </w:p>
    <w:p>
      <w:pPr>
        <w:spacing w:line="360" w:lineRule="auto"/>
        <w:jc w:val="center"/>
        <w:rPr>
          <w:rFonts w:ascii="宋体" w:hAnsi="宋体" w:cs="宋体"/>
          <w:sz w:val="28"/>
          <w:szCs w:val="28"/>
        </w:rPr>
      </w:pPr>
    </w:p>
    <w:p>
      <w:pPr>
        <w:pStyle w:val="54"/>
        <w:rPr>
          <w:rFonts w:ascii="宋体" w:hAnsi="宋体" w:eastAsia="宋体" w:cs="宋体"/>
          <w:color w:val="auto"/>
        </w:rPr>
      </w:pPr>
    </w:p>
    <w:p>
      <w:pPr>
        <w:spacing w:line="360" w:lineRule="auto"/>
        <w:jc w:val="center"/>
        <w:rPr>
          <w:rFonts w:ascii="宋体" w:hAnsi="宋体" w:cs="宋体"/>
          <w:b/>
          <w:sz w:val="84"/>
          <w:szCs w:val="84"/>
        </w:rPr>
      </w:pPr>
      <w:r>
        <w:rPr>
          <w:rFonts w:hint="eastAsia" w:ascii="宋体" w:hAnsi="宋体" w:cs="宋体"/>
          <w:b/>
          <w:sz w:val="84"/>
          <w:szCs w:val="84"/>
        </w:rPr>
        <w:t>招 标 文 件</w:t>
      </w:r>
    </w:p>
    <w:p>
      <w:pPr>
        <w:spacing w:line="360" w:lineRule="auto"/>
        <w:ind w:firstLine="794" w:firstLineChars="246"/>
        <w:rPr>
          <w:rFonts w:ascii="宋体" w:hAnsi="宋体" w:cs="宋体"/>
          <w:b/>
          <w:sz w:val="32"/>
          <w:szCs w:val="32"/>
        </w:rPr>
      </w:pPr>
    </w:p>
    <w:p>
      <w:pPr>
        <w:pStyle w:val="19"/>
      </w:pPr>
    </w:p>
    <w:p>
      <w:pPr>
        <w:pStyle w:val="19"/>
      </w:pPr>
    </w:p>
    <w:p>
      <w:pPr>
        <w:spacing w:line="360" w:lineRule="auto"/>
        <w:jc w:val="center"/>
        <w:rPr>
          <w:rFonts w:ascii="宋体" w:hAnsi="宋体" w:cs="宋体"/>
          <w:sz w:val="28"/>
          <w:szCs w:val="28"/>
        </w:rPr>
      </w:pPr>
    </w:p>
    <w:p>
      <w:pPr>
        <w:pStyle w:val="54"/>
        <w:rPr>
          <w:rFonts w:ascii="宋体" w:hAnsi="宋体" w:eastAsia="宋体" w:cs="宋体"/>
          <w:color w:val="auto"/>
        </w:rPr>
      </w:pPr>
    </w:p>
    <w:p>
      <w:pPr>
        <w:spacing w:line="360" w:lineRule="auto"/>
        <w:jc w:val="center"/>
        <w:rPr>
          <w:rFonts w:ascii="宋体" w:hAnsi="宋体" w:cs="宋体"/>
          <w:sz w:val="28"/>
          <w:szCs w:val="28"/>
        </w:rPr>
      </w:pP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jc w:val="center"/>
        <w:textAlignment w:val="auto"/>
        <w:rPr>
          <w:rFonts w:hint="eastAsia" w:hAnsi="宋体" w:cs="宋体"/>
          <w:b/>
          <w:bCs/>
          <w:color w:val="auto"/>
          <w:w w:val="100"/>
          <w:sz w:val="32"/>
          <w:szCs w:val="32"/>
          <w:highlight w:val="none"/>
        </w:rPr>
      </w:pPr>
      <w:bookmarkStart w:id="0" w:name="_Toc387526166"/>
      <w:bookmarkStart w:id="1" w:name="_Toc369077541"/>
      <w:bookmarkStart w:id="2" w:name="_Toc363326675"/>
      <w:bookmarkStart w:id="3" w:name="_Toc368759509"/>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firstLine="1292" w:firstLineChars="400"/>
        <w:jc w:val="both"/>
        <w:textAlignment w:val="auto"/>
        <w:rPr>
          <w:rFonts w:hint="eastAsia" w:ascii="宋体" w:hAnsi="宋体" w:eastAsia="宋体" w:cs="宋体"/>
          <w:b/>
          <w:color w:val="auto"/>
          <w:w w:val="100"/>
          <w:sz w:val="32"/>
          <w:szCs w:val="32"/>
          <w:highlight w:val="none"/>
          <w:u w:val="single"/>
          <w:lang w:eastAsia="zh-CN"/>
        </w:rPr>
      </w:pPr>
      <w:r>
        <w:rPr>
          <w:rFonts w:hint="eastAsia" w:ascii="宋体" w:hAnsi="宋体" w:eastAsia="宋体" w:cs="宋体"/>
          <w:b/>
          <w:bCs/>
          <w:color w:val="auto"/>
          <w:w w:val="100"/>
          <w:sz w:val="32"/>
          <w:szCs w:val="32"/>
          <w:highlight w:val="none"/>
        </w:rPr>
        <w:t>招标</w:t>
      </w:r>
      <w:r>
        <w:rPr>
          <w:rFonts w:hint="eastAsia" w:ascii="宋体" w:hAnsi="宋体" w:eastAsia="宋体" w:cs="宋体"/>
          <w:b/>
          <w:color w:val="auto"/>
          <w:w w:val="100"/>
          <w:sz w:val="32"/>
          <w:szCs w:val="32"/>
          <w:highlight w:val="none"/>
        </w:rPr>
        <w:t>采购单位</w:t>
      </w:r>
      <w:r>
        <w:rPr>
          <w:rFonts w:hint="eastAsia" w:ascii="宋体" w:hAnsi="宋体" w:eastAsia="宋体" w:cs="宋体"/>
          <w:b/>
          <w:color w:val="auto"/>
          <w:w w:val="100"/>
          <w:sz w:val="32"/>
          <w:szCs w:val="32"/>
          <w:highlight w:val="none"/>
          <w:lang w:eastAsia="zh-CN"/>
        </w:rPr>
        <w:t>：</w:t>
      </w:r>
      <w:r>
        <w:rPr>
          <w:rFonts w:hint="eastAsia" w:ascii="宋体" w:hAnsi="宋体" w:eastAsia="宋体" w:cs="宋体"/>
          <w:b/>
          <w:bCs/>
          <w:color w:val="auto"/>
          <w:sz w:val="32"/>
          <w:szCs w:val="32"/>
          <w:highlight w:val="none"/>
          <w:u w:val="single"/>
          <w:lang w:eastAsia="zh-CN"/>
        </w:rPr>
        <w:t>盐城市大丰区农业农村局</w:t>
      </w: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firstLine="1292" w:firstLineChars="400"/>
        <w:jc w:val="both"/>
        <w:textAlignment w:val="auto"/>
        <w:rPr>
          <w:rFonts w:hint="eastAsia" w:hAnsi="宋体" w:cs="宋体"/>
          <w:b/>
          <w:bCs/>
          <w:color w:val="auto"/>
          <w:w w:val="100"/>
          <w:sz w:val="32"/>
          <w:szCs w:val="32"/>
          <w:highlight w:val="none"/>
        </w:rPr>
      </w:pPr>
      <w:r>
        <w:rPr>
          <w:rFonts w:hint="eastAsia" w:hAnsi="宋体" w:cs="宋体"/>
          <w:b/>
          <w:bCs/>
          <w:color w:val="auto"/>
          <w:w w:val="100"/>
          <w:sz w:val="32"/>
          <w:szCs w:val="32"/>
          <w:highlight w:val="none"/>
        </w:rPr>
        <w:t>招标代理机构</w:t>
      </w:r>
      <w:r>
        <w:rPr>
          <w:rFonts w:hint="eastAsia" w:hAnsi="宋体" w:cs="宋体"/>
          <w:b/>
          <w:bCs/>
          <w:color w:val="auto"/>
          <w:w w:val="100"/>
          <w:sz w:val="32"/>
          <w:szCs w:val="32"/>
          <w:highlight w:val="none"/>
          <w:lang w:eastAsia="zh-CN"/>
        </w:rPr>
        <w:t>：</w:t>
      </w:r>
      <w:r>
        <w:rPr>
          <w:rFonts w:hint="eastAsia" w:hAnsi="宋体" w:cs="宋体"/>
          <w:b/>
          <w:bCs/>
          <w:color w:val="auto"/>
          <w:w w:val="100"/>
          <w:sz w:val="32"/>
          <w:szCs w:val="32"/>
          <w:highlight w:val="none"/>
          <w:u w:val="single"/>
          <w:lang w:eastAsia="zh-CN"/>
        </w:rPr>
        <w:t>江苏</w:t>
      </w:r>
      <w:r>
        <w:rPr>
          <w:rFonts w:hint="eastAsia" w:hAnsi="宋体" w:cs="宋体"/>
          <w:b/>
          <w:bCs/>
          <w:color w:val="auto"/>
          <w:w w:val="100"/>
          <w:sz w:val="32"/>
          <w:szCs w:val="32"/>
          <w:highlight w:val="none"/>
          <w:u w:val="single"/>
          <w:lang w:val="en-US" w:eastAsia="zh-CN"/>
        </w:rPr>
        <w:t>全</w:t>
      </w:r>
      <w:r>
        <w:rPr>
          <w:rFonts w:hint="eastAsia" w:hAnsi="宋体" w:cs="宋体"/>
          <w:b/>
          <w:bCs/>
          <w:color w:val="auto"/>
          <w:w w:val="100"/>
          <w:sz w:val="32"/>
          <w:szCs w:val="32"/>
          <w:highlight w:val="none"/>
          <w:u w:val="single"/>
        </w:rPr>
        <w:t>成项目管理有限公司</w:t>
      </w: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426" w:leftChars="200"/>
        <w:jc w:val="center"/>
        <w:textAlignment w:val="auto"/>
        <w:rPr>
          <w:rFonts w:hint="eastAsia" w:hAnsi="宋体" w:cs="宋体"/>
          <w:b/>
          <w:bCs/>
          <w:color w:val="auto"/>
          <w:sz w:val="32"/>
          <w:szCs w:val="32"/>
          <w:highlight w:val="none"/>
        </w:rPr>
      </w:pPr>
      <w:r>
        <w:rPr>
          <w:rFonts w:hint="eastAsia" w:hAnsi="宋体" w:cs="宋体"/>
          <w:b/>
          <w:bCs/>
          <w:color w:val="auto"/>
          <w:sz w:val="32"/>
          <w:szCs w:val="32"/>
          <w:highlight w:val="none"/>
        </w:rPr>
        <w:t>二〇二</w:t>
      </w:r>
      <w:r>
        <w:rPr>
          <w:rFonts w:hint="eastAsia" w:hAnsi="宋体" w:cs="宋体"/>
          <w:b/>
          <w:bCs/>
          <w:color w:val="auto"/>
          <w:sz w:val="32"/>
          <w:szCs w:val="32"/>
          <w:highlight w:val="none"/>
          <w:lang w:eastAsia="zh-CN"/>
        </w:rPr>
        <w:t>四</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月</w:t>
      </w:r>
    </w:p>
    <w:p>
      <w:pPr>
        <w:pStyle w:val="55"/>
        <w:rPr>
          <w:rFonts w:ascii="宋体" w:hAnsi="宋体" w:cs="宋体"/>
          <w:b/>
          <w:sz w:val="32"/>
          <w:szCs w:val="32"/>
          <w:u w:val="single"/>
        </w:rPr>
      </w:pPr>
    </w:p>
    <w:p>
      <w:pPr>
        <w:pStyle w:val="55"/>
        <w:rPr>
          <w:rFonts w:ascii="宋体" w:hAnsi="宋体" w:cs="宋体"/>
          <w:b/>
          <w:sz w:val="32"/>
          <w:szCs w:val="32"/>
          <w:u w:val="single"/>
        </w:rPr>
        <w:sectPr>
          <w:headerReference r:id="rId3" w:type="default"/>
          <w:footerReference r:id="rId4" w:type="default"/>
          <w:pgSz w:w="11906" w:h="16838"/>
          <w:pgMar w:top="1134" w:right="1134" w:bottom="1134" w:left="1134" w:header="851" w:footer="992" w:gutter="0"/>
          <w:pgNumType w:start="0"/>
          <w:cols w:space="0" w:num="1"/>
          <w:rtlGutter w:val="0"/>
          <w:docGrid w:type="linesAndChars" w:linePitch="317" w:charSpace="819"/>
        </w:sectPr>
      </w:pPr>
    </w:p>
    <w:bookmarkEnd w:id="0"/>
    <w:bookmarkEnd w:id="1"/>
    <w:bookmarkEnd w:id="2"/>
    <w:bookmarkEnd w:id="3"/>
    <w:p>
      <w:pPr>
        <w:pStyle w:val="2"/>
        <w:pageBreakBefore w:val="0"/>
        <w:wordWrap/>
        <w:overflowPunct/>
        <w:topLinePunct w:val="0"/>
        <w:bidi w:val="0"/>
        <w:adjustRightInd/>
        <w:snapToGrid/>
        <w:spacing w:before="100" w:after="100" w:line="360" w:lineRule="auto"/>
        <w:rPr>
          <w:rFonts w:ascii="宋体" w:hAnsi="宋体" w:cs="宋体"/>
        </w:rPr>
      </w:pPr>
      <w:bookmarkStart w:id="4" w:name="_Toc501967467"/>
      <w:bookmarkStart w:id="5" w:name="_Toc369077550"/>
      <w:bookmarkStart w:id="6" w:name="_Toc368759511"/>
      <w:r>
        <w:rPr>
          <w:rFonts w:hint="eastAsia" w:ascii="宋体" w:hAnsi="宋体" w:cs="宋体"/>
        </w:rPr>
        <w:t>第一章</w:t>
      </w:r>
      <w:bookmarkStart w:id="7" w:name="OLE_LINK2"/>
      <w:r>
        <w:rPr>
          <w:rFonts w:hint="eastAsia" w:ascii="宋体" w:hAnsi="宋体" w:cs="宋体"/>
        </w:rPr>
        <w:t xml:space="preserve"> 招标公告</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项目概况：</w:t>
      </w:r>
      <w:r>
        <w:rPr>
          <w:rFonts w:hint="eastAsia" w:ascii="宋体" w:hAnsi="宋体" w:cs="宋体"/>
          <w:szCs w:val="21"/>
          <w:u w:val="single"/>
        </w:rPr>
        <w:t>2023年大丰区化肥减量增效示范区</w:t>
      </w:r>
      <w:r>
        <w:rPr>
          <w:rFonts w:hint="eastAsia" w:ascii="宋体" w:hAnsi="宋体" w:cs="宋体"/>
          <w:szCs w:val="21"/>
          <w:u w:val="single"/>
          <w:lang w:eastAsia="zh-CN"/>
        </w:rPr>
        <w:t>（有机无机复混肥、缓释肥、水溶肥、复合微生物肥、液体硅肥）采购项目</w:t>
      </w:r>
      <w:r>
        <w:rPr>
          <w:rFonts w:hint="eastAsia" w:ascii="宋体" w:hAnsi="宋体" w:cs="宋体"/>
          <w:szCs w:val="21"/>
        </w:rPr>
        <w:t>的潜在投标人应至</w:t>
      </w:r>
      <w:r>
        <w:rPr>
          <w:rFonts w:hint="eastAsia" w:ascii="宋体" w:hAnsi="宋体" w:cs="宋体"/>
          <w:kern w:val="0"/>
          <w:sz w:val="21"/>
          <w:szCs w:val="21"/>
          <w:lang w:eastAsia="zh-CN" w:bidi="ar"/>
        </w:rPr>
        <w:t>盐城市大丰区飞达东路55号锦和科技大厦13楼</w:t>
      </w:r>
      <w:r>
        <w:rPr>
          <w:rFonts w:hint="eastAsia" w:ascii="宋体" w:hAnsi="宋体" w:cs="宋体"/>
          <w:szCs w:val="21"/>
        </w:rPr>
        <w:t>获取招标文件，并于</w:t>
      </w:r>
      <w:r>
        <w:rPr>
          <w:rFonts w:hint="eastAsia" w:ascii="宋体" w:hAnsi="宋体" w:cs="宋体"/>
          <w:b/>
          <w:bCs/>
          <w:color w:val="0000FF"/>
          <w:szCs w:val="21"/>
          <w:u w:val="single"/>
        </w:rPr>
        <w:t>202</w:t>
      </w:r>
      <w:r>
        <w:rPr>
          <w:rFonts w:hint="eastAsia" w:ascii="宋体" w:hAnsi="宋体" w:cs="宋体"/>
          <w:b/>
          <w:bCs/>
          <w:color w:val="0000FF"/>
          <w:szCs w:val="21"/>
          <w:u w:val="single"/>
          <w:lang w:val="en-US" w:eastAsia="zh-CN"/>
        </w:rPr>
        <w:t>4</w:t>
      </w:r>
      <w:r>
        <w:rPr>
          <w:rFonts w:hint="eastAsia" w:ascii="宋体" w:hAnsi="宋体" w:cs="宋体"/>
          <w:b/>
          <w:bCs/>
          <w:color w:val="0000FF"/>
          <w:szCs w:val="21"/>
          <w:u w:val="single"/>
        </w:rPr>
        <w:t>年</w:t>
      </w:r>
      <w:r>
        <w:rPr>
          <w:rFonts w:hint="eastAsia" w:ascii="宋体" w:hAnsi="宋体" w:cs="宋体"/>
          <w:b/>
          <w:bCs/>
          <w:color w:val="0000FF"/>
          <w:szCs w:val="21"/>
          <w:u w:val="single"/>
          <w:lang w:val="en-US" w:eastAsia="zh-CN"/>
        </w:rPr>
        <w:t>7月10日09</w:t>
      </w:r>
      <w:r>
        <w:rPr>
          <w:rFonts w:hint="eastAsia" w:ascii="宋体" w:hAnsi="宋体" w:cs="宋体"/>
          <w:b/>
          <w:bCs/>
          <w:color w:val="0000FF"/>
          <w:szCs w:val="21"/>
          <w:u w:val="single"/>
        </w:rPr>
        <w:t>时</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分</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秒</w:t>
      </w:r>
      <w:r>
        <w:rPr>
          <w:rFonts w:hint="eastAsia" w:ascii="宋体" w:hAnsi="宋体" w:cs="宋体"/>
          <w:szCs w:val="21"/>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ascii="宋体" w:hAnsi="宋体" w:cs="宋体"/>
          <w:color w:val="auto"/>
          <w:szCs w:val="21"/>
        </w:rPr>
      </w:pPr>
      <w:r>
        <w:rPr>
          <w:rFonts w:hint="eastAsia" w:ascii="宋体" w:hAnsi="宋体" w:cs="宋体"/>
          <w:b/>
          <w:bCs/>
          <w:color w:val="auto"/>
          <w:szCs w:val="21"/>
        </w:rPr>
        <w:t>一、项目基本概况</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（1）项目编号：JSZC-320904-YCTC-G2024-0002</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（2）项目名称：2023年大丰区化肥减量增效示范区</w:t>
      </w:r>
      <w:r>
        <w:rPr>
          <w:rFonts w:hint="eastAsia" w:ascii="宋体" w:hAnsi="宋体" w:cs="宋体"/>
          <w:color w:val="auto"/>
          <w:szCs w:val="21"/>
          <w:highlight w:val="none"/>
          <w:lang w:eastAsia="zh-CN"/>
        </w:rPr>
        <w:t>（有机无机复混肥、缓释肥、水溶肥、复合微生物肥、液体硅肥）采购项目</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167.5万元（财政补助78.5</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+农户自筹89万元）</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167.5万元（财政补助78.5</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+农户自筹89万元）</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供货期限：10日历天，在招标人指定时间节点前按照招标人指定的地点完成相应批次货物的采购、运输</w:t>
      </w:r>
    </w:p>
    <w:p>
      <w:pPr>
        <w:pStyle w:val="5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szCs w:val="21"/>
          <w:u w:val="none"/>
        </w:rPr>
        <w:t>质保期：产品通过验收之日起计质保期1年（大于1年的按产品质保期）</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7</w:t>
      </w:r>
      <w:r>
        <w:rPr>
          <w:rFonts w:hint="eastAsia" w:ascii="宋体" w:hAnsi="宋体" w:cs="宋体"/>
          <w:color w:val="auto"/>
          <w:szCs w:val="21"/>
          <w:u w:val="none"/>
        </w:rPr>
        <w:t>）采购需求：应用作物主要为小麦、水稻、蔬菜、果树</w:t>
      </w:r>
      <w:r>
        <w:rPr>
          <w:rFonts w:hint="eastAsia" w:ascii="宋体" w:hAnsi="宋体" w:cs="宋体"/>
          <w:color w:val="auto"/>
          <w:szCs w:val="21"/>
          <w:u w:val="none"/>
          <w:lang w:eastAsia="zh-CN"/>
        </w:rPr>
        <w:t>，</w:t>
      </w:r>
      <w:r>
        <w:rPr>
          <w:rFonts w:hint="eastAsia" w:ascii="宋体" w:hAnsi="宋体" w:cs="宋体"/>
          <w:color w:val="auto"/>
          <w:szCs w:val="21"/>
          <w:u w:val="none"/>
        </w:rPr>
        <w:t>本项目标段数、货物名称、数量、限价见下表，具体详见招标需求。</w:t>
      </w:r>
    </w:p>
    <w:tbl>
      <w:tblPr>
        <w:tblStyle w:val="44"/>
        <w:tblW w:w="10073" w:type="dxa"/>
        <w:jc w:val="center"/>
        <w:tblLayout w:type="fixed"/>
        <w:tblCellMar>
          <w:top w:w="15" w:type="dxa"/>
          <w:left w:w="15" w:type="dxa"/>
          <w:bottom w:w="15" w:type="dxa"/>
          <w:right w:w="15" w:type="dxa"/>
        </w:tblCellMar>
      </w:tblPr>
      <w:tblGrid>
        <w:gridCol w:w="1019"/>
        <w:gridCol w:w="1762"/>
        <w:gridCol w:w="2268"/>
        <w:gridCol w:w="1361"/>
        <w:gridCol w:w="1247"/>
        <w:gridCol w:w="1134"/>
        <w:gridCol w:w="1282"/>
      </w:tblGrid>
      <w:tr>
        <w:tblPrEx>
          <w:tblCellMar>
            <w:top w:w="15" w:type="dxa"/>
            <w:left w:w="15" w:type="dxa"/>
            <w:bottom w:w="15" w:type="dxa"/>
            <w:right w:w="15" w:type="dxa"/>
          </w:tblCellMar>
        </w:tblPrEx>
        <w:trPr>
          <w:trHeight w:val="567"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标段编号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标段</w:t>
            </w:r>
            <w:r>
              <w:rPr>
                <w:rFonts w:hint="eastAsia" w:ascii="宋体" w:hAnsi="宋体" w:cs="宋体"/>
                <w:b/>
                <w:bCs/>
                <w:szCs w:val="21"/>
              </w:rPr>
              <w:t>名称</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规格及技术参数</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补助标准</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控制单价</w:t>
            </w:r>
          </w:p>
        </w:tc>
        <w:tc>
          <w:tcPr>
            <w:tcW w:w="1134" w:type="dxa"/>
            <w:tcBorders>
              <w:top w:val="single" w:color="000000" w:sz="4" w:space="0"/>
              <w:left w:val="single" w:color="auto" w:sz="4" w:space="0"/>
              <w:right w:val="single" w:color="000000" w:sz="4" w:space="0"/>
            </w:tcBorders>
            <w:noWrap w:val="0"/>
            <w:vAlign w:val="center"/>
          </w:tcPr>
          <w:p>
            <w:pPr>
              <w:spacing w:line="240" w:lineRule="auto"/>
              <w:jc w:val="center"/>
              <w:rPr>
                <w:rFonts w:hint="eastAsia" w:ascii="宋体" w:hAnsi="宋体" w:cs="宋体"/>
                <w:b/>
                <w:bCs/>
                <w:szCs w:val="21"/>
              </w:rPr>
            </w:pPr>
            <w:r>
              <w:rPr>
                <w:rFonts w:hint="eastAsia" w:ascii="宋体" w:hAnsi="宋体" w:cs="宋体"/>
                <w:b/>
                <w:bCs/>
                <w:szCs w:val="21"/>
              </w:rPr>
              <w:t>实施规模</w:t>
            </w:r>
          </w:p>
        </w:tc>
        <w:tc>
          <w:tcPr>
            <w:tcW w:w="1282" w:type="dxa"/>
            <w:tcBorders>
              <w:top w:val="single" w:color="000000" w:sz="4" w:space="0"/>
              <w:left w:val="single" w:color="auto"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采购金额</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rPr>
              <w:t>001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u w:val="none"/>
                <w:lang w:val="en-US" w:eastAsia="zh-CN"/>
              </w:rPr>
            </w:pPr>
            <w:r>
              <w:rPr>
                <w:rFonts w:hint="eastAsia" w:ascii="宋体" w:hAnsi="宋体" w:cs="宋体"/>
                <w:szCs w:val="21"/>
                <w:u w:val="none"/>
                <w:lang w:eastAsia="zh-CN"/>
              </w:rPr>
              <w:t>有机无机复混肥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18877-2020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lang w:val="en-US" w:eastAsia="zh-CN"/>
              </w:rPr>
              <w:t>400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1500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75（补助20）万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缓释肥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23348-2009</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4000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rPr>
            </w:pPr>
            <w:r>
              <w:rPr>
                <w:rFonts w:hint="eastAsia" w:ascii="宋体" w:hAnsi="宋体" w:cs="宋体"/>
                <w:szCs w:val="21"/>
                <w:lang w:val="en-US" w:eastAsia="zh-CN"/>
              </w:rPr>
              <w:t>100吨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40（补助6）万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w:t>
            </w:r>
            <w:r>
              <w:rPr>
                <w:rFonts w:hint="default" w:ascii="宋体" w:hAnsi="宋体" w:eastAsia="宋体" w:cs="宋体"/>
                <w:szCs w:val="21"/>
                <w:lang w:val="en-US" w:eastAsia="zh-CN"/>
              </w:rPr>
              <w:t>NY/T 1107-2020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w:t>
            </w:r>
            <w:r>
              <w:rPr>
                <w:rFonts w:hint="eastAsia" w:ascii="宋体" w:hAnsi="宋体" w:eastAsia="宋体" w:cs="宋体"/>
                <w:szCs w:val="21"/>
              </w:rPr>
              <w:t>吨</w:t>
            </w:r>
            <w:r>
              <w:rPr>
                <w:rFonts w:hint="eastAsia" w:ascii="宋体" w:hAnsi="宋体" w:cs="宋体"/>
                <w:szCs w:val="21"/>
                <w:lang w:eastAsia="zh-CN"/>
              </w:rPr>
              <w:t>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复合微生物肥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5公斤/桶，NY/T 798-2015</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60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3333桶以上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500毫升/瓶，NY/T 3829-2021</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50</w:t>
            </w:r>
            <w:r>
              <w:rPr>
                <w:rFonts w:hint="eastAsia" w:ascii="宋体" w:hAnsi="宋体" w:cs="宋体"/>
                <w:szCs w:val="21"/>
              </w:rPr>
              <w:t>元/</w:t>
            </w:r>
            <w:r>
              <w:rPr>
                <w:rFonts w:hint="eastAsia" w:ascii="宋体" w:hAnsi="宋体" w:cs="宋体"/>
                <w:szCs w:val="21"/>
                <w:lang w:eastAsia="zh-CN"/>
              </w:rPr>
              <w:t>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2500瓶以上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12.5万元</w:t>
            </w:r>
          </w:p>
        </w:tc>
      </w:tr>
    </w:tbl>
    <w:p>
      <w:pPr>
        <w:pStyle w:val="56"/>
        <w:keepNext w:val="0"/>
        <w:keepLines w:val="0"/>
        <w:pageBreakBefore w:val="0"/>
        <w:wordWrap/>
        <w:overflowPunct/>
        <w:topLinePunct w:val="0"/>
        <w:bidi w:val="0"/>
        <w:adjustRightInd/>
        <w:snapToGrid/>
        <w:spacing w:line="336" w:lineRule="auto"/>
        <w:ind w:left="0" w:leftChars="0" w:firstLine="426" w:firstLineChars="200"/>
        <w:rPr>
          <w:rFonts w:hint="eastAsia" w:ascii="宋体" w:hAnsi="宋体" w:cs="宋体"/>
          <w:szCs w:val="21"/>
          <w:u w:val="none"/>
          <w:lang w:eastAsia="zh-CN"/>
        </w:rPr>
      </w:pPr>
      <w:r>
        <w:rPr>
          <w:rFonts w:hint="eastAsia" w:ascii="宋体" w:hAnsi="宋体" w:cs="宋体"/>
          <w:szCs w:val="21"/>
          <w:u w:val="none"/>
          <w:lang w:val="zh-CN"/>
        </w:rPr>
        <w:t xml:space="preserve">各投标单位可选择以上一个或多个标段进行投标，可同时中多个标段，各标段应分别制作对应标书。 </w:t>
      </w:r>
      <w:r>
        <w:rPr>
          <w:rFonts w:hint="eastAsia" w:ascii="宋体" w:hAnsi="宋体" w:cs="宋体"/>
          <w:szCs w:val="21"/>
          <w:u w:val="none"/>
          <w:lang w:eastAsia="zh-CN"/>
        </w:rPr>
        <w:t>投标单位所报单价不可超过招标人所设招标单价限价，否则作无效标处理。</w:t>
      </w:r>
    </w:p>
    <w:p>
      <w:pPr>
        <w:keepNext w:val="0"/>
        <w:keepLines w:val="0"/>
        <w:pageBreakBefore w:val="0"/>
        <w:wordWrap/>
        <w:overflowPunct/>
        <w:topLinePunct w:val="0"/>
        <w:bidi w:val="0"/>
        <w:adjustRightInd/>
        <w:snapToGrid/>
        <w:spacing w:line="336" w:lineRule="auto"/>
        <w:rPr>
          <w:rFonts w:ascii="宋体" w:hAnsi="宋体" w:cs="宋体"/>
          <w:color w:val="auto"/>
          <w:szCs w:val="21"/>
        </w:rPr>
      </w:pPr>
      <w:r>
        <w:rPr>
          <w:rFonts w:hint="eastAsia" w:ascii="宋体" w:hAnsi="宋体" w:cs="宋体"/>
          <w:b/>
          <w:bCs/>
          <w:color w:val="auto"/>
          <w:szCs w:val="21"/>
        </w:rPr>
        <w:t>二、申请人的资格要求：</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kern w:val="0"/>
          <w:szCs w:val="21"/>
          <w:shd w:val="clear" w:color="auto" w:fill="FFFFFF"/>
        </w:rPr>
        <w:t>1、投标人须满足以下规定：</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szCs w:val="21"/>
          <w:shd w:val="clear" w:color="auto" w:fill="FFFFFF"/>
        </w:rPr>
      </w:pPr>
      <w:r>
        <w:rPr>
          <w:rFonts w:hint="eastAsia" w:ascii="宋体" w:hAnsi="宋体" w:cs="宋体"/>
          <w:kern w:val="0"/>
          <w:szCs w:val="21"/>
          <w:shd w:val="clear" w:color="auto" w:fill="FFFFFF"/>
        </w:rPr>
        <w:t>（1）投标申请人</w:t>
      </w:r>
      <w:r>
        <w:rPr>
          <w:rFonts w:hint="eastAsia" w:ascii="宋体" w:hAnsi="宋体" w:cs="宋体"/>
          <w:szCs w:val="21"/>
        </w:rPr>
        <w:t>须在中国境内注册的企业，具有独立法人资格，具有独立订立合同的能力，</w:t>
      </w:r>
      <w:r>
        <w:rPr>
          <w:rFonts w:hint="eastAsia" w:ascii="宋体" w:hAnsi="宋体" w:cs="宋体"/>
          <w:kern w:val="0"/>
          <w:szCs w:val="21"/>
          <w:shd w:val="clear" w:color="auto" w:fill="FFFFFF"/>
        </w:rPr>
        <w:t>近三年内没有严重违约和重大质量问题，未处于被责令停业、财产被接管、冻结、破产等状态；</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eastAsia="zh-CN"/>
        </w:rPr>
        <w:t>（</w:t>
      </w:r>
      <w:r>
        <w:rPr>
          <w:rFonts w:hint="eastAsia" w:ascii="宋体" w:hAnsi="宋体" w:cs="宋体"/>
          <w:kern w:val="0"/>
          <w:szCs w:val="21"/>
          <w:shd w:val="clear" w:color="auto" w:fill="FFFFFF"/>
          <w:lang w:val="en-US" w:eastAsia="zh-CN"/>
        </w:rPr>
        <w:t>2</w:t>
      </w:r>
      <w:r>
        <w:rPr>
          <w:rFonts w:hint="eastAsia" w:ascii="宋体" w:hAnsi="宋体" w:cs="宋体"/>
          <w:kern w:val="0"/>
          <w:szCs w:val="21"/>
          <w:shd w:val="clear" w:color="auto" w:fill="FFFFFF"/>
          <w:lang w:eastAsia="zh-CN"/>
        </w:rPr>
        <w:t>）</w:t>
      </w:r>
      <w:r>
        <w:rPr>
          <w:rFonts w:hint="eastAsia" w:ascii="宋体" w:hAnsi="宋体" w:cs="宋体"/>
          <w:kern w:val="0"/>
          <w:szCs w:val="21"/>
          <w:shd w:val="clear" w:color="auto" w:fill="FFFFFF"/>
          <w:lang w:val="zh-CN"/>
        </w:rPr>
        <w:t>所投标有机无机复混肥、缓释肥、复合微生物肥、液体硅肥必须具有农业农村部门颁发的肥料登记证，且在有效期内（提供肥料登记证复印件）。所投水溶肥产品必须具有农业农村部门颁发的肥料登记证或备案号，且在有效期内（提供肥料登记证复印件</w:t>
      </w:r>
      <w:r>
        <w:rPr>
          <w:rFonts w:hint="eastAsia" w:ascii="宋体" w:hAnsi="宋体" w:cs="宋体"/>
          <w:kern w:val="0"/>
          <w:szCs w:val="21"/>
          <w:shd w:val="clear" w:color="auto" w:fill="FFFFFF"/>
          <w:lang w:val="en-US" w:eastAsia="zh-CN"/>
        </w:rPr>
        <w:t>或官方网站备案号查询页面截图</w:t>
      </w:r>
      <w:r>
        <w:rPr>
          <w:rFonts w:hint="eastAsia" w:ascii="宋体" w:hAnsi="宋体" w:cs="宋体"/>
          <w:kern w:val="0"/>
          <w:szCs w:val="21"/>
          <w:shd w:val="clear" w:color="auto" w:fill="FFFFFF"/>
          <w:lang w:val="zh-CN"/>
        </w:rPr>
        <w:t>）。</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rPr>
        <w:t>（</w:t>
      </w:r>
      <w:r>
        <w:rPr>
          <w:rFonts w:hint="eastAsia" w:ascii="宋体" w:hAnsi="宋体" w:cs="宋体"/>
          <w:color w:val="auto"/>
          <w:kern w:val="0"/>
          <w:szCs w:val="21"/>
          <w:shd w:val="clear" w:color="auto" w:fill="FFFFFF"/>
          <w:lang w:val="en-US" w:eastAsia="zh-CN"/>
        </w:rPr>
        <w:t>3</w:t>
      </w:r>
      <w:r>
        <w:rPr>
          <w:rFonts w:hint="eastAsia" w:ascii="宋体" w:hAnsi="宋体" w:cs="宋体"/>
          <w:color w:val="auto"/>
          <w:kern w:val="0"/>
          <w:szCs w:val="21"/>
          <w:shd w:val="clear" w:color="auto" w:fill="FFFFFF"/>
        </w:rPr>
        <w:t>）</w:t>
      </w:r>
      <w:r>
        <w:rPr>
          <w:rFonts w:hint="eastAsia" w:ascii="宋体" w:hAnsi="宋体" w:cs="宋体"/>
          <w:szCs w:val="21"/>
          <w:shd w:val="clear" w:color="auto" w:fill="FFFFFF"/>
        </w:rPr>
        <w:t>未被“信用中国”网站、“中国政府采购网”等网站列入失信被执行人、重大税收违法案件当事人名单、政府采购严重失信行为记录名单。在一次招投标活动中，投标人或者中标候选人因正被列为失信被执行人，导致其资格审查不通过或者被取消中标候选人资格、中标人资格的，不因其之后失信信息被撤销或更正而改变已经作出的决定，以投标截止日期当日查询的记录为准；</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kern w:val="0"/>
          <w:szCs w:val="21"/>
          <w:shd w:val="clear" w:color="auto" w:fill="FFFFFF"/>
        </w:rPr>
      </w:pP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lang w:eastAsia="zh-CN"/>
        </w:rPr>
        <w:t>）</w:t>
      </w:r>
      <w:r>
        <w:rPr>
          <w:rFonts w:hint="eastAsia" w:ascii="宋体" w:hAnsi="宋体" w:cs="宋体"/>
          <w:kern w:val="0"/>
          <w:szCs w:val="21"/>
          <w:shd w:val="clear" w:color="auto" w:fill="FFFFFF"/>
        </w:rPr>
        <w:t>投标人没有被国家、江苏省省级有关部门及盐城市级有关部门暂停招投标或市场准入资格且在公示处罚期内；</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w:t>
      </w:r>
      <w:r>
        <w:rPr>
          <w:rFonts w:hint="eastAsia" w:ascii="宋体" w:hAnsi="宋体" w:cs="宋体"/>
          <w:kern w:val="0"/>
          <w:szCs w:val="21"/>
          <w:shd w:val="clear" w:color="auto" w:fill="FFFFFF"/>
          <w:lang w:val="en-US" w:eastAsia="zh-CN"/>
        </w:rPr>
        <w:t>5</w:t>
      </w:r>
      <w:r>
        <w:rPr>
          <w:rFonts w:hint="eastAsia" w:ascii="宋体" w:hAnsi="宋体" w:cs="宋体"/>
          <w:kern w:val="0"/>
          <w:szCs w:val="21"/>
          <w:shd w:val="clear" w:color="auto" w:fill="FFFFFF"/>
        </w:rPr>
        <w:t>）满足《中华人民共和国政府采购法》第二十二条规定（投标时提供书面声明，格式见附件。）</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2、采购人谢绝投标人以联合体形式投标。</w:t>
      </w:r>
    </w:p>
    <w:p>
      <w:pPr>
        <w:keepNext w:val="0"/>
        <w:keepLines w:val="0"/>
        <w:pageBreakBefore w:val="0"/>
        <w:widowControl/>
        <w:wordWrap/>
        <w:overflowPunct/>
        <w:topLinePunct w:val="0"/>
        <w:bidi w:val="0"/>
        <w:adjustRightInd/>
        <w:snapToGrid/>
        <w:spacing w:line="336" w:lineRule="auto"/>
        <w:ind w:firstLine="426" w:firstLineChars="200"/>
        <w:jc w:val="left"/>
        <w:rPr>
          <w:rFonts w:hint="eastAsia" w:ascii="宋体" w:hAnsi="宋体" w:cs="宋体"/>
          <w:b/>
          <w:bCs/>
          <w:szCs w:val="21"/>
        </w:rPr>
      </w:pPr>
      <w:r>
        <w:rPr>
          <w:rFonts w:hint="eastAsia" w:ascii="宋体" w:hAnsi="宋体" w:cs="宋体"/>
          <w:b/>
          <w:bCs/>
          <w:szCs w:val="21"/>
        </w:rPr>
        <w:t>三、获取招标文件</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1、请各投标申请人于</w:t>
      </w:r>
      <w:r>
        <w:rPr>
          <w:rFonts w:hint="eastAsia" w:ascii="宋体" w:hAnsi="宋体" w:cs="宋体"/>
          <w:color w:val="0000FF"/>
          <w:szCs w:val="21"/>
          <w:u w:val="single"/>
        </w:rPr>
        <w:t>202</w:t>
      </w:r>
      <w:r>
        <w:rPr>
          <w:rFonts w:hint="eastAsia" w:ascii="宋体" w:hAnsi="宋体" w:cs="宋体"/>
          <w:color w:val="0000FF"/>
          <w:szCs w:val="21"/>
          <w:u w:val="single"/>
          <w:lang w:val="en-US" w:eastAsia="zh-CN"/>
        </w:rPr>
        <w:t>4</w:t>
      </w:r>
      <w:r>
        <w:rPr>
          <w:rFonts w:hint="eastAsia" w:ascii="宋体" w:hAnsi="宋体" w:cs="宋体"/>
          <w:color w:val="0000FF"/>
          <w:szCs w:val="21"/>
          <w:u w:val="single"/>
        </w:rPr>
        <w:t>年</w:t>
      </w:r>
      <w:r>
        <w:rPr>
          <w:rFonts w:hint="eastAsia" w:ascii="宋体" w:hAnsi="宋体" w:cs="宋体"/>
          <w:color w:val="0000FF"/>
          <w:szCs w:val="21"/>
          <w:u w:val="single"/>
          <w:lang w:val="en-US" w:eastAsia="zh-CN"/>
        </w:rPr>
        <w:t>6</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19</w:t>
      </w:r>
      <w:r>
        <w:rPr>
          <w:rFonts w:hint="eastAsia" w:ascii="宋体" w:hAnsi="宋体" w:cs="宋体"/>
          <w:color w:val="0000FF"/>
          <w:szCs w:val="21"/>
          <w:u w:val="single"/>
        </w:rPr>
        <w:t>日至202</w:t>
      </w:r>
      <w:r>
        <w:rPr>
          <w:rFonts w:hint="eastAsia" w:ascii="宋体" w:hAnsi="宋体" w:cs="宋体"/>
          <w:color w:val="0000FF"/>
          <w:szCs w:val="21"/>
          <w:u w:val="single"/>
          <w:lang w:val="en-US" w:eastAsia="zh-CN"/>
        </w:rPr>
        <w:t>4</w:t>
      </w:r>
      <w:r>
        <w:rPr>
          <w:rFonts w:hint="eastAsia" w:ascii="宋体" w:hAnsi="宋体" w:cs="宋体"/>
          <w:color w:val="0000FF"/>
          <w:szCs w:val="21"/>
          <w:u w:val="single"/>
        </w:rPr>
        <w:t>年</w:t>
      </w:r>
      <w:r>
        <w:rPr>
          <w:rFonts w:hint="eastAsia" w:ascii="宋体" w:hAnsi="宋体" w:cs="宋体"/>
          <w:color w:val="0000FF"/>
          <w:szCs w:val="21"/>
          <w:u w:val="single"/>
          <w:lang w:val="en-US" w:eastAsia="zh-CN"/>
        </w:rPr>
        <w:t>6</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26</w:t>
      </w:r>
      <w:r>
        <w:rPr>
          <w:rFonts w:hint="eastAsia" w:ascii="宋体" w:hAnsi="宋体" w:cs="宋体"/>
          <w:color w:val="0000FF"/>
          <w:szCs w:val="21"/>
          <w:u w:val="single"/>
        </w:rPr>
        <w:t>日</w:t>
      </w:r>
      <w:r>
        <w:rPr>
          <w:rFonts w:hint="eastAsia" w:ascii="宋体" w:hAnsi="宋体" w:cs="宋体"/>
          <w:szCs w:val="21"/>
          <w:u w:val="single"/>
          <w:lang w:eastAsia="zh-CN"/>
        </w:rPr>
        <w:t>（工作时间）</w:t>
      </w:r>
      <w:r>
        <w:rPr>
          <w:rFonts w:hint="eastAsia" w:ascii="宋体" w:hAnsi="宋体" w:cs="宋体"/>
          <w:szCs w:val="21"/>
        </w:rPr>
        <w:t>至</w:t>
      </w:r>
      <w:r>
        <w:rPr>
          <w:rFonts w:hint="eastAsia" w:ascii="宋体" w:hAnsi="宋体" w:cs="宋体"/>
          <w:bCs/>
          <w:kern w:val="0"/>
          <w:szCs w:val="21"/>
          <w:lang w:eastAsia="zh-CN"/>
        </w:rPr>
        <w:t>江苏全成项目管理有限公司（</w:t>
      </w:r>
      <w:r>
        <w:rPr>
          <w:rFonts w:hint="eastAsia" w:ascii="宋体" w:hAnsi="宋体" w:cs="宋体"/>
          <w:kern w:val="0"/>
          <w:sz w:val="21"/>
          <w:szCs w:val="21"/>
          <w:lang w:eastAsia="zh-CN" w:bidi="ar"/>
        </w:rPr>
        <w:t>盐城市大丰区飞达东路55号锦和科技大厦13楼</w:t>
      </w:r>
      <w:r>
        <w:rPr>
          <w:rFonts w:hint="eastAsia" w:ascii="宋体" w:hAnsi="宋体" w:cs="宋体"/>
          <w:bCs/>
          <w:kern w:val="0"/>
          <w:szCs w:val="21"/>
          <w:lang w:val="en-US" w:eastAsia="zh-CN"/>
        </w:rPr>
        <w:t>)</w:t>
      </w:r>
      <w:r>
        <w:rPr>
          <w:rFonts w:hint="eastAsia" w:ascii="宋体" w:hAnsi="宋体" w:cs="宋体"/>
          <w:szCs w:val="21"/>
          <w:lang w:eastAsia="zh-CN"/>
        </w:rPr>
        <w:t>登记并领取</w:t>
      </w:r>
      <w:r>
        <w:rPr>
          <w:rFonts w:hint="eastAsia" w:ascii="宋体" w:hAnsi="宋体" w:cs="宋体"/>
          <w:szCs w:val="21"/>
        </w:rPr>
        <w:t>招标文件，如在规定时间内未</w:t>
      </w:r>
      <w:r>
        <w:rPr>
          <w:rFonts w:hint="eastAsia" w:ascii="宋体" w:hAnsi="宋体" w:cs="宋体"/>
          <w:szCs w:val="21"/>
          <w:lang w:eastAsia="zh-CN"/>
        </w:rPr>
        <w:t>登记并领取招标文件</w:t>
      </w:r>
      <w:r>
        <w:rPr>
          <w:rFonts w:hint="eastAsia" w:ascii="宋体" w:hAnsi="宋体" w:cs="宋体"/>
          <w:szCs w:val="21"/>
        </w:rPr>
        <w:t>，由此引起的无法投标等情形的，责任自负。</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color w:val="auto"/>
          <w:szCs w:val="21"/>
        </w:rPr>
        <w:t>2、招标文件获取方式：各潜在投标人（供应商）</w:t>
      </w:r>
      <w:r>
        <w:rPr>
          <w:rFonts w:hint="eastAsia" w:ascii="宋体" w:hAnsi="宋体" w:cs="宋体"/>
          <w:color w:val="auto"/>
          <w:szCs w:val="28"/>
        </w:rPr>
        <w:t>持单位介绍信（原件）、营业执照复印件及本人身份证</w:t>
      </w:r>
      <w:r>
        <w:rPr>
          <w:rFonts w:hint="eastAsia" w:ascii="宋体" w:hAnsi="宋体" w:cs="宋体"/>
          <w:color w:val="auto"/>
          <w:szCs w:val="28"/>
          <w:lang w:val="en-US" w:eastAsia="zh-CN"/>
        </w:rPr>
        <w:t>复印件</w:t>
      </w:r>
      <w:r>
        <w:rPr>
          <w:rFonts w:hint="eastAsia" w:ascii="宋体" w:hAnsi="宋体" w:cs="宋体"/>
          <w:color w:val="auto"/>
          <w:szCs w:val="28"/>
        </w:rPr>
        <w:t>至</w:t>
      </w:r>
      <w:r>
        <w:rPr>
          <w:rFonts w:hint="eastAsia" w:ascii="宋体" w:hAnsi="宋体" w:cs="宋体"/>
          <w:kern w:val="0"/>
          <w:sz w:val="21"/>
          <w:szCs w:val="21"/>
          <w:lang w:eastAsia="zh-CN" w:bidi="ar"/>
        </w:rPr>
        <w:t>盐城市大丰区飞达东路55号锦和科技大厦13楼</w:t>
      </w:r>
      <w:r>
        <w:rPr>
          <w:rFonts w:hint="eastAsia" w:ascii="宋体" w:hAnsi="宋体" w:cs="宋体"/>
          <w:szCs w:val="21"/>
        </w:rPr>
        <w:t>领取招标文件。</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3、招标文件售价：</w:t>
      </w:r>
      <w:r>
        <w:rPr>
          <w:rFonts w:hint="eastAsia" w:ascii="宋体" w:hAnsi="宋体" w:cs="宋体"/>
          <w:szCs w:val="21"/>
          <w:lang w:val="en-US" w:eastAsia="zh-CN"/>
        </w:rPr>
        <w:t>30</w:t>
      </w:r>
      <w:r>
        <w:rPr>
          <w:rFonts w:hint="eastAsia" w:ascii="宋体" w:hAnsi="宋体" w:cs="宋体"/>
          <w:szCs w:val="21"/>
        </w:rPr>
        <w:t>0元</w:t>
      </w:r>
      <w:r>
        <w:rPr>
          <w:rFonts w:hint="eastAsia" w:ascii="宋体" w:hAnsi="宋体" w:cs="宋体"/>
          <w:szCs w:val="21"/>
          <w:lang w:val="en-US" w:eastAsia="zh-CN"/>
        </w:rPr>
        <w:t>/标段</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b/>
          <w:bCs/>
          <w:szCs w:val="21"/>
        </w:rPr>
        <w:t>四、提交投标文件截止时间、开标时间、地点</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1、提交投标文件截止时间：</w:t>
      </w:r>
      <w:r>
        <w:rPr>
          <w:rFonts w:hint="eastAsia" w:ascii="宋体" w:hAnsi="宋体" w:cs="宋体"/>
          <w:b/>
          <w:bCs/>
          <w:color w:val="0000FF"/>
          <w:szCs w:val="21"/>
          <w:u w:val="single"/>
        </w:rPr>
        <w:t>202</w:t>
      </w:r>
      <w:r>
        <w:rPr>
          <w:rFonts w:hint="eastAsia" w:ascii="宋体" w:hAnsi="宋体" w:cs="宋体"/>
          <w:b/>
          <w:bCs/>
          <w:color w:val="0000FF"/>
          <w:szCs w:val="21"/>
          <w:u w:val="single"/>
          <w:lang w:val="en-US" w:eastAsia="zh-CN"/>
        </w:rPr>
        <w:t>4</w:t>
      </w:r>
      <w:r>
        <w:rPr>
          <w:rFonts w:hint="eastAsia" w:ascii="宋体" w:hAnsi="宋体" w:cs="宋体"/>
          <w:b/>
          <w:bCs/>
          <w:color w:val="0000FF"/>
          <w:szCs w:val="21"/>
          <w:u w:val="single"/>
        </w:rPr>
        <w:t>年</w:t>
      </w:r>
      <w:r>
        <w:rPr>
          <w:rFonts w:hint="eastAsia" w:ascii="宋体" w:hAnsi="宋体" w:cs="宋体"/>
          <w:b/>
          <w:bCs/>
          <w:color w:val="0000FF"/>
          <w:szCs w:val="21"/>
          <w:u w:val="single"/>
          <w:lang w:val="en-US" w:eastAsia="zh-CN"/>
        </w:rPr>
        <w:t>7月10日09</w:t>
      </w:r>
      <w:r>
        <w:rPr>
          <w:rFonts w:hint="eastAsia" w:ascii="宋体" w:hAnsi="宋体" w:cs="宋体"/>
          <w:b/>
          <w:bCs/>
          <w:color w:val="0000FF"/>
          <w:szCs w:val="21"/>
          <w:u w:val="single"/>
        </w:rPr>
        <w:t>时</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分</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秒</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hint="eastAsia" w:ascii="宋体" w:hAnsi="宋体" w:eastAsia="宋体" w:cs="宋体"/>
          <w:szCs w:val="21"/>
        </w:rPr>
      </w:pPr>
      <w:r>
        <w:rPr>
          <w:rFonts w:hint="eastAsia" w:ascii="宋体" w:hAnsi="宋体" w:eastAsia="宋体" w:cs="宋体"/>
          <w:szCs w:val="21"/>
        </w:rPr>
        <w:t>2、提交投标文件的地点：</w:t>
      </w:r>
      <w:r>
        <w:rPr>
          <w:rFonts w:hint="eastAsia" w:ascii="宋体" w:hAnsi="宋体" w:cs="宋体"/>
          <w:szCs w:val="21"/>
        </w:rPr>
        <w:t>盐城市大丰区飞达东路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开标二室</w:t>
      </w:r>
      <w:r>
        <w:rPr>
          <w:rFonts w:hint="eastAsia" w:ascii="宋体" w:hAnsi="宋体" w:eastAsia="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3、逾期提交的投标文件将被拒收并退回。</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4、开标时间：投标文件提交截止时间。</w:t>
      </w:r>
    </w:p>
    <w:p>
      <w:pPr>
        <w:keepNext w:val="0"/>
        <w:keepLines w:val="0"/>
        <w:pageBreakBefore w:val="0"/>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szCs w:val="21"/>
        </w:rPr>
        <w:t>5、开标地点：盐城市大丰区飞达东路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开标二室</w:t>
      </w:r>
      <w:r>
        <w:rPr>
          <w:rFonts w:hint="eastAsia" w:ascii="宋体" w:hAnsi="宋体" w:cs="宋体"/>
          <w:szCs w:val="21"/>
        </w:rPr>
        <w:t>。</w:t>
      </w:r>
    </w:p>
    <w:p>
      <w:pPr>
        <w:keepNext w:val="0"/>
        <w:keepLines w:val="0"/>
        <w:pageBreakBefore w:val="0"/>
        <w:wordWrap/>
        <w:overflowPunct/>
        <w:topLinePunct w:val="0"/>
        <w:bidi w:val="0"/>
        <w:adjustRightInd/>
        <w:snapToGrid/>
        <w:spacing w:line="336" w:lineRule="auto"/>
        <w:ind w:firstLine="426" w:firstLineChars="200"/>
        <w:rPr>
          <w:rFonts w:ascii="宋体" w:hAnsi="宋体" w:cs="宋体"/>
          <w:b/>
          <w:bCs/>
          <w:szCs w:val="21"/>
        </w:rPr>
      </w:pPr>
      <w:r>
        <w:rPr>
          <w:rFonts w:hint="eastAsia" w:ascii="宋体" w:hAnsi="宋体" w:cs="宋体"/>
          <w:b/>
          <w:bCs/>
          <w:szCs w:val="21"/>
        </w:rPr>
        <w:t>五、公告期限</w:t>
      </w:r>
    </w:p>
    <w:p>
      <w:pPr>
        <w:keepNext w:val="0"/>
        <w:keepLines w:val="0"/>
        <w:pageBreakBefore w:val="0"/>
        <w:wordWrap/>
        <w:overflowPunct/>
        <w:topLinePunct w:val="0"/>
        <w:bidi w:val="0"/>
        <w:adjustRightInd/>
        <w:snapToGrid/>
        <w:spacing w:line="336" w:lineRule="auto"/>
        <w:ind w:firstLine="426" w:firstLineChars="200"/>
        <w:rPr>
          <w:rFonts w:ascii="宋体" w:hAnsi="宋体" w:cs="宋体"/>
          <w:b/>
          <w:bCs/>
          <w:szCs w:val="21"/>
        </w:rPr>
      </w:pPr>
      <w:r>
        <w:rPr>
          <w:rFonts w:hint="eastAsia" w:ascii="宋体" w:hAnsi="宋体" w:cs="宋体"/>
          <w:szCs w:val="21"/>
        </w:rPr>
        <w:t>自本公告发布之日起5个工作日。</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b/>
          <w:bCs/>
          <w:szCs w:val="21"/>
        </w:rPr>
        <w:t>六、其他补充事宜</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1、本项目对投标申请人的资格审查采用资格后审方式，由意向投标人自行判断是否符合投标资格。</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2、本招标项目采用的评标方法：</w:t>
      </w:r>
      <w:r>
        <w:rPr>
          <w:rFonts w:hint="eastAsia" w:ascii="宋体" w:hAnsi="宋体" w:cs="宋体"/>
          <w:b/>
          <w:bCs/>
          <w:szCs w:val="21"/>
          <w:lang w:eastAsia="zh-CN"/>
        </w:rPr>
        <w:t>最低评标价法</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3、本招标项目招标公告发布媒介：江苏政府采购网、盐城市政府采购网。</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szCs w:val="21"/>
          <w:shd w:val="clear" w:color="auto" w:fill="FFFFFF"/>
          <w:lang w:eastAsia="zh-CN"/>
        </w:rPr>
      </w:pPr>
      <w:r>
        <w:rPr>
          <w:rFonts w:hint="eastAsia" w:ascii="宋体" w:hAnsi="宋体" w:cs="宋体"/>
          <w:szCs w:val="21"/>
        </w:rPr>
        <w:t>4、本项目实行不见面开标，各投标人（供应商）的授权委托人或法人代表应在投标文件提交截止时间前提交投标文件，投标人未按时</w:t>
      </w:r>
      <w:r>
        <w:rPr>
          <w:rFonts w:hint="eastAsia" w:ascii="宋体" w:hAnsi="宋体" w:cs="宋体"/>
          <w:szCs w:val="21"/>
          <w:lang w:val="en-US" w:eastAsia="zh-CN"/>
        </w:rPr>
        <w:t>递交</w:t>
      </w:r>
      <w:r>
        <w:rPr>
          <w:rFonts w:hint="eastAsia" w:ascii="宋体" w:hAnsi="宋体" w:cs="宋体"/>
          <w:szCs w:val="21"/>
        </w:rPr>
        <w:t>投标文件的，均被视为投标人放弃本次</w:t>
      </w:r>
      <w:r>
        <w:rPr>
          <w:rFonts w:hint="eastAsia" w:ascii="宋体" w:hAnsi="宋体" w:cs="宋体"/>
          <w:szCs w:val="21"/>
          <w:shd w:val="clear" w:color="auto" w:fill="FFFFFF"/>
          <w:lang w:eastAsia="zh-CN"/>
        </w:rPr>
        <w:t>投标（无效投标），对其形成的不利后果及责任由投标人自行承担。投标人可自行决定是否继续参加开（唱）标会议，投标人未参加开标的，视同认可开标结果。</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5、苏采云政府采购CA及印章办理地点：亭湖区政务服务中心二楼226窗口，联系电话：15051556883。</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Cs w:val="21"/>
        </w:rPr>
      </w:pPr>
      <w:r>
        <w:rPr>
          <w:rFonts w:hint="eastAsia" w:ascii="宋体" w:hAnsi="宋体" w:cs="宋体"/>
          <w:b/>
          <w:bCs/>
          <w:szCs w:val="21"/>
        </w:rPr>
        <w:t>七、投标保证金</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b/>
          <w:bCs/>
          <w:szCs w:val="21"/>
        </w:rPr>
      </w:pPr>
      <w:r>
        <w:rPr>
          <w:rFonts w:hint="eastAsia" w:ascii="宋体" w:hAnsi="宋体" w:cs="宋体"/>
          <w:szCs w:val="21"/>
        </w:rPr>
        <w:t>参照执行苏财购[2020]52号文《关于做好政府采购支持企业发展有关事项的通知》，本项目不需要缴纳投标保证金。</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b/>
          <w:bCs/>
          <w:szCs w:val="21"/>
        </w:rPr>
        <w:t>八、</w:t>
      </w:r>
      <w:r>
        <w:rPr>
          <w:rFonts w:hint="eastAsia" w:ascii="宋体" w:hAnsi="宋体" w:cs="宋体"/>
          <w:szCs w:val="21"/>
        </w:rPr>
        <w:t>根据《国务院办公厅转发国家发展改革委关于深化公共资源交易平台整合共享指导意见的通知》（国办函〔2019〕41 号），全面逐步推行不见面投标开标等招投标活动。本项目开标方式更改为不见面</w:t>
      </w:r>
      <w:r>
        <w:rPr>
          <w:rFonts w:hint="eastAsia" w:ascii="宋体" w:hAnsi="宋体" w:cs="宋体"/>
          <w:szCs w:val="21"/>
          <w:lang w:val="en-US" w:eastAsia="zh-CN"/>
        </w:rPr>
        <w:t>纸质文件</w:t>
      </w:r>
      <w:r>
        <w:rPr>
          <w:rFonts w:hint="eastAsia" w:ascii="宋体" w:hAnsi="宋体" w:cs="宋体"/>
          <w:szCs w:val="21"/>
        </w:rPr>
        <w:t>开标。开标当日，投标人无需到达开标现场，仅需在任意地点通过PC端或移动端的“腾讯会议”及相应的配套硬件设备参加开标会议。参加开标会议的方法详见招标文件。</w:t>
      </w:r>
    </w:p>
    <w:p>
      <w:pPr>
        <w:keepNext w:val="0"/>
        <w:keepLines w:val="0"/>
        <w:pageBreakBefore w:val="0"/>
        <w:widowControl/>
        <w:kinsoku w:val="0"/>
        <w:wordWrap/>
        <w:overflowPunct/>
        <w:topLinePunct w:val="0"/>
        <w:autoSpaceDE w:val="0"/>
        <w:autoSpaceDN w:val="0"/>
        <w:bidi w:val="0"/>
        <w:adjustRightInd/>
        <w:snapToGrid/>
        <w:spacing w:line="336" w:lineRule="auto"/>
        <w:ind w:firstLine="426" w:firstLineChars="200"/>
        <w:textAlignment w:val="baseline"/>
        <w:rPr>
          <w:rFonts w:ascii="宋体" w:hAnsi="宋体" w:cs="宋体"/>
        </w:rPr>
      </w:pPr>
      <w:r>
        <w:rPr>
          <w:rFonts w:hint="eastAsia" w:ascii="宋体" w:hAnsi="宋体" w:cs="宋体"/>
        </w:rPr>
        <w:t>参加会议的方法：电脑或智能手机可以搜索下载并安装“腾讯会议”，注册完成后点击“加入会议”，输入会议号</w:t>
      </w:r>
      <w:r>
        <w:rPr>
          <w:rFonts w:hint="eastAsia" w:ascii="宋体" w:hAnsi="宋体" w:cs="宋体"/>
          <w:b/>
          <w:bCs/>
          <w:color w:val="0000FF"/>
        </w:rPr>
        <w:t>“</w:t>
      </w:r>
      <w:r>
        <w:rPr>
          <w:rFonts w:hint="eastAsia" w:ascii="宋体" w:hAnsi="宋体" w:cs="宋体"/>
          <w:b/>
          <w:bCs/>
          <w:color w:val="0000FF"/>
          <w:lang w:val="en-US" w:eastAsia="zh-CN"/>
        </w:rPr>
        <w:t>776 507 717</w:t>
      </w:r>
      <w:r>
        <w:rPr>
          <w:rFonts w:hint="eastAsia" w:ascii="宋体" w:hAnsi="宋体" w:cs="宋体"/>
          <w:b/>
          <w:bCs/>
          <w:color w:val="0000FF"/>
        </w:rPr>
        <w:t>”</w:t>
      </w:r>
      <w:r>
        <w:rPr>
          <w:rFonts w:hint="eastAsia" w:ascii="宋体" w:hAnsi="宋体" w:cs="宋体"/>
        </w:rPr>
        <w:t>，“您的姓名”按“单位简称+授权委托人姓名”格式填写，然后点击“加入会议”。会议系统将在投标截止时间前10分钟开放。</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b/>
          <w:bCs/>
          <w:szCs w:val="21"/>
        </w:rPr>
        <w:t>九、对本次招标提出询问，请按以下方式联系。</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eastAsia" w:ascii="宋体" w:hAnsi="宋体" w:cs="宋体"/>
          <w:kern w:val="0"/>
          <w:szCs w:val="21"/>
          <w:lang w:val="zh-CN"/>
        </w:rPr>
      </w:pPr>
      <w:r>
        <w:rPr>
          <w:rFonts w:hint="eastAsia" w:ascii="宋体" w:hAnsi="宋体" w:cs="宋体"/>
          <w:kern w:val="0"/>
          <w:szCs w:val="21"/>
          <w:lang w:val="zh-CN"/>
        </w:rPr>
        <w:t>1.采购人信息</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eastAsia" w:ascii="宋体" w:hAnsi="宋体" w:cs="宋体"/>
          <w:kern w:val="0"/>
          <w:szCs w:val="21"/>
          <w:lang w:val="zh-CN" w:eastAsia="zh-CN"/>
        </w:rPr>
      </w:pPr>
      <w:r>
        <w:rPr>
          <w:rFonts w:hint="eastAsia" w:ascii="宋体" w:hAnsi="宋体" w:cs="宋体"/>
          <w:kern w:val="0"/>
          <w:szCs w:val="21"/>
          <w:lang w:val="zh-CN"/>
        </w:rPr>
        <w:t>名    称：</w:t>
      </w:r>
      <w:r>
        <w:rPr>
          <w:rFonts w:hint="eastAsia" w:ascii="宋体" w:hAnsi="宋体" w:cs="宋体"/>
          <w:kern w:val="0"/>
          <w:szCs w:val="21"/>
          <w:lang w:val="zh-CN" w:eastAsia="zh-CN"/>
        </w:rPr>
        <w:t>盐城市大丰区农业农村局</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default" w:ascii="宋体" w:hAnsi="宋体" w:eastAsia="宋体" w:cs="宋体"/>
          <w:kern w:val="0"/>
          <w:szCs w:val="21"/>
          <w:lang w:val="en-US" w:eastAsia="zh-CN"/>
        </w:rPr>
      </w:pPr>
      <w:r>
        <w:rPr>
          <w:rFonts w:hint="eastAsia" w:ascii="宋体" w:hAnsi="宋体" w:cs="宋体"/>
          <w:kern w:val="0"/>
          <w:szCs w:val="21"/>
          <w:lang w:val="zh-CN"/>
        </w:rPr>
        <w:t>联系电话：051583928873</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2.采购代理机构信息</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名称：</w:t>
      </w:r>
      <w:r>
        <w:rPr>
          <w:rFonts w:hint="eastAsia" w:ascii="宋体" w:hAnsi="宋体" w:cs="宋体"/>
          <w:kern w:val="0"/>
          <w:szCs w:val="21"/>
          <w:lang w:eastAsia="zh-CN"/>
        </w:rPr>
        <w:t>江苏全成项目管理有限公司</w:t>
      </w:r>
      <w:r>
        <w:rPr>
          <w:rFonts w:hint="eastAsia" w:ascii="宋体" w:hAnsi="宋体" w:cs="宋体"/>
          <w:kern w:val="0"/>
          <w:szCs w:val="21"/>
          <w:lang w:val="zh-CN"/>
        </w:rPr>
        <w:t>　　　　　　　　　　　　</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kern w:val="0"/>
          <w:szCs w:val="21"/>
          <w:shd w:val="clear" w:color="auto" w:fill="FFFFFF"/>
          <w:lang w:eastAsia="zh-CN"/>
        </w:rPr>
      </w:pPr>
      <w:r>
        <w:rPr>
          <w:rFonts w:hint="eastAsia" w:ascii="宋体" w:hAnsi="宋体" w:cs="宋体"/>
          <w:kern w:val="0"/>
          <w:szCs w:val="21"/>
          <w:shd w:val="clear" w:color="auto" w:fill="FFFFFF"/>
        </w:rPr>
        <w:t>联系地址：</w:t>
      </w:r>
      <w:r>
        <w:rPr>
          <w:rFonts w:hint="eastAsia" w:ascii="宋体" w:hAnsi="宋体" w:cs="宋体"/>
          <w:kern w:val="0"/>
          <w:sz w:val="21"/>
          <w:szCs w:val="21"/>
          <w:lang w:eastAsia="zh-CN" w:bidi="ar"/>
        </w:rPr>
        <w:t>盐城市大丰区飞达东路55号锦和科技大厦13楼</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联系方式：</w:t>
      </w:r>
      <w:r>
        <w:rPr>
          <w:rFonts w:hint="eastAsia" w:ascii="宋体" w:hAnsi="宋体" w:cs="宋体"/>
          <w:kern w:val="0"/>
          <w:szCs w:val="21"/>
          <w:lang w:eastAsia="zh-CN"/>
        </w:rPr>
        <w:t>13814301270</w:t>
      </w:r>
      <w:r>
        <w:rPr>
          <w:rFonts w:hint="eastAsia" w:ascii="宋体" w:hAnsi="宋体" w:cs="宋体"/>
          <w:kern w:val="0"/>
          <w:szCs w:val="21"/>
          <w:lang w:val="zh-CN"/>
        </w:rPr>
        <w:t>　　　　　　　　　　　　</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3.项目联系方式</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kern w:val="0"/>
          <w:szCs w:val="21"/>
          <w:shd w:val="clear" w:color="auto" w:fill="FFFFFF"/>
          <w:lang w:val="en-US" w:eastAsia="zh-CN"/>
        </w:rPr>
      </w:pPr>
      <w:r>
        <w:rPr>
          <w:rFonts w:hint="eastAsia" w:ascii="宋体" w:hAnsi="宋体" w:cs="宋体"/>
          <w:kern w:val="0"/>
          <w:szCs w:val="21"/>
          <w:shd w:val="clear" w:color="auto" w:fill="FFFFFF"/>
        </w:rPr>
        <w:t>联 系 人：</w:t>
      </w:r>
      <w:r>
        <w:rPr>
          <w:rFonts w:hint="eastAsia" w:ascii="宋体" w:hAnsi="宋体" w:cs="宋体"/>
          <w:kern w:val="0"/>
          <w:szCs w:val="21"/>
          <w:shd w:val="clear" w:color="auto" w:fill="FFFFFF"/>
          <w:lang w:val="en-US" w:eastAsia="zh-CN"/>
        </w:rPr>
        <w:t>张龙</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szCs w:val="21"/>
        </w:rPr>
      </w:pPr>
      <w:r>
        <w:rPr>
          <w:rFonts w:hint="eastAsia" w:ascii="宋体" w:hAnsi="宋体" w:cs="宋体"/>
          <w:kern w:val="0"/>
          <w:szCs w:val="21"/>
          <w:lang w:val="zh-CN"/>
        </w:rPr>
        <w:t>电　话：</w:t>
      </w:r>
      <w:r>
        <w:rPr>
          <w:rFonts w:hint="eastAsia" w:ascii="宋体" w:hAnsi="宋体" w:cs="宋体"/>
          <w:kern w:val="0"/>
          <w:szCs w:val="21"/>
          <w:lang w:val="zh-CN" w:eastAsia="zh-CN"/>
        </w:rPr>
        <w:t xml:space="preserve"> 13814301270</w:t>
      </w:r>
      <w:r>
        <w:rPr>
          <w:rFonts w:hint="eastAsia" w:ascii="宋体" w:hAnsi="宋体" w:cs="宋体"/>
          <w:kern w:val="0"/>
          <w:szCs w:val="21"/>
          <w:lang w:val="zh-CN"/>
        </w:rPr>
        <w:t>　　　　　　　　　　</w:t>
      </w:r>
    </w:p>
    <w:p>
      <w:pPr>
        <w:rPr>
          <w:rFonts w:ascii="宋体" w:hAnsi="宋体" w:cs="宋体"/>
          <w:szCs w:val="21"/>
        </w:rPr>
      </w:pPr>
      <w:r>
        <w:rPr>
          <w:rFonts w:hint="eastAsia" w:ascii="宋体" w:hAnsi="宋体" w:cs="宋体"/>
          <w:szCs w:val="21"/>
        </w:rPr>
        <w:br w:type="page"/>
      </w:r>
      <w:bookmarkEnd w:id="5"/>
      <w:bookmarkEnd w:id="6"/>
      <w:bookmarkEnd w:id="7"/>
      <w:bookmarkStart w:id="8" w:name="_Toc6770"/>
      <w:bookmarkStart w:id="9" w:name="_Toc387526177"/>
      <w:bookmarkStart w:id="10" w:name="_Toc387526281"/>
      <w:bookmarkStart w:id="11" w:name="_Toc501967480"/>
      <w:bookmarkStart w:id="12" w:name="_Toc184635069"/>
      <w:bookmarkStart w:id="13" w:name="_Toc363326679"/>
      <w:bookmarkStart w:id="14" w:name="_Toc397928547"/>
      <w:bookmarkStart w:id="15" w:name="_Toc368759512"/>
      <w:bookmarkStart w:id="16" w:name="_Toc369077558"/>
      <w:bookmarkStart w:id="17" w:name="_Toc387526373"/>
    </w:p>
    <w:p>
      <w:pPr>
        <w:pStyle w:val="2"/>
        <w:pageBreakBefore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rPr>
        <w:t>第二章  投标人须知</w:t>
      </w:r>
      <w:bookmarkEnd w:id="8"/>
      <w:bookmarkEnd w:id="9"/>
      <w:bookmarkEnd w:id="10"/>
      <w:bookmarkEnd w:id="11"/>
      <w:bookmarkEnd w:id="12"/>
      <w:bookmarkEnd w:id="13"/>
      <w:bookmarkEnd w:id="14"/>
      <w:bookmarkEnd w:id="15"/>
      <w:bookmarkEnd w:id="16"/>
      <w:bookmarkEnd w:id="17"/>
      <w:bookmarkStart w:id="18" w:name="_Toc387526282"/>
      <w:bookmarkStart w:id="19" w:name="_Toc501967481"/>
      <w:bookmarkStart w:id="20" w:name="_Toc369077559"/>
      <w:bookmarkStart w:id="21" w:name="_Toc387526178"/>
      <w:bookmarkStart w:id="22" w:name="_Toc397928548"/>
      <w:bookmarkStart w:id="23" w:name="_Toc387526374"/>
      <w:bookmarkStart w:id="24" w:name="_Toc16205"/>
    </w:p>
    <w:p>
      <w:pPr>
        <w:pStyle w:val="111"/>
        <w:pageBreakBefore w:val="0"/>
        <w:kinsoku/>
        <w:wordWrap/>
        <w:overflowPunct/>
        <w:topLinePunct w:val="0"/>
        <w:autoSpaceDE/>
        <w:autoSpaceDN/>
        <w:bidi w:val="0"/>
        <w:adjustRightInd/>
        <w:snapToGrid/>
        <w:spacing w:line="360" w:lineRule="auto"/>
        <w:jc w:val="center"/>
        <w:textAlignment w:val="auto"/>
        <w:rPr>
          <w:rFonts w:ascii="宋体" w:hAnsi="宋体"/>
          <w:color w:val="auto"/>
        </w:rPr>
      </w:pPr>
      <w:r>
        <w:rPr>
          <w:rFonts w:hint="eastAsia" w:ascii="宋体" w:hAnsi="宋体"/>
          <w:color w:val="auto"/>
        </w:rPr>
        <w:t>投标人须知前附表</w:t>
      </w:r>
      <w:bookmarkEnd w:id="18"/>
      <w:bookmarkEnd w:id="19"/>
      <w:bookmarkEnd w:id="20"/>
      <w:bookmarkEnd w:id="21"/>
      <w:bookmarkEnd w:id="22"/>
      <w:bookmarkEnd w:id="23"/>
      <w:bookmarkEnd w:id="24"/>
    </w:p>
    <w:tbl>
      <w:tblPr>
        <w:tblStyle w:val="4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445"/>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条款号</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条 款 名 称</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招标人</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eastAsia="宋体" w:cs="宋体"/>
                <w:szCs w:val="21"/>
                <w:lang w:val="zh-CN" w:eastAsia="zh-CN"/>
              </w:rPr>
              <w:t>盐城市大丰区农业农村局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招标代理机构</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cs="宋体"/>
                <w:szCs w:val="21"/>
                <w:lang w:eastAsia="zh-CN"/>
              </w:rPr>
              <w:t>江苏全成项目管理有限公司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1.1.4</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项目名称</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t>2023年大丰区化肥减量增效示范区</w:t>
            </w:r>
            <w:r>
              <w:rPr>
                <w:rFonts w:hint="eastAsia" w:ascii="宋体" w:hAnsi="宋体" w:cs="宋体"/>
                <w:szCs w:val="21"/>
                <w:lang w:eastAsia="zh-CN"/>
              </w:rPr>
              <w:t>（有机无机复混肥、缓释肥、水溶肥、复合微生物肥、液体硅肥）</w:t>
            </w:r>
            <w:r>
              <w:rPr>
                <w:rFonts w:hint="eastAsia" w:ascii="宋体" w:hAnsi="宋体" w:eastAsia="宋体" w:cs="宋体"/>
                <w:szCs w:val="21"/>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资金来源</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财政资金及农民自筹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出资比例</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资金落实情况</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招标范围</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bCs/>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合同履行期限</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lang w:eastAsia="zh-CN"/>
              </w:rPr>
              <w:t>供货</w:t>
            </w:r>
            <w:r>
              <w:rPr>
                <w:rFonts w:hint="eastAsia" w:ascii="宋体" w:hAnsi="宋体" w:cs="宋体"/>
                <w:bCs/>
                <w:color w:val="auto"/>
                <w:szCs w:val="21"/>
              </w:rPr>
              <w:t>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盐城市大丰区，根据招标人要求供货到位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1.3.4</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质量要求及验收标准</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宋体" w:hAnsi="宋体" w:cs="宋体"/>
                <w:bCs/>
                <w:color w:val="auto"/>
                <w:szCs w:val="21"/>
              </w:rPr>
              <w:t>相关质量验收规范合格标准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1.4.1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投标人资格要求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1.4.2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是否接受联合体投标</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ascii="宋体" w:hAnsi="宋体" w:cs="宋体"/>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Cs w:val="21"/>
              </w:rPr>
            </w:pPr>
            <w:r>
              <w:rPr>
                <w:rFonts w:hint="eastAsia" w:ascii="宋体" w:hAnsi="宋体" w:cs="宋体"/>
                <w:szCs w:val="21"/>
              </w:rPr>
              <w:t>1.9.1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Cs w:val="21"/>
              </w:rPr>
            </w:pPr>
            <w:r>
              <w:rPr>
                <w:rFonts w:hint="eastAsia" w:ascii="宋体" w:hAnsi="宋体" w:cs="宋体"/>
                <w:kern w:val="0"/>
                <w:szCs w:val="21"/>
              </w:rPr>
              <w:t>踏勘现场</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b/>
                <w:szCs w:val="21"/>
                <w:u w:val="single"/>
              </w:rPr>
            </w:pPr>
            <w:r>
              <w:rPr>
                <w:rFonts w:hint="eastAsia" w:ascii="宋体" w:hAnsi="宋体" w:cs="宋体"/>
                <w:szCs w:val="21"/>
              </w:rPr>
              <w:t>投标人自行踏勘现场，招标人不组织集中踏勘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1.10</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投标预备会</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3.1.1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投标文件的组成</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b/>
                <w:bCs/>
                <w:szCs w:val="21"/>
              </w:rPr>
              <w:t>1、本项目投标文件包括资信文件、商务文件、技术文件。</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rPr>
            </w:pPr>
            <w:r>
              <w:rPr>
                <w:rFonts w:hint="eastAsia" w:ascii="宋体" w:hAnsi="宋体" w:eastAsia="宋体" w:cs="宋体"/>
                <w:b/>
                <w:bCs/>
                <w:szCs w:val="21"/>
              </w:rPr>
              <w:t>⑴资信文件应包括如下内容：</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☑投标企业营业执照；</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☑书面声明；</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lang w:val="zh-CN"/>
              </w:rPr>
              <w:t>肥料登记证复印件</w:t>
            </w:r>
            <w:r>
              <w:rPr>
                <w:rFonts w:hint="eastAsia" w:ascii="宋体" w:hAnsi="宋体" w:eastAsia="宋体" w:cs="宋体"/>
                <w:szCs w:val="21"/>
                <w:lang w:val="en-US" w:eastAsia="zh-CN"/>
              </w:rPr>
              <w:t>或官方网站备案号查询页面截图</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rPr>
            </w:pPr>
            <w:r>
              <w:rPr>
                <w:rFonts w:hint="eastAsia" w:ascii="宋体" w:hAnsi="宋体" w:eastAsia="宋体" w:cs="宋体"/>
                <w:b/>
                <w:bCs/>
                <w:szCs w:val="21"/>
              </w:rPr>
              <w:t>⑵商务文件应包括如下内容：</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☑法定代表人授权委托书（如有授权）（格式见投标文件格式）；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☑法定代表人身份证明书（格式见投标文件格式）；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☑投标函（格式见投标文件格式）；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rPr>
            </w:pPr>
            <w:r>
              <w:rPr>
                <w:rFonts w:hint="eastAsia" w:ascii="宋体" w:hAnsi="宋体" w:eastAsia="宋体" w:cs="宋体"/>
                <w:szCs w:val="21"/>
              </w:rPr>
              <w:t>☑</w:t>
            </w:r>
            <w:r>
              <w:rPr>
                <w:rFonts w:hint="eastAsia" w:ascii="宋体" w:hAnsi="宋体" w:eastAsia="宋体" w:cs="宋体"/>
              </w:rPr>
              <w:t>投标报价表</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lang w:eastAsia="zh-CN"/>
              </w:rPr>
            </w:pPr>
            <w:r>
              <w:rPr>
                <w:rFonts w:hint="eastAsia" w:ascii="宋体" w:hAnsi="宋体" w:eastAsia="宋体" w:cs="宋体"/>
                <w:szCs w:val="21"/>
              </w:rPr>
              <w:t>☑商务条款偏离表</w:t>
            </w:r>
            <w:r>
              <w:rPr>
                <w:rFonts w:hint="eastAsia" w:ascii="宋体" w:hAnsi="宋体" w:eastAsia="宋体" w:cs="宋体"/>
                <w:szCs w:val="21"/>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⑶技术文件应包括如下内容：</w:t>
            </w:r>
          </w:p>
          <w:p>
            <w:pPr>
              <w:pStyle w:val="19"/>
              <w:keepNext w:val="0"/>
              <w:keepLines w:val="0"/>
              <w:pageBreakBefore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szCs w:val="21"/>
              </w:rPr>
              <w:t>☑投标人认为需要提供的其他资料</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⑷开标一览表</w:t>
            </w:r>
          </w:p>
          <w:p>
            <w:pPr>
              <w:pStyle w:val="19"/>
              <w:keepNext w:val="0"/>
              <w:keepLines w:val="0"/>
              <w:pageBreakBefore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lang w:eastAsia="zh-CN"/>
              </w:rPr>
              <w:sym w:font="Wingdings 2" w:char="0052"/>
            </w:r>
            <w:r>
              <w:rPr>
                <w:rFonts w:hint="eastAsia" w:ascii="宋体" w:hAnsi="宋体" w:eastAsia="宋体" w:cs="宋体"/>
                <w:lang w:eastAsia="zh-CN"/>
              </w:rPr>
              <w:t>开标一览表，密封袋里须附法定代表人身份证明书或授权委托代理人的身份证复印件及授权委托书；单独封装，用于唱标，格式见第六章；</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⑸电子投标文件：</w:t>
            </w:r>
          </w:p>
          <w:p>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lang w:eastAsia="zh-CN"/>
              </w:rPr>
              <w:t>全套加盖公章的投标文件正本pdf扫描件一份，载体U盘</w:t>
            </w:r>
          </w:p>
          <w:p>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b/>
                <w:bCs/>
                <w:lang w:eastAsia="zh-CN"/>
              </w:rPr>
              <w:t>投标文件份数：一正四副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3.2.2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投标报价要求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固定单价合同，投标报价应包含在服务期内完成本招标文件规定的全部工作内容所需的全部费用，是完成本项目所涉及的一切人工、机械、保险、劳保、企业利润、各种税费等综合服务工作所需全部费用的价格体现。本次投标除非因特殊原因并经双方协商同意，投标单位不得再要求追加任何费用。同时，除非合同条款中另有规定，否则，投标单位投标报价在合同实施期间不因市场变化因素而变动。投标单位应对招标文件内所要招标的全部内容进行报价，只投其中部分内容者，其投标文件将被拒绝。</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投标报价时应充分考虑为完成本次招标内容所必须的（包含但不限于）项目实施所需的产品的生产费用、包装、仓储、质量检验、培训费、保险、人工费、服务费、运输费（包含送货到点的运输费）购买及制作标书费、税费、招标代理费等其他一切费用及政策性文件规定等所需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3.2.3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u w:val="none"/>
              </w:rPr>
            </w:pPr>
            <w:r>
              <w:rPr>
                <w:rFonts w:hint="eastAsia" w:ascii="宋体" w:hAnsi="宋体" w:cs="宋体"/>
                <w:szCs w:val="21"/>
                <w:u w:val="none"/>
              </w:rPr>
              <w:t>最高投标限价</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Cs w:val="21"/>
                <w:u w:val="none"/>
                <w:lang w:val="en-US" w:eastAsia="zh-CN"/>
              </w:rPr>
            </w:pPr>
            <w:r>
              <w:rPr>
                <w:rFonts w:hint="default" w:ascii="宋体" w:hAnsi="宋体" w:eastAsia="宋体" w:cs="宋体"/>
                <w:szCs w:val="21"/>
                <w:u w:val="none"/>
                <w:lang w:val="en-US" w:eastAsia="zh-CN"/>
              </w:rPr>
              <w:t>标段001最高限价</w:t>
            </w:r>
            <w:r>
              <w:rPr>
                <w:rFonts w:hint="eastAsia" w:ascii="宋体" w:hAnsi="宋体" w:cs="宋体"/>
                <w:i w:val="0"/>
                <w:iCs w:val="0"/>
                <w:color w:val="000000"/>
                <w:kern w:val="0"/>
                <w:sz w:val="21"/>
                <w:szCs w:val="21"/>
                <w:u w:val="none"/>
                <w:lang w:val="en-US" w:eastAsia="zh-CN" w:bidi="ar"/>
              </w:rPr>
              <w:t>75万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、标段002最高限价</w:t>
            </w:r>
            <w:r>
              <w:rPr>
                <w:rFonts w:hint="eastAsia" w:ascii="宋体" w:hAnsi="宋体" w:cs="宋体"/>
                <w:i w:val="0"/>
                <w:iCs w:val="0"/>
                <w:color w:val="000000"/>
                <w:kern w:val="0"/>
                <w:sz w:val="21"/>
                <w:szCs w:val="21"/>
                <w:u w:val="none"/>
                <w:lang w:val="en-US" w:eastAsia="zh-CN" w:bidi="ar"/>
              </w:rPr>
              <w:t>40万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、标段003最高限价</w:t>
            </w: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r>
              <w:rPr>
                <w:rFonts w:hint="eastAsia" w:ascii="宋体" w:hAnsi="宋体" w:cs="宋体"/>
                <w:szCs w:val="21"/>
                <w:u w:val="none"/>
                <w:lang w:val="en-US" w:eastAsia="zh-CN"/>
              </w:rPr>
              <w:t>、</w:t>
            </w:r>
            <w:r>
              <w:rPr>
                <w:rFonts w:hint="default" w:ascii="宋体" w:hAnsi="宋体" w:eastAsia="宋体" w:cs="宋体"/>
                <w:szCs w:val="21"/>
                <w:u w:val="none"/>
                <w:lang w:val="en-US" w:eastAsia="zh-CN"/>
              </w:rPr>
              <w:t>标段00</w:t>
            </w:r>
            <w:r>
              <w:rPr>
                <w:rFonts w:hint="eastAsia" w:ascii="宋体" w:hAnsi="宋体" w:cs="宋体"/>
                <w:szCs w:val="21"/>
                <w:u w:val="none"/>
                <w:lang w:val="en-US" w:eastAsia="zh-CN"/>
              </w:rPr>
              <w:t>4</w:t>
            </w:r>
            <w:r>
              <w:rPr>
                <w:rFonts w:hint="default" w:ascii="宋体" w:hAnsi="宋体" w:eastAsia="宋体" w:cs="宋体"/>
                <w:szCs w:val="21"/>
                <w:u w:val="none"/>
                <w:lang w:val="en-US" w:eastAsia="zh-CN"/>
              </w:rPr>
              <w:t>最高限价</w:t>
            </w: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w:t>
            </w:r>
            <w:r>
              <w:rPr>
                <w:rFonts w:hint="eastAsia" w:ascii="宋体" w:hAnsi="宋体" w:cs="宋体"/>
                <w:szCs w:val="21"/>
                <w:u w:val="none"/>
                <w:lang w:val="en-US" w:eastAsia="zh-CN"/>
              </w:rPr>
              <w:t>5</w:t>
            </w:r>
            <w:r>
              <w:rPr>
                <w:rFonts w:hint="default" w:ascii="宋体" w:hAnsi="宋体" w:eastAsia="宋体" w:cs="宋体"/>
                <w:szCs w:val="21"/>
                <w:u w:val="none"/>
                <w:lang w:val="en-US" w:eastAsia="zh-CN"/>
              </w:rPr>
              <w:t>最高限价</w:t>
            </w:r>
            <w:r>
              <w:rPr>
                <w:rFonts w:hint="eastAsia" w:ascii="宋体" w:hAnsi="宋体" w:cs="宋体"/>
                <w:i w:val="0"/>
                <w:iCs w:val="0"/>
                <w:color w:val="000000"/>
                <w:kern w:val="0"/>
                <w:sz w:val="21"/>
                <w:szCs w:val="21"/>
                <w:u w:val="none"/>
                <w:lang w:val="en-US" w:eastAsia="zh-CN" w:bidi="ar"/>
              </w:rPr>
              <w:t>12.5万元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3.3.1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投标有效期</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u w:val="single"/>
                <w:lang w:val="zh-CN"/>
              </w:rPr>
              <w:t>60</w:t>
            </w:r>
            <w:r>
              <w:rPr>
                <w:rFonts w:hint="eastAsia" w:ascii="宋体" w:hAnsi="宋体" w:cs="宋体"/>
                <w:szCs w:val="21"/>
                <w:lang w:val="zh-CN"/>
              </w:rPr>
              <w:t>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3.4.1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投标保证金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参照执行苏财购[2020]52号文《关于做好政府采购支持企业发展有关事项的通知》，本项目不需要缴纳投标保证金。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3.6</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是否允许递交备选投标方案</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投标文件装订要求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Cs w:val="21"/>
                <w:lang w:val="en-US" w:eastAsia="zh-CN"/>
              </w:rPr>
            </w:pPr>
            <w:r>
              <w:rPr>
                <w:rFonts w:hint="eastAsia" w:ascii="宋体" w:hAnsi="宋体" w:cs="宋体"/>
                <w:szCs w:val="21"/>
              </w:rPr>
              <w:t>投标人应将投标文件正本1份，副本</w:t>
            </w:r>
            <w:r>
              <w:rPr>
                <w:rFonts w:hint="eastAsia" w:ascii="宋体" w:hAnsi="宋体" w:cs="宋体"/>
                <w:szCs w:val="21"/>
                <w:lang w:val="en-US" w:eastAsia="zh-CN"/>
              </w:rPr>
              <w:t>4</w:t>
            </w:r>
            <w:r>
              <w:rPr>
                <w:rFonts w:hint="eastAsia" w:ascii="宋体" w:hAnsi="宋体" w:cs="宋体"/>
                <w:szCs w:val="21"/>
              </w:rPr>
              <w:t>份单独装订成册，放入一个密封袋密封，投标文件的封面应注明“正本</w:t>
            </w:r>
            <w:r>
              <w:rPr>
                <w:rFonts w:hint="eastAsia" w:ascii="宋体" w:hAnsi="宋体" w:cs="宋体"/>
                <w:szCs w:val="21"/>
                <w:lang w:eastAsia="zh-CN"/>
              </w:rPr>
              <w:t>”“</w:t>
            </w:r>
            <w:r>
              <w:rPr>
                <w:rFonts w:hint="eastAsia" w:ascii="宋体" w:hAnsi="宋体" w:cs="宋体"/>
                <w:szCs w:val="21"/>
              </w:rPr>
              <w:t>副本”字样。</w:t>
            </w:r>
            <w:r>
              <w:rPr>
                <w:rFonts w:hint="eastAsia" w:ascii="宋体" w:hAnsi="宋体" w:cs="宋体"/>
                <w:b/>
                <w:bCs/>
                <w:color w:val="0000FF"/>
                <w:szCs w:val="21"/>
              </w:rPr>
              <w:t>采用活页装订的投标文件按无效投标文件处理。</w:t>
            </w:r>
            <w:r>
              <w:rPr>
                <w:rFonts w:hint="eastAsia" w:ascii="宋体" w:hAnsi="宋体" w:cs="宋体"/>
                <w:b/>
                <w:bCs/>
                <w:color w:val="0000FF"/>
                <w:szCs w:val="21"/>
                <w:lang w:val="en-US" w:eastAsia="zh-CN"/>
              </w:rPr>
              <w:t>开标一览表单独封装。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4.2.1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投标文件递交截止时间和地点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FF"/>
                <w:kern w:val="0"/>
                <w:szCs w:val="21"/>
                <w:lang w:val="en-US" w:eastAsia="zh-CN"/>
              </w:rPr>
            </w:pPr>
            <w:r>
              <w:rPr>
                <w:rFonts w:hint="eastAsia" w:ascii="宋体" w:hAnsi="宋体" w:cs="宋体"/>
                <w:b/>
                <w:bCs/>
                <w:color w:val="0000FF"/>
                <w:kern w:val="0"/>
                <w:szCs w:val="21"/>
              </w:rPr>
              <w:t>截止时间：202</w:t>
            </w:r>
            <w:r>
              <w:rPr>
                <w:rFonts w:hint="eastAsia" w:ascii="宋体" w:hAnsi="宋体" w:cs="宋体"/>
                <w:b/>
                <w:bCs/>
                <w:color w:val="0000FF"/>
                <w:kern w:val="0"/>
                <w:szCs w:val="21"/>
                <w:lang w:val="en-US" w:eastAsia="zh-CN"/>
              </w:rPr>
              <w:t>4</w:t>
            </w:r>
            <w:r>
              <w:rPr>
                <w:rFonts w:hint="eastAsia" w:ascii="宋体" w:hAnsi="宋体" w:cs="宋体"/>
                <w:b/>
                <w:bCs/>
                <w:color w:val="0000FF"/>
                <w:kern w:val="0"/>
                <w:szCs w:val="21"/>
              </w:rPr>
              <w:t>年</w:t>
            </w:r>
            <w:r>
              <w:rPr>
                <w:rFonts w:hint="eastAsia" w:ascii="宋体" w:hAnsi="宋体" w:cs="宋体"/>
                <w:b/>
                <w:bCs/>
                <w:color w:val="0000FF"/>
                <w:kern w:val="0"/>
                <w:szCs w:val="21"/>
                <w:lang w:val="en-US" w:eastAsia="zh-CN"/>
              </w:rPr>
              <w:t>7月10日09</w:t>
            </w:r>
            <w:r>
              <w:rPr>
                <w:rFonts w:hint="eastAsia" w:ascii="宋体" w:hAnsi="宋体" w:cs="宋体"/>
                <w:b/>
                <w:bCs/>
                <w:color w:val="0000FF"/>
                <w:kern w:val="0"/>
                <w:szCs w:val="21"/>
              </w:rPr>
              <w:t>时</w:t>
            </w:r>
            <w:r>
              <w:rPr>
                <w:rFonts w:hint="eastAsia" w:ascii="宋体" w:hAnsi="宋体" w:cs="宋体"/>
                <w:b/>
                <w:bCs/>
                <w:color w:val="0000FF"/>
                <w:kern w:val="0"/>
                <w:szCs w:val="21"/>
                <w:lang w:val="en-US" w:eastAsia="zh-CN"/>
              </w:rPr>
              <w:t>00</w:t>
            </w:r>
            <w:r>
              <w:rPr>
                <w:rFonts w:hint="eastAsia" w:ascii="宋体" w:hAnsi="宋体" w:cs="宋体"/>
                <w:b/>
                <w:bCs/>
                <w:color w:val="0000FF"/>
                <w:kern w:val="0"/>
                <w:szCs w:val="21"/>
              </w:rPr>
              <w:t>分</w:t>
            </w:r>
            <w:r>
              <w:rPr>
                <w:rFonts w:hint="eastAsia" w:ascii="宋体" w:hAnsi="宋体" w:cs="宋体"/>
                <w:b/>
                <w:bCs/>
                <w:color w:val="0000FF"/>
                <w:kern w:val="0"/>
                <w:szCs w:val="21"/>
                <w:lang w:val="en-US" w:eastAsia="zh-CN"/>
              </w:rPr>
              <w:t>00秒</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b/>
                <w:bCs/>
                <w:color w:val="0000FF"/>
                <w:kern w:val="0"/>
                <w:szCs w:val="21"/>
                <w:lang w:val="en-US" w:eastAsia="zh-CN"/>
              </w:rPr>
              <w:t>递交</w:t>
            </w:r>
            <w:r>
              <w:rPr>
                <w:rFonts w:hint="eastAsia" w:ascii="宋体" w:hAnsi="宋体" w:cs="宋体"/>
                <w:b/>
                <w:bCs/>
                <w:color w:val="0000FF"/>
                <w:kern w:val="0"/>
                <w:szCs w:val="21"/>
              </w:rPr>
              <w:t>地点：</w:t>
            </w:r>
            <w:r>
              <w:rPr>
                <w:rFonts w:hint="eastAsia" w:ascii="宋体" w:hAnsi="宋体" w:cs="宋体"/>
                <w:szCs w:val="21"/>
              </w:rPr>
              <w:t>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4.2.3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是否退还投标文件</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Cs w:val="21"/>
                <w:lang w:val="en-US" w:eastAsia="zh-CN"/>
              </w:rPr>
            </w:pPr>
            <w:r>
              <w:rPr>
                <w:rFonts w:hint="eastAsia" w:ascii="宋体" w:hAnsi="宋体" w:cs="宋体"/>
                <w:szCs w:val="21"/>
              </w:rPr>
              <w:t>5.1</w:t>
            </w:r>
            <w:r>
              <w:rPr>
                <w:rFonts w:hint="eastAsia" w:ascii="宋体" w:hAnsi="宋体" w:cs="宋体"/>
                <w:szCs w:val="21"/>
                <w:lang w:val="en-US" w:eastAsia="zh-CN"/>
              </w:rPr>
              <w:t>.1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开标时间和地点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0000FF"/>
                <w:kern w:val="0"/>
                <w:szCs w:val="21"/>
              </w:rPr>
            </w:pPr>
            <w:r>
              <w:rPr>
                <w:rFonts w:hint="eastAsia" w:ascii="宋体" w:hAnsi="宋体" w:cs="宋体"/>
                <w:b/>
                <w:bCs/>
                <w:color w:val="0000FF"/>
                <w:kern w:val="0"/>
                <w:szCs w:val="21"/>
              </w:rPr>
              <w:t>开标时间：202</w:t>
            </w:r>
            <w:r>
              <w:rPr>
                <w:rFonts w:hint="eastAsia" w:ascii="宋体" w:hAnsi="宋体" w:cs="宋体"/>
                <w:b/>
                <w:bCs/>
                <w:color w:val="0000FF"/>
                <w:kern w:val="0"/>
                <w:szCs w:val="21"/>
                <w:lang w:val="en-US" w:eastAsia="zh-CN"/>
              </w:rPr>
              <w:t>4</w:t>
            </w:r>
            <w:r>
              <w:rPr>
                <w:rFonts w:hint="eastAsia" w:ascii="宋体" w:hAnsi="宋体" w:cs="宋体"/>
                <w:b/>
                <w:bCs/>
                <w:color w:val="0000FF"/>
                <w:kern w:val="0"/>
                <w:szCs w:val="21"/>
              </w:rPr>
              <w:t>年</w:t>
            </w:r>
            <w:r>
              <w:rPr>
                <w:rFonts w:hint="eastAsia" w:ascii="宋体" w:hAnsi="宋体" w:cs="宋体"/>
                <w:b/>
                <w:bCs/>
                <w:color w:val="0000FF"/>
                <w:kern w:val="0"/>
                <w:szCs w:val="21"/>
                <w:lang w:val="en-US" w:eastAsia="zh-CN"/>
              </w:rPr>
              <w:t>7月10日09</w:t>
            </w:r>
            <w:r>
              <w:rPr>
                <w:rFonts w:hint="eastAsia" w:ascii="宋体" w:hAnsi="宋体" w:cs="宋体"/>
                <w:b/>
                <w:bCs/>
                <w:color w:val="0000FF"/>
                <w:kern w:val="0"/>
                <w:szCs w:val="21"/>
              </w:rPr>
              <w:t>时</w:t>
            </w:r>
            <w:r>
              <w:rPr>
                <w:rFonts w:hint="eastAsia" w:ascii="宋体" w:hAnsi="宋体" w:cs="宋体"/>
                <w:b/>
                <w:bCs/>
                <w:color w:val="0000FF"/>
                <w:kern w:val="0"/>
                <w:szCs w:val="21"/>
                <w:lang w:val="en-US" w:eastAsia="zh-CN"/>
              </w:rPr>
              <w:t>00</w:t>
            </w:r>
            <w:r>
              <w:rPr>
                <w:rFonts w:hint="eastAsia" w:ascii="宋体" w:hAnsi="宋体" w:cs="宋体"/>
                <w:b/>
                <w:bCs/>
                <w:color w:val="0000FF"/>
                <w:kern w:val="0"/>
                <w:szCs w:val="21"/>
              </w:rPr>
              <w:t>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b/>
                <w:bCs/>
                <w:color w:val="0000FF"/>
                <w:kern w:val="0"/>
                <w:szCs w:val="21"/>
              </w:rPr>
              <w:t>开标地点</w:t>
            </w:r>
            <w:r>
              <w:rPr>
                <w:rFonts w:hint="eastAsia" w:ascii="宋体" w:hAnsi="宋体" w:cs="宋体"/>
                <w:b/>
                <w:bCs/>
                <w:color w:val="100BBE"/>
                <w:szCs w:val="21"/>
              </w:rPr>
              <w:t>：</w:t>
            </w:r>
            <w:r>
              <w:rPr>
                <w:rFonts w:hint="eastAsia" w:ascii="宋体" w:hAnsi="宋体" w:cs="宋体"/>
                <w:szCs w:val="21"/>
              </w:rPr>
              <w:t>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5.1.2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val="en-US" w:eastAsia="zh-CN"/>
              </w:rPr>
            </w:pPr>
            <w:r>
              <w:rPr>
                <w:rFonts w:hint="eastAsia" w:ascii="宋体" w:hAnsi="宋体" w:cs="宋体"/>
                <w:szCs w:val="21"/>
              </w:rPr>
              <w:t>参加开标会的</w:t>
            </w:r>
            <w:r>
              <w:rPr>
                <w:rFonts w:hint="eastAsia" w:ascii="宋体" w:hAnsi="宋体" w:cs="宋体"/>
                <w:szCs w:val="21"/>
                <w:lang w:val="en-US" w:eastAsia="zh-CN"/>
              </w:rPr>
              <w:t>方法</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根据《国务院办公厅转发国家发展改革委关于深化公共资源交易平台整合共享指导意见的通知》（国办函〔2019〕41号）全面逐步推行不见面投标开标等招投标活动。本项目开标方式为不见面纸质文件开标。开标当日，投标人无需到达开标现场，仅需在任意地点通过PC端或移动端的“腾讯会议”及相应的配套硬件设备参加开标会议。</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参加会议的方法：电脑或智能手机可以搜索下载并安装“腾讯会议”，注册完成后点击“加入会议”，输入会议号</w:t>
            </w:r>
            <w:r>
              <w:rPr>
                <w:rFonts w:hint="eastAsia" w:ascii="宋体" w:hAnsi="宋体" w:cs="宋体"/>
                <w:b/>
                <w:bCs/>
                <w:color w:val="0000FF"/>
              </w:rPr>
              <w:t>“</w:t>
            </w:r>
            <w:r>
              <w:rPr>
                <w:rFonts w:hint="eastAsia" w:ascii="宋体" w:hAnsi="宋体" w:cs="宋体"/>
                <w:b/>
                <w:bCs/>
                <w:color w:val="0000FF"/>
                <w:lang w:val="en-US" w:eastAsia="zh-CN"/>
              </w:rPr>
              <w:t>776 507 717</w:t>
            </w:r>
            <w:r>
              <w:rPr>
                <w:rFonts w:hint="eastAsia" w:ascii="宋体" w:hAnsi="宋体" w:cs="宋体"/>
                <w:b/>
                <w:bCs/>
                <w:color w:val="0000FF"/>
              </w:rPr>
              <w:t>”</w:t>
            </w:r>
            <w:r>
              <w:rPr>
                <w:rFonts w:hint="eastAsia" w:ascii="宋体" w:hAnsi="宋体" w:cs="宋体"/>
                <w:szCs w:val="21"/>
              </w:rPr>
              <w:t>，“您的姓名”按“单位简称+授权委托人姓名”格式填写，然后点击“加入会议”。会议系统将在投标截止时间前10分钟开放。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6.1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评标委员会的组建</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评标委员会构成：</w:t>
            </w:r>
            <w:r>
              <w:rPr>
                <w:rFonts w:hint="eastAsia" w:ascii="宋体" w:hAnsi="宋体" w:cs="宋体"/>
                <w:b/>
                <w:bCs/>
                <w:szCs w:val="21"/>
                <w:u w:val="single"/>
              </w:rPr>
              <w:t>5人或5人以上单数</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评标专家确定方式：电脑随机抽取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6.3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评标办法</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8.1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是否授权评标委员会确定中标人</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推荐的中标候选人数：1名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8.3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履约保证金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履约保证金的形式：转账、履约担保或者投标人基本账户开户行出具的银行保函、保险公司保险单。</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履约保证金的金额：中标价的10%。</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注：对提供＂信用中国(江苏盐城)＂备案的第三方信用报告AA评级及以上采购供应商，免收履约保证金或履约保证金缴纳比例降低，合同订立前需提供相关证明材料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1"/>
                <w:szCs w:val="21"/>
              </w:rPr>
            </w:pPr>
            <w:r>
              <w:rPr>
                <w:rFonts w:hint="eastAsia" w:ascii="宋体" w:hAnsi="宋体" w:cs="宋体"/>
                <w:kern w:val="1"/>
                <w:szCs w:val="21"/>
              </w:rPr>
              <w:t>履约保证金退还：完成所有工作内容后30日内无息退还。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1"/>
                <w:szCs w:val="21"/>
              </w:rPr>
            </w:pPr>
            <w:r>
              <w:rPr>
                <w:rFonts w:hint="eastAsia" w:ascii="宋体" w:hAnsi="宋体" w:cs="宋体"/>
                <w:b/>
                <w:bCs/>
                <w:kern w:val="1"/>
                <w:szCs w:val="21"/>
              </w:rPr>
              <w:t>按照盐财购〔2024〕18号 关于在全市政府采购领域进一步推行电子履约保函（保险）的通知。可以通过政府采购电子履约保函（保险）平台（www.jsdzbh.com）在线申请履约保函（保险）。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FF"/>
                <w:szCs w:val="21"/>
                <w:lang w:val="en-US" w:eastAsia="zh-CN"/>
              </w:rPr>
            </w:pPr>
            <w:r>
              <w:rPr>
                <w:rFonts w:hint="eastAsia" w:ascii="宋体" w:hAnsi="宋体" w:cs="宋体"/>
                <w:color w:val="0000FF"/>
                <w:szCs w:val="21"/>
                <w:lang w:val="en-US" w:eastAsia="zh-CN"/>
              </w:rPr>
              <w:t>9.5</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FF"/>
                <w:szCs w:val="21"/>
                <w:lang w:eastAsia="zh-CN"/>
              </w:rPr>
            </w:pPr>
            <w:r>
              <w:rPr>
                <w:rFonts w:hint="eastAsia" w:ascii="宋体" w:hAnsi="宋体" w:cs="宋体"/>
                <w:color w:val="0000FF"/>
                <w:szCs w:val="21"/>
                <w:lang w:eastAsia="zh-CN"/>
              </w:rPr>
              <w:t>质疑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FF"/>
                <w:szCs w:val="21"/>
                <w:u w:val="single"/>
                <w:lang w:val="en-US" w:eastAsia="zh-CN"/>
              </w:rPr>
            </w:pPr>
            <w:r>
              <w:rPr>
                <w:rFonts w:hint="eastAsia" w:ascii="宋体" w:hAnsi="宋体" w:cs="宋体"/>
                <w:color w:val="0000FF"/>
                <w:szCs w:val="21"/>
                <w:u w:val="single"/>
                <w:lang w:val="en-US" w:eastAsia="zh-CN"/>
              </w:rPr>
              <w:t>招标文件质疑期限：在知道或者应知其权益受到损害之日起7个工作日内，2024年7月5日前。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rPr>
            </w:pPr>
            <w:r>
              <w:rPr>
                <w:rFonts w:hint="eastAsia" w:ascii="宋体" w:hAnsi="宋体" w:cs="宋体"/>
                <w:color w:val="auto"/>
                <w:szCs w:val="21"/>
              </w:rPr>
              <w:t>10</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付款方式</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合同签订后，</w:t>
            </w:r>
            <w:r>
              <w:rPr>
                <w:rFonts w:hint="eastAsia"/>
                <w:color w:val="auto"/>
                <w:highlight w:val="none"/>
              </w:rPr>
              <w:t>中标方</w:t>
            </w:r>
            <w:r>
              <w:rPr>
                <w:rFonts w:hint="eastAsia"/>
                <w:bCs/>
                <w:color w:val="auto"/>
                <w:highlight w:val="none"/>
              </w:rPr>
              <w:t>提供正规发票，</w:t>
            </w:r>
            <w:r>
              <w:rPr>
                <w:rFonts w:hint="eastAsia" w:ascii="宋体" w:hAnsi="宋体" w:cs="宋体"/>
                <w:bCs/>
                <w:color w:val="auto"/>
                <w:szCs w:val="21"/>
                <w:highlight w:val="none"/>
              </w:rPr>
              <w:t>采购人支付合同价</w:t>
            </w:r>
            <w:r>
              <w:rPr>
                <w:rFonts w:hint="eastAsia" w:ascii="宋体" w:hAnsi="宋体" w:cs="宋体"/>
                <w:bCs/>
                <w:color w:val="auto"/>
                <w:szCs w:val="21"/>
                <w:highlight w:val="none"/>
                <w:lang w:val="en-US" w:eastAsia="zh-CN"/>
              </w:rPr>
              <w:t>3</w:t>
            </w:r>
            <w:r>
              <w:rPr>
                <w:rFonts w:ascii="宋体" w:hAnsi="宋体" w:cs="宋体"/>
                <w:bCs/>
                <w:color w:val="auto"/>
                <w:szCs w:val="21"/>
                <w:highlight w:val="none"/>
              </w:rPr>
              <w:t>0%的预付款</w:t>
            </w:r>
            <w:r>
              <w:rPr>
                <w:rFonts w:hint="eastAsia" w:ascii="宋体" w:hAnsi="宋体" w:cs="宋体"/>
                <w:bCs/>
                <w:color w:val="auto"/>
                <w:szCs w:val="21"/>
                <w:highlight w:val="none"/>
                <w:lang w:eastAsia="zh-CN"/>
              </w:rPr>
              <w:t>，供货结束后，根据招标人对中标人的台账核实，以及对农户签名情况核实，无异议后向中标人拨付应补贴的货款。</w:t>
            </w:r>
            <w:r>
              <w:rPr>
                <w:rFonts w:hint="eastAsia" w:ascii="宋体" w:hAnsi="宋体" w:cs="宋体"/>
                <w:bCs/>
                <w:color w:val="auto"/>
                <w:szCs w:val="21"/>
                <w:highlight w:val="none"/>
              </w:rPr>
              <w:t>付款时成交供应商须出具相应的</w:t>
            </w:r>
            <w:r>
              <w:rPr>
                <w:rFonts w:hint="eastAsia" w:ascii="宋体" w:hAnsi="宋体" w:cs="宋体"/>
                <w:bCs/>
                <w:color w:val="auto"/>
                <w:szCs w:val="21"/>
                <w:highlight w:val="none"/>
                <w:lang w:val="en-US" w:eastAsia="zh-CN"/>
              </w:rPr>
              <w:t>增值税</w:t>
            </w:r>
            <w:r>
              <w:rPr>
                <w:rFonts w:hint="eastAsia" w:ascii="宋体" w:hAnsi="宋体" w:cs="宋体"/>
                <w:bCs/>
                <w:color w:val="auto"/>
                <w:szCs w:val="21"/>
                <w:highlight w:val="none"/>
              </w:rPr>
              <w:t>发票</w:t>
            </w:r>
            <w:r>
              <w:rPr>
                <w:rFonts w:hint="eastAsia" w:ascii="宋体" w:hAnsi="宋体" w:cs="宋体"/>
                <w:bCs/>
                <w:color w:val="auto"/>
                <w:szCs w:val="21"/>
                <w:highlight w:val="none"/>
                <w:lang w:val="en-US" w:eastAsia="zh-CN"/>
              </w:rPr>
              <w:t>（采购人原则上应当自收到发票后10个工作日内将资金支付到合同约定的供应商账户）</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ind w:firstLine="106" w:firstLineChars="50"/>
              <w:jc w:val="center"/>
              <w:textAlignment w:val="auto"/>
              <w:rPr>
                <w:rFonts w:ascii="宋体" w:hAnsi="宋体" w:cs="宋体"/>
                <w:color w:val="0000FF"/>
                <w:szCs w:val="21"/>
              </w:rPr>
            </w:pPr>
            <w:bookmarkStart w:id="25" w:name="_Toc18948"/>
            <w:bookmarkStart w:id="26" w:name="_Toc184635071"/>
            <w:bookmarkStart w:id="27" w:name="_Toc387526179"/>
            <w:bookmarkStart w:id="28" w:name="_Toc368759375"/>
            <w:bookmarkStart w:id="29" w:name="_Toc367894798"/>
            <w:bookmarkStart w:id="30" w:name="_Toc369077561"/>
            <w:bookmarkStart w:id="31" w:name="_Toc363329370"/>
            <w:bookmarkStart w:id="32" w:name="_Toc387526375"/>
            <w:bookmarkStart w:id="33" w:name="_Toc368760427"/>
            <w:bookmarkStart w:id="34" w:name="_Toc397928549"/>
            <w:bookmarkStart w:id="35" w:name="_Toc387526283"/>
            <w:r>
              <w:rPr>
                <w:rFonts w:hint="eastAsia" w:ascii="宋体" w:hAnsi="宋体" w:cs="宋体"/>
                <w:szCs w:val="21"/>
              </w:rPr>
              <w:t>11</w:t>
            </w:r>
          </w:p>
        </w:tc>
        <w:tc>
          <w:tcPr>
            <w:tcW w:w="8068" w:type="dxa"/>
            <w:gridSpan w:val="2"/>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pPr>
              <w:keepNext w:val="0"/>
              <w:keepLines w:val="0"/>
              <w:pageBreakBefore w:val="0"/>
              <w:kinsoku/>
              <w:wordWrap/>
              <w:overflowPunct/>
              <w:topLinePunct w:val="0"/>
              <w:autoSpaceDE/>
              <w:autoSpaceDN/>
              <w:bidi w:val="0"/>
              <w:adjustRightInd/>
              <w:snapToGrid/>
              <w:spacing w:line="360" w:lineRule="auto"/>
              <w:ind w:right="100"/>
              <w:textAlignment w:val="auto"/>
              <w:rPr>
                <w:rFonts w:ascii="宋体" w:hAnsi="宋体" w:cs="宋体"/>
                <w:szCs w:val="21"/>
              </w:rPr>
            </w:pPr>
            <w:r>
              <w:rPr>
                <w:rFonts w:hint="eastAsia" w:ascii="宋体" w:hAnsi="宋体" w:cs="宋体"/>
                <w:szCs w:val="21"/>
              </w:rPr>
              <w:t>⑴凡是构成合同文件组成内容的不明确或不一致，以合同文件约定内容为准，且以专用合同条款约定的合同文件优先顺序解释；</w:t>
            </w:r>
          </w:p>
          <w:p>
            <w:pPr>
              <w:keepNext w:val="0"/>
              <w:keepLines w:val="0"/>
              <w:pageBreakBefore w:val="0"/>
              <w:tabs>
                <w:tab w:val="left" w:pos="920"/>
              </w:tabs>
              <w:kinsoku/>
              <w:wordWrap/>
              <w:overflowPunct/>
              <w:topLinePunct w:val="0"/>
              <w:autoSpaceDE/>
              <w:autoSpaceDN/>
              <w:bidi w:val="0"/>
              <w:adjustRightInd/>
              <w:snapToGrid/>
              <w:spacing w:line="360" w:lineRule="auto"/>
              <w:ind w:right="100"/>
              <w:textAlignment w:val="auto"/>
              <w:rPr>
                <w:rFonts w:ascii="宋体" w:hAnsi="宋体" w:cs="宋体"/>
                <w:szCs w:val="21"/>
              </w:rPr>
            </w:pPr>
            <w:r>
              <w:rPr>
                <w:rFonts w:hint="eastAsia" w:ascii="宋体" w:hAnsi="宋体" w:cs="宋体"/>
                <w:szCs w:val="21"/>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FF"/>
                <w:szCs w:val="21"/>
              </w:rPr>
            </w:pPr>
            <w:r>
              <w:rPr>
                <w:rFonts w:hint="eastAsia" w:ascii="宋体" w:hAnsi="宋体" w:cs="宋体"/>
                <w:szCs w:val="21"/>
              </w:rPr>
              <w:t>⑶按本款前述规定仍不能形成结论的，由招标人负责解释。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ind w:firstLine="106" w:firstLineChars="50"/>
              <w:jc w:val="center"/>
              <w:textAlignment w:val="auto"/>
              <w:rPr>
                <w:rFonts w:ascii="宋体" w:hAnsi="宋体" w:cs="宋体"/>
                <w:szCs w:val="21"/>
              </w:rPr>
            </w:pPr>
            <w:r>
              <w:rPr>
                <w:rFonts w:hint="eastAsia" w:ascii="宋体" w:hAnsi="宋体" w:cs="宋体"/>
                <w:szCs w:val="21"/>
              </w:rPr>
              <w:t>12</w:t>
            </w:r>
          </w:p>
        </w:tc>
        <w:tc>
          <w:tcPr>
            <w:tcW w:w="8068" w:type="dxa"/>
            <w:gridSpan w:val="2"/>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1、本招标文件时间均以中华人民共和国北京时间为准，所涉及金额的币种均为人民币。</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2、凡参与本项目投标的投标人，视同已踏勘过项目现场和研究了本招标文件的所有内容，并无保留地接受招标文件的所有条款（含招标答疑、补充通知等）。</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3、本招标文件未尽事宜，按国家和省法律法规、规章要求处理。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4、本招标文件的解释权归招标人所有。</w:t>
            </w:r>
          </w:p>
        </w:tc>
      </w:tr>
    </w:tbl>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b/>
          <w:szCs w:val="21"/>
        </w:rPr>
      </w:pPr>
      <w:r>
        <w:rPr>
          <w:b/>
          <w:szCs w:val="21"/>
        </w:rPr>
        <w:t>特别提醒：招标人会根据招标需要，可能会不定期在</w:t>
      </w:r>
      <w:r>
        <w:rPr>
          <w:rFonts w:hint="eastAsia"/>
          <w:b/>
          <w:szCs w:val="21"/>
        </w:rPr>
        <w:t>江苏政府采购网、盐城市政府采购网</w:t>
      </w:r>
      <w:r>
        <w:rPr>
          <w:b/>
          <w:szCs w:val="21"/>
        </w:rPr>
        <w:t>发布该项目补充答疑等澄清修改文件，请各投标人自行网上查寻，未能及时查阅响应而影响投标的，结果由投标人负责。</w:t>
      </w:r>
    </w:p>
    <w:p>
      <w:pPr>
        <w:rPr>
          <w:rFonts w:ascii="宋体" w:hAnsi="宋体" w:cs="宋体"/>
          <w:b/>
          <w:szCs w:val="21"/>
        </w:rPr>
      </w:pPr>
      <w:r>
        <w:rPr>
          <w:rFonts w:hint="eastAsia" w:ascii="宋体" w:hAnsi="宋体" w:cs="宋体"/>
          <w:b/>
          <w:szCs w:val="21"/>
        </w:rPr>
        <w:br w:type="page"/>
      </w:r>
    </w:p>
    <w:p>
      <w:pPr>
        <w:pageBreakBefore w:val="0"/>
        <w:kinsoku/>
        <w:wordWrap/>
        <w:overflowPunct/>
        <w:bidi w:val="0"/>
        <w:adjustRightInd/>
        <w:snapToGrid/>
        <w:spacing w:line="360" w:lineRule="auto"/>
        <w:ind w:firstLine="426" w:firstLineChars="200"/>
        <w:textAlignment w:val="auto"/>
        <w:rPr>
          <w:rFonts w:ascii="宋体" w:hAnsi="宋体" w:cs="宋体"/>
          <w:b/>
          <w:szCs w:val="21"/>
        </w:rPr>
      </w:pPr>
      <w:r>
        <w:rPr>
          <w:rFonts w:hint="eastAsia" w:ascii="宋体" w:hAnsi="宋体" w:cs="宋体"/>
          <w:b/>
          <w:szCs w:val="21"/>
        </w:rPr>
        <w:t>1.总则</w:t>
      </w:r>
      <w:bookmarkEnd w:id="25"/>
      <w:bookmarkEnd w:id="26"/>
      <w:bookmarkEnd w:id="27"/>
      <w:bookmarkEnd w:id="28"/>
      <w:bookmarkEnd w:id="29"/>
      <w:bookmarkEnd w:id="30"/>
      <w:bookmarkEnd w:id="31"/>
      <w:bookmarkEnd w:id="32"/>
      <w:bookmarkEnd w:id="33"/>
      <w:bookmarkEnd w:id="34"/>
      <w:bookmarkEnd w:id="35"/>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36" w:name="_Toc397928550"/>
      <w:bookmarkStart w:id="37" w:name="_Toc387526376"/>
      <w:bookmarkStart w:id="38" w:name="_Toc501967482"/>
      <w:bookmarkStart w:id="39" w:name="_Toc5365"/>
      <w:bookmarkStart w:id="40" w:name="_Toc387526284"/>
      <w:bookmarkStart w:id="41" w:name="_Toc387526180"/>
      <w:r>
        <w:rPr>
          <w:rFonts w:hint="eastAsia" w:ascii="宋体" w:hAnsi="宋体" w:eastAsia="宋体" w:cs="宋体"/>
          <w:sz w:val="21"/>
          <w:szCs w:val="21"/>
        </w:rPr>
        <w:t>1.1 项目概况</w:t>
      </w:r>
      <w:bookmarkEnd w:id="36"/>
      <w:bookmarkEnd w:id="37"/>
      <w:bookmarkEnd w:id="38"/>
      <w:bookmarkEnd w:id="39"/>
      <w:bookmarkEnd w:id="40"/>
      <w:bookmarkEnd w:id="41"/>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1.1.1根据有关法律、法规和规章的规定，本招标项目已具备招标条件，本项目所属行业划分为</w:t>
      </w:r>
      <w:r>
        <w:rPr>
          <w:rFonts w:hint="eastAsia" w:ascii="宋体" w:hAnsi="宋体" w:cs="宋体"/>
          <w:b/>
          <w:bCs/>
          <w:szCs w:val="21"/>
          <w:highlight w:val="none"/>
          <w:u w:val="single"/>
          <w:lang w:val="en-US" w:eastAsia="zh-CN"/>
        </w:rPr>
        <w:t>工业</w:t>
      </w:r>
      <w:r>
        <w:rPr>
          <w:rFonts w:hint="eastAsia" w:ascii="宋体" w:hAnsi="宋体" w:cs="宋体"/>
          <w:szCs w:val="21"/>
        </w:rPr>
        <w:t>，现对本服务采购项目进行招标。</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1.1.2本招标项目招标人：见投标人须知前附表。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1.1.3本招标项目招标代理机构：见投标人须知前附表。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1.1.4本招标项目名称：见投标人须知前附表。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42" w:name="_Toc387526285"/>
      <w:bookmarkStart w:id="43" w:name="_Toc11796"/>
      <w:bookmarkStart w:id="44" w:name="_Toc397928551"/>
      <w:bookmarkStart w:id="45" w:name="_Toc387526377"/>
      <w:bookmarkStart w:id="46" w:name="_Toc501967483"/>
      <w:bookmarkStart w:id="47" w:name="_Toc387526181"/>
      <w:r>
        <w:rPr>
          <w:rFonts w:hint="eastAsia" w:ascii="宋体" w:hAnsi="宋体" w:eastAsia="宋体" w:cs="宋体"/>
          <w:sz w:val="21"/>
          <w:szCs w:val="21"/>
        </w:rPr>
        <w:t>1.2 资金来源和落实情况</w:t>
      </w:r>
      <w:bookmarkEnd w:id="42"/>
      <w:bookmarkEnd w:id="43"/>
      <w:bookmarkEnd w:id="44"/>
      <w:bookmarkEnd w:id="45"/>
      <w:bookmarkEnd w:id="46"/>
      <w:bookmarkEnd w:id="47"/>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1.2.1本招标项目的资金来源：见投标人须知前附表。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1.2.2本招标项目的出资比例：见投标人须知前附表。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1.2.3本招标项目的资金落实情况：见投标人须知前附表。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48" w:name="_Toc853"/>
      <w:bookmarkStart w:id="49" w:name="_Toc501967484"/>
      <w:bookmarkStart w:id="50" w:name="_Toc387526378"/>
      <w:bookmarkStart w:id="51" w:name="_Toc397928552"/>
      <w:bookmarkStart w:id="52" w:name="_Toc387526286"/>
      <w:bookmarkStart w:id="53" w:name="_Toc387526182"/>
      <w:r>
        <w:rPr>
          <w:rFonts w:hint="eastAsia" w:ascii="宋体" w:hAnsi="宋体" w:eastAsia="宋体" w:cs="宋体"/>
          <w:sz w:val="21"/>
          <w:szCs w:val="21"/>
        </w:rPr>
        <w:t>1.3 招标范围、交货期或工期和质量要求</w:t>
      </w:r>
      <w:bookmarkEnd w:id="48"/>
      <w:bookmarkEnd w:id="49"/>
      <w:bookmarkEnd w:id="50"/>
      <w:bookmarkEnd w:id="51"/>
      <w:bookmarkEnd w:id="52"/>
      <w:bookmarkEnd w:id="53"/>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1.3.1本次招标范围：见投标人须知前附表。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1.3.2本招标项目的交货期或工期：见投标人须知前附表。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1.3.3本招标项目的交货或服务地点：见投标人须知前附表。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1.3.4本招标项目的质量要求及验收标准：见投标人须知前附表。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54" w:name="_Toc397928553"/>
      <w:bookmarkStart w:id="55" w:name="_Toc387526287"/>
      <w:bookmarkStart w:id="56" w:name="_Toc501967485"/>
      <w:bookmarkStart w:id="57" w:name="_Toc13930"/>
      <w:bookmarkStart w:id="58" w:name="_Toc387526379"/>
      <w:bookmarkStart w:id="59" w:name="_Toc387526183"/>
      <w:r>
        <w:rPr>
          <w:rFonts w:hint="eastAsia" w:ascii="宋体" w:hAnsi="宋体" w:eastAsia="宋体" w:cs="宋体"/>
          <w:sz w:val="21"/>
          <w:szCs w:val="21"/>
        </w:rPr>
        <w:t>1.4 投标人资格要求</w:t>
      </w:r>
      <w:bookmarkEnd w:id="54"/>
      <w:bookmarkEnd w:id="55"/>
      <w:bookmarkEnd w:id="56"/>
      <w:bookmarkEnd w:id="57"/>
      <w:bookmarkEnd w:id="58"/>
      <w:bookmarkEnd w:id="59"/>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1.4.1 投标人应具备的资格要求见投标人须知前附表。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 xml:space="preserve">1.4.2 投标人不得存在下列情形之一：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bookmarkStart w:id="60" w:name="_Toc387526288"/>
      <w:bookmarkStart w:id="61" w:name="_Toc387526184"/>
      <w:bookmarkStart w:id="62" w:name="_Toc387526380"/>
      <w:bookmarkStart w:id="63" w:name="_Toc1684"/>
      <w:r>
        <w:rPr>
          <w:rFonts w:hint="eastAsia" w:ascii="宋体" w:hAnsi="宋体" w:cs="宋体"/>
          <w:szCs w:val="21"/>
        </w:rPr>
        <w:t xml:space="preserve">（1）为招标人的附属机构（单位）；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（2）为本标段的代建人；</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（3）为本标段提供招标代理服务的；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 xml:space="preserve">（4）与本标段的代建人或招标代理机构的单位负责人为同一个人的；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（5）与本标段的代建人或招标代理机构相互控股或参股的；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（6）与本标段的其他申请人的单位负责人为同一个人的；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（7）与本标段的其他申请人之间存在控股、管理关系或母公司、全资子公司关系的；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（8）法律法规规定的其他情形。</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64" w:name="_Toc501967486"/>
      <w:bookmarkStart w:id="65" w:name="_Toc397928554"/>
      <w:r>
        <w:rPr>
          <w:rFonts w:hint="eastAsia" w:ascii="宋体" w:hAnsi="宋体" w:eastAsia="宋体" w:cs="宋体"/>
          <w:sz w:val="21"/>
          <w:szCs w:val="21"/>
        </w:rPr>
        <w:t>1.5 费用承担</w:t>
      </w:r>
      <w:bookmarkEnd w:id="60"/>
      <w:bookmarkEnd w:id="61"/>
      <w:bookmarkEnd w:id="62"/>
      <w:bookmarkEnd w:id="63"/>
      <w:bookmarkEnd w:id="64"/>
      <w:bookmarkEnd w:id="65"/>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b/>
          <w:szCs w:val="21"/>
        </w:rPr>
      </w:pPr>
      <w:r>
        <w:rPr>
          <w:rFonts w:hint="eastAsia" w:ascii="宋体" w:hAnsi="宋体" w:cs="宋体"/>
          <w:kern w:val="0"/>
          <w:szCs w:val="21"/>
        </w:rPr>
        <w:t>投标人准备和参加投标活动发生的费用自理。</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66" w:name="_Toc387526289"/>
      <w:bookmarkStart w:id="67" w:name="_Toc387526185"/>
      <w:bookmarkStart w:id="68" w:name="_Toc501967487"/>
      <w:bookmarkStart w:id="69" w:name="_Toc5130"/>
      <w:bookmarkStart w:id="70" w:name="_Toc397928555"/>
      <w:bookmarkStart w:id="71" w:name="_Toc387526381"/>
      <w:r>
        <w:rPr>
          <w:rFonts w:hint="eastAsia" w:ascii="宋体" w:hAnsi="宋体" w:eastAsia="宋体" w:cs="宋体"/>
          <w:sz w:val="21"/>
          <w:szCs w:val="21"/>
        </w:rPr>
        <w:t>1.6 保密</w:t>
      </w:r>
      <w:bookmarkEnd w:id="66"/>
      <w:bookmarkEnd w:id="67"/>
      <w:bookmarkEnd w:id="68"/>
      <w:bookmarkEnd w:id="69"/>
      <w:bookmarkEnd w:id="70"/>
      <w:bookmarkEnd w:id="71"/>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72" w:name="_Toc397928556"/>
      <w:bookmarkStart w:id="73" w:name="_Toc387526382"/>
      <w:bookmarkStart w:id="74" w:name="_Toc822"/>
      <w:bookmarkStart w:id="75" w:name="_Toc501967488"/>
      <w:bookmarkStart w:id="76" w:name="_Toc387526186"/>
      <w:bookmarkStart w:id="77" w:name="_Toc387526290"/>
      <w:r>
        <w:rPr>
          <w:rFonts w:hint="eastAsia" w:ascii="宋体" w:hAnsi="宋体" w:eastAsia="宋体" w:cs="宋体"/>
          <w:sz w:val="21"/>
          <w:szCs w:val="21"/>
        </w:rPr>
        <w:t>1.7 语言文字</w:t>
      </w:r>
      <w:bookmarkEnd w:id="72"/>
      <w:bookmarkEnd w:id="73"/>
      <w:bookmarkEnd w:id="74"/>
      <w:bookmarkEnd w:id="75"/>
      <w:bookmarkEnd w:id="76"/>
      <w:bookmarkEnd w:id="77"/>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除专用术语外，与招标投标有关的语言均使用中文。必要时专用术语应附有中文注释。</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78" w:name="_Toc387526291"/>
      <w:bookmarkStart w:id="79" w:name="_Toc397928557"/>
      <w:bookmarkStart w:id="80" w:name="_Toc501967489"/>
      <w:bookmarkStart w:id="81" w:name="_Toc387526187"/>
      <w:bookmarkStart w:id="82" w:name="_Toc31413"/>
      <w:bookmarkStart w:id="83" w:name="_Toc387526383"/>
      <w:r>
        <w:rPr>
          <w:rFonts w:hint="eastAsia" w:ascii="宋体" w:hAnsi="宋体" w:eastAsia="宋体" w:cs="宋体"/>
          <w:sz w:val="21"/>
          <w:szCs w:val="21"/>
        </w:rPr>
        <w:t>1.8 计量单位</w:t>
      </w:r>
      <w:bookmarkEnd w:id="78"/>
      <w:bookmarkEnd w:id="79"/>
      <w:bookmarkEnd w:id="80"/>
      <w:bookmarkEnd w:id="81"/>
      <w:bookmarkEnd w:id="82"/>
      <w:bookmarkEnd w:id="83"/>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所有计量均采用中华人民共和国法定计量单位。</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84" w:name="_Toc387526292"/>
      <w:bookmarkStart w:id="85" w:name="_Toc387526384"/>
      <w:bookmarkStart w:id="86" w:name="_Toc387526188"/>
      <w:bookmarkStart w:id="87" w:name="_Toc25122"/>
      <w:bookmarkStart w:id="88" w:name="_Toc397928558"/>
      <w:bookmarkStart w:id="89" w:name="_Toc501967490"/>
      <w:r>
        <w:rPr>
          <w:rFonts w:hint="eastAsia" w:ascii="宋体" w:hAnsi="宋体" w:eastAsia="宋体" w:cs="宋体"/>
          <w:sz w:val="21"/>
          <w:szCs w:val="21"/>
        </w:rPr>
        <w:t>1.9 踏勘现场</w:t>
      </w:r>
      <w:bookmarkEnd w:id="84"/>
      <w:bookmarkEnd w:id="85"/>
      <w:bookmarkEnd w:id="86"/>
      <w:bookmarkEnd w:id="87"/>
      <w:bookmarkEnd w:id="88"/>
      <w:bookmarkEnd w:id="89"/>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1.9.1招标人不组织投标人踏勘现场，投标人可以自行进行勘察，以获取编制投标文件和签署合同所需的所有资料。</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1.9.2 投标人踏勘现场发生的费用自理。</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1.9.3 除招标人的原因外，投标人自行负责在踏勘现场中所发生的人员伤亡和财产损失。</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1.9.4 招标人向投标人提供的有关资料和数据是招标人现有的能使投标人利用的资料。招标人对投标人由此而做出的推论、理解和结论概不负责。</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90" w:name="_Toc387526293"/>
      <w:bookmarkStart w:id="91" w:name="_Toc11088"/>
      <w:bookmarkStart w:id="92" w:name="_Toc397928559"/>
      <w:bookmarkStart w:id="93" w:name="_Toc501967491"/>
      <w:bookmarkStart w:id="94" w:name="_Toc387526189"/>
      <w:bookmarkStart w:id="95" w:name="_Toc387526385"/>
      <w:r>
        <w:rPr>
          <w:rFonts w:hint="eastAsia" w:ascii="宋体" w:hAnsi="宋体" w:eastAsia="宋体" w:cs="宋体"/>
          <w:sz w:val="21"/>
          <w:szCs w:val="21"/>
        </w:rPr>
        <w:t>1.10 投标预备会</w:t>
      </w:r>
      <w:bookmarkEnd w:id="90"/>
      <w:bookmarkEnd w:id="91"/>
      <w:bookmarkEnd w:id="92"/>
      <w:bookmarkEnd w:id="93"/>
      <w:bookmarkEnd w:id="94"/>
      <w:bookmarkEnd w:id="95"/>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本项目不召开投标预备会。</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96" w:name="_Toc21970"/>
      <w:bookmarkStart w:id="97" w:name="_Toc387526386"/>
      <w:bookmarkStart w:id="98" w:name="_Toc387526294"/>
      <w:bookmarkStart w:id="99" w:name="_Toc387526190"/>
      <w:bookmarkStart w:id="100" w:name="_Toc397928560"/>
      <w:bookmarkStart w:id="101" w:name="_Toc501967492"/>
      <w:bookmarkStart w:id="102" w:name="_Toc366679673"/>
      <w:bookmarkStart w:id="103" w:name="_Toc363329371"/>
      <w:bookmarkStart w:id="104" w:name="_Toc367894799"/>
      <w:r>
        <w:rPr>
          <w:rFonts w:hint="eastAsia" w:ascii="宋体" w:hAnsi="宋体" w:eastAsia="宋体" w:cs="宋体"/>
          <w:sz w:val="21"/>
          <w:szCs w:val="21"/>
        </w:rPr>
        <w:t>1.11 偏离</w:t>
      </w:r>
      <w:bookmarkEnd w:id="96"/>
      <w:bookmarkEnd w:id="97"/>
      <w:bookmarkEnd w:id="98"/>
      <w:bookmarkEnd w:id="99"/>
      <w:bookmarkEnd w:id="100"/>
      <w:bookmarkEnd w:id="101"/>
      <w:bookmarkEnd w:id="102"/>
    </w:p>
    <w:p>
      <w:pPr>
        <w:pageBreakBefore w:val="0"/>
        <w:kinsoku/>
        <w:wordWrap/>
        <w:overflowPunct/>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bookmarkStart w:id="105" w:name="_Toc387526295"/>
      <w:bookmarkStart w:id="106" w:name="_Toc387526191"/>
      <w:bookmarkStart w:id="107" w:name="_Toc397928561"/>
      <w:bookmarkStart w:id="108" w:name="_Toc368759376"/>
      <w:bookmarkStart w:id="109" w:name="_Toc387526387"/>
      <w:bookmarkStart w:id="110" w:name="_Toc368760428"/>
      <w:bookmarkStart w:id="111" w:name="_Toc30422"/>
      <w:bookmarkStart w:id="112" w:name="_Toc369077562"/>
      <w:bookmarkStart w:id="113" w:name="_Toc501967493"/>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1.12特别说明</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▲1.多家供应商参加投标，提供的是同一品牌产品的，应当按一个供应商认定。评审时，取其中通过资格审查后的报价最低一家为有效供应商；当</w:t>
      </w:r>
      <w:r>
        <w:rPr>
          <w:rFonts w:hint="eastAsia" w:ascii="宋体" w:hAnsi="宋体" w:cs="宋体"/>
          <w:sz w:val="21"/>
          <w:szCs w:val="21"/>
          <w:lang w:val="en-US" w:eastAsia="zh-CN"/>
        </w:rPr>
        <w:t>最低</w:t>
      </w:r>
      <w:r>
        <w:rPr>
          <w:rFonts w:hint="eastAsia" w:ascii="宋体" w:hAnsi="宋体" w:eastAsia="宋体" w:cs="宋体"/>
          <w:sz w:val="21"/>
          <w:szCs w:val="21"/>
        </w:rPr>
        <w:t>报价相同时，由</w:t>
      </w:r>
      <w:r>
        <w:rPr>
          <w:rFonts w:hint="eastAsia" w:ascii="宋体" w:hAnsi="宋体" w:cs="宋体"/>
          <w:sz w:val="21"/>
          <w:szCs w:val="21"/>
          <w:lang w:val="en-US" w:eastAsia="zh-CN"/>
        </w:rPr>
        <w:t>采购人</w:t>
      </w:r>
      <w:r>
        <w:rPr>
          <w:rFonts w:hint="eastAsia" w:ascii="宋体" w:hAnsi="宋体" w:eastAsia="宋体" w:cs="宋体"/>
          <w:sz w:val="21"/>
          <w:szCs w:val="21"/>
        </w:rPr>
        <w:t>决定。</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▲2.投标人应仔细阅读招标文件的所有内容，按照招标文件的要求提交投标文件，并对所提供的全部资料的真实性承担法律责任。</w:t>
      </w:r>
    </w:p>
    <w:p>
      <w:pPr>
        <w:pStyle w:val="4"/>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▲3.投标人在投标活动中提供任何虚假材料</w:t>
      </w:r>
      <w:r>
        <w:rPr>
          <w:rFonts w:hint="eastAsia" w:ascii="宋体" w:hAnsi="宋体" w:eastAsia="宋体" w:cs="宋体"/>
          <w:sz w:val="21"/>
          <w:szCs w:val="21"/>
          <w:lang w:eastAsia="zh-CN"/>
        </w:rPr>
        <w:t>，</w:t>
      </w:r>
      <w:r>
        <w:rPr>
          <w:rFonts w:hint="eastAsia" w:ascii="宋体" w:hAnsi="宋体" w:eastAsia="宋体" w:cs="宋体"/>
          <w:sz w:val="21"/>
          <w:szCs w:val="21"/>
        </w:rPr>
        <w:t>其投标无效，并报监管部门查处；中标后发现的</w:t>
      </w:r>
      <w:r>
        <w:rPr>
          <w:rFonts w:hint="eastAsia" w:ascii="宋体" w:hAnsi="宋体" w:eastAsia="宋体" w:cs="宋体"/>
          <w:sz w:val="21"/>
          <w:szCs w:val="21"/>
          <w:lang w:eastAsia="zh-CN"/>
        </w:rPr>
        <w:t>，</w:t>
      </w:r>
      <w:r>
        <w:rPr>
          <w:rFonts w:hint="eastAsia" w:ascii="宋体" w:hAnsi="宋体" w:eastAsia="宋体" w:cs="宋体"/>
          <w:sz w:val="21"/>
          <w:szCs w:val="21"/>
        </w:rPr>
        <w:t>中标人须依照《中华人民共和国消费者权益保护法》第49条之规定双倍赔偿采购单位，且民事赔偿并不免除违法投标人的行政与刑事责任。</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2. 招标文件</w:t>
      </w:r>
      <w:bookmarkEnd w:id="103"/>
      <w:bookmarkEnd w:id="104"/>
      <w:bookmarkEnd w:id="105"/>
      <w:bookmarkEnd w:id="106"/>
      <w:bookmarkEnd w:id="107"/>
      <w:bookmarkEnd w:id="108"/>
      <w:bookmarkEnd w:id="109"/>
      <w:bookmarkEnd w:id="110"/>
      <w:bookmarkEnd w:id="111"/>
      <w:bookmarkEnd w:id="112"/>
      <w:bookmarkEnd w:id="113"/>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14" w:name="_Toc387526296"/>
      <w:bookmarkStart w:id="115" w:name="_Toc501967494"/>
      <w:bookmarkStart w:id="116" w:name="_Toc397928562"/>
      <w:bookmarkStart w:id="117" w:name="_Toc23070"/>
      <w:bookmarkStart w:id="118" w:name="_Toc387526388"/>
      <w:bookmarkStart w:id="119" w:name="_Toc387526192"/>
      <w:r>
        <w:rPr>
          <w:rFonts w:hint="eastAsia" w:ascii="宋体" w:hAnsi="宋体" w:eastAsia="宋体" w:cs="宋体"/>
          <w:sz w:val="21"/>
          <w:szCs w:val="21"/>
        </w:rPr>
        <w:t>2.1 招标文件组成</w:t>
      </w:r>
      <w:bookmarkEnd w:id="114"/>
      <w:bookmarkEnd w:id="115"/>
      <w:bookmarkEnd w:id="116"/>
      <w:bookmarkEnd w:id="117"/>
      <w:bookmarkEnd w:id="118"/>
      <w:bookmarkEnd w:id="119"/>
    </w:p>
    <w:p>
      <w:pPr>
        <w:pageBreakBefore w:val="0"/>
        <w:shd w:val="clear" w:color="auto" w:fill="FFFFFF"/>
        <w:kinsoku/>
        <w:wordWrap/>
        <w:overflowPunct/>
        <w:autoSpaceDE w:val="0"/>
        <w:autoSpaceDN w:val="0"/>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2.1.1 本招标文件包括：</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（1）招标公告；</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（2）投标人须知；</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（3）评标办法；</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（4）合同条款及格式；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（5）</w:t>
      </w:r>
      <w:r>
        <w:rPr>
          <w:rFonts w:hint="eastAsia" w:ascii="宋体" w:hAnsi="宋体" w:cs="宋体"/>
          <w:szCs w:val="21"/>
          <w:lang w:eastAsia="zh-CN"/>
        </w:rPr>
        <w:t>招标</w:t>
      </w:r>
      <w:r>
        <w:rPr>
          <w:rFonts w:hint="eastAsia" w:ascii="宋体" w:hAnsi="宋体" w:cs="宋体"/>
          <w:szCs w:val="21"/>
        </w:rPr>
        <w:t>需求；</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（6）投标文件格式；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（7）投标人须知前附表规定的其他材料。</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2.1.2根据本章第1.10款、第2.2款和第2.3款对招标文件所作的澄清、修改，构成招标文件的组成部分。当招标文件相互之间发生矛盾时，以后发出的文件为准。</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20" w:name="_Toc387526389"/>
      <w:bookmarkStart w:id="121" w:name="_Toc366679676"/>
      <w:bookmarkStart w:id="122" w:name="_Toc501967495"/>
      <w:bookmarkStart w:id="123" w:name="_Toc387526297"/>
      <w:bookmarkStart w:id="124" w:name="_Toc179632562"/>
      <w:bookmarkStart w:id="125" w:name="_Toc246996932"/>
      <w:bookmarkStart w:id="126" w:name="_Toc9593"/>
      <w:bookmarkStart w:id="127" w:name="_Toc246996189"/>
      <w:bookmarkStart w:id="128" w:name="_Toc144974512"/>
      <w:bookmarkStart w:id="129" w:name="_Toc152042320"/>
      <w:bookmarkStart w:id="130" w:name="_Toc152045544"/>
      <w:bookmarkStart w:id="131" w:name="_Toc387526193"/>
      <w:bookmarkStart w:id="132" w:name="_Toc247085703"/>
      <w:bookmarkStart w:id="133" w:name="_Toc397928563"/>
      <w:r>
        <w:rPr>
          <w:rFonts w:hint="eastAsia" w:ascii="宋体" w:hAnsi="宋体" w:eastAsia="宋体" w:cs="宋体"/>
          <w:sz w:val="21"/>
          <w:szCs w:val="21"/>
        </w:rPr>
        <w:t>2.2 招标文件的澄清</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应当在7个工作日内对供应商依法提出的询问作出答复。</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2.2.2 招标文件的澄清将在投标人须知前附表规定的投标截止时间前以“补充答疑”的形式在江苏政府采购网、盐城市政府采购网上公开发布，但不指明澄清问题的来源。如果澄清发出的时间距投标截止时间不足15天，且澄清内容影响投标文件编制的，相应延长投标截止时间。</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134" w:name="_Toc508216894"/>
      <w:bookmarkStart w:id="135" w:name="_Toc367894800"/>
      <w:bookmarkStart w:id="136" w:name="_Toc501967497"/>
      <w:bookmarkStart w:id="137" w:name="_Toc368760429"/>
      <w:bookmarkStart w:id="138" w:name="_Toc368759377"/>
      <w:bookmarkStart w:id="139" w:name="_Toc369077563"/>
      <w:bookmarkStart w:id="140" w:name="_Toc19481"/>
      <w:bookmarkStart w:id="141" w:name="_Toc363329372"/>
      <w:bookmarkStart w:id="142" w:name="_Toc387526299"/>
      <w:bookmarkStart w:id="143" w:name="_Toc397928565"/>
      <w:bookmarkStart w:id="144" w:name="_Toc387526391"/>
      <w:bookmarkStart w:id="145" w:name="_Toc387526195"/>
      <w:bookmarkStart w:id="146" w:name="_Toc119718089"/>
      <w:r>
        <w:rPr>
          <w:rFonts w:hint="eastAsia" w:ascii="宋体" w:hAnsi="宋体" w:eastAsia="宋体" w:cs="宋体"/>
          <w:sz w:val="21"/>
          <w:szCs w:val="21"/>
        </w:rPr>
        <w:t>2.3 招标文件的修改</w:t>
      </w:r>
      <w:bookmarkEnd w:id="13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2.3.1 在投标截止时间前，招标人可以以“补充答疑”的形式在江苏政府采购网、盐城市政府采购网上修改招标文件。如果修改招标文件的时间距投标截止时间不足15天，且修改内容影响投标文件编制的，相应延长投标截止时间。</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2.4 投标人提出异议截止时间</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2.4.1 潜在投标人对招标文件有异议的，可以在知道或者应知其权益受到损害之日起七个工作日内，以书面形式向采购人提出质疑。</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3. 投标文件</w:t>
      </w:r>
      <w:bookmarkEnd w:id="135"/>
      <w:bookmarkEnd w:id="136"/>
      <w:bookmarkEnd w:id="137"/>
      <w:bookmarkEnd w:id="138"/>
      <w:bookmarkEnd w:id="139"/>
      <w:bookmarkEnd w:id="140"/>
      <w:bookmarkEnd w:id="141"/>
      <w:bookmarkEnd w:id="142"/>
      <w:bookmarkEnd w:id="143"/>
      <w:bookmarkEnd w:id="144"/>
      <w:bookmarkEnd w:id="145"/>
    </w:p>
    <w:bookmarkEnd w:id="146"/>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147" w:name="_Toc508216896"/>
      <w:bookmarkStart w:id="148" w:name="_Toc5625"/>
      <w:bookmarkStart w:id="149" w:name="_Toc387526300"/>
      <w:bookmarkStart w:id="150" w:name="_Toc387526392"/>
      <w:bookmarkStart w:id="151" w:name="_Toc387526196"/>
      <w:bookmarkStart w:id="152" w:name="_Toc397928566"/>
      <w:r>
        <w:rPr>
          <w:rFonts w:hint="eastAsia" w:ascii="宋体" w:hAnsi="宋体" w:eastAsia="宋体" w:cs="宋体"/>
          <w:sz w:val="21"/>
          <w:szCs w:val="21"/>
        </w:rPr>
        <w:t>3.1 投标文件的组成</w:t>
      </w:r>
      <w:bookmarkEnd w:id="147"/>
      <w:bookmarkEnd w:id="148"/>
      <w:bookmarkEnd w:id="149"/>
      <w:bookmarkEnd w:id="150"/>
      <w:bookmarkEnd w:id="151"/>
      <w:bookmarkEnd w:id="152"/>
    </w:p>
    <w:p>
      <w:pPr>
        <w:pStyle w:val="4"/>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3.1.1 投标文件组成见“投标人须知前附表”；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 xml:space="preserve">3.1.2 </w:t>
      </w:r>
      <w:r>
        <w:rPr>
          <w:rFonts w:hint="eastAsia" w:ascii="宋体" w:hAnsi="宋体" w:cs="宋体"/>
          <w:szCs w:val="21"/>
        </w:rPr>
        <w:t>建议参加投标的供应商在投标文件中详细说明以下内容：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A．企业的生产规模</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B．厂房面积</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C．产品的生产工艺、产品形状</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D．原料组成</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E．主要生产设备照片</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F．产品质量保证体系</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G．产品的使用说明书</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b w:val="0"/>
          <w:bCs w:val="0"/>
          <w:szCs w:val="21"/>
        </w:rPr>
      </w:pPr>
      <w:r>
        <w:rPr>
          <w:rFonts w:hint="eastAsia" w:ascii="宋体" w:hAnsi="宋体" w:cs="宋体"/>
          <w:b w:val="0"/>
          <w:bCs w:val="0"/>
          <w:szCs w:val="21"/>
        </w:rPr>
        <w:t>以上未曾涉及到的方面，投标人可自行增加补充说明的文件。</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53" w:name="_Toc387526197"/>
      <w:bookmarkStart w:id="154" w:name="_Toc387526393"/>
      <w:bookmarkStart w:id="155" w:name="_Toc10820"/>
      <w:bookmarkStart w:id="156" w:name="_Toc501967499"/>
      <w:bookmarkStart w:id="157" w:name="_Toc387526301"/>
      <w:bookmarkStart w:id="158" w:name="_Toc397928567"/>
      <w:r>
        <w:rPr>
          <w:rFonts w:hint="eastAsia" w:ascii="宋体" w:hAnsi="宋体" w:eastAsia="宋体" w:cs="宋体"/>
          <w:sz w:val="21"/>
          <w:szCs w:val="21"/>
        </w:rPr>
        <w:t>3.2 投标报价</w:t>
      </w:r>
      <w:bookmarkEnd w:id="153"/>
      <w:bookmarkEnd w:id="154"/>
      <w:bookmarkEnd w:id="155"/>
      <w:bookmarkEnd w:id="156"/>
      <w:bookmarkEnd w:id="157"/>
      <w:bookmarkEnd w:id="158"/>
    </w:p>
    <w:p>
      <w:pPr>
        <w:pageBreakBefore w:val="0"/>
        <w:kinsoku/>
        <w:wordWrap/>
        <w:overflowPunct/>
        <w:bidi w:val="0"/>
        <w:adjustRightInd/>
        <w:snapToGrid/>
        <w:spacing w:line="360" w:lineRule="auto"/>
        <w:ind w:firstLine="426" w:firstLineChars="200"/>
        <w:textAlignment w:val="auto"/>
        <w:rPr>
          <w:rFonts w:ascii="宋体" w:hAnsi="宋体" w:cs="宋体"/>
          <w:sz w:val="21"/>
          <w:szCs w:val="21"/>
        </w:rPr>
      </w:pPr>
      <w:r>
        <w:rPr>
          <w:rFonts w:hint="eastAsia" w:ascii="宋体" w:hAnsi="宋体" w:cs="宋体"/>
          <w:sz w:val="21"/>
          <w:szCs w:val="21"/>
        </w:rPr>
        <w:t>3.2.1投标报价应包含本招标文件中的全部内容所需的所有费用。</w:t>
      </w:r>
    </w:p>
    <w:p>
      <w:pPr>
        <w:pageBreakBefore w:val="0"/>
        <w:kinsoku/>
        <w:wordWrap/>
        <w:overflowPunct/>
        <w:bidi w:val="0"/>
        <w:adjustRightInd/>
        <w:snapToGrid/>
        <w:spacing w:line="360" w:lineRule="auto"/>
        <w:ind w:firstLine="426" w:firstLineChars="200"/>
        <w:textAlignment w:val="auto"/>
        <w:rPr>
          <w:rFonts w:ascii="宋体" w:hAnsi="宋体" w:cs="宋体"/>
          <w:sz w:val="21"/>
          <w:szCs w:val="21"/>
        </w:rPr>
      </w:pPr>
      <w:r>
        <w:rPr>
          <w:rFonts w:hint="eastAsia" w:ascii="宋体" w:hAnsi="宋体" w:cs="宋体"/>
          <w:sz w:val="21"/>
          <w:szCs w:val="21"/>
        </w:rPr>
        <w:t>3.2.2投标人按投标人须知前附表的具体规定进行报价。</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 w:val="21"/>
          <w:szCs w:val="21"/>
        </w:rPr>
        <w:t>3.2.3招标人设有最高投标限价的，投标人的投标报价不得超过最高投标限价，最高投标限价见投标人须知前附表。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3.2.4计价方式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pacing w:val="0"/>
          <w:sz w:val="21"/>
          <w:szCs w:val="21"/>
        </w:rPr>
        <w:t>本次招标计价方式采用“固定</w:t>
      </w:r>
      <w:r>
        <w:rPr>
          <w:rFonts w:hint="eastAsia" w:ascii="宋体" w:hAnsi="宋体" w:cs="宋体"/>
          <w:spacing w:val="0"/>
          <w:sz w:val="21"/>
          <w:szCs w:val="21"/>
          <w:lang w:val="en-US" w:eastAsia="zh-CN"/>
        </w:rPr>
        <w:t>单价</w:t>
      </w:r>
      <w:r>
        <w:rPr>
          <w:rFonts w:hint="eastAsia" w:ascii="宋体" w:hAnsi="宋体" w:cs="宋体"/>
          <w:spacing w:val="0"/>
          <w:sz w:val="21"/>
          <w:szCs w:val="21"/>
        </w:rPr>
        <w:t>”报价，投标报价应是在投标文件所承诺的服务期限内并达到投标人所承诺的质量标准为完成招标文件所确定的招标范围的全部内容所需费用的全部价格体现。投标人应充分考虑为完成上述内容所必须的应包括服务期内为完成本项目服务可能发生的全部费用及利润、税金等</w:t>
      </w:r>
      <w:r>
        <w:rPr>
          <w:rFonts w:hint="eastAsia" w:ascii="宋体" w:hAnsi="宋体" w:cs="宋体"/>
          <w:szCs w:val="21"/>
        </w:rPr>
        <w:t>。</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bookmarkStart w:id="159" w:name="_Toc387526198"/>
      <w:bookmarkStart w:id="160" w:name="_Toc21008"/>
      <w:bookmarkStart w:id="161" w:name="_Toc387526394"/>
      <w:bookmarkStart w:id="162" w:name="_Toc387526302"/>
      <w:bookmarkStart w:id="163" w:name="_Toc397928568"/>
      <w:bookmarkStart w:id="164" w:name="_Toc501967500"/>
      <w:r>
        <w:rPr>
          <w:rFonts w:hint="eastAsia" w:ascii="宋体" w:hAnsi="宋体" w:cs="宋体"/>
          <w:szCs w:val="21"/>
        </w:rPr>
        <w:t>3.2.5报价要求</w:t>
      </w:r>
    </w:p>
    <w:p>
      <w:pPr>
        <w:pStyle w:val="17"/>
        <w:pageBreakBefore w:val="0"/>
        <w:kinsoku/>
        <w:wordWrap/>
        <w:overflowPunct/>
        <w:bidi w:val="0"/>
        <w:adjustRightInd/>
        <w:snapToGrid/>
        <w:spacing w:line="360" w:lineRule="auto"/>
        <w:ind w:firstLine="426" w:firstLineChars="200"/>
        <w:jc w:val="left"/>
        <w:textAlignment w:val="auto"/>
        <w:rPr>
          <w:rFonts w:ascii="宋体" w:hAnsi="宋体" w:cs="宋体"/>
          <w:b/>
          <w:bCs/>
          <w:szCs w:val="21"/>
        </w:rPr>
      </w:pPr>
      <w:r>
        <w:rPr>
          <w:rFonts w:hint="eastAsia" w:ascii="宋体" w:hAnsi="宋体" w:cs="宋体"/>
          <w:szCs w:val="21"/>
        </w:rPr>
        <w:t>投标人应先到项目现场踏勘以充分了解项目实施地点位置、情况、道路、以及任何其他足以影响报价的情况，任何因忽视或误解而导致的索赔或</w:t>
      </w:r>
      <w:r>
        <w:rPr>
          <w:rFonts w:hint="eastAsia" w:ascii="宋体" w:hAnsi="宋体" w:cs="宋体"/>
          <w:szCs w:val="21"/>
          <w:lang w:val="en-US" w:eastAsia="zh-CN"/>
        </w:rPr>
        <w:t>工</w:t>
      </w:r>
      <w:r>
        <w:rPr>
          <w:rFonts w:hint="eastAsia" w:ascii="宋体" w:hAnsi="宋体" w:cs="宋体"/>
          <w:szCs w:val="21"/>
        </w:rPr>
        <w:t xml:space="preserve">期延长申请将不被批准。 </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r>
        <w:rPr>
          <w:rFonts w:hint="eastAsia" w:ascii="宋体" w:hAnsi="宋体" w:eastAsia="宋体" w:cs="宋体"/>
          <w:sz w:val="21"/>
          <w:szCs w:val="21"/>
        </w:rPr>
        <w:t>3.3 投标有效期</w:t>
      </w:r>
      <w:bookmarkEnd w:id="159"/>
      <w:bookmarkEnd w:id="160"/>
      <w:bookmarkEnd w:id="161"/>
      <w:bookmarkEnd w:id="162"/>
      <w:bookmarkEnd w:id="163"/>
      <w:bookmarkEnd w:id="164"/>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3.3.1 在投标人须知前附表第3.3.1条规定的投标有效期内，投标人不得要求撤销或修改其投标文件。</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 w:val="21"/>
          <w:szCs w:val="21"/>
        </w:rPr>
        <w:t>3.3.2出现特殊情况需要延长投标有效期的，招标人应通知所有投标人延长投标有效期。投标人同意延长的，应相应延长其投标保证金的有效期，但不得要求或被允许修改或撤销其投标文件；投标人拒绝延长的，其投标失效。</w:t>
      </w:r>
      <w:r>
        <w:rPr>
          <w:rFonts w:hint="eastAsia" w:ascii="宋体" w:hAnsi="宋体" w:cs="宋体"/>
          <w:szCs w:val="21"/>
        </w:rPr>
        <w:t xml:space="preserve"> </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65" w:name="_Toc387526303"/>
      <w:bookmarkStart w:id="166" w:name="_Toc397928569"/>
      <w:bookmarkStart w:id="167" w:name="_Toc387526395"/>
      <w:bookmarkStart w:id="168" w:name="_Toc387526199"/>
      <w:bookmarkStart w:id="169" w:name="_Toc501967501"/>
      <w:bookmarkStart w:id="170" w:name="_Toc15701"/>
      <w:r>
        <w:rPr>
          <w:rFonts w:hint="eastAsia" w:ascii="宋体" w:hAnsi="宋体" w:eastAsia="宋体" w:cs="宋体"/>
          <w:sz w:val="21"/>
          <w:szCs w:val="21"/>
        </w:rPr>
        <w:t>3.4投标保证金</w:t>
      </w:r>
      <w:bookmarkEnd w:id="165"/>
      <w:bookmarkEnd w:id="166"/>
      <w:bookmarkEnd w:id="167"/>
      <w:bookmarkEnd w:id="168"/>
      <w:bookmarkEnd w:id="169"/>
      <w:bookmarkEnd w:id="170"/>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71" w:name="_Toc24952"/>
      <w:bookmarkStart w:id="172" w:name="_Toc397928570"/>
      <w:bookmarkStart w:id="173" w:name="_Toc501967502"/>
      <w:bookmarkStart w:id="174" w:name="_Toc339359765"/>
      <w:bookmarkStart w:id="175" w:name="_Toc269310939"/>
      <w:bookmarkStart w:id="176" w:name="_Toc324255909"/>
      <w:r>
        <w:rPr>
          <w:rFonts w:hint="eastAsia" w:ascii="宋体" w:hAnsi="宋体" w:cs="宋体"/>
          <w:szCs w:val="21"/>
        </w:rPr>
        <w:t>参照执行苏财购[2020]52号文《关于做好政府采购支持企业发展有关事项的通知》，本项目不需要缴纳投标保证金。</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bCs/>
          <w:sz w:val="21"/>
          <w:szCs w:val="21"/>
        </w:rPr>
      </w:pPr>
      <w:r>
        <w:rPr>
          <w:rFonts w:hint="eastAsia" w:ascii="宋体" w:hAnsi="宋体" w:eastAsia="宋体" w:cs="宋体"/>
          <w:bCs/>
          <w:sz w:val="21"/>
          <w:szCs w:val="21"/>
        </w:rPr>
        <w:t>3.5 资格审查资料</w:t>
      </w:r>
      <w:bookmarkEnd w:id="171"/>
      <w:bookmarkEnd w:id="172"/>
      <w:bookmarkEnd w:id="173"/>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77" w:name="_Toc501967503"/>
      <w:bookmarkStart w:id="178" w:name="_Toc387526396"/>
      <w:bookmarkStart w:id="179" w:name="_Toc387526304"/>
      <w:bookmarkStart w:id="180" w:name="_Toc22895"/>
      <w:bookmarkStart w:id="181" w:name="_Toc397928571"/>
      <w:bookmarkStart w:id="182" w:name="_Toc387526200"/>
      <w:r>
        <w:rPr>
          <w:rFonts w:hint="eastAsia" w:ascii="宋体" w:hAnsi="宋体" w:cs="宋体"/>
          <w:szCs w:val="21"/>
        </w:rPr>
        <w:t>3.5.1 投标文件中提供以下资格审查资料</w:t>
      </w:r>
      <w:r>
        <w:rPr>
          <w:rFonts w:hint="eastAsia" w:ascii="宋体" w:hAnsi="宋体" w:cs="宋体"/>
          <w:szCs w:val="21"/>
          <w:lang w:val="en-US" w:eastAsia="zh-CN"/>
        </w:rPr>
        <w:t>（关键信息齐全、清晰可辨）</w:t>
      </w:r>
      <w:r>
        <w:rPr>
          <w:rFonts w:hint="eastAsia" w:ascii="宋体" w:hAnsi="宋体" w:cs="宋体"/>
          <w:szCs w:val="21"/>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b/>
          <w:bCs/>
          <w:szCs w:val="21"/>
          <w:lang w:val="en-US" w:eastAsia="zh-CN"/>
        </w:rPr>
      </w:pPr>
      <w:r>
        <w:rPr>
          <w:rFonts w:hint="eastAsia" w:ascii="宋体" w:hAnsi="宋体" w:cs="宋体"/>
          <w:b/>
          <w:bCs/>
          <w:szCs w:val="21"/>
        </w:rPr>
        <w:t>（1）投标企业营业执照</w:t>
      </w:r>
      <w:r>
        <w:rPr>
          <w:rFonts w:hint="eastAsia" w:ascii="宋体" w:hAnsi="宋体" w:cs="宋体"/>
          <w:b/>
          <w:bCs/>
          <w:szCs w:val="21"/>
          <w:lang w:val="en-US" w:eastAsia="zh-CN"/>
        </w:rPr>
        <w:t>复印件</w:t>
      </w:r>
      <w:r>
        <w:rPr>
          <w:rFonts w:hint="eastAsia" w:ascii="宋体" w:hAnsi="宋体" w:cs="宋体"/>
          <w:b/>
          <w:bCs/>
          <w:szCs w:val="21"/>
        </w:rPr>
        <w:t>；（2）书面声明；</w:t>
      </w: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lang w:eastAsia="zh-CN"/>
        </w:rPr>
        <w:t>）</w:t>
      </w:r>
      <w:r>
        <w:rPr>
          <w:rFonts w:hint="eastAsia" w:ascii="宋体" w:hAnsi="宋体" w:cs="宋体"/>
          <w:b/>
          <w:bCs/>
          <w:szCs w:val="21"/>
          <w:lang w:val="zh-CN" w:eastAsia="zh-CN"/>
        </w:rPr>
        <w:t>肥料登记证</w:t>
      </w:r>
      <w:r>
        <w:rPr>
          <w:rFonts w:hint="eastAsia" w:ascii="宋体" w:hAnsi="宋体" w:cs="宋体"/>
          <w:b/>
          <w:bCs/>
          <w:szCs w:val="21"/>
          <w:lang w:val="en-US" w:eastAsia="zh-CN"/>
        </w:rPr>
        <w:t>或官方网站备案号查询页面截图复印件。</w:t>
      </w:r>
    </w:p>
    <w:bookmarkEnd w:id="174"/>
    <w:bookmarkEnd w:id="175"/>
    <w:bookmarkEnd w:id="176"/>
    <w:bookmarkEnd w:id="177"/>
    <w:bookmarkEnd w:id="178"/>
    <w:bookmarkEnd w:id="179"/>
    <w:bookmarkEnd w:id="180"/>
    <w:bookmarkEnd w:id="181"/>
    <w:bookmarkEnd w:id="182"/>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83" w:name="_Toc387526306"/>
      <w:bookmarkStart w:id="184" w:name="_Toc368760430"/>
      <w:bookmarkStart w:id="185" w:name="_Toc363329373"/>
      <w:bookmarkStart w:id="186" w:name="_Toc369077564"/>
      <w:bookmarkStart w:id="187" w:name="_Toc397928573"/>
      <w:bookmarkStart w:id="188" w:name="_Toc368759378"/>
      <w:bookmarkStart w:id="189" w:name="_Toc501967505"/>
      <w:bookmarkStart w:id="190" w:name="_Toc184635074"/>
      <w:bookmarkStart w:id="191" w:name="_Toc24421"/>
      <w:bookmarkStart w:id="192" w:name="_Toc367894801"/>
      <w:bookmarkStart w:id="193" w:name="_Toc387526202"/>
      <w:bookmarkStart w:id="194" w:name="_Toc387526398"/>
      <w:bookmarkStart w:id="195" w:name="_Toc368759379"/>
      <w:bookmarkStart w:id="196" w:name="_Toc367894802"/>
      <w:bookmarkStart w:id="197" w:name="_Toc363329374"/>
      <w:bookmarkStart w:id="198" w:name="_Toc184635075"/>
      <w:r>
        <w:rPr>
          <w:rFonts w:hint="eastAsia" w:ascii="宋体" w:hAnsi="宋体" w:cs="宋体"/>
          <w:szCs w:val="21"/>
        </w:rPr>
        <w:t>3.6 投标文件的编制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3.6.1 投标文件应按第六章“投标文件格式”进行编写，如有必要可自行增加，作为投标文件的组成部分。</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b/>
          <w:bCs/>
          <w:color w:val="auto"/>
          <w:szCs w:val="21"/>
        </w:rPr>
      </w:pPr>
      <w:r>
        <w:rPr>
          <w:rFonts w:hint="eastAsia" w:ascii="宋体" w:hAnsi="宋体" w:cs="宋体"/>
          <w:b w:val="0"/>
          <w:bCs w:val="0"/>
          <w:color w:val="auto"/>
          <w:szCs w:val="21"/>
        </w:rPr>
        <w:t>3.6.2 投标人应将投标文件正本1份，副本</w:t>
      </w:r>
      <w:r>
        <w:rPr>
          <w:rFonts w:hint="eastAsia" w:ascii="宋体" w:hAnsi="宋体" w:cs="宋体"/>
          <w:b w:val="0"/>
          <w:bCs w:val="0"/>
          <w:color w:val="auto"/>
          <w:szCs w:val="21"/>
          <w:lang w:val="en-US" w:eastAsia="zh-CN"/>
        </w:rPr>
        <w:t>4</w:t>
      </w:r>
      <w:r>
        <w:rPr>
          <w:rFonts w:hint="eastAsia" w:ascii="宋体" w:hAnsi="宋体" w:cs="宋体"/>
          <w:b w:val="0"/>
          <w:bCs w:val="0"/>
          <w:color w:val="auto"/>
          <w:szCs w:val="21"/>
        </w:rPr>
        <w:t>份单独装订成册，放入一个密封袋密封，投标文件的封面应注明“正本</w:t>
      </w:r>
      <w:r>
        <w:rPr>
          <w:rFonts w:hint="eastAsia" w:ascii="宋体" w:hAnsi="宋体" w:cs="宋体"/>
          <w:b w:val="0"/>
          <w:bCs w:val="0"/>
          <w:color w:val="auto"/>
          <w:szCs w:val="21"/>
          <w:lang w:eastAsia="zh-CN"/>
        </w:rPr>
        <w:t>”“</w:t>
      </w:r>
      <w:r>
        <w:rPr>
          <w:rFonts w:hint="eastAsia" w:ascii="宋体" w:hAnsi="宋体" w:cs="宋体"/>
          <w:b w:val="0"/>
          <w:bCs w:val="0"/>
          <w:color w:val="auto"/>
          <w:szCs w:val="21"/>
        </w:rPr>
        <w:t>副本”字样。</w:t>
      </w:r>
      <w:r>
        <w:rPr>
          <w:rFonts w:hint="eastAsia" w:ascii="宋体" w:hAnsi="宋体" w:cs="宋体"/>
          <w:b/>
          <w:bCs/>
          <w:color w:val="auto"/>
          <w:szCs w:val="21"/>
        </w:rPr>
        <w:t>采用活页装订的投标文件按无效投标文件处理。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3.6.3 投标文件应当对招标文件有关服务期、投标有效期、质量要求、技术标准和要求、招标范围等实质性内容作出响应。</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r>
        <w:rPr>
          <w:rFonts w:hint="eastAsia" w:ascii="宋体" w:hAnsi="宋体" w:eastAsia="宋体" w:cs="宋体"/>
          <w:sz w:val="21"/>
          <w:szCs w:val="21"/>
        </w:rPr>
        <w:t>3.6.</w:t>
      </w:r>
      <w:r>
        <w:rPr>
          <w:rFonts w:hint="eastAsia" w:ascii="宋体" w:hAnsi="宋体" w:eastAsia="宋体" w:cs="宋体"/>
          <w:sz w:val="21"/>
          <w:szCs w:val="21"/>
          <w:lang w:val="en-US" w:eastAsia="zh-CN"/>
        </w:rPr>
        <w:t>4</w:t>
      </w:r>
      <w:r>
        <w:rPr>
          <w:rFonts w:hint="eastAsia" w:ascii="宋体" w:hAnsi="宋体" w:eastAsia="宋体" w:cs="宋体"/>
          <w:sz w:val="21"/>
          <w:szCs w:val="21"/>
        </w:rPr>
        <w:t>补充内容：投标文件编制的其它要求详见投标人须知前附表。</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r>
        <w:rPr>
          <w:rFonts w:hint="eastAsia" w:ascii="宋体" w:hAnsi="宋体" w:eastAsia="宋体" w:cs="宋体"/>
          <w:sz w:val="21"/>
          <w:szCs w:val="21"/>
        </w:rPr>
        <w:t>3.7 备选投标方案</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除投标人须知前附表另有规定外，投标人不得提交备选投标方案。允许投标人提交备选投标方案的，只有中标候选人的投标人，其所提交的备选投标方案方可予以考虑。评标委员会认为中标候选人的备选投标方案优于其按照招标文件要求编制的投标方案的，招标人可以接受该备选投标方案。</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4. 投标</w:t>
      </w:r>
      <w:bookmarkEnd w:id="183"/>
      <w:bookmarkEnd w:id="184"/>
      <w:bookmarkEnd w:id="185"/>
      <w:bookmarkEnd w:id="186"/>
      <w:bookmarkEnd w:id="187"/>
      <w:bookmarkEnd w:id="188"/>
      <w:bookmarkEnd w:id="189"/>
      <w:bookmarkEnd w:id="190"/>
      <w:bookmarkEnd w:id="191"/>
      <w:bookmarkEnd w:id="192"/>
      <w:bookmarkEnd w:id="193"/>
      <w:bookmarkEnd w:id="19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99" w:name="_Toc501967510"/>
      <w:bookmarkStart w:id="200" w:name="_Toc397928578"/>
      <w:bookmarkStart w:id="201" w:name="_Toc22329"/>
      <w:bookmarkStart w:id="202" w:name="_Toc387526402"/>
      <w:bookmarkStart w:id="203" w:name="_Toc369077565"/>
      <w:bookmarkStart w:id="204" w:name="_Toc368760431"/>
      <w:bookmarkStart w:id="205" w:name="_Toc387526206"/>
      <w:bookmarkStart w:id="206" w:name="_Toc387526310"/>
      <w:bookmarkStart w:id="207" w:name="_Toc246996210"/>
      <w:bookmarkStart w:id="208" w:name="_Toc179632584"/>
      <w:bookmarkStart w:id="209" w:name="_Toc247085724"/>
      <w:bookmarkStart w:id="210" w:name="_Toc246996953"/>
      <w:bookmarkStart w:id="211" w:name="_Toc152045566"/>
      <w:bookmarkStart w:id="212" w:name="_Toc152042342"/>
      <w:bookmarkStart w:id="213" w:name="_Toc366679697"/>
      <w:bookmarkStart w:id="214" w:name="_Toc144974534"/>
      <w:bookmarkStart w:id="215" w:name="_Toc368759381"/>
      <w:r>
        <w:rPr>
          <w:rFonts w:hint="eastAsia" w:ascii="宋体" w:hAnsi="宋体" w:cs="宋体"/>
          <w:szCs w:val="21"/>
        </w:rPr>
        <w:t>4.1 投标文件的加密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4.1.1 投标文件应</w:t>
      </w:r>
      <w:r>
        <w:rPr>
          <w:rFonts w:hint="eastAsia" w:ascii="宋体" w:hAnsi="宋体" w:cs="宋体"/>
          <w:szCs w:val="21"/>
          <w:lang w:val="en-US" w:eastAsia="zh-CN"/>
        </w:rPr>
        <w:t>密封装订</w:t>
      </w:r>
      <w:r>
        <w:rPr>
          <w:rFonts w:hint="eastAsia" w:ascii="宋体" w:hAnsi="宋体" w:cs="宋体"/>
          <w:szCs w:val="21"/>
        </w:rPr>
        <w:t>。</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4.1.2 未按本章第4.1.1项要求加密的投标文件，招标人拒收。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 投标文件的提交</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4.2.1 投标人应在招标文件规定的投标文件提交截止时间前完成投标文件的提交。</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4.2.2 投标人提交投标文件的地点：见投标人须知前附表。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4.2.3 除招标文件另有规定外，投标人所提交的投标文件不予退还。</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w:t>
      </w:r>
      <w:r>
        <w:rPr>
          <w:rFonts w:hint="eastAsia" w:ascii="宋体" w:hAnsi="宋体" w:cs="宋体"/>
          <w:szCs w:val="21"/>
          <w:lang w:val="en-US" w:eastAsia="zh-CN"/>
        </w:rPr>
        <w:t>4</w:t>
      </w:r>
      <w:r>
        <w:rPr>
          <w:rFonts w:hint="eastAsia" w:ascii="宋体" w:hAnsi="宋体" w:cs="宋体"/>
          <w:szCs w:val="21"/>
        </w:rPr>
        <w:t>有下列情形之一的投标文件拒收并退回：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1）投标文件逾期提交的。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2）投标文件</w:t>
      </w:r>
      <w:r>
        <w:rPr>
          <w:rFonts w:hint="eastAsia" w:ascii="宋体" w:hAnsi="宋体" w:cs="宋体"/>
          <w:szCs w:val="21"/>
          <w:lang w:val="en-US" w:eastAsia="zh-CN"/>
        </w:rPr>
        <w:t>未按要求密封</w:t>
      </w:r>
      <w:r>
        <w:rPr>
          <w:rFonts w:hint="eastAsia" w:ascii="宋体" w:hAnsi="宋体" w:cs="宋体"/>
          <w:szCs w:val="21"/>
        </w:rPr>
        <w:t>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 投标文件的修改与撤回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4.3.1 在投标人须知前附表规定的投标文件提交截止时间前，投标人可以多次修改或撤回已提交的投标文件，最终投标文件以投标文件提交截止时间前完成上传的最后一份投标文件为准。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4.3.2 修改的投标文件应按照本章第3.6条、第4.2条规定进行编制和提交。</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4.3.3投标文件提交截止时间之后，在投标有效期内，投标人不得修改或撤回投标文件。</w:t>
      </w:r>
    </w:p>
    <w:bookmarkEnd w:id="199"/>
    <w:bookmarkEnd w:id="200"/>
    <w:bookmarkEnd w:id="201"/>
    <w:bookmarkEnd w:id="202"/>
    <w:bookmarkEnd w:id="203"/>
    <w:bookmarkEnd w:id="204"/>
    <w:bookmarkEnd w:id="205"/>
    <w:bookmarkEnd w:id="206"/>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216" w:name="_Toc508216908"/>
      <w:bookmarkStart w:id="217" w:name="_Toc387526209"/>
      <w:bookmarkStart w:id="218" w:name="_Toc369077566"/>
      <w:bookmarkStart w:id="219" w:name="_Toc368759380"/>
      <w:bookmarkStart w:id="220" w:name="_Toc387526405"/>
      <w:bookmarkStart w:id="221" w:name="_Toc22517"/>
      <w:bookmarkStart w:id="222" w:name="_Toc501967513"/>
      <w:bookmarkStart w:id="223" w:name="_Toc367894803"/>
      <w:bookmarkStart w:id="224" w:name="_Toc397928581"/>
      <w:bookmarkStart w:id="225" w:name="_Toc184635076"/>
      <w:bookmarkStart w:id="226" w:name="_Toc368760432"/>
      <w:bookmarkStart w:id="227" w:name="_Toc363329375"/>
      <w:bookmarkStart w:id="228" w:name="_Toc387526313"/>
      <w:r>
        <w:rPr>
          <w:rFonts w:hint="eastAsia" w:ascii="宋体" w:hAnsi="宋体"/>
          <w:color w:val="auto"/>
          <w:sz w:val="21"/>
          <w:szCs w:val="21"/>
        </w:rPr>
        <w:t>5.开标</w:t>
      </w:r>
      <w:bookmarkEnd w:id="216"/>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5.1 开标时间、地点和</w:t>
      </w:r>
      <w:r>
        <w:rPr>
          <w:rFonts w:hint="eastAsia" w:ascii="宋体" w:hAnsi="宋体" w:cs="宋体"/>
          <w:szCs w:val="21"/>
          <w:lang w:val="en-US" w:eastAsia="zh-CN"/>
        </w:rPr>
        <w:t>开标流程</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rPr>
        <w:t>5.1.1开标时间、地点详见投标须知前附表5.1.1规定的时间、地点</w:t>
      </w:r>
      <w:r>
        <w:rPr>
          <w:rFonts w:hint="eastAsia" w:ascii="宋体" w:hAnsi="宋体" w:cs="宋体"/>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5.1.2参加开标会的</w:t>
      </w:r>
      <w:r>
        <w:rPr>
          <w:rFonts w:hint="eastAsia" w:ascii="宋体" w:hAnsi="宋体" w:cs="宋体"/>
          <w:szCs w:val="21"/>
          <w:lang w:val="en-US" w:eastAsia="zh-CN"/>
        </w:rPr>
        <w:t>方法</w:t>
      </w:r>
      <w:r>
        <w:rPr>
          <w:rFonts w:hint="eastAsia" w:ascii="宋体" w:hAnsi="宋体" w:cs="宋体"/>
          <w:szCs w:val="21"/>
        </w:rPr>
        <w:t>详见投标人须知前附表5.1.2</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5.2 开标程序</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5.2.</w:t>
      </w:r>
      <w:r>
        <w:rPr>
          <w:rFonts w:hint="eastAsia" w:ascii="宋体" w:hAnsi="宋体" w:cs="宋体"/>
          <w:b/>
          <w:bCs/>
          <w:szCs w:val="21"/>
          <w:lang w:val="en-US" w:eastAsia="zh-CN"/>
        </w:rPr>
        <w:t>1</w:t>
      </w:r>
      <w:r>
        <w:rPr>
          <w:rFonts w:hint="eastAsia" w:ascii="宋体" w:hAnsi="宋体" w:cs="宋体"/>
          <w:b/>
          <w:bCs/>
          <w:szCs w:val="21"/>
        </w:rPr>
        <w:t>开（唱）标</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（1）宣布开标纪律；</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（2）宣布招标人、招标代理机构及相关监管人员出席开标会的有关人员姓名；</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（3）招标人或其招标人代表检查投标文件密封的完整性；</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（4）当众唱标，宣读投标人名称、报价、</w:t>
      </w:r>
      <w:r>
        <w:rPr>
          <w:rFonts w:hint="eastAsia" w:ascii="宋体" w:hAnsi="宋体" w:cs="宋体"/>
          <w:szCs w:val="21"/>
          <w:lang w:val="en-US" w:eastAsia="zh-CN"/>
        </w:rPr>
        <w:t>授权委托</w:t>
      </w:r>
      <w:r>
        <w:rPr>
          <w:rFonts w:hint="eastAsia" w:ascii="宋体" w:hAnsi="宋体" w:cs="宋体"/>
          <w:szCs w:val="21"/>
        </w:rPr>
        <w:t>人及其他内容；</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（5）投标人对开标有异议的，应当在开标现场提出，由招标人答复并制作记录，未提出异议的视为认同；</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（6）开标会议结束。</w:t>
      </w:r>
    </w:p>
    <w:bookmarkEnd w:id="217"/>
    <w:bookmarkEnd w:id="218"/>
    <w:bookmarkEnd w:id="219"/>
    <w:bookmarkEnd w:id="220"/>
    <w:bookmarkEnd w:id="221"/>
    <w:bookmarkEnd w:id="222"/>
    <w:bookmarkEnd w:id="223"/>
    <w:bookmarkEnd w:id="224"/>
    <w:bookmarkEnd w:id="225"/>
    <w:bookmarkEnd w:id="226"/>
    <w:bookmarkEnd w:id="227"/>
    <w:bookmarkEnd w:id="228"/>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bookmarkStart w:id="229" w:name="_Toc501967519"/>
      <w:r>
        <w:rPr>
          <w:rFonts w:hint="eastAsia" w:ascii="宋体" w:hAnsi="宋体" w:cs="宋体"/>
          <w:szCs w:val="21"/>
        </w:rPr>
        <w:t>5.</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 xml:space="preserve"> 投标人对开标有异议的，应当在开标过程中当场提出，招标人当场予以答复，并制作记录。</w:t>
      </w:r>
    </w:p>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r>
        <w:rPr>
          <w:rFonts w:hint="eastAsia" w:ascii="宋体" w:hAnsi="宋体"/>
          <w:color w:val="auto"/>
          <w:sz w:val="21"/>
          <w:szCs w:val="21"/>
        </w:rPr>
        <w:t>6.评标</w:t>
      </w:r>
      <w:bookmarkStart w:id="230" w:name="_Toc9909"/>
      <w:bookmarkStart w:id="231" w:name="_Toc387526210"/>
      <w:bookmarkStart w:id="232" w:name="_Toc397928582"/>
      <w:bookmarkStart w:id="233" w:name="_Toc387526314"/>
      <w:bookmarkStart w:id="234" w:name="_Toc387526406"/>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35" w:name="_Toc508216911"/>
      <w:r>
        <w:rPr>
          <w:rFonts w:hint="eastAsia" w:ascii="宋体" w:hAnsi="宋体" w:eastAsia="宋体" w:cs="宋体"/>
          <w:sz w:val="21"/>
          <w:szCs w:val="21"/>
        </w:rPr>
        <w:t>6.1 评标委员会</w:t>
      </w:r>
      <w:bookmarkEnd w:id="230"/>
      <w:bookmarkEnd w:id="231"/>
      <w:bookmarkEnd w:id="232"/>
      <w:bookmarkEnd w:id="233"/>
      <w:bookmarkEnd w:id="234"/>
      <w:bookmarkEnd w:id="235"/>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236" w:name="_Toc339359778"/>
      <w:bookmarkStart w:id="237" w:name="_Toc324255922"/>
      <w:bookmarkStart w:id="238" w:name="_Toc269310951"/>
      <w:r>
        <w:rPr>
          <w:rFonts w:hint="eastAsia" w:ascii="宋体" w:hAnsi="宋体" w:cs="宋体"/>
          <w:szCs w:val="21"/>
        </w:rPr>
        <w:t>6.1.1 评标由招标人依法组建的评标委员会负责。评标委员会由招标人代表以及有关技术、经济等方面的专家组成。评标委员会成员人数以及技术、经济等方面专家的确定方式见投标人须知前附表。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6.1.2 评标委员会成员有下列情形之一的，应当回避：</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（1）投标人或投标人主要负责人的近亲属；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（2）项目主管部门或者行政监督部门的人员；</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（3）与投标人有经济利益关系；</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（4）曾因在招标、评标以及其他与招标投标有关活动中从事违法行为而受过行政处罚或刑事处罚的，且在处罚期内。</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39" w:name="_Toc12316"/>
      <w:bookmarkStart w:id="240" w:name="_Toc387526315"/>
      <w:bookmarkStart w:id="241" w:name="_Toc508216912"/>
      <w:bookmarkStart w:id="242" w:name="_Toc387526407"/>
      <w:bookmarkStart w:id="243" w:name="_Toc397928583"/>
      <w:bookmarkStart w:id="244" w:name="_Toc387526211"/>
      <w:r>
        <w:rPr>
          <w:rFonts w:hint="eastAsia" w:ascii="宋体" w:hAnsi="宋体" w:eastAsia="宋体" w:cs="宋体"/>
          <w:sz w:val="21"/>
          <w:szCs w:val="21"/>
        </w:rPr>
        <w:t>6.2</w:t>
      </w:r>
      <w:bookmarkEnd w:id="236"/>
      <w:bookmarkEnd w:id="237"/>
      <w:bookmarkEnd w:id="238"/>
      <w:r>
        <w:rPr>
          <w:rFonts w:hint="eastAsia" w:ascii="宋体" w:hAnsi="宋体" w:eastAsia="宋体" w:cs="宋体"/>
          <w:sz w:val="21"/>
          <w:szCs w:val="21"/>
        </w:rPr>
        <w:t xml:space="preserve"> 评标原则</w:t>
      </w:r>
      <w:bookmarkEnd w:id="239"/>
      <w:bookmarkEnd w:id="240"/>
      <w:bookmarkEnd w:id="241"/>
      <w:bookmarkEnd w:id="242"/>
      <w:bookmarkEnd w:id="243"/>
      <w:bookmarkEnd w:id="24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评标活动遵循公平、公正、科学和择优的原则。</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45" w:name="_Toc247085723"/>
      <w:bookmarkStart w:id="246" w:name="_Toc152045565"/>
      <w:bookmarkStart w:id="247" w:name="_Toc152042341"/>
      <w:bookmarkStart w:id="248" w:name="_Toc397928584"/>
      <w:bookmarkStart w:id="249" w:name="_Toc179632583"/>
      <w:bookmarkStart w:id="250" w:name="_Toc246996209"/>
      <w:bookmarkStart w:id="251" w:name="_Toc387526316"/>
      <w:bookmarkStart w:id="252" w:name="_Toc366679696"/>
      <w:bookmarkStart w:id="253" w:name="_Toc144974533"/>
      <w:bookmarkStart w:id="254" w:name="_Toc387526212"/>
      <w:bookmarkStart w:id="255" w:name="_Toc6500"/>
      <w:bookmarkStart w:id="256" w:name="_Toc508216913"/>
      <w:bookmarkStart w:id="257" w:name="_Toc387526408"/>
      <w:bookmarkStart w:id="258" w:name="_Toc246996952"/>
      <w:r>
        <w:rPr>
          <w:rFonts w:hint="eastAsia" w:ascii="宋体" w:hAnsi="宋体" w:eastAsia="宋体" w:cs="宋体"/>
          <w:sz w:val="21"/>
          <w:szCs w:val="21"/>
        </w:rPr>
        <w:t>6.3 评标</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59" w:name="_Toc508216915"/>
      <w:r>
        <w:rPr>
          <w:rFonts w:hint="eastAsia" w:ascii="宋体" w:hAnsi="宋体" w:eastAsia="宋体" w:cs="宋体"/>
          <w:sz w:val="21"/>
          <w:szCs w:val="21"/>
        </w:rPr>
        <w:t>6.4无效标书条款</w:t>
      </w:r>
      <w:bookmarkEnd w:id="259"/>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投标文件有下列情况之一的，属于重大偏差，视为未能对招标文件作出实质性响应，应当作为无效投标予以否决：</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（1）投标文件中的投标函未加盖投标人的公章；</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（2）投标文件中的投标函无企业法定代表人（或企业法定代表人委托代理人）印章（或签字）的；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 w:val="21"/>
          <w:szCs w:val="21"/>
        </w:rPr>
      </w:pPr>
      <w:r>
        <w:rPr>
          <w:rFonts w:hint="eastAsia" w:ascii="宋体" w:hAnsi="宋体" w:cs="宋体"/>
          <w:sz w:val="21"/>
          <w:szCs w:val="21"/>
        </w:rPr>
        <w:t>（3）企业法定代表人委托代理人没有合法、有效的委托书（原件）；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（4）投标人资格条件不符合国家有关规定或招标文件要求的；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（5）投标文件技术规格中参数超出招标文件</w:t>
      </w:r>
      <w:r>
        <w:rPr>
          <w:rFonts w:hint="eastAsia" w:ascii="宋体" w:hAnsi="宋体" w:cs="宋体"/>
          <w:sz w:val="21"/>
          <w:szCs w:val="21"/>
          <w:lang w:val="en-US" w:eastAsia="zh-CN"/>
        </w:rPr>
        <w:t>要求</w:t>
      </w:r>
      <w:r>
        <w:rPr>
          <w:rFonts w:hint="eastAsia" w:ascii="宋体" w:hAnsi="宋体" w:cs="宋体"/>
          <w:sz w:val="21"/>
          <w:szCs w:val="21"/>
        </w:rPr>
        <w:t>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（6）投标报价高于招标文件设定的最高投标限价的；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（7）投标文件的组成不符合招标文件要求的；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（8）投标人递交两份或多份内容不同的投标文件，或在一份投标文件中对同一招标标的报有两个或多个报价，且未声明哪一个为最终报价的，按招标文件规定提交备选投标方案的除外；</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（9）与招标文件提供的采购需求不相适应的；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（10）投标文件载明的招标项目完成期限超过招标文件规定的期限的，或期限达不到招标文件规定期限的要求；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（11）明显不符合技术规范、技术标准的要求的，技术服务方案明显未根据招标项目实际情况和采购需求编制，与项目实际情况严重不符的；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（12）投标文件载明的检验标准和方法等不符合招标文件要求的；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（13）投标文件提出的工程验收、计量、价款结算和付款方式不能满足招标文件要求或招标人不能接受；</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 xml:space="preserve">（14）不同投标人的投标文件出现了评标委员会认为不应当雷同的情况的；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 w:val="21"/>
          <w:szCs w:val="21"/>
        </w:rPr>
      </w:pPr>
      <w:r>
        <w:rPr>
          <w:rFonts w:hint="eastAsia" w:ascii="宋体" w:hAnsi="宋体" w:cs="宋体"/>
          <w:sz w:val="21"/>
          <w:szCs w:val="21"/>
        </w:rPr>
        <w:t>（15）以他人的名义投标、串通投标、以行贿手段谋取中标或者以其他弄虚作假方式投标的；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凡招标文件未明确的无效标条件，评标委员会不得作为判定无效标的依据，评标委员会也不得以不符合招标文件中规定的其他实质性要求作为判定无效标的依据。</w:t>
      </w:r>
    </w:p>
    <w:bookmarkEnd w:id="229"/>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60" w:name="_Toc508216916"/>
      <w:bookmarkStart w:id="261" w:name="_Toc368760433"/>
      <w:bookmarkStart w:id="262" w:name="_Toc387526317"/>
      <w:bookmarkStart w:id="263" w:name="_Toc387526213"/>
      <w:bookmarkStart w:id="264" w:name="_Toc397928586"/>
      <w:bookmarkStart w:id="265" w:name="_Toc387526409"/>
      <w:bookmarkStart w:id="266" w:name="_Toc22985"/>
      <w:bookmarkStart w:id="267" w:name="_Toc369077567"/>
      <w:bookmarkStart w:id="268" w:name="_Toc501967521"/>
      <w:r>
        <w:rPr>
          <w:rFonts w:hint="eastAsia" w:ascii="宋体" w:hAnsi="宋体" w:eastAsia="宋体" w:cs="宋体"/>
          <w:sz w:val="21"/>
          <w:szCs w:val="21"/>
        </w:rPr>
        <w:t>6.5重新招标</w:t>
      </w:r>
      <w:bookmarkEnd w:id="260"/>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投标截止后投标人不足3家或者通过资格审查、符合性审查的投标人不足3家的，除采购任务取消情形外，按照以下方式处理：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（1）招标文件存在不合理条款或者招标程序不符合规定的，采购人、采购代理机构改正后依法重新招标；    </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（2）招标文件没有不合理条款、招标程序符合规定，需要采用其他采购方式采购的，采购人应当依法报财政部门批准。</w:t>
      </w:r>
    </w:p>
    <w:bookmarkEnd w:id="195"/>
    <w:bookmarkEnd w:id="196"/>
    <w:bookmarkEnd w:id="197"/>
    <w:bookmarkEnd w:id="198"/>
    <w:bookmarkEnd w:id="207"/>
    <w:bookmarkEnd w:id="208"/>
    <w:bookmarkEnd w:id="209"/>
    <w:bookmarkEnd w:id="210"/>
    <w:bookmarkEnd w:id="211"/>
    <w:bookmarkEnd w:id="212"/>
    <w:bookmarkEnd w:id="213"/>
    <w:bookmarkEnd w:id="214"/>
    <w:bookmarkEnd w:id="215"/>
    <w:bookmarkEnd w:id="261"/>
    <w:bookmarkEnd w:id="262"/>
    <w:bookmarkEnd w:id="263"/>
    <w:bookmarkEnd w:id="264"/>
    <w:bookmarkEnd w:id="265"/>
    <w:bookmarkEnd w:id="266"/>
    <w:bookmarkEnd w:id="267"/>
    <w:bookmarkEnd w:id="268"/>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r>
        <w:rPr>
          <w:rFonts w:hint="eastAsia" w:ascii="宋体" w:hAnsi="宋体"/>
          <w:color w:val="auto"/>
          <w:sz w:val="21"/>
          <w:szCs w:val="21"/>
        </w:rPr>
        <w:t>7.评标结果公告</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7.1 采购代理机构应当在评标结束后2个工作日内将评标报告送采购人。采购人应当自收到评标报告之日起5个工作日内，在评标报告确定的中标候选人名单中按顺序确定中标人，中标人确定之日起2个工作日内在与招标公告相同的发布媒介上对评标结果进行公告。</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7.2 投标人或者其他利害关系人对评标结果有异议的，供应商认为评标结果使自己的权益受到损害的，可以在知道或者应知其权益受到损害之日起7个工作日内，以书面形式向招标人提出质疑。招标人自收到异议之日起7个工作日内作出答复。</w:t>
      </w:r>
      <w:bookmarkStart w:id="269" w:name="_Toc387526410"/>
      <w:bookmarkStart w:id="270" w:name="_Toc508216918"/>
      <w:bookmarkStart w:id="271" w:name="_Toc387526214"/>
      <w:bookmarkStart w:id="272" w:name="_Toc15824"/>
      <w:bookmarkStart w:id="273" w:name="_Toc387526318"/>
      <w:bookmarkStart w:id="274" w:name="_Toc397928587"/>
    </w:p>
    <w:p>
      <w:pPr>
        <w:pStyle w:val="111"/>
        <w:pageBreakBefore w:val="0"/>
        <w:kinsoku/>
        <w:wordWrap/>
        <w:overflowPunct/>
        <w:bidi w:val="0"/>
        <w:adjustRightInd/>
        <w:snapToGrid/>
        <w:ind w:firstLine="426" w:firstLineChars="200"/>
        <w:jc w:val="left"/>
        <w:textAlignment w:val="auto"/>
        <w:rPr>
          <w:rFonts w:hint="eastAsia" w:ascii="宋体" w:hAnsi="宋体"/>
          <w:color w:val="auto"/>
          <w:sz w:val="21"/>
          <w:szCs w:val="21"/>
        </w:rPr>
      </w:pPr>
      <w:r>
        <w:rPr>
          <w:rFonts w:hint="eastAsia" w:ascii="宋体" w:hAnsi="宋体"/>
          <w:color w:val="auto"/>
          <w:sz w:val="21"/>
          <w:szCs w:val="21"/>
        </w:rPr>
        <w:t>8.合同授予</w:t>
      </w:r>
      <w:bookmarkEnd w:id="269"/>
      <w:bookmarkEnd w:id="270"/>
      <w:bookmarkEnd w:id="271"/>
      <w:bookmarkEnd w:id="272"/>
      <w:bookmarkEnd w:id="273"/>
      <w:bookmarkEnd w:id="274"/>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75" w:name="_Toc144974535"/>
      <w:bookmarkStart w:id="276" w:name="_Toc508216919"/>
      <w:bookmarkStart w:id="277" w:name="_Toc247085725"/>
      <w:bookmarkStart w:id="278" w:name="_Toc397928588"/>
      <w:bookmarkStart w:id="279" w:name="_Toc152045567"/>
      <w:bookmarkStart w:id="280" w:name="_Toc246996954"/>
      <w:bookmarkStart w:id="281" w:name="_Toc387526319"/>
      <w:bookmarkStart w:id="282" w:name="_Toc366679698"/>
      <w:bookmarkStart w:id="283" w:name="_Toc387526215"/>
      <w:bookmarkStart w:id="284" w:name="_Toc152042343"/>
      <w:bookmarkStart w:id="285" w:name="_Toc179632585"/>
      <w:bookmarkStart w:id="286" w:name="_Toc387526411"/>
      <w:bookmarkStart w:id="287" w:name="_Toc246996211"/>
      <w:bookmarkStart w:id="288" w:name="_Toc5192"/>
      <w:r>
        <w:rPr>
          <w:rFonts w:hint="eastAsia" w:ascii="宋体" w:hAnsi="宋体" w:eastAsia="宋体" w:cs="宋体"/>
          <w:sz w:val="21"/>
          <w:szCs w:val="21"/>
        </w:rPr>
        <w:t>8.1 定标方式</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289" w:name="_Toc29357"/>
      <w:bookmarkStart w:id="290" w:name="_Toc387526320"/>
      <w:bookmarkStart w:id="291" w:name="_Toc387526216"/>
      <w:bookmarkStart w:id="292" w:name="_Toc387526412"/>
      <w:r>
        <w:rPr>
          <w:rFonts w:hint="eastAsia" w:ascii="宋体" w:hAnsi="宋体" w:cs="宋体"/>
          <w:szCs w:val="21"/>
        </w:rPr>
        <w:t>招标人依据评标委员会推荐的中标候选人确定中标人。</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93" w:name="_Toc508216920"/>
      <w:bookmarkStart w:id="294" w:name="_Toc397928589"/>
      <w:r>
        <w:rPr>
          <w:rFonts w:hint="eastAsia" w:ascii="宋体" w:hAnsi="宋体" w:eastAsia="宋体" w:cs="宋体"/>
          <w:sz w:val="21"/>
          <w:szCs w:val="21"/>
        </w:rPr>
        <w:t>8.2</w:t>
      </w:r>
      <w:bookmarkEnd w:id="289"/>
      <w:bookmarkEnd w:id="290"/>
      <w:bookmarkEnd w:id="291"/>
      <w:bookmarkEnd w:id="292"/>
      <w:bookmarkStart w:id="295" w:name="_Toc13765"/>
      <w:bookmarkStart w:id="296" w:name="_Toc387526413"/>
      <w:bookmarkStart w:id="297" w:name="_Toc179632586"/>
      <w:bookmarkStart w:id="298" w:name="_Toc387526217"/>
      <w:bookmarkStart w:id="299" w:name="_Toc246996955"/>
      <w:bookmarkStart w:id="300" w:name="_Toc246996212"/>
      <w:bookmarkStart w:id="301" w:name="_Toc247085726"/>
      <w:bookmarkStart w:id="302" w:name="_Toc366679700"/>
      <w:bookmarkStart w:id="303" w:name="_Toc387526321"/>
      <w:r>
        <w:rPr>
          <w:rFonts w:hint="eastAsia" w:ascii="宋体" w:hAnsi="宋体" w:eastAsia="宋体" w:cs="宋体"/>
          <w:sz w:val="21"/>
          <w:szCs w:val="21"/>
        </w:rPr>
        <w:t>中标通知</w:t>
      </w:r>
      <w:bookmarkEnd w:id="293"/>
      <w:bookmarkEnd w:id="294"/>
      <w:bookmarkEnd w:id="295"/>
      <w:bookmarkEnd w:id="296"/>
      <w:bookmarkEnd w:id="297"/>
      <w:bookmarkEnd w:id="298"/>
      <w:bookmarkEnd w:id="299"/>
      <w:bookmarkEnd w:id="300"/>
      <w:bookmarkEnd w:id="301"/>
      <w:bookmarkEnd w:id="302"/>
      <w:bookmarkEnd w:id="303"/>
    </w:p>
    <w:p>
      <w:pPr>
        <w:pageBreakBefore w:val="0"/>
        <w:kinsoku/>
        <w:wordWrap/>
        <w:overflowPunct/>
        <w:bidi w:val="0"/>
        <w:adjustRightInd/>
        <w:snapToGrid/>
        <w:spacing w:line="360" w:lineRule="auto"/>
        <w:ind w:firstLine="426" w:firstLineChars="200"/>
        <w:jc w:val="left"/>
        <w:textAlignment w:val="auto"/>
        <w:rPr>
          <w:rFonts w:ascii="宋体" w:hAnsi="宋体" w:cs="宋体"/>
          <w:color w:val="auto"/>
          <w:szCs w:val="21"/>
        </w:rPr>
      </w:pPr>
      <w:bookmarkStart w:id="304" w:name="_Toc246996213"/>
      <w:bookmarkStart w:id="305" w:name="_Toc366679701"/>
      <w:bookmarkStart w:id="306" w:name="_Toc246996956"/>
      <w:bookmarkStart w:id="307" w:name="_Toc247085727"/>
      <w:bookmarkStart w:id="308" w:name="_Toc179632587"/>
      <w:r>
        <w:rPr>
          <w:rFonts w:hint="eastAsia" w:ascii="宋体" w:hAnsi="宋体" w:cs="宋体"/>
          <w:color w:val="auto"/>
          <w:szCs w:val="21"/>
        </w:rPr>
        <w:t>招标人在公告中标结果的同时向中标人发出中标通知书。</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09" w:name="_Toc397928590"/>
      <w:bookmarkStart w:id="310" w:name="_Toc387526218"/>
      <w:bookmarkStart w:id="311" w:name="_Toc26386"/>
      <w:bookmarkStart w:id="312" w:name="_Toc387526322"/>
      <w:bookmarkStart w:id="313" w:name="_Toc387526414"/>
      <w:bookmarkStart w:id="314" w:name="_Toc508216921"/>
      <w:r>
        <w:rPr>
          <w:rFonts w:hint="eastAsia" w:ascii="宋体" w:hAnsi="宋体" w:eastAsia="宋体" w:cs="宋体"/>
          <w:sz w:val="21"/>
          <w:szCs w:val="21"/>
        </w:rPr>
        <w:t>8.3 履约保证金</w:t>
      </w:r>
      <w:bookmarkEnd w:id="304"/>
      <w:bookmarkEnd w:id="305"/>
      <w:bookmarkEnd w:id="306"/>
      <w:bookmarkEnd w:id="307"/>
      <w:bookmarkEnd w:id="308"/>
      <w:bookmarkEnd w:id="309"/>
      <w:bookmarkEnd w:id="310"/>
      <w:bookmarkEnd w:id="311"/>
      <w:bookmarkEnd w:id="312"/>
      <w:bookmarkEnd w:id="313"/>
      <w:bookmarkEnd w:id="314"/>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8.3</w:t>
      </w:r>
      <w:r>
        <w:rPr>
          <w:rFonts w:hint="eastAsia" w:ascii="宋体" w:hAnsi="宋体" w:cs="宋体"/>
          <w:szCs w:val="21"/>
        </w:rPr>
        <w:t>.1 在签订合同时，中标供应商须向采购人</w:t>
      </w:r>
      <w:r>
        <w:rPr>
          <w:rFonts w:hint="eastAsia" w:ascii="宋体" w:hAnsi="宋体" w:cs="宋体"/>
          <w:szCs w:val="21"/>
          <w:lang w:eastAsia="zh-CN"/>
        </w:rPr>
        <w:t>缴纳</w:t>
      </w:r>
      <w:r>
        <w:rPr>
          <w:rFonts w:hint="eastAsia" w:ascii="宋体" w:hAnsi="宋体" w:cs="宋体"/>
          <w:szCs w:val="21"/>
        </w:rPr>
        <w:t>履约保证金（中标价的 10%）</w:t>
      </w:r>
      <w:r>
        <w:rPr>
          <w:rFonts w:hint="eastAsia" w:ascii="宋体" w:hAnsi="宋体" w:cs="宋体"/>
          <w:szCs w:val="21"/>
          <w:lang w:eastAsia="zh-CN"/>
        </w:rPr>
        <w:t>，</w:t>
      </w:r>
      <w:r>
        <w:rPr>
          <w:rFonts w:hint="eastAsia" w:ascii="宋体" w:hAnsi="宋体" w:cs="宋体"/>
          <w:szCs w:val="21"/>
        </w:rPr>
        <w:t xml:space="preserve">签订合同时缴纳，于合同履行完毕且中标供应商无违约情形后30 日内无息退还。履约保证金用以约束中标供应商在合同履行中的行为，弥补合同执行中由于自身行为可能给采购人带来的各种损失。鼓励采购人对AA 评级及以上政府采购供应商（需提供信用管理部门备案的第三方信用报告），免收履约保证金或降低履约保证金缴纳比例。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b/>
          <w:bCs/>
          <w:kern w:val="1"/>
          <w:szCs w:val="21"/>
        </w:rPr>
        <w:t>按照盐财购〔2024〕18号 关于在全市政府采购领域进一步推行电子履约保函（保险）的通知。可以通过政府采购电子履约保函（保险）平台（www.jsdzbh.com）在线申请履约保函（保险）。</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8.3</w:t>
      </w:r>
      <w:r>
        <w:rPr>
          <w:rFonts w:hint="eastAsia" w:ascii="宋体" w:hAnsi="宋体" w:cs="宋体"/>
          <w:szCs w:val="21"/>
        </w:rPr>
        <w:t xml:space="preserve">.2 收取履约保证金的，须在采购合同中约定退还履约保证金的方式、时间、条件和不予退还的情形，明确逾期退还履约保证金的违约责任；不得在政府采购货物和服务采购项目中收取质量保证金，不得将已收取的履约保证金转为质量保证金情况。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8.3</w:t>
      </w:r>
      <w:r>
        <w:rPr>
          <w:rFonts w:hint="eastAsia" w:ascii="宋体" w:hAnsi="宋体" w:cs="宋体"/>
          <w:szCs w:val="21"/>
        </w:rPr>
        <w:t xml:space="preserve">.3 </w:t>
      </w:r>
      <w:r>
        <w:rPr>
          <w:rFonts w:hint="eastAsia" w:ascii="宋体" w:hAnsi="宋体" w:cs="宋体"/>
          <w:sz w:val="21"/>
          <w:szCs w:val="21"/>
        </w:rPr>
        <w:t>政府采购履约资金扶持政策 根据《关于深入推进政府采购线上合同信用融资工作的通知》（苏财购[2021]82 号）</w:t>
      </w:r>
      <w:r>
        <w:rPr>
          <w:rFonts w:hint="eastAsia" w:ascii="宋体" w:hAnsi="宋体" w:cs="宋体"/>
          <w:sz w:val="21"/>
          <w:szCs w:val="21"/>
          <w:lang w:eastAsia="zh-CN"/>
        </w:rPr>
        <w:t>，</w:t>
      </w:r>
      <w:r>
        <w:rPr>
          <w:rFonts w:hint="eastAsia" w:ascii="宋体" w:hAnsi="宋体" w:cs="宋体"/>
          <w:sz w:val="21"/>
          <w:szCs w:val="21"/>
        </w:rPr>
        <w:t>支持中小企业融资。政府采购中标供应商应当及时向采购人提出“政采贷”融资申请书面材料。采购人、代理机构应当配合金融机构和中标供应商，依法按时在“苏采云”系统中录入并公开政府采购合同信息时，勾选“融资贷款”选项“是”，积极支持中标供应商降低参与政府采购的融资成本。</w:t>
      </w:r>
      <w:r>
        <w:rPr>
          <w:rFonts w:hint="eastAsia" w:ascii="宋体" w:hAnsi="宋体" w:cs="宋体"/>
          <w:szCs w:val="21"/>
        </w:rPr>
        <w:t xml:space="preserve"> </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8.3.</w:t>
      </w:r>
      <w:r>
        <w:rPr>
          <w:rFonts w:hint="eastAsia" w:ascii="宋体" w:hAnsi="宋体" w:cs="宋体"/>
          <w:szCs w:val="21"/>
          <w:lang w:val="en-US" w:eastAsia="zh-CN"/>
        </w:rPr>
        <w:t>4</w:t>
      </w:r>
      <w:r>
        <w:rPr>
          <w:rFonts w:hint="eastAsia" w:ascii="宋体" w:hAnsi="宋体" w:cs="宋体"/>
          <w:szCs w:val="21"/>
        </w:rPr>
        <w:t>中标人不能按本章第8.3.1项要求提交履约保证金的，视为放弃中标，给招标人</w:t>
      </w:r>
      <w:r>
        <w:rPr>
          <w:rFonts w:hint="eastAsia" w:ascii="宋体" w:hAnsi="宋体" w:cs="宋体"/>
          <w:szCs w:val="21"/>
          <w:lang w:eastAsia="zh-CN"/>
        </w:rPr>
        <w:t>造成</w:t>
      </w:r>
      <w:r>
        <w:rPr>
          <w:rFonts w:hint="eastAsia" w:ascii="宋体" w:hAnsi="宋体" w:cs="宋体"/>
          <w:szCs w:val="21"/>
        </w:rPr>
        <w:t>损失的，中标人还应当对损失予以赔偿。</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15" w:name="_Toc387526415"/>
      <w:bookmarkStart w:id="316" w:name="_Toc179632588"/>
      <w:bookmarkStart w:id="317" w:name="_Toc366679702"/>
      <w:bookmarkStart w:id="318" w:name="_Toc247085728"/>
      <w:bookmarkStart w:id="319" w:name="_Toc397928591"/>
      <w:bookmarkStart w:id="320" w:name="_Toc387526323"/>
      <w:bookmarkStart w:id="321" w:name="_Toc508216922"/>
      <w:bookmarkStart w:id="322" w:name="_Toc387526219"/>
      <w:bookmarkStart w:id="323" w:name="_Toc246996214"/>
      <w:bookmarkStart w:id="324" w:name="_Toc246996957"/>
      <w:bookmarkStart w:id="325" w:name="_Toc10565"/>
      <w:r>
        <w:rPr>
          <w:rFonts w:hint="eastAsia" w:ascii="宋体" w:hAnsi="宋体" w:eastAsia="宋体" w:cs="宋体"/>
          <w:sz w:val="21"/>
          <w:szCs w:val="21"/>
        </w:rPr>
        <w:t>8.4 签订合同</w:t>
      </w:r>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8.4.1招标人和中标人应当自中标通知书发出之日起</w:t>
      </w:r>
      <w:r>
        <w:rPr>
          <w:rFonts w:hint="eastAsia" w:ascii="宋体" w:hAnsi="宋体" w:cs="宋体"/>
          <w:szCs w:val="21"/>
          <w:lang w:val="en-US" w:eastAsia="zh-CN"/>
        </w:rPr>
        <w:t>30</w:t>
      </w:r>
      <w:r>
        <w:rPr>
          <w:rFonts w:hint="eastAsia" w:ascii="宋体" w:hAnsi="宋体" w:cs="宋体"/>
          <w:szCs w:val="21"/>
        </w:rPr>
        <w:t>日内，根据招标文件和中标人的投标文件订立书面合同。中标人无正当理由拒签合同的，招标人取消其中标资格；给招标人造成的损失的，中标人还应当对损失予以赔偿。</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8.4.2 发出中标通知书后，招标人无正当理由拒签合同的，给中标人造成损失的，还应当赔偿损失。</w:t>
      </w:r>
    </w:p>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326" w:name="_Toc387526220"/>
      <w:bookmarkStart w:id="327" w:name="_Toc30717"/>
      <w:bookmarkStart w:id="328" w:name="_Toc368759383"/>
      <w:bookmarkStart w:id="329" w:name="_Toc363329380"/>
      <w:bookmarkStart w:id="330" w:name="_Toc508216923"/>
      <w:bookmarkStart w:id="331" w:name="_Toc397928592"/>
      <w:bookmarkStart w:id="332" w:name="_Toc322503149"/>
      <w:bookmarkStart w:id="333" w:name="_Toc387526416"/>
      <w:bookmarkStart w:id="334" w:name="_Toc368760435"/>
      <w:bookmarkStart w:id="335" w:name="_Toc369077569"/>
      <w:bookmarkStart w:id="336" w:name="_Toc367894807"/>
      <w:bookmarkStart w:id="337" w:name="_Toc387526324"/>
      <w:r>
        <w:rPr>
          <w:rFonts w:hint="eastAsia" w:ascii="宋体" w:hAnsi="宋体"/>
          <w:color w:val="auto"/>
          <w:sz w:val="21"/>
          <w:szCs w:val="21"/>
        </w:rPr>
        <w:t>9.纪律和监督</w:t>
      </w:r>
      <w:bookmarkEnd w:id="326"/>
      <w:bookmarkEnd w:id="327"/>
      <w:bookmarkEnd w:id="328"/>
      <w:bookmarkEnd w:id="329"/>
      <w:bookmarkEnd w:id="330"/>
      <w:bookmarkEnd w:id="331"/>
      <w:bookmarkEnd w:id="332"/>
      <w:bookmarkEnd w:id="333"/>
      <w:bookmarkEnd w:id="334"/>
      <w:bookmarkEnd w:id="335"/>
      <w:bookmarkEnd w:id="336"/>
      <w:bookmarkEnd w:id="337"/>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338" w:name="_Toc9600"/>
      <w:bookmarkStart w:id="339" w:name="_Toc387526330"/>
      <w:bookmarkStart w:id="340" w:name="_Toc387526226"/>
      <w:bookmarkStart w:id="341" w:name="_Toc387526422"/>
      <w:r>
        <w:rPr>
          <w:rFonts w:hint="eastAsia" w:ascii="宋体" w:hAnsi="宋体" w:cs="宋体"/>
          <w:szCs w:val="21"/>
        </w:rPr>
        <w:t>9.</w:t>
      </w:r>
      <w:r>
        <w:rPr>
          <w:rFonts w:hint="eastAsia" w:ascii="宋体" w:hAnsi="宋体" w:cs="宋体"/>
          <w:szCs w:val="21"/>
          <w:lang w:val="en-US" w:eastAsia="zh-CN"/>
        </w:rPr>
        <w:t>1</w:t>
      </w:r>
      <w:r>
        <w:rPr>
          <w:rFonts w:hint="eastAsia" w:ascii="宋体" w:hAnsi="宋体" w:cs="宋体"/>
          <w:szCs w:val="21"/>
        </w:rPr>
        <w:t xml:space="preserve"> 质疑</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供应商认为采购文件、采购过程、中标或者成交结果使自己的权益</w:t>
      </w:r>
      <w:r>
        <w:rPr>
          <w:rFonts w:hint="eastAsia" w:ascii="宋体" w:hAnsi="宋体" w:cs="宋体"/>
          <w:szCs w:val="21"/>
          <w:lang w:eastAsia="zh-CN"/>
        </w:rPr>
        <w:t>受</w:t>
      </w:r>
      <w:r>
        <w:rPr>
          <w:rFonts w:hint="eastAsia" w:ascii="宋体" w:hAnsi="宋体" w:cs="宋体"/>
          <w:szCs w:val="21"/>
        </w:rPr>
        <w:t>到损害的，可以在知道或者应知其权益受到损害之日起7个工作日内，以书面形式向采购人、采购代理机构在法定质疑期内一次性提出针对同一采购程序环节的质疑。供应商提出质疑应当符合财政部令第94号《政府采购质疑和投诉办法》相关规定。</w:t>
      </w:r>
      <w:bookmarkStart w:id="342" w:name="_Toc508216929"/>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9.</w:t>
      </w:r>
      <w:r>
        <w:rPr>
          <w:rFonts w:hint="eastAsia" w:ascii="宋体" w:hAnsi="宋体" w:cs="宋体"/>
          <w:szCs w:val="21"/>
          <w:lang w:val="en-US" w:eastAsia="zh-CN"/>
        </w:rPr>
        <w:t>2</w:t>
      </w:r>
      <w:r>
        <w:rPr>
          <w:rFonts w:hint="eastAsia" w:ascii="宋体" w:hAnsi="宋体" w:cs="宋体"/>
          <w:szCs w:val="21"/>
        </w:rPr>
        <w:t xml:space="preserve"> 投诉</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质疑供应商对采购人、采购代理机构的答复不满意的，或者采购人、采购代理机构未在规定时间内作出答复的，可以在答复期满后15个工作日内向</w:t>
      </w:r>
      <w:r>
        <w:rPr>
          <w:rFonts w:hint="eastAsia" w:ascii="宋体" w:hAnsi="宋体" w:cs="宋体"/>
          <w:b w:val="0"/>
          <w:bCs w:val="0"/>
          <w:szCs w:val="21"/>
        </w:rPr>
        <w:t>盐城市大丰区财政局</w:t>
      </w:r>
      <w:r>
        <w:rPr>
          <w:rFonts w:hint="eastAsia" w:ascii="宋体" w:hAnsi="宋体" w:cs="宋体"/>
          <w:szCs w:val="21"/>
        </w:rPr>
        <w:t>提起投诉。提起投诉应当符合财政部令第94号《政府采购质疑和投诉办法》相关规定。</w:t>
      </w:r>
    </w:p>
    <w:bookmarkEnd w:id="342"/>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343" w:name="_Toc397928598"/>
      <w:bookmarkStart w:id="344" w:name="_Toc508216930"/>
      <w:r>
        <w:rPr>
          <w:rFonts w:hint="eastAsia" w:ascii="宋体" w:hAnsi="宋体"/>
          <w:color w:val="auto"/>
          <w:sz w:val="21"/>
          <w:szCs w:val="21"/>
        </w:rPr>
        <w:t>10.</w:t>
      </w:r>
      <w:bookmarkEnd w:id="338"/>
      <w:bookmarkEnd w:id="339"/>
      <w:bookmarkEnd w:id="340"/>
      <w:bookmarkEnd w:id="341"/>
      <w:bookmarkEnd w:id="343"/>
      <w:bookmarkEnd w:id="344"/>
      <w:r>
        <w:rPr>
          <w:rFonts w:hint="eastAsia" w:ascii="宋体" w:hAnsi="宋体"/>
          <w:color w:val="auto"/>
          <w:sz w:val="21"/>
          <w:szCs w:val="21"/>
        </w:rPr>
        <w:t>付款方式</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1付款方式见投标人须知前附表。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11.解释权</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构成本招标文件的各个组成文件应互为解释，互为说明。当发现的不明确或不一致，在招标文件中有明确规定的，评标委员会应按已明确的规定评标；当发现的不明确或不一致，在招标文件中没有明确规定时：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⑴凡是构成合同文件组成内容的不明确或不一致，以合同文件约定内容为准，且以专用合同条款约定的合同文件优先顺序解释；</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⑶按本款前述规定仍不能形成结论的，由招标人负责解释。</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b/>
          <w:bCs/>
          <w:szCs w:val="21"/>
        </w:rPr>
      </w:pPr>
      <w:r>
        <w:rPr>
          <w:rFonts w:hint="eastAsia" w:ascii="宋体" w:hAnsi="宋体" w:cs="宋体"/>
          <w:b/>
          <w:bCs/>
          <w:szCs w:val="21"/>
        </w:rPr>
        <w:t>12.其他</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1、本招标文件时间均以中华人民共和国北京时间为准，所涉及金额的币种均为人民币。</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2、凡参与本项目投标的投标人，视同已踏勘过项目现场和研究了本招标文件的所有内容，并无保留地接受招标文件的所有条款（含招标答疑、补充通知等）。</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3、本招标文件未尽事宜，按国家和省法律法规、规章要求处理。</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4、本招标文件的解释权归招标人所有。</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b/>
          <w:bCs/>
          <w:szCs w:val="21"/>
          <w:lang w:val="en-US" w:eastAsia="zh-CN"/>
        </w:rPr>
        <w:t>13.</w:t>
      </w:r>
      <w:r>
        <w:rPr>
          <w:rFonts w:hint="eastAsia" w:ascii="宋体" w:hAnsi="宋体" w:cs="宋体"/>
          <w:b/>
          <w:bCs/>
          <w:szCs w:val="21"/>
        </w:rPr>
        <w:t>合同签订相关事项</w:t>
      </w:r>
      <w:r>
        <w:rPr>
          <w:rFonts w:hint="eastAsia" w:ascii="宋体" w:hAnsi="宋体" w:cs="宋体"/>
          <w:szCs w:val="21"/>
        </w:rPr>
        <w:t xml:space="preserve">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 签订合同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.l</w:t>
      </w:r>
      <w:r>
        <w:rPr>
          <w:rFonts w:hint="eastAsia" w:ascii="宋体" w:hAnsi="宋体" w:cs="宋体"/>
          <w:szCs w:val="21"/>
          <w:lang w:val="en-US" w:eastAsia="zh-CN"/>
        </w:rPr>
        <w:t>.1</w:t>
      </w:r>
      <w:r>
        <w:rPr>
          <w:rFonts w:hint="eastAsia" w:ascii="宋体" w:hAnsi="宋体" w:cs="宋体"/>
          <w:szCs w:val="21"/>
        </w:rPr>
        <w:t xml:space="preserve"> 中标供应商应按中标通知书规定的时间、地点</w:t>
      </w:r>
      <w:r>
        <w:rPr>
          <w:rFonts w:hint="eastAsia" w:ascii="宋体" w:hAnsi="宋体" w:cs="宋体"/>
          <w:szCs w:val="21"/>
          <w:lang w:eastAsia="zh-CN"/>
        </w:rPr>
        <w:t>，</w:t>
      </w:r>
      <w:r>
        <w:rPr>
          <w:rFonts w:hint="eastAsia" w:ascii="宋体" w:hAnsi="宋体" w:cs="宋体"/>
          <w:szCs w:val="21"/>
        </w:rPr>
        <w:t>按照招标文件确定的事项与采购人签订政府采购合同，且不得迟于中标通知书发出之日起</w:t>
      </w:r>
      <w:r>
        <w:rPr>
          <w:rFonts w:hint="eastAsia" w:ascii="宋体" w:hAnsi="宋体" w:cs="宋体"/>
          <w:szCs w:val="21"/>
          <w:lang w:eastAsia="zh-CN"/>
        </w:rPr>
        <w:t>三十</w:t>
      </w:r>
      <w:r>
        <w:rPr>
          <w:rFonts w:hint="eastAsia" w:ascii="宋体" w:hAnsi="宋体" w:cs="宋体"/>
          <w:szCs w:val="21"/>
        </w:rPr>
        <w:t xml:space="preserve">日内，由此给采购人造成损失的，中标供应商还应承担赔偿责任。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.2 招标文件、中标供应商的投标文件及招标过程中有关澄清、承诺文件均应作为合同附件。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.3 签订合同后，中标供应商不得将设备及其他相关服务进行转包。未经采购人同意，中标供应商也不得采用分包的形式履行合同，否则采购人有权终止合同，中标供应商的履约保证金将不予退还。转包或分包造成采购人损失的，中标供应商应承担相应赔偿责任。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.4 中标或者成交后无正当理由拒不与采购人签订政府采购合同的，将被列入不良行为记录名单，在一至三年内禁止参加政府采购活动。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 xml:space="preserve">货物和服务的追加、减少和添购。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.1 政府采购合同履行中，采购人需追加与合同标的相同的货物和服务的，在不改变合同其他条款的前提下，可以与中标供应商协商签订补充合同，但所有补充合同的采购金额不超过原合同金</w:t>
      </w:r>
      <w:r>
        <w:rPr>
          <w:rFonts w:hint="eastAsia" w:ascii="宋体" w:hAnsi="宋体" w:cs="宋体"/>
          <w:szCs w:val="21"/>
          <w:lang w:eastAsia="zh-CN"/>
        </w:rPr>
        <w:t>额的</w:t>
      </w:r>
      <w:r>
        <w:rPr>
          <w:rFonts w:hint="eastAsia" w:ascii="宋体" w:hAnsi="宋体" w:cs="宋体"/>
          <w:szCs w:val="21"/>
        </w:rPr>
        <w:t xml:space="preserve">10%。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 xml:space="preserve">.2 采购结束后，采购人若由于各种客观原因，必须对采购项目所牵涉的货物和服务进行适当的减少时，在双方协商一致的前提下，可以按照招标采购时的价格水平做相应的调减，并据此签订补充合同。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rPr>
        <w:t>代理服务费用：本项目招标代理费向中标单位收取，招标代理参照苏招协【2022】002号文件规定</w:t>
      </w:r>
      <w:r>
        <w:rPr>
          <w:rFonts w:hint="eastAsia" w:ascii="宋体" w:hAnsi="宋体" w:cs="宋体"/>
          <w:szCs w:val="21"/>
          <w:lang w:val="en-US" w:eastAsia="zh-CN"/>
        </w:rPr>
        <w:t>货物</w:t>
      </w:r>
      <w:r>
        <w:rPr>
          <w:rFonts w:hint="eastAsia" w:ascii="宋体" w:hAnsi="宋体" w:cs="宋体"/>
          <w:szCs w:val="21"/>
        </w:rPr>
        <w:t>类标准</w:t>
      </w:r>
      <w:r>
        <w:rPr>
          <w:rFonts w:hint="eastAsia" w:ascii="宋体" w:hAnsi="宋体" w:cs="宋体"/>
          <w:szCs w:val="21"/>
          <w:lang w:eastAsia="zh-CN"/>
        </w:rPr>
        <w:t>的</w:t>
      </w:r>
      <w:r>
        <w:rPr>
          <w:rFonts w:hint="eastAsia" w:ascii="宋体" w:hAnsi="宋体" w:cs="宋体"/>
          <w:szCs w:val="21"/>
          <w:lang w:val="en-US" w:eastAsia="zh-CN"/>
        </w:rPr>
        <w:t>40%</w:t>
      </w:r>
      <w:r>
        <w:rPr>
          <w:rFonts w:hint="eastAsia" w:ascii="宋体" w:hAnsi="宋体" w:cs="宋体"/>
          <w:szCs w:val="21"/>
        </w:rPr>
        <w:t xml:space="preserve">缴纳，请投标人考虑在投标报价中，但不单列。 </w:t>
      </w:r>
    </w:p>
    <w:p>
      <w:pPr>
        <w:keepNext/>
        <w:keepLines/>
        <w:spacing w:line="460" w:lineRule="exact"/>
        <w:jc w:val="center"/>
        <w:rPr>
          <w:rFonts w:hint="eastAsia" w:ascii="宋体" w:hAnsi="宋体" w:eastAsia="宋体" w:cs="宋体"/>
          <w:b/>
          <w:bCs/>
          <w:kern w:val="44"/>
          <w:sz w:val="44"/>
          <w:szCs w:val="44"/>
          <w:lang w:val="en-US" w:eastAsia="zh-CN" w:bidi="ar-SA"/>
        </w:rPr>
      </w:pPr>
      <w:bookmarkStart w:id="345" w:name="_Toc501967537"/>
      <w:bookmarkStart w:id="346" w:name="_Toc397928599"/>
      <w:r>
        <w:rPr>
          <w:rFonts w:hint="eastAsia" w:ascii="宋体" w:hAnsi="宋体" w:cs="宋体"/>
        </w:rPr>
        <w:br w:type="page"/>
      </w:r>
      <w:r>
        <w:rPr>
          <w:rFonts w:hint="eastAsia" w:ascii="宋体" w:hAnsi="宋体" w:eastAsia="宋体" w:cs="宋体"/>
          <w:b/>
          <w:bCs/>
          <w:kern w:val="44"/>
          <w:sz w:val="44"/>
          <w:szCs w:val="44"/>
          <w:lang w:val="en-US" w:eastAsia="zh-CN" w:bidi="ar-SA"/>
        </w:rPr>
        <w:t>第三章 评标办法（最低评标价法）</w:t>
      </w:r>
    </w:p>
    <w:bookmarkEnd w:id="345"/>
    <w:bookmarkEnd w:id="346"/>
    <w:p>
      <w:pPr>
        <w:keepNext/>
        <w:keepLines/>
        <w:spacing w:line="460" w:lineRule="exact"/>
        <w:jc w:val="both"/>
        <w:rPr>
          <w:rFonts w:hint="eastAsia" w:ascii="宋体" w:hAnsi="宋体" w:cs="宋体"/>
          <w:color w:val="0000FF"/>
        </w:rPr>
      </w:pPr>
    </w:p>
    <w:p>
      <w:pPr>
        <w:pStyle w:val="3"/>
        <w:pageBreakBefore w:val="0"/>
        <w:kinsoku/>
        <w:wordWrap/>
        <w:topLinePunct w:val="0"/>
        <w:bidi w:val="0"/>
        <w:spacing w:line="360" w:lineRule="auto"/>
        <w:ind w:firstLine="426" w:firstLineChars="200"/>
        <w:rPr>
          <w:rFonts w:hint="eastAsia" w:ascii="宋体" w:hAnsi="宋体" w:eastAsia="宋体" w:cs="宋体"/>
          <w:sz w:val="21"/>
          <w:szCs w:val="21"/>
        </w:rPr>
      </w:pPr>
      <w:bookmarkStart w:id="347" w:name="_1．_评标方法"/>
      <w:bookmarkEnd w:id="347"/>
      <w:bookmarkStart w:id="348" w:name="_Toc387526344"/>
      <w:bookmarkStart w:id="349" w:name="_Toc387526240"/>
      <w:bookmarkStart w:id="350" w:name="_Toc17692"/>
      <w:bookmarkStart w:id="351" w:name="_Toc246996995"/>
      <w:bookmarkStart w:id="352" w:name="_Toc152042387"/>
      <w:bookmarkStart w:id="353" w:name="_Toc144974577"/>
      <w:bookmarkStart w:id="354" w:name="_Toc152045609"/>
      <w:bookmarkStart w:id="355" w:name="_Toc501967557"/>
      <w:bookmarkStart w:id="356" w:name="_Toc247085767"/>
      <w:bookmarkStart w:id="357" w:name="_Toc179632627"/>
      <w:bookmarkStart w:id="358" w:name="_Toc246996252"/>
      <w:bookmarkStart w:id="359" w:name="_Toc387526436"/>
      <w:bookmarkStart w:id="360" w:name="_Toc397928625"/>
      <w:bookmarkStart w:id="361" w:name="_Toc366679736"/>
      <w:r>
        <w:rPr>
          <w:rFonts w:hint="eastAsia" w:ascii="宋体" w:hAnsi="宋体" w:eastAsia="宋体" w:cs="宋体"/>
          <w:sz w:val="21"/>
          <w:szCs w:val="21"/>
        </w:rPr>
        <w:t>1.评标方法</w:t>
      </w:r>
    </w:p>
    <w:p>
      <w:pPr>
        <w:keepNext w:val="0"/>
        <w:keepLines w:val="0"/>
        <w:pageBreakBefore w:val="0"/>
        <w:widowControl w:val="0"/>
        <w:kinsoku/>
        <w:wordWrap/>
        <w:overflowPunct/>
        <w:topLinePunct w:val="0"/>
        <w:autoSpaceDE w:val="0"/>
        <w:autoSpaceDN w:val="0"/>
        <w:bidi w:val="0"/>
        <w:adjustRightInd/>
        <w:snapToGrid/>
        <w:spacing w:line="360" w:lineRule="auto"/>
        <w:ind w:firstLine="426" w:firstLineChars="200"/>
        <w:jc w:val="left"/>
        <w:textAlignment w:val="auto"/>
        <w:rPr>
          <w:rFonts w:hint="eastAsia" w:ascii="宋体" w:hAnsi="宋体" w:cs="宋体"/>
          <w:kern w:val="0"/>
          <w:szCs w:val="21"/>
        </w:rPr>
      </w:pPr>
      <w:r>
        <w:rPr>
          <w:rFonts w:hint="eastAsia" w:ascii="宋体" w:hAnsi="宋体" w:cs="宋体"/>
          <w:kern w:val="0"/>
          <w:szCs w:val="21"/>
        </w:rPr>
        <w:t>本次评标采用</w:t>
      </w:r>
      <w:r>
        <w:rPr>
          <w:rFonts w:hint="eastAsia" w:ascii="宋体" w:hAnsi="宋体" w:cs="宋体"/>
          <w:kern w:val="0"/>
          <w:szCs w:val="21"/>
          <w:lang w:val="en-US" w:eastAsia="zh-CN"/>
        </w:rPr>
        <w:t>最低评标价法</w:t>
      </w:r>
      <w:r>
        <w:rPr>
          <w:rFonts w:hint="eastAsia" w:ascii="宋体" w:hAnsi="宋体" w:cs="宋体"/>
          <w:kern w:val="0"/>
          <w:szCs w:val="21"/>
        </w:rPr>
        <w:t>。评标委员会对满足招标文件实质性要求的投标文件，按照本招标文件规定的</w:t>
      </w:r>
      <w:r>
        <w:rPr>
          <w:rFonts w:hint="eastAsia" w:ascii="宋体" w:hAnsi="宋体" w:cs="宋体"/>
          <w:kern w:val="0"/>
          <w:szCs w:val="21"/>
          <w:lang w:val="en-US" w:eastAsia="zh-CN"/>
        </w:rPr>
        <w:t>要求</w:t>
      </w:r>
      <w:r>
        <w:rPr>
          <w:rFonts w:hint="eastAsia" w:ascii="宋体" w:hAnsi="宋体" w:cs="宋体"/>
          <w:kern w:val="0"/>
          <w:szCs w:val="21"/>
        </w:rPr>
        <w:t>进行</w:t>
      </w:r>
      <w:r>
        <w:rPr>
          <w:rFonts w:hint="eastAsia" w:ascii="宋体" w:hAnsi="宋体" w:cs="宋体"/>
          <w:kern w:val="0"/>
          <w:szCs w:val="21"/>
          <w:lang w:val="en-US" w:eastAsia="zh-CN"/>
        </w:rPr>
        <w:t>评审</w:t>
      </w:r>
      <w:r>
        <w:rPr>
          <w:rFonts w:hint="eastAsia" w:ascii="宋体" w:hAnsi="宋体" w:cs="宋体"/>
          <w:kern w:val="0"/>
          <w:szCs w:val="21"/>
        </w:rPr>
        <w:t>，并按</w:t>
      </w:r>
      <w:r>
        <w:rPr>
          <w:rFonts w:hint="eastAsia" w:ascii="宋体" w:hAnsi="宋体" w:cs="宋体"/>
          <w:kern w:val="0"/>
          <w:szCs w:val="21"/>
          <w:lang w:val="en-US" w:eastAsia="zh-CN"/>
        </w:rPr>
        <w:t>最终通过评审的评标价</w:t>
      </w:r>
      <w:r>
        <w:rPr>
          <w:rFonts w:hint="eastAsia" w:ascii="宋体" w:hAnsi="宋体" w:cs="宋体"/>
          <w:kern w:val="0"/>
          <w:szCs w:val="21"/>
        </w:rPr>
        <w:t>由</w:t>
      </w:r>
      <w:r>
        <w:rPr>
          <w:rFonts w:hint="eastAsia" w:ascii="宋体" w:hAnsi="宋体" w:cs="宋体"/>
          <w:kern w:val="0"/>
          <w:szCs w:val="21"/>
          <w:lang w:val="en-US" w:eastAsia="zh-CN"/>
        </w:rPr>
        <w:t>低</w:t>
      </w:r>
      <w:r>
        <w:rPr>
          <w:rFonts w:hint="eastAsia" w:ascii="宋体" w:hAnsi="宋体" w:cs="宋体"/>
          <w:kern w:val="0"/>
          <w:szCs w:val="21"/>
        </w:rPr>
        <w:t>到</w:t>
      </w:r>
      <w:r>
        <w:rPr>
          <w:rFonts w:hint="eastAsia" w:ascii="宋体" w:hAnsi="宋体" w:cs="宋体"/>
          <w:kern w:val="0"/>
          <w:szCs w:val="21"/>
          <w:lang w:val="en-US" w:eastAsia="zh-CN"/>
        </w:rPr>
        <w:t>高</w:t>
      </w:r>
      <w:r>
        <w:rPr>
          <w:rFonts w:hint="eastAsia" w:ascii="宋体" w:hAnsi="宋体" w:cs="宋体"/>
          <w:kern w:val="0"/>
          <w:szCs w:val="21"/>
        </w:rPr>
        <w:t>顺序推荐中标候选人。</w:t>
      </w:r>
      <w:r>
        <w:rPr>
          <w:rFonts w:hint="eastAsia" w:ascii="宋体" w:hAnsi="宋体" w:cs="宋体"/>
          <w:kern w:val="0"/>
          <w:szCs w:val="21"/>
          <w:lang w:val="en-US" w:eastAsia="zh-CN"/>
        </w:rPr>
        <w:t>最低评标</w:t>
      </w:r>
      <w:r>
        <w:rPr>
          <w:rFonts w:hint="eastAsia" w:ascii="宋体" w:hAnsi="宋体" w:cs="宋体"/>
          <w:kern w:val="0"/>
          <w:szCs w:val="21"/>
        </w:rPr>
        <w:t>报价相等的，由招标人确定。</w:t>
      </w:r>
    </w:p>
    <w:p>
      <w:pPr>
        <w:pStyle w:val="3"/>
        <w:pageBreakBefore w:val="0"/>
        <w:kinsoku/>
        <w:wordWrap/>
        <w:topLinePunct w:val="0"/>
        <w:bidi w:val="0"/>
        <w:spacing w:line="360" w:lineRule="auto"/>
        <w:ind w:firstLine="426" w:firstLineChars="200"/>
        <w:rPr>
          <w:rFonts w:ascii="宋体" w:hAnsi="宋体" w:eastAsia="宋体" w:cs="宋体"/>
          <w:sz w:val="21"/>
          <w:szCs w:val="21"/>
        </w:rPr>
      </w:pPr>
      <w:r>
        <w:rPr>
          <w:rFonts w:hint="eastAsia" w:ascii="宋体" w:hAnsi="宋体" w:eastAsia="宋体" w:cs="宋体"/>
          <w:sz w:val="21"/>
          <w:szCs w:val="21"/>
        </w:rPr>
        <w:t>2.评审标准</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b/>
          <w:bCs/>
          <w:szCs w:val="21"/>
        </w:rPr>
        <w:t>2.1 初步评审</w:t>
      </w:r>
    </w:p>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w:t>
      </w:r>
      <w:r>
        <w:rPr>
          <w:rFonts w:hint="eastAsia" w:ascii="宋体" w:hAnsi="宋体" w:cs="宋体"/>
          <w:b/>
          <w:szCs w:val="21"/>
          <w:lang w:val="en-US" w:eastAsia="zh-CN"/>
        </w:rPr>
        <w:t>1</w:t>
      </w:r>
      <w:r>
        <w:rPr>
          <w:rFonts w:hint="eastAsia" w:ascii="宋体" w:hAnsi="宋体" w:cs="宋体"/>
          <w:b/>
          <w:szCs w:val="21"/>
        </w:rPr>
        <w:t>资格审查（资格后审）</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lang w:val="en-US" w:eastAsia="zh-CN"/>
        </w:rPr>
        <w:t>采购人或其代理机构</w:t>
      </w:r>
      <w:r>
        <w:rPr>
          <w:rFonts w:hint="eastAsia" w:ascii="宋体" w:hAnsi="宋体" w:cs="宋体"/>
          <w:szCs w:val="21"/>
        </w:rPr>
        <w:t>对投标人资格对照招标文件投标须知第3.5项的规定要求进行审查，只有通过资格审查的投标人方可进行下一阶段的评审。</w:t>
      </w:r>
    </w:p>
    <w:tbl>
      <w:tblPr>
        <w:tblStyle w:val="44"/>
        <w:tblW w:w="8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58"/>
        <w:gridCol w:w="5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评审因素</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营业执照</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书面声明</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eastAsia" w:ascii="宋体" w:hAnsi="宋体" w:cs="宋体"/>
                <w:szCs w:val="21"/>
              </w:rPr>
            </w:pPr>
            <w:r>
              <w:rPr>
                <w:rFonts w:hint="eastAsia" w:ascii="宋体" w:hAnsi="宋体" w:cs="宋体"/>
                <w:szCs w:val="21"/>
              </w:rPr>
              <w:t>符合招标公告要求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肥料登记证或备案号</w:t>
            </w:r>
          </w:p>
        </w:tc>
        <w:tc>
          <w:tcPr>
            <w:tcW w:w="5531" w:type="dxa"/>
            <w:tcBorders>
              <w:top w:val="single" w:color="auto" w:sz="4" w:space="0"/>
              <w:left w:val="single" w:color="auto" w:sz="4" w:space="0"/>
              <w:bottom w:val="single" w:color="auto" w:sz="4" w:space="0"/>
              <w:right w:val="single" w:color="auto" w:sz="4" w:space="0"/>
            </w:tcBorders>
            <w:noWrap/>
            <w:vAlign w:val="top"/>
          </w:tcPr>
          <w:p>
            <w:pPr>
              <w:pageBreakBefore w:val="0"/>
              <w:kinsoku/>
              <w:wordWrap/>
              <w:topLinePunct w:val="0"/>
              <w:bidi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有机无机复混肥、缓释肥、复合微生物肥、液体硅肥具有农业农村部门颁发的肥料登记证；水溶肥必须具有农业农村部门颁发的肥料登记证或备案号</w:t>
            </w:r>
          </w:p>
        </w:tc>
      </w:tr>
    </w:tbl>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w:t>
      </w:r>
      <w:r>
        <w:rPr>
          <w:rFonts w:hint="eastAsia" w:ascii="宋体" w:hAnsi="宋体" w:cs="宋体"/>
          <w:b/>
          <w:szCs w:val="21"/>
          <w:lang w:val="en-US" w:eastAsia="zh-CN"/>
        </w:rPr>
        <w:t>2</w:t>
      </w:r>
      <w:r>
        <w:rPr>
          <w:rFonts w:hint="eastAsia" w:ascii="宋体" w:hAnsi="宋体" w:cs="宋体"/>
          <w:b/>
          <w:szCs w:val="21"/>
        </w:rPr>
        <w:t>形式评审</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rPr>
        <w:t>对投标文件的有效性、完整性进行评审。</w:t>
      </w:r>
    </w:p>
    <w:tbl>
      <w:tblPr>
        <w:tblStyle w:val="44"/>
        <w:tblW w:w="90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3"/>
        <w:gridCol w:w="63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评审因素</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投标人名称</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投标承诺函</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eastAsia" w:ascii="宋体" w:hAnsi="宋体" w:eastAsia="宋体" w:cs="宋体"/>
                <w:szCs w:val="21"/>
                <w:lang w:eastAsia="zh-CN"/>
              </w:rPr>
            </w:pPr>
            <w:r>
              <w:rPr>
                <w:rFonts w:hint="eastAsia" w:ascii="宋体" w:hAnsi="宋体" w:cs="宋体"/>
                <w:szCs w:val="21"/>
              </w:rPr>
              <w:t>授权委托书</w:t>
            </w:r>
            <w:r>
              <w:rPr>
                <w:rFonts w:hint="eastAsia" w:ascii="宋体" w:hAnsi="宋体" w:cs="宋体"/>
                <w:szCs w:val="21"/>
                <w:lang w:eastAsia="zh-CN"/>
              </w:rPr>
              <w:t>（</w:t>
            </w:r>
            <w:r>
              <w:rPr>
                <w:rFonts w:hint="eastAsia" w:ascii="宋体" w:hAnsi="宋体" w:cs="宋体"/>
                <w:szCs w:val="21"/>
                <w:lang w:val="en-US" w:eastAsia="zh-CN"/>
              </w:rPr>
              <w:t>如有</w:t>
            </w:r>
            <w:r>
              <w:rPr>
                <w:rFonts w:hint="eastAsia" w:ascii="宋体" w:hAnsi="宋体" w:cs="宋体"/>
                <w:szCs w:val="21"/>
                <w:lang w:eastAsia="zh-CN"/>
              </w:rPr>
              <w:t>）</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报价唯一</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只能有一个有效报价</w:t>
            </w:r>
          </w:p>
        </w:tc>
      </w:tr>
    </w:tbl>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2.1.3 响应性审查</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rPr>
        <w:t>对招标文件要求的服务期限、质量标准、投标有效期、投标报价等实质性要求的响应性进行评审。</w:t>
      </w:r>
    </w:p>
    <w:tbl>
      <w:tblPr>
        <w:tblStyle w:val="44"/>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47"/>
        <w:gridCol w:w="54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评审因素</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lang w:eastAsia="zh-CN"/>
              </w:rPr>
              <w:t>供货</w:t>
            </w:r>
            <w:r>
              <w:rPr>
                <w:rFonts w:hint="eastAsia" w:ascii="宋体" w:hAnsi="宋体" w:cs="宋体"/>
                <w:szCs w:val="21"/>
              </w:rPr>
              <w:t>期限</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质量标准</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投标有效期</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投标价格</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招标文件要求提供的其他资料</w:t>
            </w:r>
          </w:p>
        </w:tc>
      </w:tr>
    </w:tbl>
    <w:p>
      <w:pPr>
        <w:pageBreakBefore w:val="0"/>
        <w:kinsoku/>
        <w:wordWrap/>
        <w:topLinePunct w:val="0"/>
        <w:bidi w:val="0"/>
        <w:spacing w:line="360" w:lineRule="auto"/>
        <w:ind w:firstLine="426" w:firstLineChars="200"/>
        <w:rPr>
          <w:rFonts w:hint="eastAsia" w:ascii="宋体" w:hAnsi="宋体" w:cs="宋体"/>
          <w:b/>
          <w:szCs w:val="21"/>
        </w:rPr>
      </w:pPr>
      <w:r>
        <w:rPr>
          <w:rFonts w:hint="eastAsia" w:ascii="宋体" w:hAnsi="宋体" w:cs="宋体"/>
          <w:b/>
          <w:szCs w:val="21"/>
        </w:rPr>
        <w:t>2.2 详细评审</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 xml:space="preserve">对小型或微型企业投标的扶持： </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根据《政府采购促进中小企业发展管理办法》（财库﹝2020﹞46 号）的规定，对小型和微型企业的价格给予20%的扣除，用扣除后的价格参与评审，如有虚假，将按照《中华人民共和国政府采购法》第七十七条依法承担相应责任。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 xml:space="preserve">根据财库〔2014〕68 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 </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根据财政部、民政部、中国残疾人联合会印发的《关于促进残疾人就业政府采购政策的通知》(财库〔2017〕141 号）的规定，残疾人福利性单位视同小微企业。符合条件的残疾人福利性单位在参加政府采购活动时，应当提供该通知规定的《残疾人福利性单位声明函》，并对声明的真实性负责。一旦中标将在中标公告中公告其声明函，接受社会监督。 投标人提供的《残疾人福利性单位声明函》与事实不符的，依照《中华人民共和国政府采购法》第七十七条第一款的规定追究法律责任。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本条款所称小型或微型企业应当符合以下条件：符合小型或微型企业划分标准（行业为</w:t>
      </w:r>
      <w:r>
        <w:rPr>
          <w:rFonts w:hint="eastAsia" w:ascii="宋体" w:hAnsi="宋体" w:cs="宋体"/>
          <w:szCs w:val="21"/>
          <w:lang w:val="en-US" w:eastAsia="zh-CN"/>
        </w:rPr>
        <w:t>工业</w:t>
      </w:r>
      <w:r>
        <w:rPr>
          <w:rFonts w:hint="eastAsia" w:ascii="宋体" w:hAnsi="宋体" w:cs="宋体"/>
          <w:szCs w:val="21"/>
        </w:rPr>
        <w:t>），提供</w:t>
      </w:r>
      <w:r>
        <w:rPr>
          <w:rFonts w:hint="eastAsia" w:ascii="宋体" w:hAnsi="宋体" w:cs="宋体"/>
          <w:szCs w:val="21"/>
          <w:lang w:val="en-US" w:eastAsia="zh-CN"/>
        </w:rPr>
        <w:t>小微</w:t>
      </w:r>
      <w:r>
        <w:rPr>
          <w:rFonts w:hint="eastAsia" w:ascii="宋体" w:hAnsi="宋体" w:cs="宋体"/>
          <w:szCs w:val="21"/>
        </w:rPr>
        <w:t>企业制造的货物、承担的工程或者服务。</w:t>
      </w:r>
    </w:p>
    <w:p>
      <w:pPr>
        <w:pageBreakBefore w:val="0"/>
        <w:kinsoku/>
        <w:wordWrap/>
        <w:topLinePunct w:val="0"/>
        <w:bidi w:val="0"/>
        <w:spacing w:line="360" w:lineRule="auto"/>
        <w:ind w:firstLine="426" w:firstLineChars="200"/>
        <w:rPr>
          <w:rFonts w:ascii="宋体" w:hAnsi="宋体" w:cs="宋体"/>
          <w:color w:val="auto"/>
          <w:szCs w:val="21"/>
        </w:rPr>
      </w:pPr>
      <w:r>
        <w:rPr>
          <w:rFonts w:hint="eastAsia" w:ascii="宋体" w:hAnsi="宋体" w:cs="宋体"/>
          <w:b/>
          <w:bCs/>
          <w:color w:val="auto"/>
          <w:szCs w:val="21"/>
        </w:rPr>
        <w:t>3.评标程序</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color w:val="auto"/>
          <w:sz w:val="21"/>
          <w:szCs w:val="21"/>
        </w:rPr>
      </w:pPr>
      <w:r>
        <w:rPr>
          <w:rFonts w:hint="eastAsia" w:ascii="宋体" w:hAnsi="宋体" w:cs="宋体"/>
          <w:color w:val="auto"/>
          <w:sz w:val="21"/>
          <w:szCs w:val="21"/>
        </w:rPr>
        <w:t>3.1 评标准备</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color w:val="auto"/>
          <w:sz w:val="21"/>
          <w:szCs w:val="21"/>
        </w:rPr>
      </w:pPr>
      <w:r>
        <w:rPr>
          <w:rFonts w:hint="eastAsia" w:ascii="宋体" w:hAnsi="宋体" w:cs="宋体"/>
          <w:color w:val="auto"/>
          <w:sz w:val="21"/>
          <w:szCs w:val="21"/>
        </w:rPr>
        <w:t>3.1.1 评标委员会成员到达评标现场</w:t>
      </w:r>
      <w:r>
        <w:rPr>
          <w:rFonts w:hint="eastAsia" w:ascii="宋体" w:hAnsi="宋体" w:eastAsia="宋体" w:cs="宋体"/>
          <w:sz w:val="21"/>
          <w:szCs w:val="21"/>
          <w:highlight w:val="none"/>
        </w:rPr>
        <w:t>时应在签到表上签到以证明其出席</w:t>
      </w:r>
      <w:r>
        <w:rPr>
          <w:rFonts w:hint="eastAsia" w:ascii="宋体" w:hAnsi="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3.1.2 评标委员会成员首先推选一名评标委员会负责人，负责评标活动的组织领导工作。</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 初步评审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3.2.1评标委员会依据本章第2.1 款规定的标准对投标文件进行初步评审。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3.2.2投标文件不符合本章第2.1款评审标准的，属于重大偏差，视为未能对招标文件作出实质性响应，应当作为无效投标予以否决。</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3.2.3对照投标人须知6.4款，投标文件有上述情况之一，视为未能对招标文件作出实质性响应，凡招标文件未明确标明无效标条款的，评标委员会不得作为判定无效投标的依据。</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3.2.4 投标报价有算术错误的，评标委员会按以下原则对投标报价进行修正，修正的价格经投标人书面确认后具有约束力。</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3.2.5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3.2.6只有通过初步评审的投标文件才能进入详细评审。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3.3 详细评审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3.3.1 在详细评审发现符合“无效标书条款”的，应当作为无效投标予以否决。</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 投标文件的澄清和补正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3.4.2 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3.4.3 评标委员会对投标人提交的澄清、说明或补正有疑问的，可以要求投标人进一步澄清、说明或补正。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3.5 推荐中标候选人或直接确定中标人</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3.5.1 除投标人须知前附表授权直接确定中标人外，评标委员会在推荐中标候选人时，应遵照以下原则</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评标委员会按照最终</w:t>
      </w:r>
      <w:r>
        <w:rPr>
          <w:rFonts w:hint="eastAsia" w:ascii="宋体" w:hAnsi="宋体" w:cs="宋体"/>
          <w:sz w:val="21"/>
          <w:szCs w:val="21"/>
          <w:lang w:val="en-US" w:eastAsia="zh-CN"/>
        </w:rPr>
        <w:t>评标价</w:t>
      </w:r>
      <w:r>
        <w:rPr>
          <w:rFonts w:hint="eastAsia" w:ascii="宋体" w:hAnsi="宋体" w:cs="宋体"/>
          <w:sz w:val="21"/>
          <w:szCs w:val="21"/>
        </w:rPr>
        <w:t>由</w:t>
      </w:r>
      <w:r>
        <w:rPr>
          <w:rFonts w:hint="eastAsia" w:ascii="宋体" w:hAnsi="宋体" w:cs="宋体"/>
          <w:sz w:val="21"/>
          <w:szCs w:val="21"/>
          <w:lang w:val="en-US" w:eastAsia="zh-CN"/>
        </w:rPr>
        <w:t>低</w:t>
      </w:r>
      <w:r>
        <w:rPr>
          <w:rFonts w:hint="eastAsia" w:ascii="宋体" w:hAnsi="宋体" w:cs="宋体"/>
          <w:sz w:val="21"/>
          <w:szCs w:val="21"/>
        </w:rPr>
        <w:t>至</w:t>
      </w:r>
      <w:r>
        <w:rPr>
          <w:rFonts w:hint="eastAsia" w:ascii="宋体" w:hAnsi="宋体" w:cs="宋体"/>
          <w:sz w:val="21"/>
          <w:szCs w:val="21"/>
          <w:lang w:val="en-US" w:eastAsia="zh-CN"/>
        </w:rPr>
        <w:t>高</w:t>
      </w:r>
      <w:r>
        <w:rPr>
          <w:rFonts w:hint="eastAsia" w:ascii="宋体" w:hAnsi="宋体" w:cs="宋体"/>
          <w:sz w:val="21"/>
          <w:szCs w:val="21"/>
        </w:rPr>
        <w:t>的次序排列，并根据投标人须知前附表规定的中标候选人数量，将排序在前的投标人推荐为中标候选人。</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 xml:space="preserve">3.6 提交评标报告 </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评标委员会完成评标后，应当向招标人提交书面评标报告。评标报告应当由全体评标委员会成员签字，并于评标结束时抄送有关行政监督部门。</w:t>
      </w:r>
    </w:p>
    <w:p>
      <w:pPr>
        <w:pStyle w:val="2"/>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rPr>
        <w:br w:type="page"/>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2" w:name="_Toc7525"/>
      <w:bookmarkStart w:id="363" w:name="_Toc397928630"/>
      <w:r>
        <w:rPr>
          <w:rFonts w:hint="eastAsia" w:ascii="宋体" w:hAnsi="宋体" w:cs="宋体"/>
        </w:rPr>
        <w:t>第四章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委托方（采购单位）：</w:t>
      </w:r>
      <w:r>
        <w:rPr>
          <w:rFonts w:hint="eastAsia" w:ascii="宋体" w:hAnsi="宋体" w:eastAsia="宋体" w:cs="宋体"/>
          <w:szCs w:val="21"/>
          <w:u w:val="single"/>
        </w:rPr>
        <w:t xml:space="preserve">                          </w:t>
      </w:r>
      <w:r>
        <w:rPr>
          <w:rFonts w:hint="eastAsia" w:ascii="宋体" w:hAnsi="宋体" w:eastAsia="宋体" w:cs="宋体"/>
          <w:szCs w:val="21"/>
        </w:rPr>
        <w:t>（以下简称甲方）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服务方（中标单位）：</w:t>
      </w:r>
      <w:r>
        <w:rPr>
          <w:rFonts w:hint="eastAsia" w:ascii="宋体" w:hAnsi="宋体" w:eastAsia="宋体" w:cs="宋体"/>
          <w:szCs w:val="21"/>
          <w:u w:val="single"/>
        </w:rPr>
        <w:t xml:space="preserve">                          </w:t>
      </w:r>
      <w:r>
        <w:rPr>
          <w:rFonts w:hint="eastAsia" w:ascii="宋体" w:hAnsi="宋体" w:eastAsia="宋体" w:cs="宋体"/>
          <w:szCs w:val="21"/>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u w:val="single"/>
        </w:rPr>
        <w:t xml:space="preserve"> 2023年大丰区化肥减量增效示范区</w:t>
      </w:r>
      <w:r>
        <w:rPr>
          <w:rFonts w:hint="eastAsia" w:ascii="宋体" w:hAnsi="宋体" w:cs="宋体"/>
          <w:szCs w:val="21"/>
          <w:u w:val="single"/>
          <w:lang w:eastAsia="zh-CN"/>
        </w:rPr>
        <w:t>（有机无机复混肥、缓释肥、水溶肥、复合微生物肥、液体硅肥）</w:t>
      </w:r>
      <w:r>
        <w:rPr>
          <w:rFonts w:hint="eastAsia" w:ascii="宋体" w:hAnsi="宋体" w:eastAsia="宋体" w:cs="宋体"/>
          <w:szCs w:val="21"/>
          <w:u w:val="single"/>
          <w:lang w:eastAsia="zh-CN"/>
        </w:rPr>
        <w:t>采购项目</w:t>
      </w:r>
      <w:r>
        <w:rPr>
          <w:rFonts w:hint="eastAsia" w:ascii="宋体" w:hAnsi="宋体" w:eastAsia="宋体" w:cs="宋体"/>
          <w:szCs w:val="21"/>
          <w:u w:val="single"/>
        </w:rPr>
        <w:t xml:space="preserve"> </w:t>
      </w:r>
      <w:r>
        <w:rPr>
          <w:rFonts w:hint="eastAsia" w:ascii="宋体" w:hAnsi="宋体" w:eastAsia="宋体" w:cs="宋体"/>
          <w:szCs w:val="21"/>
        </w:rPr>
        <w:t>的招标文件及乙方的投标文件和中标通知书， 甲乙双方就</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协商一致，签订本合同。</w:t>
      </w:r>
    </w:p>
    <w:p>
      <w:pPr>
        <w:pStyle w:val="22"/>
        <w:spacing w:line="360" w:lineRule="auto"/>
        <w:ind w:firstLine="426" w:firstLineChars="200"/>
        <w:contextualSpacing/>
        <w:rPr>
          <w:rFonts w:hAnsi="宋体"/>
          <w:b/>
          <w:sz w:val="21"/>
          <w:szCs w:val="21"/>
        </w:rPr>
      </w:pPr>
      <w:r>
        <w:rPr>
          <w:rFonts w:hAnsi="宋体"/>
          <w:b/>
          <w:sz w:val="21"/>
          <w:szCs w:val="21"/>
        </w:rPr>
        <w:t>一、货物内容</w:t>
      </w:r>
    </w:p>
    <w:p>
      <w:pPr>
        <w:pStyle w:val="22"/>
        <w:spacing w:line="360" w:lineRule="auto"/>
        <w:ind w:firstLine="426" w:firstLineChars="200"/>
        <w:contextualSpacing/>
        <w:rPr>
          <w:rFonts w:hAnsi="宋体"/>
          <w:sz w:val="21"/>
          <w:szCs w:val="21"/>
        </w:rPr>
      </w:pPr>
      <w:r>
        <w:rPr>
          <w:rFonts w:hAnsi="宋体"/>
          <w:sz w:val="21"/>
          <w:szCs w:val="21"/>
        </w:rPr>
        <w:t>1.1 货物名称：</w:t>
      </w:r>
    </w:p>
    <w:p>
      <w:pPr>
        <w:pStyle w:val="22"/>
        <w:spacing w:line="360" w:lineRule="auto"/>
        <w:ind w:firstLine="426" w:firstLineChars="200"/>
        <w:contextualSpacing/>
        <w:rPr>
          <w:rFonts w:hAnsi="宋体"/>
          <w:sz w:val="21"/>
          <w:szCs w:val="21"/>
        </w:rPr>
      </w:pPr>
      <w:r>
        <w:rPr>
          <w:rFonts w:hAnsi="宋体"/>
          <w:sz w:val="21"/>
          <w:szCs w:val="21"/>
        </w:rPr>
        <w:t>1.2 型号规格：</w:t>
      </w:r>
    </w:p>
    <w:p>
      <w:pPr>
        <w:pStyle w:val="22"/>
        <w:spacing w:line="360" w:lineRule="auto"/>
        <w:ind w:firstLine="426" w:firstLineChars="200"/>
        <w:contextualSpacing/>
        <w:rPr>
          <w:rFonts w:hAnsi="宋体"/>
          <w:sz w:val="21"/>
          <w:szCs w:val="21"/>
        </w:rPr>
      </w:pPr>
      <w:r>
        <w:rPr>
          <w:rFonts w:hAnsi="宋体"/>
          <w:sz w:val="21"/>
          <w:szCs w:val="21"/>
        </w:rPr>
        <w:t>1.3 数量（</w:t>
      </w:r>
      <w:r>
        <w:rPr>
          <w:rFonts w:hint="eastAsia" w:hAnsi="宋体"/>
          <w:sz w:val="21"/>
          <w:szCs w:val="21"/>
        </w:rPr>
        <w:t>吨</w:t>
      </w:r>
      <w:r>
        <w:rPr>
          <w:rFonts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二、合同金额</w:t>
      </w:r>
    </w:p>
    <w:p>
      <w:pPr>
        <w:pStyle w:val="22"/>
        <w:spacing w:line="360" w:lineRule="auto"/>
        <w:ind w:firstLine="426" w:firstLineChars="200"/>
        <w:contextualSpacing/>
        <w:rPr>
          <w:rFonts w:hint="eastAsia" w:hAnsi="宋体"/>
          <w:sz w:val="21"/>
          <w:szCs w:val="21"/>
        </w:rPr>
      </w:pPr>
      <w:r>
        <w:rPr>
          <w:rFonts w:hAnsi="宋体"/>
          <w:sz w:val="21"/>
          <w:szCs w:val="21"/>
        </w:rPr>
        <w:t xml:space="preserve">2.1 </w:t>
      </w:r>
      <w:r>
        <w:rPr>
          <w:rFonts w:hint="eastAsia" w:hAnsi="宋体"/>
          <w:sz w:val="21"/>
          <w:szCs w:val="21"/>
        </w:rPr>
        <w:t>本项目合同总价款：</w:t>
      </w:r>
      <w:r>
        <w:rPr>
          <w:rFonts w:hint="eastAsia" w:hAnsi="宋体"/>
          <w:sz w:val="21"/>
          <w:szCs w:val="21"/>
          <w:u w:val="single"/>
        </w:rPr>
        <w:t xml:space="preserve">（大写）           </w:t>
      </w:r>
      <w:r>
        <w:rPr>
          <w:rFonts w:hint="eastAsia" w:hAnsi="宋体"/>
          <w:sz w:val="21"/>
          <w:szCs w:val="21"/>
        </w:rPr>
        <w:t>元 ，（小写）</w:t>
      </w:r>
      <w:r>
        <w:rPr>
          <w:rFonts w:hint="eastAsia" w:hAnsi="宋体"/>
          <w:sz w:val="21"/>
          <w:szCs w:val="21"/>
          <w:u w:val="single"/>
        </w:rPr>
        <w:t xml:space="preserve">        </w:t>
      </w:r>
      <w:r>
        <w:rPr>
          <w:rFonts w:hint="eastAsia" w:hAnsi="宋体"/>
          <w:sz w:val="21"/>
          <w:szCs w:val="21"/>
        </w:rPr>
        <w:t xml:space="preserve">   元      </w:t>
      </w:r>
    </w:p>
    <w:p>
      <w:pPr>
        <w:pStyle w:val="22"/>
        <w:spacing w:line="360" w:lineRule="auto"/>
        <w:ind w:firstLine="426" w:firstLineChars="200"/>
        <w:contextualSpacing/>
        <w:rPr>
          <w:rFonts w:hint="eastAsia" w:hAnsi="宋体"/>
          <w:sz w:val="21"/>
          <w:szCs w:val="21"/>
          <w:u w:val="single"/>
        </w:rPr>
      </w:pPr>
      <w:r>
        <w:rPr>
          <w:rFonts w:hAnsi="宋体"/>
          <w:sz w:val="21"/>
          <w:szCs w:val="21"/>
          <w:u w:val="single"/>
        </w:rPr>
        <w:t>本合同</w:t>
      </w:r>
      <w:r>
        <w:rPr>
          <w:rFonts w:hint="eastAsia" w:hAnsi="宋体"/>
          <w:sz w:val="21"/>
          <w:szCs w:val="21"/>
          <w:u w:val="single"/>
        </w:rPr>
        <w:t>供应项目区农民自筹部分</w:t>
      </w:r>
      <w:r>
        <w:rPr>
          <w:rFonts w:hint="eastAsia" w:hAnsi="宋体"/>
          <w:sz w:val="21"/>
          <w:szCs w:val="21"/>
          <w:u w:val="single"/>
          <w:lang w:eastAsia="zh-CN"/>
        </w:rPr>
        <w:t>为</w:t>
      </w:r>
      <w:r>
        <w:rPr>
          <w:rFonts w:hint="eastAsia" w:hAnsi="宋体"/>
          <w:sz w:val="21"/>
          <w:szCs w:val="21"/>
          <w:u w:val="single"/>
        </w:rPr>
        <w:t xml:space="preserve">    元/吨，小计    元，保质保量供货后财政补贴部分</w:t>
      </w:r>
      <w:r>
        <w:rPr>
          <w:rFonts w:hAnsi="宋体"/>
          <w:sz w:val="21"/>
          <w:szCs w:val="21"/>
          <w:u w:val="single"/>
        </w:rPr>
        <w:t>为</w:t>
      </w:r>
      <w:r>
        <w:rPr>
          <w:rFonts w:hint="eastAsia" w:hAnsi="宋体"/>
          <w:sz w:val="21"/>
          <w:szCs w:val="21"/>
          <w:u w:val="single"/>
        </w:rPr>
        <w:t xml:space="preserve">   </w:t>
      </w:r>
      <w:r>
        <w:rPr>
          <w:rFonts w:hAnsi="宋体"/>
          <w:sz w:val="21"/>
          <w:szCs w:val="21"/>
          <w:u w:val="single"/>
        </w:rPr>
        <w:t>元</w:t>
      </w:r>
      <w:r>
        <w:rPr>
          <w:rFonts w:hint="eastAsia" w:hAnsi="宋体"/>
          <w:sz w:val="21"/>
          <w:szCs w:val="21"/>
          <w:u w:val="single"/>
        </w:rPr>
        <w:t>/吨</w:t>
      </w:r>
      <w:r>
        <w:rPr>
          <w:rFonts w:hAnsi="宋体"/>
          <w:sz w:val="21"/>
          <w:szCs w:val="21"/>
          <w:u w:val="single"/>
        </w:rPr>
        <w:t>（人民币）</w:t>
      </w:r>
      <w:r>
        <w:rPr>
          <w:rFonts w:hint="eastAsia" w:hAnsi="宋体"/>
          <w:sz w:val="21"/>
          <w:szCs w:val="21"/>
          <w:u w:val="single"/>
        </w:rPr>
        <w:t>小计   元。</w:t>
      </w:r>
    </w:p>
    <w:p>
      <w:pPr>
        <w:pStyle w:val="22"/>
        <w:spacing w:line="360" w:lineRule="auto"/>
        <w:ind w:firstLine="426" w:firstLineChars="200"/>
        <w:contextualSpacing/>
        <w:rPr>
          <w:rFonts w:hAnsi="宋体"/>
          <w:b/>
          <w:sz w:val="21"/>
          <w:szCs w:val="21"/>
        </w:rPr>
      </w:pPr>
      <w:r>
        <w:rPr>
          <w:rFonts w:hAnsi="宋体"/>
          <w:b/>
          <w:sz w:val="21"/>
          <w:szCs w:val="21"/>
        </w:rPr>
        <w:t>三、技术资料</w:t>
      </w:r>
    </w:p>
    <w:p>
      <w:pPr>
        <w:pStyle w:val="22"/>
        <w:spacing w:line="360" w:lineRule="auto"/>
        <w:ind w:firstLine="426" w:firstLineChars="200"/>
        <w:contextualSpacing/>
        <w:rPr>
          <w:rFonts w:hAnsi="宋体"/>
          <w:sz w:val="21"/>
          <w:szCs w:val="21"/>
        </w:rPr>
      </w:pPr>
      <w:r>
        <w:rPr>
          <w:rFonts w:hAnsi="宋体"/>
          <w:sz w:val="21"/>
          <w:szCs w:val="21"/>
        </w:rPr>
        <w:t>3.1乙方应按招标文件规定的时间向甲方提供使用货物的有关技术资料。</w:t>
      </w:r>
    </w:p>
    <w:p>
      <w:pPr>
        <w:pStyle w:val="22"/>
        <w:spacing w:line="360" w:lineRule="auto"/>
        <w:ind w:firstLine="426" w:firstLineChars="200"/>
        <w:contextualSpacing/>
        <w:rPr>
          <w:rFonts w:hAnsi="宋体"/>
          <w:sz w:val="21"/>
          <w:szCs w:val="21"/>
        </w:rPr>
      </w:pPr>
      <w:r>
        <w:rPr>
          <w:rFonts w:hAnsi="宋体"/>
          <w:sz w:val="21"/>
          <w:szCs w:val="21"/>
        </w:rPr>
        <w:t>3.2 没有甲方事先书面同意，乙方不得将由甲方提供的有关合同或任何合同条文、规格、计划、图纸、样品或资料提供</w:t>
      </w:r>
      <w:r>
        <w:rPr>
          <w:rFonts w:hint="eastAsia" w:hAnsi="宋体"/>
          <w:sz w:val="21"/>
          <w:szCs w:val="21"/>
          <w:lang w:eastAsia="zh-CN"/>
        </w:rPr>
        <w:t>给予</w:t>
      </w:r>
      <w:r>
        <w:rPr>
          <w:rFonts w:hAnsi="宋体"/>
          <w:sz w:val="21"/>
          <w:szCs w:val="21"/>
        </w:rPr>
        <w:t>履行本合同无关的任何其他人。即使向履行本合同有关的人员提供，也应注意保密并限于履行合同的必需范围。</w:t>
      </w:r>
    </w:p>
    <w:p>
      <w:pPr>
        <w:pStyle w:val="22"/>
        <w:spacing w:line="360" w:lineRule="auto"/>
        <w:ind w:firstLine="426" w:firstLineChars="200"/>
        <w:contextualSpacing/>
        <w:rPr>
          <w:rFonts w:hAnsi="宋体"/>
          <w:b/>
          <w:sz w:val="21"/>
          <w:szCs w:val="21"/>
        </w:rPr>
      </w:pPr>
      <w:r>
        <w:rPr>
          <w:rFonts w:hAnsi="宋体"/>
          <w:b/>
          <w:sz w:val="21"/>
          <w:szCs w:val="21"/>
        </w:rPr>
        <w:t>四、知识产权</w:t>
      </w:r>
    </w:p>
    <w:p>
      <w:pPr>
        <w:spacing w:line="360" w:lineRule="auto"/>
        <w:ind w:firstLine="426" w:firstLineChars="200"/>
        <w:contextualSpacing/>
        <w:rPr>
          <w:rFonts w:ascii="宋体" w:hAnsi="宋体"/>
          <w:szCs w:val="21"/>
        </w:rPr>
      </w:pPr>
      <w:r>
        <w:rPr>
          <w:rFonts w:ascii="宋体" w:hAnsi="宋体"/>
          <w:szCs w:val="21"/>
        </w:rPr>
        <w:t>4.1乙</w:t>
      </w:r>
      <w:r>
        <w:rPr>
          <w:rFonts w:hint="eastAsia" w:ascii="宋体" w:hAnsi="宋体"/>
          <w:szCs w:val="21"/>
        </w:rPr>
        <w:t>方应保证甲方在使用、接受本合同货物和服务或其任何一部分时不受第三方提出侵犯其专利权、版权、商标权和工业设计权等知识产权的起诉。一旦出现侵权，由乙方负全部责任。</w:t>
      </w:r>
    </w:p>
    <w:p>
      <w:pPr>
        <w:pStyle w:val="22"/>
        <w:spacing w:line="360" w:lineRule="auto"/>
        <w:ind w:firstLine="426" w:firstLineChars="200"/>
        <w:contextualSpacing/>
        <w:rPr>
          <w:rFonts w:hAnsi="宋体"/>
          <w:sz w:val="21"/>
          <w:szCs w:val="21"/>
          <w:u w:val="single"/>
        </w:rPr>
      </w:pPr>
      <w:r>
        <w:rPr>
          <w:rFonts w:hAnsi="宋体"/>
          <w:b/>
          <w:sz w:val="21"/>
          <w:szCs w:val="21"/>
        </w:rPr>
        <w:t>五、产权担保</w:t>
      </w:r>
    </w:p>
    <w:p>
      <w:pPr>
        <w:pStyle w:val="22"/>
        <w:spacing w:line="360" w:lineRule="auto"/>
        <w:ind w:firstLine="426" w:firstLineChars="200"/>
        <w:contextualSpacing/>
        <w:rPr>
          <w:rFonts w:hAnsi="宋体"/>
          <w:sz w:val="21"/>
          <w:szCs w:val="21"/>
          <w:u w:val="single"/>
        </w:rPr>
      </w:pPr>
      <w:r>
        <w:rPr>
          <w:rFonts w:hAnsi="宋体"/>
          <w:sz w:val="21"/>
          <w:szCs w:val="21"/>
        </w:rPr>
        <w:t xml:space="preserve"> 乙方保证所交付的货物的所有权完全属于乙方且无任何抵押、查封等产权瑕疵。</w:t>
      </w:r>
    </w:p>
    <w:p>
      <w:pPr>
        <w:pStyle w:val="22"/>
        <w:spacing w:line="360" w:lineRule="auto"/>
        <w:ind w:firstLine="426" w:firstLineChars="200"/>
        <w:contextualSpacing/>
        <w:rPr>
          <w:rFonts w:hAnsi="宋体"/>
          <w:b/>
          <w:sz w:val="21"/>
          <w:szCs w:val="21"/>
        </w:rPr>
      </w:pPr>
      <w:r>
        <w:rPr>
          <w:rFonts w:hAnsi="宋体"/>
          <w:b/>
          <w:sz w:val="21"/>
          <w:szCs w:val="21"/>
        </w:rPr>
        <w:t>六、履约保证金</w:t>
      </w:r>
    </w:p>
    <w:p>
      <w:pPr>
        <w:pStyle w:val="22"/>
        <w:spacing w:line="360" w:lineRule="auto"/>
        <w:ind w:firstLine="426" w:firstLineChars="200"/>
        <w:contextualSpacing/>
        <w:rPr>
          <w:rFonts w:hint="eastAsia" w:hAnsi="宋体"/>
          <w:sz w:val="21"/>
          <w:szCs w:val="21"/>
        </w:rPr>
      </w:pPr>
      <w:r>
        <w:rPr>
          <w:rFonts w:hAnsi="宋体"/>
          <w:sz w:val="21"/>
          <w:szCs w:val="21"/>
        </w:rPr>
        <w:t>6.1 乙方交纳</w:t>
      </w:r>
      <w:r>
        <w:rPr>
          <w:rFonts w:hint="eastAsia" w:hAnsi="宋体"/>
          <w:sz w:val="21"/>
          <w:szCs w:val="21"/>
        </w:rPr>
        <w:t>（货款10%）</w:t>
      </w:r>
      <w:r>
        <w:rPr>
          <w:rFonts w:hAnsi="宋体"/>
          <w:sz w:val="21"/>
          <w:szCs w:val="21"/>
        </w:rPr>
        <w:t>人民币_________</w:t>
      </w:r>
      <w:r>
        <w:rPr>
          <w:rFonts w:hint="eastAsia" w:hAnsi="宋体"/>
          <w:sz w:val="21"/>
          <w:szCs w:val="21"/>
        </w:rPr>
        <w:t>万</w:t>
      </w:r>
      <w:r>
        <w:rPr>
          <w:rFonts w:hAnsi="宋体"/>
          <w:sz w:val="21"/>
          <w:szCs w:val="21"/>
        </w:rPr>
        <w:t>元作为本合同的履约保证金。</w:t>
      </w:r>
    </w:p>
    <w:p>
      <w:pPr>
        <w:pStyle w:val="22"/>
        <w:spacing w:line="360" w:lineRule="auto"/>
        <w:ind w:firstLine="426" w:firstLineChars="200"/>
        <w:contextualSpacing/>
        <w:rPr>
          <w:rFonts w:hint="eastAsia" w:hAnsi="宋体"/>
          <w:sz w:val="21"/>
          <w:szCs w:val="21"/>
        </w:rPr>
      </w:pPr>
      <w:r>
        <w:rPr>
          <w:rFonts w:hint="eastAsia" w:hAnsi="宋体"/>
          <w:sz w:val="21"/>
          <w:szCs w:val="21"/>
        </w:rPr>
        <w:t>履约保证金的形式：转账、履约担保或者投标人基本账户开户行出具的银行保函、保险公司保险单。</w:t>
      </w:r>
    </w:p>
    <w:p>
      <w:pPr>
        <w:pStyle w:val="22"/>
        <w:spacing w:line="360" w:lineRule="auto"/>
        <w:ind w:firstLine="426" w:firstLineChars="200"/>
        <w:contextualSpacing/>
        <w:rPr>
          <w:rFonts w:hint="eastAsia" w:hAnsi="宋体"/>
          <w:sz w:val="21"/>
          <w:szCs w:val="21"/>
        </w:rPr>
      </w:pPr>
      <w:r>
        <w:rPr>
          <w:rFonts w:hint="eastAsia" w:hAnsi="宋体"/>
          <w:sz w:val="21"/>
          <w:szCs w:val="21"/>
        </w:rPr>
        <w:t>履约保证金的金额：中标价的10%。</w:t>
      </w:r>
    </w:p>
    <w:p>
      <w:pPr>
        <w:pStyle w:val="22"/>
        <w:spacing w:line="360" w:lineRule="auto"/>
        <w:ind w:firstLine="426" w:firstLineChars="200"/>
        <w:contextualSpacing/>
        <w:rPr>
          <w:rFonts w:hint="eastAsia" w:hAnsi="宋体"/>
          <w:sz w:val="21"/>
          <w:szCs w:val="21"/>
        </w:rPr>
      </w:pPr>
      <w:r>
        <w:rPr>
          <w:rFonts w:hint="eastAsia" w:hAnsi="宋体"/>
          <w:sz w:val="21"/>
          <w:szCs w:val="21"/>
        </w:rPr>
        <w:t>注：对提供＂信用中国(江苏盐城)＂备案的第三方信用报告AA评级及以上采购供应商，免收履约保证金或履约保证金缴纳比例降低，合同订立前需提供相关证明材料</w:t>
      </w:r>
    </w:p>
    <w:p>
      <w:pPr>
        <w:pStyle w:val="22"/>
        <w:spacing w:line="360" w:lineRule="auto"/>
        <w:ind w:firstLine="426" w:firstLineChars="200"/>
        <w:contextualSpacing/>
        <w:rPr>
          <w:rFonts w:hint="eastAsia" w:hAnsi="宋体"/>
          <w:sz w:val="21"/>
          <w:szCs w:val="21"/>
        </w:rPr>
      </w:pPr>
      <w:r>
        <w:rPr>
          <w:rFonts w:hint="eastAsia" w:hAnsi="宋体"/>
          <w:sz w:val="21"/>
          <w:szCs w:val="21"/>
        </w:rPr>
        <w:t>按照盐财购〔2024〕18号 关于在全市政府采购领域进一步推行电子履约保函（保险）的通知。可以通过政府采购电子履约保函（保险）平台（www.jsdzbh.com）在线申请履约保函（保险）。</w:t>
      </w:r>
    </w:p>
    <w:p>
      <w:pPr>
        <w:pStyle w:val="22"/>
        <w:spacing w:line="360" w:lineRule="auto"/>
        <w:ind w:firstLine="426" w:firstLineChars="200"/>
        <w:contextualSpacing/>
        <w:rPr>
          <w:rFonts w:hAnsi="宋体"/>
          <w:sz w:val="21"/>
          <w:szCs w:val="21"/>
        </w:rPr>
      </w:pPr>
      <w:bookmarkStart w:id="382" w:name="_GoBack"/>
      <w:bookmarkEnd w:id="382"/>
      <w:r>
        <w:rPr>
          <w:rFonts w:hint="eastAsia" w:hAnsi="宋体"/>
          <w:sz w:val="21"/>
          <w:szCs w:val="21"/>
        </w:rPr>
        <w:t>履约保证金退还：验收合格后30日内无息退还。</w:t>
      </w:r>
    </w:p>
    <w:p>
      <w:pPr>
        <w:spacing w:line="360" w:lineRule="auto"/>
        <w:ind w:firstLine="426" w:firstLineChars="200"/>
        <w:contextualSpacing/>
        <w:rPr>
          <w:rFonts w:ascii="宋体" w:hAnsi="宋体"/>
          <w:szCs w:val="21"/>
        </w:rPr>
      </w:pPr>
      <w:r>
        <w:rPr>
          <w:rFonts w:hint="eastAsia" w:ascii="宋体" w:hAnsi="宋体" w:cs="Courier New"/>
          <w:b/>
          <w:szCs w:val="21"/>
        </w:rPr>
        <w:t>七</w:t>
      </w:r>
      <w:r>
        <w:rPr>
          <w:rFonts w:ascii="宋体" w:hAnsi="宋体" w:cs="Courier New"/>
          <w:b/>
          <w:szCs w:val="21"/>
        </w:rPr>
        <w:t>.</w:t>
      </w:r>
      <w:r>
        <w:rPr>
          <w:rFonts w:hint="eastAsia" w:ascii="宋体" w:hAnsi="宋体" w:cs="Courier New"/>
          <w:b/>
          <w:szCs w:val="21"/>
        </w:rPr>
        <w:t>转包或分包</w:t>
      </w:r>
    </w:p>
    <w:p>
      <w:pPr>
        <w:spacing w:line="360" w:lineRule="auto"/>
        <w:ind w:firstLine="426" w:firstLineChars="200"/>
        <w:contextualSpacing/>
        <w:rPr>
          <w:rFonts w:ascii="宋体" w:hAnsi="宋体"/>
          <w:szCs w:val="21"/>
        </w:rPr>
      </w:pPr>
      <w:r>
        <w:rPr>
          <w:rFonts w:ascii="宋体" w:hAnsi="宋体"/>
          <w:szCs w:val="21"/>
        </w:rPr>
        <w:t>7.1</w:t>
      </w:r>
      <w:r>
        <w:rPr>
          <w:rFonts w:hint="eastAsia" w:ascii="宋体" w:hAnsi="宋体"/>
          <w:szCs w:val="21"/>
        </w:rPr>
        <w:t>本合同范围的货物，应由乙方直接生产供应，不得转让他人生产供应；</w:t>
      </w:r>
    </w:p>
    <w:p>
      <w:pPr>
        <w:spacing w:line="360" w:lineRule="auto"/>
        <w:ind w:firstLine="426" w:firstLineChars="200"/>
        <w:contextualSpacing/>
        <w:rPr>
          <w:rFonts w:ascii="宋体" w:hAnsi="宋体"/>
          <w:szCs w:val="21"/>
        </w:rPr>
      </w:pPr>
      <w:r>
        <w:rPr>
          <w:rFonts w:ascii="宋体" w:hAnsi="宋体"/>
          <w:szCs w:val="21"/>
        </w:rPr>
        <w:t>7.2</w:t>
      </w:r>
      <w:r>
        <w:rPr>
          <w:rFonts w:hint="eastAsia" w:ascii="宋体" w:hAnsi="宋体"/>
          <w:szCs w:val="21"/>
        </w:rPr>
        <w:t>如有转让和未经甲方同意的分包行为，甲方有权给予终止合同。</w:t>
      </w:r>
    </w:p>
    <w:p>
      <w:pPr>
        <w:pStyle w:val="22"/>
        <w:spacing w:line="360" w:lineRule="auto"/>
        <w:ind w:firstLine="426" w:firstLineChars="200"/>
        <w:contextualSpacing/>
        <w:rPr>
          <w:rFonts w:hAnsi="宋体"/>
          <w:sz w:val="21"/>
          <w:szCs w:val="21"/>
        </w:rPr>
      </w:pPr>
      <w:r>
        <w:rPr>
          <w:rFonts w:hAnsi="宋体"/>
          <w:b/>
          <w:sz w:val="21"/>
          <w:szCs w:val="21"/>
        </w:rPr>
        <w:t>八、质保期</w:t>
      </w:r>
    </w:p>
    <w:p>
      <w:pPr>
        <w:pStyle w:val="22"/>
        <w:spacing w:line="360" w:lineRule="auto"/>
        <w:ind w:firstLine="426" w:firstLineChars="200"/>
        <w:contextualSpacing/>
        <w:rPr>
          <w:rFonts w:hint="eastAsia" w:hAnsi="宋体"/>
          <w:sz w:val="21"/>
          <w:szCs w:val="21"/>
        </w:rPr>
      </w:pPr>
      <w:r>
        <w:rPr>
          <w:rFonts w:hAnsi="宋体"/>
          <w:sz w:val="21"/>
          <w:szCs w:val="21"/>
        </w:rPr>
        <w:t>8.1 质保期</w:t>
      </w:r>
      <w:r>
        <w:rPr>
          <w:rFonts w:hint="eastAsia" w:hAnsi="宋体"/>
          <w:sz w:val="21"/>
          <w:szCs w:val="21"/>
          <w:u w:val="single"/>
        </w:rPr>
        <w:t xml:space="preserve">     </w:t>
      </w:r>
      <w:r>
        <w:rPr>
          <w:rFonts w:hAnsi="宋体"/>
          <w:sz w:val="21"/>
          <w:szCs w:val="21"/>
        </w:rPr>
        <w:t>年。</w:t>
      </w:r>
      <w:r>
        <w:rPr>
          <w:rFonts w:hint="eastAsia" w:hAnsi="宋体"/>
          <w:sz w:val="21"/>
          <w:szCs w:val="21"/>
        </w:rPr>
        <w:t xml:space="preserve"> </w:t>
      </w:r>
    </w:p>
    <w:p>
      <w:pPr>
        <w:pStyle w:val="22"/>
        <w:spacing w:line="360" w:lineRule="auto"/>
        <w:ind w:firstLine="426" w:firstLineChars="200"/>
        <w:contextualSpacing/>
        <w:rPr>
          <w:rFonts w:hAnsi="宋体"/>
          <w:sz w:val="21"/>
          <w:szCs w:val="21"/>
        </w:rPr>
      </w:pPr>
      <w:r>
        <w:rPr>
          <w:rFonts w:hAnsi="宋体"/>
          <w:b/>
          <w:sz w:val="21"/>
          <w:szCs w:val="21"/>
        </w:rPr>
        <w:t>九、交货期、交货方式及交货地点</w:t>
      </w:r>
    </w:p>
    <w:p>
      <w:pPr>
        <w:pStyle w:val="22"/>
        <w:spacing w:line="360" w:lineRule="auto"/>
        <w:ind w:firstLine="426" w:firstLineChars="200"/>
        <w:contextualSpacing/>
        <w:rPr>
          <w:rFonts w:hAnsi="宋体"/>
          <w:sz w:val="21"/>
          <w:szCs w:val="21"/>
        </w:rPr>
      </w:pPr>
      <w:r>
        <w:rPr>
          <w:rFonts w:hAnsi="宋体"/>
          <w:bCs/>
          <w:sz w:val="21"/>
          <w:szCs w:val="21"/>
        </w:rPr>
        <w:t>9.1 交货期：</w:t>
      </w:r>
      <w:r>
        <w:rPr>
          <w:rFonts w:hint="eastAsia" w:hAnsi="宋体"/>
          <w:bCs/>
          <w:sz w:val="21"/>
          <w:szCs w:val="21"/>
        </w:rPr>
        <w:t>根据招标人要求供货，</w:t>
      </w:r>
      <w:r>
        <w:rPr>
          <w:rFonts w:hint="eastAsia" w:hAnsi="宋体"/>
          <w:bCs/>
          <w:sz w:val="21"/>
          <w:szCs w:val="21"/>
          <w:u w:val="single"/>
        </w:rPr>
        <w:t>详见招标公告</w:t>
      </w:r>
      <w:r>
        <w:rPr>
          <w:rFonts w:hint="eastAsia" w:hAnsi="宋体"/>
          <w:bCs/>
          <w:sz w:val="21"/>
          <w:szCs w:val="21"/>
        </w:rPr>
        <w:t>；</w:t>
      </w:r>
    </w:p>
    <w:p>
      <w:pPr>
        <w:pStyle w:val="22"/>
        <w:spacing w:line="360" w:lineRule="auto"/>
        <w:ind w:firstLine="426" w:firstLineChars="200"/>
        <w:contextualSpacing/>
        <w:rPr>
          <w:rFonts w:hAnsi="宋体"/>
          <w:sz w:val="21"/>
          <w:szCs w:val="21"/>
        </w:rPr>
      </w:pPr>
      <w:r>
        <w:rPr>
          <w:rFonts w:hAnsi="宋体"/>
          <w:bCs/>
          <w:sz w:val="21"/>
          <w:szCs w:val="21"/>
        </w:rPr>
        <w:t>9.2 交货方式：</w:t>
      </w:r>
      <w:r>
        <w:rPr>
          <w:rFonts w:hint="eastAsia" w:hAnsi="宋体"/>
          <w:sz w:val="21"/>
          <w:szCs w:val="21"/>
        </w:rPr>
        <w:t>按照</w:t>
      </w:r>
      <w:r>
        <w:rPr>
          <w:rFonts w:hAnsi="宋体"/>
          <w:sz w:val="21"/>
          <w:szCs w:val="21"/>
        </w:rPr>
        <w:t>甲方</w:t>
      </w:r>
      <w:r>
        <w:rPr>
          <w:rFonts w:hint="eastAsia" w:hAnsi="宋体"/>
          <w:sz w:val="21"/>
          <w:szCs w:val="21"/>
        </w:rPr>
        <w:t>提供的项目区信息和要求自行建立营销网点，按补贴后价格供应给补贴农户，并建立销售台账。</w:t>
      </w:r>
    </w:p>
    <w:p>
      <w:pPr>
        <w:pStyle w:val="22"/>
        <w:spacing w:line="360" w:lineRule="auto"/>
        <w:ind w:firstLine="426" w:firstLineChars="200"/>
        <w:contextualSpacing/>
        <w:rPr>
          <w:rFonts w:hAnsi="宋体"/>
          <w:sz w:val="21"/>
          <w:szCs w:val="21"/>
        </w:rPr>
      </w:pPr>
      <w:r>
        <w:rPr>
          <w:rFonts w:hAnsi="宋体"/>
          <w:bCs/>
          <w:sz w:val="21"/>
          <w:szCs w:val="21"/>
        </w:rPr>
        <w:t>9.3 交货地点：</w:t>
      </w:r>
      <w:r>
        <w:rPr>
          <w:rFonts w:hint="eastAsia" w:hAnsi="宋体"/>
          <w:bCs/>
          <w:sz w:val="21"/>
          <w:szCs w:val="21"/>
        </w:rPr>
        <w:t>按</w:t>
      </w:r>
      <w:r>
        <w:rPr>
          <w:rFonts w:hAnsi="宋体"/>
          <w:sz w:val="21"/>
          <w:szCs w:val="21"/>
        </w:rPr>
        <w:t>甲方</w:t>
      </w:r>
      <w:r>
        <w:rPr>
          <w:rFonts w:hint="eastAsia" w:hAnsi="宋体"/>
          <w:sz w:val="21"/>
          <w:szCs w:val="21"/>
        </w:rPr>
        <w:t>指定的乡镇或村组，并由</w:t>
      </w:r>
      <w:r>
        <w:rPr>
          <w:rFonts w:hAnsi="宋体"/>
          <w:sz w:val="21"/>
          <w:szCs w:val="21"/>
        </w:rPr>
        <w:t>乙方</w:t>
      </w:r>
      <w:r>
        <w:rPr>
          <w:rFonts w:hint="eastAsia" w:hAnsi="宋体"/>
          <w:sz w:val="21"/>
          <w:szCs w:val="21"/>
        </w:rPr>
        <w:t>分发到户。</w:t>
      </w:r>
      <w:r>
        <w:rPr>
          <w:rFonts w:hAnsi="宋体"/>
          <w:sz w:val="21"/>
          <w:szCs w:val="21"/>
        </w:rPr>
        <w:t>乙方</w:t>
      </w:r>
      <w:r>
        <w:rPr>
          <w:rFonts w:hint="eastAsia" w:hAnsi="宋体"/>
          <w:sz w:val="21"/>
          <w:szCs w:val="21"/>
        </w:rPr>
        <w:t>不得以批量小为由拒绝送货、供货。</w:t>
      </w:r>
    </w:p>
    <w:p>
      <w:pPr>
        <w:pStyle w:val="22"/>
        <w:spacing w:line="360" w:lineRule="auto"/>
        <w:ind w:firstLine="426" w:firstLineChars="200"/>
        <w:contextualSpacing/>
        <w:rPr>
          <w:rFonts w:hAnsi="宋体"/>
          <w:sz w:val="21"/>
          <w:szCs w:val="21"/>
        </w:rPr>
      </w:pPr>
      <w:r>
        <w:rPr>
          <w:rFonts w:hAnsi="宋体"/>
          <w:b/>
          <w:sz w:val="21"/>
          <w:szCs w:val="21"/>
        </w:rPr>
        <w:t>十、货款支付</w:t>
      </w:r>
    </w:p>
    <w:p>
      <w:pPr>
        <w:pStyle w:val="22"/>
        <w:spacing w:line="360" w:lineRule="auto"/>
        <w:ind w:firstLine="426" w:firstLineChars="200"/>
        <w:contextualSpacing/>
        <w:rPr>
          <w:rFonts w:hint="eastAsia" w:hAnsi="宋体" w:eastAsia="宋体"/>
          <w:bCs/>
          <w:sz w:val="21"/>
          <w:szCs w:val="21"/>
          <w:lang w:eastAsia="zh-CN"/>
        </w:rPr>
      </w:pPr>
      <w:r>
        <w:rPr>
          <w:rFonts w:hAnsi="宋体"/>
          <w:bCs/>
          <w:sz w:val="21"/>
          <w:szCs w:val="21"/>
        </w:rPr>
        <w:t>10.1 付款方式：</w:t>
      </w:r>
      <w:r>
        <w:rPr>
          <w:rFonts w:hint="eastAsia" w:hAnsi="宋体"/>
          <w:bCs/>
          <w:sz w:val="21"/>
          <w:szCs w:val="21"/>
        </w:rPr>
        <w:t>合同签订后，</w:t>
      </w:r>
      <w:r>
        <w:rPr>
          <w:rFonts w:hint="eastAsia" w:hAnsi="宋体"/>
          <w:bCs/>
          <w:sz w:val="21"/>
          <w:szCs w:val="21"/>
          <w:lang w:eastAsia="zh-CN"/>
        </w:rPr>
        <w:t>中标</w:t>
      </w:r>
      <w:r>
        <w:rPr>
          <w:rFonts w:hint="eastAsia" w:hAnsi="宋体"/>
          <w:bCs/>
          <w:sz w:val="21"/>
          <w:szCs w:val="21"/>
        </w:rPr>
        <w:t>人</w:t>
      </w:r>
      <w:r>
        <w:rPr>
          <w:rFonts w:hint="eastAsia" w:hAnsi="宋体"/>
          <w:bCs/>
          <w:sz w:val="21"/>
          <w:szCs w:val="21"/>
          <w:lang w:eastAsia="zh-CN"/>
        </w:rPr>
        <w:t>提供税务发票后，招标人</w:t>
      </w:r>
      <w:r>
        <w:rPr>
          <w:rFonts w:hint="eastAsia" w:hAnsi="宋体"/>
          <w:bCs/>
          <w:sz w:val="21"/>
          <w:szCs w:val="21"/>
        </w:rPr>
        <w:t>支付合同价30%的预付款，供货结束后，根据招标人对中标人的台账核实，以及对农户签名情况核实无异议</w:t>
      </w:r>
      <w:r>
        <w:rPr>
          <w:rFonts w:hint="eastAsia" w:hAnsi="宋体"/>
          <w:bCs/>
          <w:sz w:val="21"/>
          <w:szCs w:val="21"/>
          <w:lang w:eastAsia="zh-CN"/>
        </w:rPr>
        <w:t>，财政资金到账后</w:t>
      </w:r>
      <w:r>
        <w:rPr>
          <w:rFonts w:hint="eastAsia" w:hAnsi="宋体"/>
          <w:bCs/>
          <w:sz w:val="21"/>
          <w:szCs w:val="21"/>
        </w:rPr>
        <w:t>向中标人</w:t>
      </w:r>
      <w:r>
        <w:rPr>
          <w:rFonts w:hint="eastAsia" w:hAnsi="宋体"/>
          <w:bCs/>
          <w:sz w:val="21"/>
          <w:szCs w:val="21"/>
          <w:lang w:eastAsia="zh-CN"/>
        </w:rPr>
        <w:t>支</w:t>
      </w:r>
      <w:r>
        <w:rPr>
          <w:rFonts w:hint="eastAsia" w:hAnsi="宋体"/>
          <w:bCs/>
          <w:sz w:val="21"/>
          <w:szCs w:val="21"/>
        </w:rPr>
        <w:t>付</w:t>
      </w:r>
      <w:r>
        <w:rPr>
          <w:rFonts w:hint="eastAsia" w:hAnsi="宋体"/>
          <w:bCs/>
          <w:sz w:val="21"/>
          <w:szCs w:val="21"/>
          <w:lang w:eastAsia="zh-CN"/>
        </w:rPr>
        <w:t>剩余的</w:t>
      </w:r>
      <w:r>
        <w:rPr>
          <w:rFonts w:hint="eastAsia" w:hAnsi="宋体"/>
          <w:bCs/>
          <w:sz w:val="21"/>
          <w:szCs w:val="21"/>
        </w:rPr>
        <w:t>补贴款</w:t>
      </w:r>
      <w:r>
        <w:rPr>
          <w:rFonts w:hint="eastAsia" w:hAnsi="宋体"/>
          <w:bCs/>
          <w:sz w:val="21"/>
          <w:szCs w:val="21"/>
          <w:lang w:eastAsia="zh-CN"/>
        </w:rPr>
        <w:t>。</w:t>
      </w:r>
    </w:p>
    <w:p>
      <w:pPr>
        <w:pStyle w:val="22"/>
        <w:spacing w:line="360" w:lineRule="auto"/>
        <w:ind w:firstLine="426" w:firstLineChars="200"/>
        <w:contextualSpacing/>
        <w:rPr>
          <w:rFonts w:hAnsi="宋体"/>
          <w:sz w:val="21"/>
          <w:szCs w:val="21"/>
        </w:rPr>
      </w:pPr>
      <w:r>
        <w:rPr>
          <w:rFonts w:hint="eastAsia" w:hAnsi="宋体"/>
          <w:b/>
          <w:sz w:val="21"/>
          <w:szCs w:val="21"/>
        </w:rPr>
        <w:t>十一</w:t>
      </w:r>
      <w:r>
        <w:rPr>
          <w:rFonts w:hAnsi="宋体"/>
          <w:b/>
          <w:sz w:val="21"/>
          <w:szCs w:val="21"/>
        </w:rPr>
        <w:t>.</w:t>
      </w:r>
      <w:r>
        <w:rPr>
          <w:rFonts w:hint="eastAsia" w:hAnsi="宋体"/>
          <w:b/>
          <w:sz w:val="21"/>
          <w:szCs w:val="21"/>
        </w:rPr>
        <w:t>税费</w:t>
      </w:r>
    </w:p>
    <w:p>
      <w:pPr>
        <w:pStyle w:val="22"/>
        <w:spacing w:line="360" w:lineRule="auto"/>
        <w:ind w:firstLine="426" w:firstLineChars="200"/>
        <w:contextualSpacing/>
        <w:rPr>
          <w:rFonts w:hAnsi="宋体"/>
          <w:sz w:val="21"/>
          <w:szCs w:val="21"/>
        </w:rPr>
      </w:pPr>
      <w:r>
        <w:rPr>
          <w:rFonts w:hAnsi="宋体"/>
          <w:sz w:val="21"/>
          <w:szCs w:val="21"/>
        </w:rPr>
        <w:t>11.1</w:t>
      </w:r>
      <w:r>
        <w:rPr>
          <w:rFonts w:hint="eastAsia" w:hAnsi="宋体"/>
          <w:sz w:val="21"/>
          <w:szCs w:val="21"/>
        </w:rPr>
        <w:t>本合同执行中相关的一切税费均由乙方负担。</w:t>
      </w:r>
    </w:p>
    <w:p>
      <w:pPr>
        <w:pStyle w:val="22"/>
        <w:spacing w:line="360" w:lineRule="auto"/>
        <w:ind w:firstLine="426" w:firstLineChars="200"/>
        <w:contextualSpacing/>
        <w:rPr>
          <w:rFonts w:hAnsi="宋体"/>
          <w:sz w:val="21"/>
          <w:szCs w:val="21"/>
        </w:rPr>
      </w:pPr>
      <w:r>
        <w:rPr>
          <w:rFonts w:hAnsi="宋体"/>
          <w:b/>
          <w:sz w:val="21"/>
          <w:szCs w:val="21"/>
        </w:rPr>
        <w:t>十二、质量保证及售后服务</w:t>
      </w:r>
    </w:p>
    <w:p>
      <w:pPr>
        <w:pStyle w:val="22"/>
        <w:spacing w:line="360" w:lineRule="auto"/>
        <w:ind w:firstLine="426" w:firstLineChars="200"/>
        <w:contextualSpacing/>
        <w:rPr>
          <w:rFonts w:hAnsi="宋体"/>
          <w:sz w:val="21"/>
          <w:szCs w:val="21"/>
        </w:rPr>
      </w:pPr>
      <w:r>
        <w:rPr>
          <w:rFonts w:hAnsi="宋体"/>
          <w:sz w:val="21"/>
          <w:szCs w:val="21"/>
        </w:rPr>
        <w:t>12.1 乙方应按招标文件规定的货物性能、技术要求、质量标准向甲方提供未经使用的全新产品</w:t>
      </w:r>
      <w:r>
        <w:rPr>
          <w:rFonts w:hint="eastAsia" w:hAnsi="宋体"/>
          <w:sz w:val="21"/>
          <w:szCs w:val="21"/>
        </w:rPr>
        <w:t>，且与投标时提供的样品相符。</w:t>
      </w:r>
    </w:p>
    <w:p>
      <w:pPr>
        <w:pStyle w:val="22"/>
        <w:spacing w:line="360" w:lineRule="auto"/>
        <w:ind w:firstLine="426" w:firstLineChars="200"/>
        <w:contextualSpacing/>
        <w:rPr>
          <w:rFonts w:hAnsi="宋体"/>
          <w:sz w:val="21"/>
          <w:szCs w:val="21"/>
        </w:rPr>
      </w:pPr>
      <w:r>
        <w:rPr>
          <w:rFonts w:hAnsi="宋体"/>
          <w:sz w:val="21"/>
          <w:szCs w:val="21"/>
        </w:rPr>
        <w:t>12.2 乙方提供的货物在</w:t>
      </w:r>
      <w:r>
        <w:rPr>
          <w:rFonts w:hint="eastAsia" w:hAnsi="宋体"/>
          <w:sz w:val="21"/>
          <w:szCs w:val="21"/>
        </w:rPr>
        <w:t>保</w:t>
      </w:r>
      <w:r>
        <w:rPr>
          <w:rFonts w:hAnsi="宋体"/>
          <w:sz w:val="21"/>
          <w:szCs w:val="21"/>
        </w:rPr>
        <w:t>质期内因货物本身</w:t>
      </w:r>
      <w:r>
        <w:rPr>
          <w:rFonts w:hint="eastAsia" w:hAnsi="宋体"/>
          <w:sz w:val="21"/>
          <w:szCs w:val="21"/>
        </w:rPr>
        <w:t>出现</w:t>
      </w:r>
      <w:r>
        <w:rPr>
          <w:rFonts w:hAnsi="宋体"/>
          <w:sz w:val="21"/>
          <w:szCs w:val="21"/>
        </w:rPr>
        <w:t>质量问题，根据实际情况，经双方协商，可按以下办法处理：</w:t>
      </w:r>
    </w:p>
    <w:p>
      <w:pPr>
        <w:pStyle w:val="22"/>
        <w:spacing w:line="360" w:lineRule="auto"/>
        <w:ind w:firstLine="426" w:firstLineChars="200"/>
        <w:contextualSpacing/>
        <w:rPr>
          <w:rFonts w:hAnsi="宋体"/>
          <w:sz w:val="21"/>
          <w:szCs w:val="21"/>
        </w:rPr>
      </w:pPr>
      <w:r>
        <w:rPr>
          <w:rFonts w:hAnsi="宋体"/>
          <w:sz w:val="21"/>
          <w:szCs w:val="21"/>
        </w:rPr>
        <w:t>⑴更换：由乙方承担所发生的全部费用。</w:t>
      </w:r>
    </w:p>
    <w:p>
      <w:pPr>
        <w:pStyle w:val="22"/>
        <w:spacing w:line="360" w:lineRule="auto"/>
        <w:ind w:firstLine="426" w:firstLineChars="200"/>
        <w:contextualSpacing/>
        <w:rPr>
          <w:rFonts w:hAnsi="宋体"/>
          <w:sz w:val="21"/>
          <w:szCs w:val="21"/>
        </w:rPr>
      </w:pPr>
      <w:r>
        <w:rPr>
          <w:rFonts w:hAnsi="宋体"/>
          <w:sz w:val="21"/>
          <w:szCs w:val="21"/>
        </w:rPr>
        <w:t>⑵退货处理：</w:t>
      </w:r>
      <w:r>
        <w:rPr>
          <w:rFonts w:hint="eastAsia" w:hAnsi="宋体"/>
          <w:sz w:val="21"/>
          <w:szCs w:val="21"/>
        </w:rPr>
        <w:t>无条件</w:t>
      </w:r>
      <w:r>
        <w:rPr>
          <w:rFonts w:hAnsi="宋体"/>
          <w:sz w:val="21"/>
          <w:szCs w:val="21"/>
        </w:rPr>
        <w:t>退货</w:t>
      </w:r>
      <w:r>
        <w:rPr>
          <w:rFonts w:hint="eastAsia" w:hAnsi="宋体"/>
          <w:sz w:val="21"/>
          <w:szCs w:val="21"/>
        </w:rPr>
        <w:t>，并</w:t>
      </w:r>
      <w:r>
        <w:rPr>
          <w:rFonts w:hAnsi="宋体"/>
          <w:sz w:val="21"/>
          <w:szCs w:val="21"/>
        </w:rPr>
        <w:t>退还甲方支付的合同款，同时应承担该货物的直接费用（运输、保险、检验、货款利息及银行手续费等）。甲方</w:t>
      </w:r>
      <w:r>
        <w:rPr>
          <w:rFonts w:hint="eastAsia" w:hAnsi="宋体"/>
          <w:sz w:val="21"/>
          <w:szCs w:val="21"/>
        </w:rPr>
        <w:t>不承担发生任何费用。</w:t>
      </w:r>
    </w:p>
    <w:p>
      <w:pPr>
        <w:pStyle w:val="22"/>
        <w:spacing w:line="360" w:lineRule="auto"/>
        <w:ind w:firstLine="426" w:firstLineChars="200"/>
        <w:contextualSpacing/>
        <w:rPr>
          <w:rFonts w:hAnsi="宋体"/>
          <w:sz w:val="21"/>
          <w:szCs w:val="21"/>
        </w:rPr>
      </w:pPr>
      <w:r>
        <w:rPr>
          <w:rFonts w:hAnsi="宋体"/>
          <w:sz w:val="21"/>
          <w:szCs w:val="21"/>
        </w:rPr>
        <w:t>12.3 如在使用过程中发生质量问题，乙方在接到甲方通知后在</w:t>
      </w:r>
      <w:r>
        <w:rPr>
          <w:rFonts w:hint="eastAsia" w:hAnsi="宋体"/>
          <w:sz w:val="21"/>
          <w:szCs w:val="21"/>
          <w:u w:val="single"/>
        </w:rPr>
        <w:t>24</w:t>
      </w:r>
      <w:r>
        <w:rPr>
          <w:rFonts w:hAnsi="宋体"/>
          <w:sz w:val="21"/>
          <w:szCs w:val="21"/>
        </w:rPr>
        <w:t>小时内到达甲方现场。</w:t>
      </w:r>
    </w:p>
    <w:p>
      <w:pPr>
        <w:pStyle w:val="22"/>
        <w:spacing w:line="360" w:lineRule="auto"/>
        <w:ind w:firstLine="426" w:firstLineChars="200"/>
        <w:contextualSpacing/>
        <w:rPr>
          <w:rFonts w:hAnsi="宋体"/>
          <w:sz w:val="21"/>
          <w:szCs w:val="21"/>
        </w:rPr>
      </w:pPr>
      <w:r>
        <w:rPr>
          <w:rFonts w:hAnsi="宋体"/>
          <w:sz w:val="21"/>
          <w:szCs w:val="21"/>
        </w:rPr>
        <w:t>12.4 在质保期内，乙方应对货物出现的质量及安全问题负责处理解决并承担一切费用。</w:t>
      </w:r>
    </w:p>
    <w:p>
      <w:pPr>
        <w:pStyle w:val="22"/>
        <w:spacing w:line="360" w:lineRule="auto"/>
        <w:ind w:firstLine="426" w:firstLineChars="200"/>
        <w:contextualSpacing/>
        <w:rPr>
          <w:rFonts w:hAnsi="宋体"/>
          <w:sz w:val="21"/>
          <w:szCs w:val="21"/>
        </w:rPr>
      </w:pPr>
      <w:r>
        <w:rPr>
          <w:rFonts w:hAnsi="宋体"/>
          <w:sz w:val="21"/>
          <w:szCs w:val="21"/>
        </w:rPr>
        <w:t>12.5</w:t>
      </w:r>
      <w:r>
        <w:rPr>
          <w:rFonts w:hint="eastAsia" w:hAnsi="宋体"/>
          <w:sz w:val="21"/>
          <w:szCs w:val="21"/>
          <w:lang w:eastAsia="zh-CN"/>
        </w:rPr>
        <w:t>上述</w:t>
      </w:r>
      <w:r>
        <w:rPr>
          <w:rFonts w:hAnsi="宋体"/>
          <w:sz w:val="21"/>
          <w:szCs w:val="21"/>
        </w:rPr>
        <w:t>货物</w:t>
      </w:r>
      <w:r>
        <w:rPr>
          <w:rFonts w:hint="eastAsia" w:hAnsi="宋体"/>
          <w:sz w:val="21"/>
          <w:szCs w:val="21"/>
        </w:rPr>
        <w:t>的</w:t>
      </w:r>
      <w:r>
        <w:rPr>
          <w:rFonts w:hAnsi="宋体"/>
          <w:sz w:val="21"/>
          <w:szCs w:val="21"/>
        </w:rPr>
        <w:t>保</w:t>
      </w:r>
      <w:r>
        <w:rPr>
          <w:rFonts w:hint="eastAsia" w:hAnsi="宋体"/>
          <w:sz w:val="21"/>
          <w:szCs w:val="21"/>
        </w:rPr>
        <w:t>质</w:t>
      </w:r>
      <w:r>
        <w:rPr>
          <w:rFonts w:hAnsi="宋体"/>
          <w:sz w:val="21"/>
          <w:szCs w:val="21"/>
        </w:rPr>
        <w:t>期为</w:t>
      </w:r>
      <w:r>
        <w:rPr>
          <w:rFonts w:hint="eastAsia" w:hAnsi="宋体"/>
          <w:sz w:val="21"/>
          <w:szCs w:val="21"/>
          <w:u w:val="single"/>
        </w:rPr>
        <w:t xml:space="preserve">  </w:t>
      </w:r>
      <w:r>
        <w:rPr>
          <w:rFonts w:hint="eastAsia" w:hAnsi="宋体"/>
          <w:sz w:val="21"/>
          <w:szCs w:val="21"/>
          <w:u w:val="single"/>
          <w:lang w:val="en-US" w:eastAsia="zh-CN"/>
        </w:rPr>
        <w:t xml:space="preserve">  </w:t>
      </w:r>
      <w:r>
        <w:rPr>
          <w:rFonts w:hint="eastAsia" w:hAnsi="宋体"/>
          <w:sz w:val="21"/>
          <w:szCs w:val="21"/>
          <w:u w:val="single"/>
        </w:rPr>
        <w:t xml:space="preserve"> </w:t>
      </w:r>
      <w:r>
        <w:rPr>
          <w:rFonts w:hAnsi="宋体"/>
          <w:sz w:val="21"/>
          <w:szCs w:val="21"/>
        </w:rPr>
        <w:t>年</w:t>
      </w:r>
      <w:r>
        <w:rPr>
          <w:rFonts w:hint="eastAsia"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十三、验收</w:t>
      </w:r>
    </w:p>
    <w:p>
      <w:pPr>
        <w:pStyle w:val="22"/>
        <w:spacing w:line="360" w:lineRule="auto"/>
        <w:ind w:firstLine="426" w:firstLineChars="200"/>
        <w:contextualSpacing/>
        <w:rPr>
          <w:rFonts w:hAnsi="宋体"/>
          <w:b/>
          <w:sz w:val="21"/>
          <w:szCs w:val="21"/>
        </w:rPr>
      </w:pPr>
      <w:r>
        <w:rPr>
          <w:rFonts w:hAnsi="宋体"/>
          <w:sz w:val="21"/>
          <w:szCs w:val="21"/>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r>
        <w:rPr>
          <w:rFonts w:hint="eastAsia" w:hAnsi="宋体"/>
          <w:sz w:val="21"/>
          <w:szCs w:val="21"/>
        </w:rPr>
        <w:t>如项目区农户使用过程中提出异议或举报有质量问题应重新验收，包括产品质量抽检。</w:t>
      </w:r>
      <w:r>
        <w:rPr>
          <w:rFonts w:hAnsi="宋体"/>
          <w:sz w:val="21"/>
          <w:szCs w:val="21"/>
        </w:rPr>
        <w:t>甲方</w:t>
      </w:r>
      <w:r>
        <w:rPr>
          <w:rFonts w:hint="eastAsia" w:hAnsi="宋体"/>
          <w:sz w:val="21"/>
          <w:szCs w:val="21"/>
        </w:rPr>
        <w:t>可</w:t>
      </w:r>
      <w:r>
        <w:rPr>
          <w:rFonts w:hAnsi="宋体"/>
          <w:sz w:val="21"/>
          <w:szCs w:val="21"/>
        </w:rPr>
        <w:t>请国家认可的专业检测机构出具质量检测报告</w:t>
      </w:r>
      <w:r>
        <w:rPr>
          <w:rFonts w:hint="eastAsia" w:hAnsi="宋体"/>
          <w:sz w:val="21"/>
          <w:szCs w:val="21"/>
        </w:rPr>
        <w:t>，检测费用由</w:t>
      </w:r>
      <w:r>
        <w:rPr>
          <w:rFonts w:hAnsi="宋体"/>
          <w:sz w:val="21"/>
          <w:szCs w:val="21"/>
        </w:rPr>
        <w:t>乙方</w:t>
      </w:r>
      <w:r>
        <w:rPr>
          <w:rFonts w:hint="eastAsia" w:hAnsi="宋体"/>
          <w:sz w:val="21"/>
          <w:szCs w:val="21"/>
        </w:rPr>
        <w:t>承担。</w:t>
      </w:r>
    </w:p>
    <w:p>
      <w:pPr>
        <w:pStyle w:val="22"/>
        <w:spacing w:line="360" w:lineRule="auto"/>
        <w:ind w:firstLine="426" w:firstLineChars="200"/>
        <w:contextualSpacing/>
        <w:rPr>
          <w:rFonts w:hAnsi="宋体"/>
          <w:b/>
          <w:sz w:val="21"/>
          <w:szCs w:val="21"/>
        </w:rPr>
      </w:pPr>
      <w:r>
        <w:rPr>
          <w:rFonts w:hAnsi="宋体"/>
          <w:sz w:val="21"/>
          <w:szCs w:val="21"/>
        </w:rPr>
        <w:t>13.2 乙方交货前应对产品作出全面检查和对验收文件进行整理，并列出清单，作为甲方收货验收和使用的技术条件依据，检验的结果应随货物交甲方。</w:t>
      </w:r>
    </w:p>
    <w:p>
      <w:pPr>
        <w:pStyle w:val="22"/>
        <w:spacing w:line="360" w:lineRule="auto"/>
        <w:ind w:firstLine="426" w:firstLineChars="200"/>
        <w:contextualSpacing/>
        <w:rPr>
          <w:rFonts w:hAnsi="宋体"/>
          <w:sz w:val="21"/>
          <w:szCs w:val="21"/>
        </w:rPr>
      </w:pPr>
      <w:r>
        <w:rPr>
          <w:rFonts w:hAnsi="宋体"/>
          <w:sz w:val="21"/>
          <w:szCs w:val="21"/>
        </w:rPr>
        <w:t>13.</w:t>
      </w:r>
      <w:r>
        <w:rPr>
          <w:rFonts w:hint="eastAsia" w:hAnsi="宋体"/>
          <w:sz w:val="21"/>
          <w:szCs w:val="21"/>
        </w:rPr>
        <w:t>3</w:t>
      </w:r>
      <w:r>
        <w:rPr>
          <w:rFonts w:hAnsi="宋体"/>
          <w:sz w:val="21"/>
          <w:szCs w:val="21"/>
        </w:rPr>
        <w:t>验收时乙方必须在现场，验收完毕后</w:t>
      </w:r>
      <w:r>
        <w:rPr>
          <w:rFonts w:hint="eastAsia" w:hAnsi="宋体"/>
          <w:sz w:val="21"/>
          <w:szCs w:val="21"/>
        </w:rPr>
        <w:t>由农户签字确认</w:t>
      </w:r>
      <w:r>
        <w:rPr>
          <w:rFonts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十四、货物包装、发运及运输</w:t>
      </w:r>
    </w:p>
    <w:p>
      <w:pPr>
        <w:pStyle w:val="22"/>
        <w:spacing w:line="360" w:lineRule="auto"/>
        <w:ind w:firstLine="426" w:firstLineChars="200"/>
        <w:contextualSpacing/>
        <w:rPr>
          <w:rFonts w:hAnsi="宋体"/>
          <w:b/>
          <w:sz w:val="21"/>
          <w:szCs w:val="21"/>
        </w:rPr>
      </w:pPr>
      <w:r>
        <w:rPr>
          <w:rFonts w:hAnsi="宋体"/>
          <w:sz w:val="21"/>
          <w:szCs w:val="21"/>
        </w:rPr>
        <w:t>14.1 乙方应在货物发运前对其进行满足运输距离、防潮和防破损装卸等要求包装，以保证货物安全运达甲方指定地点。</w:t>
      </w:r>
    </w:p>
    <w:p>
      <w:pPr>
        <w:pStyle w:val="22"/>
        <w:spacing w:line="360" w:lineRule="auto"/>
        <w:ind w:firstLine="426" w:firstLineChars="200"/>
        <w:contextualSpacing/>
        <w:rPr>
          <w:rFonts w:hAnsi="宋体"/>
          <w:b/>
          <w:sz w:val="21"/>
          <w:szCs w:val="21"/>
        </w:rPr>
      </w:pPr>
      <w:r>
        <w:rPr>
          <w:rFonts w:hAnsi="宋体"/>
          <w:sz w:val="21"/>
          <w:szCs w:val="21"/>
        </w:rPr>
        <w:t>14.2 使用说明书、质量检验证明书一并附于货物内。</w:t>
      </w:r>
    </w:p>
    <w:p>
      <w:pPr>
        <w:pStyle w:val="22"/>
        <w:spacing w:line="360" w:lineRule="auto"/>
        <w:ind w:firstLine="426" w:firstLineChars="200"/>
        <w:contextualSpacing/>
        <w:rPr>
          <w:rFonts w:hAnsi="宋体"/>
          <w:b/>
          <w:sz w:val="21"/>
          <w:szCs w:val="21"/>
        </w:rPr>
      </w:pPr>
      <w:r>
        <w:rPr>
          <w:rFonts w:hAnsi="宋体"/>
          <w:sz w:val="21"/>
          <w:szCs w:val="21"/>
        </w:rPr>
        <w:t>14.3 乙方在货物发运手续办理完毕后24小时内或货到甲方48小时前通知甲方，以准备接货。</w:t>
      </w:r>
    </w:p>
    <w:p>
      <w:pPr>
        <w:pStyle w:val="22"/>
        <w:spacing w:line="360" w:lineRule="auto"/>
        <w:ind w:firstLine="426" w:firstLineChars="200"/>
        <w:contextualSpacing/>
        <w:rPr>
          <w:rFonts w:hAnsi="宋体"/>
          <w:b/>
          <w:sz w:val="21"/>
          <w:szCs w:val="21"/>
        </w:rPr>
      </w:pPr>
      <w:r>
        <w:rPr>
          <w:rFonts w:hAnsi="宋体"/>
          <w:sz w:val="21"/>
          <w:szCs w:val="21"/>
        </w:rPr>
        <w:t>14.4 货物在交付甲方前发生的风险均由乙方负责。</w:t>
      </w:r>
    </w:p>
    <w:p>
      <w:pPr>
        <w:pStyle w:val="22"/>
        <w:spacing w:line="360" w:lineRule="auto"/>
        <w:ind w:firstLine="426" w:firstLineChars="200"/>
        <w:contextualSpacing/>
        <w:rPr>
          <w:rFonts w:hAnsi="宋体"/>
          <w:b/>
          <w:sz w:val="21"/>
          <w:szCs w:val="21"/>
        </w:rPr>
      </w:pPr>
      <w:r>
        <w:rPr>
          <w:rFonts w:hAnsi="宋体"/>
          <w:sz w:val="21"/>
          <w:szCs w:val="21"/>
        </w:rPr>
        <w:t>14.5 货物在规定的交付期限内由乙方送达甲方指定的地点视为交付，乙方同时需通知甲方货物已送达。</w:t>
      </w:r>
    </w:p>
    <w:p>
      <w:pPr>
        <w:pStyle w:val="22"/>
        <w:spacing w:line="360" w:lineRule="auto"/>
        <w:ind w:firstLine="426" w:firstLineChars="200"/>
        <w:contextualSpacing/>
        <w:rPr>
          <w:rFonts w:hAnsi="宋体"/>
          <w:b/>
          <w:sz w:val="21"/>
          <w:szCs w:val="21"/>
        </w:rPr>
      </w:pPr>
      <w:r>
        <w:rPr>
          <w:rFonts w:hAnsi="宋体"/>
          <w:b/>
          <w:sz w:val="21"/>
          <w:szCs w:val="21"/>
        </w:rPr>
        <w:t>十五、违约责任</w:t>
      </w:r>
    </w:p>
    <w:p>
      <w:pPr>
        <w:pStyle w:val="22"/>
        <w:spacing w:line="360" w:lineRule="auto"/>
        <w:ind w:firstLine="426" w:firstLineChars="200"/>
        <w:contextualSpacing/>
        <w:rPr>
          <w:rFonts w:hAnsi="宋体"/>
          <w:b/>
          <w:sz w:val="21"/>
          <w:szCs w:val="21"/>
        </w:rPr>
      </w:pPr>
      <w:r>
        <w:rPr>
          <w:rFonts w:hAnsi="宋体"/>
          <w:sz w:val="21"/>
          <w:szCs w:val="21"/>
        </w:rPr>
        <w:t>15.1 甲方无正当理由拒收货物的，甲方向乙方偿付拒收货款总值的百分之五违约金。</w:t>
      </w:r>
    </w:p>
    <w:p>
      <w:pPr>
        <w:pStyle w:val="22"/>
        <w:spacing w:line="360" w:lineRule="auto"/>
        <w:ind w:firstLine="426" w:firstLineChars="200"/>
        <w:contextualSpacing/>
        <w:rPr>
          <w:rFonts w:hAnsi="宋体"/>
          <w:b/>
          <w:sz w:val="21"/>
          <w:szCs w:val="21"/>
        </w:rPr>
      </w:pPr>
      <w:r>
        <w:rPr>
          <w:rFonts w:hAnsi="宋体"/>
          <w:sz w:val="21"/>
          <w:szCs w:val="21"/>
        </w:rPr>
        <w:t>15.2 甲方无故逾期验收和办理货款支付手续的</w:t>
      </w:r>
      <w:r>
        <w:rPr>
          <w:rFonts w:hint="eastAsia" w:hAnsi="宋体"/>
          <w:sz w:val="21"/>
          <w:szCs w:val="21"/>
          <w:lang w:eastAsia="zh-CN"/>
        </w:rPr>
        <w:t>，</w:t>
      </w:r>
      <w:r>
        <w:rPr>
          <w:rFonts w:hAnsi="宋体"/>
          <w:sz w:val="21"/>
          <w:szCs w:val="21"/>
        </w:rPr>
        <w:t>甲方应按逾期付款总额每日万分之五向乙方支付违约金。</w:t>
      </w:r>
    </w:p>
    <w:p>
      <w:pPr>
        <w:pStyle w:val="22"/>
        <w:spacing w:line="360" w:lineRule="auto"/>
        <w:ind w:firstLine="426" w:firstLineChars="200"/>
        <w:contextualSpacing/>
        <w:rPr>
          <w:rFonts w:hAnsi="宋体"/>
          <w:b/>
          <w:sz w:val="21"/>
          <w:szCs w:val="21"/>
        </w:rPr>
      </w:pPr>
      <w:r>
        <w:rPr>
          <w:rFonts w:hAnsi="宋体"/>
          <w:sz w:val="21"/>
          <w:szCs w:val="21"/>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2"/>
        <w:spacing w:line="360" w:lineRule="auto"/>
        <w:ind w:firstLine="426" w:firstLineChars="200"/>
        <w:contextualSpacing/>
        <w:rPr>
          <w:rFonts w:hAnsi="宋体"/>
          <w:sz w:val="21"/>
          <w:szCs w:val="21"/>
        </w:rPr>
      </w:pPr>
      <w:r>
        <w:rPr>
          <w:rFonts w:hAnsi="宋体"/>
          <w:sz w:val="21"/>
          <w:szCs w:val="21"/>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2"/>
        <w:spacing w:line="360" w:lineRule="auto"/>
        <w:ind w:firstLine="426" w:firstLineChars="200"/>
        <w:contextualSpacing/>
        <w:rPr>
          <w:rFonts w:hAnsi="宋体"/>
          <w:sz w:val="21"/>
          <w:szCs w:val="21"/>
        </w:rPr>
      </w:pPr>
      <w:r>
        <w:rPr>
          <w:rFonts w:hint="eastAsia" w:hAnsi="宋体"/>
          <w:sz w:val="21"/>
          <w:szCs w:val="21"/>
        </w:rPr>
        <w:t>15.5由于乙方产品质量问题，使用后给农户造成损失的，由乙方承担一切赔偿。</w:t>
      </w:r>
    </w:p>
    <w:p>
      <w:pPr>
        <w:pStyle w:val="22"/>
        <w:spacing w:line="360" w:lineRule="auto"/>
        <w:ind w:firstLine="426" w:firstLineChars="200"/>
        <w:contextualSpacing/>
        <w:rPr>
          <w:rFonts w:hAnsi="宋体"/>
          <w:b/>
          <w:sz w:val="21"/>
          <w:szCs w:val="21"/>
        </w:rPr>
      </w:pPr>
      <w:r>
        <w:rPr>
          <w:rFonts w:hAnsi="宋体"/>
          <w:b/>
          <w:sz w:val="21"/>
          <w:szCs w:val="21"/>
        </w:rPr>
        <w:t>十六、不可抗力事件处理</w:t>
      </w:r>
    </w:p>
    <w:p>
      <w:pPr>
        <w:pStyle w:val="22"/>
        <w:spacing w:line="360" w:lineRule="auto"/>
        <w:ind w:firstLine="426" w:firstLineChars="200"/>
        <w:contextualSpacing/>
        <w:rPr>
          <w:rFonts w:hAnsi="宋体"/>
          <w:b/>
          <w:sz w:val="21"/>
          <w:szCs w:val="21"/>
        </w:rPr>
      </w:pPr>
      <w:r>
        <w:rPr>
          <w:rFonts w:hAnsi="宋体"/>
          <w:sz w:val="21"/>
          <w:szCs w:val="21"/>
        </w:rPr>
        <w:t>16.1 在合同有效期内，任何一方因不可抗力事件导致不能履行合同，则合同履行期可延长，其延长期与不可抗力影响期相同。</w:t>
      </w:r>
    </w:p>
    <w:p>
      <w:pPr>
        <w:pStyle w:val="22"/>
        <w:spacing w:line="360" w:lineRule="auto"/>
        <w:ind w:firstLine="426" w:firstLineChars="200"/>
        <w:contextualSpacing/>
        <w:rPr>
          <w:rFonts w:hAnsi="宋体"/>
          <w:sz w:val="21"/>
          <w:szCs w:val="21"/>
        </w:rPr>
      </w:pPr>
      <w:r>
        <w:rPr>
          <w:rFonts w:hAnsi="宋体"/>
          <w:sz w:val="21"/>
          <w:szCs w:val="21"/>
        </w:rPr>
        <w:t>16.2 不可抗力事件发生后，应立即通知对方，并寄送有关权威机构出具的证明</w:t>
      </w:r>
      <w:r>
        <w:rPr>
          <w:rFonts w:hint="eastAsia" w:hAnsi="宋体"/>
          <w:sz w:val="21"/>
          <w:szCs w:val="21"/>
        </w:rPr>
        <w:t>。</w:t>
      </w:r>
    </w:p>
    <w:p>
      <w:pPr>
        <w:pStyle w:val="22"/>
        <w:spacing w:line="360" w:lineRule="auto"/>
        <w:ind w:firstLine="426" w:firstLineChars="200"/>
        <w:contextualSpacing/>
        <w:rPr>
          <w:rFonts w:hAnsi="宋体"/>
          <w:b/>
          <w:sz w:val="21"/>
          <w:szCs w:val="21"/>
        </w:rPr>
      </w:pPr>
      <w:r>
        <w:rPr>
          <w:rFonts w:hAnsi="宋体"/>
          <w:sz w:val="21"/>
          <w:szCs w:val="21"/>
        </w:rPr>
        <w:t>16.3 不可抗力事件延续120天以上，双方应通过友好协商，确定是否继续履行合同。</w:t>
      </w:r>
    </w:p>
    <w:p>
      <w:pPr>
        <w:pStyle w:val="22"/>
        <w:spacing w:line="360" w:lineRule="auto"/>
        <w:ind w:firstLine="426" w:firstLineChars="200"/>
        <w:contextualSpacing/>
        <w:rPr>
          <w:rFonts w:hAnsi="宋体"/>
          <w:b/>
          <w:sz w:val="21"/>
          <w:szCs w:val="21"/>
        </w:rPr>
      </w:pPr>
      <w:r>
        <w:rPr>
          <w:rFonts w:hAnsi="宋体"/>
          <w:b/>
          <w:sz w:val="21"/>
          <w:szCs w:val="21"/>
        </w:rPr>
        <w:t>十七、诉讼</w:t>
      </w:r>
    </w:p>
    <w:p>
      <w:pPr>
        <w:pStyle w:val="22"/>
        <w:spacing w:line="360" w:lineRule="auto"/>
        <w:ind w:firstLine="426" w:firstLineChars="200"/>
        <w:contextualSpacing/>
        <w:rPr>
          <w:rFonts w:hAnsi="宋体"/>
          <w:b/>
          <w:sz w:val="21"/>
          <w:szCs w:val="21"/>
        </w:rPr>
      </w:pPr>
      <w:r>
        <w:rPr>
          <w:rFonts w:hAnsi="宋体"/>
          <w:sz w:val="21"/>
          <w:szCs w:val="21"/>
        </w:rPr>
        <w:t>17.1 双方在执行合同中所发生的一切争议，应通过协商解决。如协商不成，可向合同签订地法院起诉。</w:t>
      </w:r>
    </w:p>
    <w:p>
      <w:pPr>
        <w:pStyle w:val="22"/>
        <w:spacing w:line="360" w:lineRule="auto"/>
        <w:ind w:firstLine="426" w:firstLineChars="200"/>
        <w:contextualSpacing/>
        <w:rPr>
          <w:rFonts w:hAnsi="宋体"/>
          <w:b/>
          <w:sz w:val="21"/>
          <w:szCs w:val="21"/>
        </w:rPr>
      </w:pPr>
      <w:r>
        <w:rPr>
          <w:rFonts w:hAnsi="宋体"/>
          <w:b/>
          <w:sz w:val="21"/>
          <w:szCs w:val="21"/>
        </w:rPr>
        <w:t>十八、合同生效及其它</w:t>
      </w:r>
    </w:p>
    <w:p>
      <w:pPr>
        <w:pStyle w:val="22"/>
        <w:spacing w:line="360" w:lineRule="auto"/>
        <w:ind w:firstLine="426" w:firstLineChars="200"/>
        <w:contextualSpacing/>
        <w:rPr>
          <w:rFonts w:hAnsi="宋体"/>
          <w:b/>
          <w:sz w:val="21"/>
          <w:szCs w:val="21"/>
        </w:rPr>
      </w:pPr>
      <w:r>
        <w:rPr>
          <w:rFonts w:hAnsi="宋体"/>
          <w:sz w:val="21"/>
          <w:szCs w:val="21"/>
        </w:rPr>
        <w:t>18.1 合同经双方法定代表人或授权委托代</w:t>
      </w:r>
      <w:r>
        <w:rPr>
          <w:rFonts w:hint="eastAsia" w:hAnsi="宋体"/>
          <w:sz w:val="21"/>
          <w:szCs w:val="21"/>
        </w:rPr>
        <w:t>表</w:t>
      </w:r>
      <w:r>
        <w:rPr>
          <w:rFonts w:hAnsi="宋体"/>
          <w:sz w:val="21"/>
          <w:szCs w:val="21"/>
        </w:rPr>
        <w:t>人签字并加盖单位公章后生效。</w:t>
      </w:r>
    </w:p>
    <w:p>
      <w:pPr>
        <w:pStyle w:val="22"/>
        <w:spacing w:line="360" w:lineRule="auto"/>
        <w:ind w:firstLine="426" w:firstLineChars="200"/>
        <w:contextualSpacing/>
        <w:rPr>
          <w:rFonts w:hAnsi="宋体"/>
          <w:b/>
          <w:sz w:val="21"/>
          <w:szCs w:val="21"/>
        </w:rPr>
      </w:pPr>
      <w:r>
        <w:rPr>
          <w:rFonts w:hAnsi="宋体"/>
          <w:sz w:val="21"/>
          <w:szCs w:val="21"/>
        </w:rPr>
        <w:t>18.2本合同未尽事宜，遵照《</w:t>
      </w:r>
      <w:r>
        <w:rPr>
          <w:rFonts w:hint="eastAsia" w:hAnsi="宋体"/>
          <w:sz w:val="21"/>
          <w:szCs w:val="21"/>
        </w:rPr>
        <w:t>民法典</w:t>
      </w:r>
      <w:r>
        <w:rPr>
          <w:rFonts w:hAnsi="宋体"/>
          <w:sz w:val="21"/>
          <w:szCs w:val="21"/>
        </w:rPr>
        <w:t>》有关条文执行。</w:t>
      </w:r>
    </w:p>
    <w:p>
      <w:pPr>
        <w:pStyle w:val="22"/>
        <w:spacing w:line="360" w:lineRule="auto"/>
        <w:ind w:firstLine="426" w:firstLineChars="200"/>
        <w:contextualSpacing/>
        <w:rPr>
          <w:rFonts w:hAnsi="宋体"/>
          <w:sz w:val="21"/>
          <w:szCs w:val="21"/>
        </w:rPr>
      </w:pPr>
      <w:r>
        <w:rPr>
          <w:rFonts w:hAnsi="宋体"/>
          <w:sz w:val="21"/>
          <w:szCs w:val="21"/>
        </w:rPr>
        <w:t>18.</w:t>
      </w:r>
      <w:r>
        <w:rPr>
          <w:rFonts w:hint="eastAsia" w:hAnsi="宋体"/>
          <w:sz w:val="21"/>
          <w:szCs w:val="21"/>
        </w:rPr>
        <w:t>3本合同正本一式肆份，具有同等法律效力，甲乙双方各执一份</w:t>
      </w:r>
      <w:r>
        <w:rPr>
          <w:rFonts w:hint="eastAsia" w:hAnsi="宋体"/>
          <w:sz w:val="21"/>
          <w:szCs w:val="21"/>
          <w:lang w:eastAsia="zh-CN"/>
        </w:rPr>
        <w:t>，两份</w:t>
      </w:r>
      <w:r>
        <w:rPr>
          <w:rFonts w:hint="eastAsia" w:hAnsi="宋体"/>
          <w:sz w:val="21"/>
          <w:szCs w:val="21"/>
        </w:rPr>
        <w:t>用于备案及存档</w:t>
      </w:r>
      <w:r>
        <w:rPr>
          <w:rFonts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甲方（签章）：</w:t>
      </w:r>
      <w:r>
        <w:rPr>
          <w:rFonts w:hint="eastAsia" w:ascii="宋体" w:hAnsi="宋体" w:eastAsia="宋体" w:cs="宋体"/>
          <w:szCs w:val="21"/>
          <w:lang w:val="en-US" w:eastAsia="zh-CN"/>
        </w:rPr>
        <w:t xml:space="preserve">                       </w:t>
      </w:r>
      <w:r>
        <w:rPr>
          <w:rFonts w:hint="eastAsia" w:ascii="宋体" w:hAnsi="宋体" w:eastAsia="宋体" w:cs="宋体"/>
          <w:szCs w:val="21"/>
        </w:rPr>
        <w:t>乙方（签章）：</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val="en-US" w:eastAsia="zh-CN"/>
        </w:rPr>
        <w:t xml:space="preserve">                            </w:t>
      </w:r>
      <w:r>
        <w:rPr>
          <w:rFonts w:hint="eastAsia" w:ascii="宋体" w:hAnsi="宋体" w:eastAsia="宋体" w:cs="宋体"/>
          <w:szCs w:val="21"/>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或其委托代理人</w:t>
      </w:r>
      <w:r>
        <w:rPr>
          <w:rFonts w:hint="eastAsia" w:ascii="宋体" w:hAnsi="宋体" w:eastAsia="宋体" w:cs="宋体"/>
          <w:szCs w:val="21"/>
          <w:lang w:val="en-US" w:eastAsia="zh-CN"/>
        </w:rPr>
        <w:t xml:space="preserve">                        </w:t>
      </w:r>
      <w:r>
        <w:rPr>
          <w:rFonts w:hint="eastAsia" w:ascii="宋体" w:hAnsi="宋体" w:eastAsia="宋体" w:cs="宋体"/>
          <w:szCs w:val="21"/>
        </w:rPr>
        <w:t>或其委托代理人</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   月   日</w:t>
      </w:r>
      <w:r>
        <w:rPr>
          <w:rFonts w:hint="eastAsia" w:ascii="宋体" w:hAnsi="宋体" w:eastAsia="宋体" w:cs="宋体"/>
          <w:szCs w:val="21"/>
          <w:lang w:val="en-US" w:eastAsia="zh-CN"/>
        </w:rPr>
        <w:t xml:space="preserve">                      </w:t>
      </w:r>
      <w:r>
        <w:rPr>
          <w:rFonts w:hint="eastAsia"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   月   日</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position w:val="0"/>
          <w:sz w:val="21"/>
          <w:szCs w:val="21"/>
        </w:rPr>
      </w:pPr>
    </w:p>
    <w:p>
      <w:pPr>
        <w:spacing w:before="212" w:line="228" w:lineRule="auto"/>
        <w:rPr>
          <w:rFonts w:hint="eastAsia" w:ascii="宋体" w:hAnsi="宋体" w:eastAsia="宋体" w:cs="宋体"/>
          <w:spacing w:val="0"/>
          <w:position w:val="0"/>
          <w:sz w:val="21"/>
          <w:szCs w:val="21"/>
        </w:rPr>
      </w:pPr>
    </w:p>
    <w:p>
      <w:pPr>
        <w:rPr>
          <w:rFonts w:hint="eastAsia" w:ascii="宋体" w:hAnsi="宋体" w:cs="宋体"/>
          <w:bCs/>
          <w:color w:val="0000FF"/>
          <w:kern w:val="44"/>
          <w:sz w:val="44"/>
          <w:szCs w:val="44"/>
        </w:rPr>
      </w:pPr>
      <w:r>
        <w:rPr>
          <w:rFonts w:hint="eastAsia" w:ascii="宋体" w:hAnsi="宋体" w:cs="宋体"/>
          <w:bCs/>
          <w:color w:val="0000FF"/>
          <w:kern w:val="44"/>
          <w:sz w:val="44"/>
          <w:szCs w:val="44"/>
        </w:rPr>
        <w:br w:type="page"/>
      </w:r>
    </w:p>
    <w:p>
      <w:pPr>
        <w:pStyle w:val="12"/>
        <w:keepNext w:val="0"/>
        <w:keepLines w:val="0"/>
        <w:pageBreakBefore w:val="0"/>
        <w:widowControl w:val="0"/>
        <w:numPr>
          <w:ilvl w:val="0"/>
          <w:numId w:val="2"/>
        </w:numPr>
        <w:kinsoku/>
        <w:wordWrap/>
        <w:overflowPunct w:val="0"/>
        <w:topLinePunct w:val="0"/>
        <w:autoSpaceDE/>
        <w:autoSpaceDN/>
        <w:bidi w:val="0"/>
        <w:adjustRightInd/>
        <w:snapToGrid w:val="0"/>
        <w:spacing w:line="360" w:lineRule="auto"/>
        <w:ind w:firstLine="0"/>
        <w:jc w:val="center"/>
        <w:textAlignment w:val="auto"/>
        <w:rPr>
          <w:rFonts w:hint="eastAsia" w:ascii="宋体" w:hAnsi="宋体" w:cs="宋体"/>
          <w:bCs/>
          <w:color w:val="auto"/>
          <w:kern w:val="44"/>
          <w:sz w:val="44"/>
          <w:szCs w:val="44"/>
        </w:rPr>
      </w:pPr>
      <w:r>
        <w:rPr>
          <w:rFonts w:hint="eastAsia" w:ascii="宋体" w:hAnsi="宋体" w:cs="宋体"/>
          <w:bCs/>
          <w:color w:val="auto"/>
          <w:kern w:val="44"/>
          <w:sz w:val="44"/>
          <w:szCs w:val="44"/>
        </w:rPr>
        <w:t>招标需求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szCs w:val="24"/>
        </w:rPr>
      </w:pPr>
      <w:r>
        <w:rPr>
          <w:rFonts w:hint="eastAsia" w:ascii="宋体" w:hAnsi="宋体" w:cs="宋体"/>
          <w:b/>
          <w:color w:val="auto"/>
          <w:sz w:val="24"/>
          <w:szCs w:val="24"/>
        </w:rPr>
        <w:t>一、项目名称</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rPr>
        <w:t>2023年大丰区化肥减量增效示范区</w:t>
      </w:r>
      <w:r>
        <w:rPr>
          <w:rFonts w:hint="eastAsia" w:ascii="宋体" w:hAnsi="宋体" w:cs="宋体"/>
          <w:color w:val="auto"/>
          <w:sz w:val="24"/>
          <w:szCs w:val="24"/>
          <w:lang w:eastAsia="zh-CN"/>
        </w:rPr>
        <w:t>（有机无机复混肥、缓释肥、水溶肥、复合微生物肥、液体硅肥）采购项目</w:t>
      </w:r>
    </w:p>
    <w:p>
      <w:pPr>
        <w:keepNext w:val="0"/>
        <w:keepLines w:val="0"/>
        <w:pageBreakBefore w:val="0"/>
        <w:widowControl w:val="0"/>
        <w:numPr>
          <w:ilvl w:val="0"/>
          <w:numId w:val="0"/>
        </w:numPr>
        <w:kinsoku/>
        <w:wordWrap/>
        <w:overflowPunct/>
        <w:topLinePunct w:val="0"/>
        <w:autoSpaceDE/>
        <w:autoSpaceDN/>
        <w:bidi w:val="0"/>
        <w:adjustRightInd/>
        <w:snapToGrid/>
        <w:spacing w:before="93" w:beforeLines="30" w:line="360" w:lineRule="auto"/>
        <w:jc w:val="left"/>
        <w:textAlignment w:val="auto"/>
        <w:outlineLvl w:val="1"/>
        <w:rPr>
          <w:rFonts w:hint="eastAsia" w:ascii="宋体" w:hAnsi="宋体" w:cs="宋体"/>
          <w:b/>
          <w:color w:val="auto"/>
          <w:sz w:val="24"/>
          <w:szCs w:val="24"/>
        </w:rPr>
      </w:pPr>
      <w:r>
        <w:rPr>
          <w:rFonts w:hint="eastAsia" w:ascii="宋体" w:hAnsi="宋体" w:cs="宋体"/>
          <w:b/>
          <w:color w:val="auto"/>
          <w:sz w:val="21"/>
          <w:szCs w:val="21"/>
          <w:lang w:val="en-US" w:eastAsia="zh-CN"/>
        </w:rPr>
        <w:t>二、</w:t>
      </w:r>
      <w:r>
        <w:rPr>
          <w:rFonts w:hint="eastAsia" w:ascii="宋体" w:hAnsi="宋体" w:cs="宋体"/>
          <w:b/>
          <w:color w:val="auto"/>
          <w:sz w:val="24"/>
          <w:szCs w:val="24"/>
        </w:rPr>
        <w:t>项目内容</w:t>
      </w:r>
      <w:bookmarkStart w:id="364" w:name="_Toc427661780"/>
    </w:p>
    <w:tbl>
      <w:tblPr>
        <w:tblStyle w:val="44"/>
        <w:tblW w:w="10073" w:type="dxa"/>
        <w:jc w:val="center"/>
        <w:tblLayout w:type="fixed"/>
        <w:tblCellMar>
          <w:top w:w="15" w:type="dxa"/>
          <w:left w:w="15" w:type="dxa"/>
          <w:bottom w:w="15" w:type="dxa"/>
          <w:right w:w="15" w:type="dxa"/>
        </w:tblCellMar>
      </w:tblPr>
      <w:tblGrid>
        <w:gridCol w:w="1019"/>
        <w:gridCol w:w="1762"/>
        <w:gridCol w:w="2268"/>
        <w:gridCol w:w="1361"/>
        <w:gridCol w:w="1247"/>
        <w:gridCol w:w="1134"/>
        <w:gridCol w:w="1282"/>
      </w:tblGrid>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标段编号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标段</w:t>
            </w:r>
            <w:r>
              <w:rPr>
                <w:rFonts w:hint="eastAsia" w:ascii="宋体" w:hAnsi="宋体" w:cs="宋体"/>
                <w:b/>
                <w:bCs/>
                <w:szCs w:val="21"/>
              </w:rPr>
              <w:t>名称</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规格及技术参数</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补助标准</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控制单价</w:t>
            </w:r>
          </w:p>
        </w:tc>
        <w:tc>
          <w:tcPr>
            <w:tcW w:w="1134" w:type="dxa"/>
            <w:tcBorders>
              <w:top w:val="single" w:color="000000" w:sz="4" w:space="0"/>
              <w:left w:val="single" w:color="auto" w:sz="4" w:space="0"/>
              <w:right w:val="single" w:color="000000" w:sz="4" w:space="0"/>
            </w:tcBorders>
            <w:noWrap w:val="0"/>
            <w:vAlign w:val="center"/>
          </w:tcPr>
          <w:p>
            <w:pPr>
              <w:spacing w:line="240" w:lineRule="auto"/>
              <w:jc w:val="center"/>
              <w:rPr>
                <w:rFonts w:hint="eastAsia" w:ascii="宋体" w:hAnsi="宋体" w:cs="宋体"/>
                <w:b/>
                <w:bCs/>
                <w:szCs w:val="21"/>
              </w:rPr>
            </w:pPr>
            <w:r>
              <w:rPr>
                <w:rFonts w:hint="eastAsia" w:ascii="宋体" w:hAnsi="宋体" w:cs="宋体"/>
                <w:b/>
                <w:bCs/>
                <w:szCs w:val="21"/>
              </w:rPr>
              <w:t>实施规模</w:t>
            </w:r>
          </w:p>
        </w:tc>
        <w:tc>
          <w:tcPr>
            <w:tcW w:w="1282" w:type="dxa"/>
            <w:tcBorders>
              <w:top w:val="single" w:color="000000" w:sz="4" w:space="0"/>
              <w:left w:val="single" w:color="auto"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采购金额</w:t>
            </w:r>
          </w:p>
        </w:tc>
      </w:tr>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rPr>
              <w:t>001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u w:val="none"/>
                <w:lang w:val="en-US" w:eastAsia="zh-CN"/>
              </w:rPr>
            </w:pPr>
            <w:r>
              <w:rPr>
                <w:rFonts w:hint="eastAsia" w:ascii="宋体" w:hAnsi="宋体" w:cs="宋体"/>
                <w:szCs w:val="21"/>
                <w:u w:val="none"/>
                <w:lang w:eastAsia="zh-CN"/>
              </w:rPr>
              <w:t>有机无机复混肥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18877-2020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lang w:val="en-US" w:eastAsia="zh-CN"/>
              </w:rPr>
              <w:t>400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1500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75（补助20）万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缓释肥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23348-2009</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4000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rPr>
            </w:pPr>
            <w:r>
              <w:rPr>
                <w:rFonts w:hint="eastAsia" w:ascii="宋体" w:hAnsi="宋体" w:cs="宋体"/>
                <w:szCs w:val="21"/>
                <w:lang w:val="en-US" w:eastAsia="zh-CN"/>
              </w:rPr>
              <w:t>100吨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40（补助6）万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w:t>
            </w:r>
            <w:r>
              <w:rPr>
                <w:rFonts w:hint="default" w:ascii="宋体" w:hAnsi="宋体" w:eastAsia="宋体" w:cs="宋体"/>
                <w:szCs w:val="21"/>
                <w:lang w:val="en-US" w:eastAsia="zh-CN"/>
              </w:rPr>
              <w:t>NY/T 1107-2020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2000桶</w:t>
            </w:r>
            <w:r>
              <w:rPr>
                <w:rFonts w:hint="eastAsia" w:ascii="宋体" w:hAnsi="宋体" w:cs="宋体"/>
                <w:szCs w:val="21"/>
                <w:lang w:eastAsia="zh-CN"/>
              </w:rPr>
              <w:t>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复合微生物肥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5公斤/桶，NY/T 798-2015</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60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3333桶以上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500毫升/瓶，NY/T 3829-2021</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50</w:t>
            </w:r>
            <w:r>
              <w:rPr>
                <w:rFonts w:hint="eastAsia" w:ascii="宋体" w:hAnsi="宋体" w:cs="宋体"/>
                <w:szCs w:val="21"/>
              </w:rPr>
              <w:t>元/</w:t>
            </w:r>
            <w:r>
              <w:rPr>
                <w:rFonts w:hint="eastAsia" w:ascii="宋体" w:hAnsi="宋体" w:cs="宋体"/>
                <w:szCs w:val="21"/>
                <w:lang w:eastAsia="zh-CN"/>
              </w:rPr>
              <w:t>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2500瓶以上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12.5万元</w:t>
            </w:r>
          </w:p>
        </w:tc>
      </w:tr>
      <w:bookmarkEnd w:id="364"/>
    </w:tbl>
    <w:p>
      <w:pPr>
        <w:spacing w:line="480" w:lineRule="auto"/>
        <w:ind w:firstLine="486" w:firstLineChars="200"/>
        <w:rPr>
          <w:rFonts w:ascii="宋体" w:hAnsi="宋体" w:cs="宋体"/>
          <w:sz w:val="24"/>
        </w:rPr>
      </w:pPr>
      <w:bookmarkStart w:id="365" w:name="_Toc14372"/>
      <w:r>
        <w:rPr>
          <w:rFonts w:hint="eastAsia" w:ascii="宋体" w:hAnsi="宋体" w:cs="宋体"/>
          <w:sz w:val="24"/>
        </w:rPr>
        <w:t>1、各投标供应商投标单价不得高于投标限价，否则作无效投标。</w:t>
      </w:r>
    </w:p>
    <w:p>
      <w:pPr>
        <w:spacing w:line="480" w:lineRule="auto"/>
        <w:ind w:firstLine="486" w:firstLineChars="200"/>
        <w:rPr>
          <w:rFonts w:ascii="宋体" w:hAnsi="宋体" w:cs="宋体"/>
          <w:sz w:val="24"/>
        </w:rPr>
      </w:pPr>
      <w:r>
        <w:rPr>
          <w:rFonts w:hint="eastAsia" w:ascii="宋体" w:hAnsi="宋体" w:cs="宋体"/>
          <w:sz w:val="24"/>
        </w:rPr>
        <w:t>2、本招标项目采用最低评标价法，每标段依据评标价由低到高确定1名中标人。</w:t>
      </w:r>
    </w:p>
    <w:p>
      <w:pPr>
        <w:spacing w:line="480" w:lineRule="auto"/>
        <w:ind w:firstLine="486" w:firstLineChars="200"/>
        <w:rPr>
          <w:rFonts w:hint="eastAsia" w:ascii="宋体" w:hAnsi="宋体" w:cs="宋体"/>
          <w:sz w:val="24"/>
        </w:rPr>
      </w:pPr>
      <w:r>
        <w:rPr>
          <w:rFonts w:hint="eastAsia" w:ascii="宋体" w:hAnsi="宋体" w:cs="宋体"/>
          <w:sz w:val="24"/>
        </w:rPr>
        <w:t>3、本项目资金来源均为财政性资金，</w:t>
      </w:r>
      <w:r>
        <w:rPr>
          <w:rFonts w:hint="eastAsia" w:ascii="宋体" w:hAnsi="宋体" w:cs="宋体"/>
          <w:sz w:val="24"/>
          <w:lang w:val="en-US" w:eastAsia="zh-CN"/>
        </w:rPr>
        <w:t>001、002分别采购500吨、100吨，003、004、005标段</w:t>
      </w:r>
      <w:r>
        <w:rPr>
          <w:rFonts w:hint="eastAsia" w:ascii="宋体" w:hAnsi="宋体" w:cs="宋体"/>
          <w:sz w:val="24"/>
        </w:rPr>
        <w:t>均为足额采购，肥料质保期不得低于</w:t>
      </w:r>
      <w:r>
        <w:rPr>
          <w:rFonts w:hint="eastAsia" w:ascii="宋体" w:hAnsi="宋体" w:cs="宋体"/>
          <w:sz w:val="24"/>
          <w:lang w:val="en-US" w:eastAsia="zh-CN"/>
        </w:rPr>
        <w:t>12</w:t>
      </w:r>
      <w:r>
        <w:rPr>
          <w:rFonts w:hint="eastAsia" w:ascii="宋体" w:hAnsi="宋体" w:cs="宋体"/>
          <w:sz w:val="24"/>
        </w:rPr>
        <w:t>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三、产品质量要求</w:t>
      </w:r>
      <w:bookmarkEnd w:id="365"/>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rPr>
        <w:t>1、有机无机复混肥料产品质量符合GB 18877-</w:t>
      </w:r>
      <w:r>
        <w:rPr>
          <w:rFonts w:hint="eastAsia" w:ascii="宋体" w:hAnsi="宋体" w:cs="宋体"/>
          <w:color w:val="auto"/>
          <w:sz w:val="24"/>
          <w:szCs w:val="24"/>
          <w:lang w:val="en-US" w:eastAsia="zh-CN"/>
        </w:rPr>
        <w:t>2020</w:t>
      </w:r>
      <w:r>
        <w:rPr>
          <w:rFonts w:hint="eastAsia" w:ascii="宋体" w:hAnsi="宋体" w:cs="宋体"/>
          <w:color w:val="auto"/>
          <w:sz w:val="24"/>
          <w:szCs w:val="24"/>
        </w:rPr>
        <w:t>要求，有机无机复混肥氮磷钾总养分含量为</w:t>
      </w:r>
      <w:r>
        <w:rPr>
          <w:rFonts w:hint="eastAsia" w:ascii="宋体" w:hAnsi="宋体" w:cs="宋体"/>
          <w:color w:val="auto"/>
          <w:sz w:val="24"/>
          <w:szCs w:val="24"/>
          <w:lang w:val="en-US" w:eastAsia="zh-CN"/>
        </w:rPr>
        <w:t>15</w:t>
      </w:r>
      <w:r>
        <w:rPr>
          <w:rFonts w:hint="eastAsia" w:ascii="宋体" w:hAnsi="宋体" w:cs="宋体"/>
          <w:color w:val="auto"/>
          <w:sz w:val="24"/>
          <w:szCs w:val="24"/>
        </w:rPr>
        <w:t>%，其中氮≥</w:t>
      </w:r>
      <w:r>
        <w:rPr>
          <w:rFonts w:hint="eastAsia" w:ascii="宋体" w:hAnsi="宋体" w:cs="宋体"/>
          <w:color w:val="auto"/>
          <w:sz w:val="24"/>
          <w:szCs w:val="24"/>
          <w:lang w:val="en-US" w:eastAsia="zh-CN"/>
        </w:rPr>
        <w:t>8</w:t>
      </w:r>
      <w:r>
        <w:rPr>
          <w:rFonts w:hint="eastAsia" w:ascii="宋体" w:hAnsi="宋体" w:cs="宋体"/>
          <w:color w:val="auto"/>
          <w:sz w:val="24"/>
          <w:szCs w:val="24"/>
        </w:rPr>
        <w:t>%，氯≤10%，包装：40kg/袋；</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缓释</w:t>
      </w:r>
      <w:r>
        <w:rPr>
          <w:rFonts w:hint="eastAsia" w:ascii="宋体" w:hAnsi="宋体" w:cs="宋体"/>
          <w:color w:val="auto"/>
          <w:sz w:val="24"/>
          <w:szCs w:val="24"/>
          <w:highlight w:val="none"/>
        </w:rPr>
        <w:t>肥产品质量符合GB</w:t>
      </w:r>
      <w:r>
        <w:rPr>
          <w:rFonts w:hint="eastAsia" w:ascii="宋体" w:hAnsi="宋体" w:cs="宋体"/>
          <w:color w:val="auto"/>
          <w:sz w:val="24"/>
          <w:szCs w:val="24"/>
          <w:highlight w:val="none"/>
          <w:lang w:val="en-US" w:eastAsia="zh-CN"/>
        </w:rPr>
        <w:t>/T23348-2009</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氮磷钾总养分含量≥4</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%,N-P</w:t>
      </w:r>
      <w:r>
        <w:rPr>
          <w:rFonts w:hint="eastAsia" w:ascii="宋体" w:hAnsi="宋体" w:cs="宋体"/>
          <w:color w:val="auto"/>
          <w:sz w:val="24"/>
          <w:szCs w:val="24"/>
          <w:highlight w:val="none"/>
          <w:vertAlign w:val="subscript"/>
        </w:rPr>
        <w:t>2</w:t>
      </w:r>
      <w:r>
        <w:rPr>
          <w:rFonts w:hint="eastAsia" w:ascii="宋体" w:hAnsi="宋体" w:cs="宋体"/>
          <w:color w:val="auto"/>
          <w:sz w:val="24"/>
          <w:szCs w:val="24"/>
          <w:highlight w:val="none"/>
        </w:rPr>
        <w:t>O</w:t>
      </w:r>
      <w:r>
        <w:rPr>
          <w:rFonts w:hint="eastAsia" w:ascii="宋体" w:hAnsi="宋体" w:cs="宋体"/>
          <w:color w:val="auto"/>
          <w:sz w:val="24"/>
          <w:szCs w:val="24"/>
          <w:highlight w:val="none"/>
          <w:vertAlign w:val="subscript"/>
        </w:rPr>
        <w:t>5</w:t>
      </w:r>
      <w:r>
        <w:rPr>
          <w:rFonts w:hint="eastAsia" w:ascii="宋体" w:hAnsi="宋体" w:cs="宋体"/>
          <w:color w:val="auto"/>
          <w:sz w:val="24"/>
          <w:szCs w:val="24"/>
          <w:highlight w:val="none"/>
        </w:rPr>
        <w:t>-K</w:t>
      </w:r>
      <w:r>
        <w:rPr>
          <w:rFonts w:hint="eastAsia" w:ascii="宋体" w:hAnsi="宋体" w:cs="宋体"/>
          <w:color w:val="auto"/>
          <w:sz w:val="24"/>
          <w:szCs w:val="24"/>
          <w:highlight w:val="none"/>
          <w:vertAlign w:val="subscript"/>
        </w:rPr>
        <w:t>2</w:t>
      </w:r>
      <w:r>
        <w:rPr>
          <w:rFonts w:hint="eastAsia" w:ascii="宋体" w:hAnsi="宋体" w:cs="宋体"/>
          <w:color w:val="auto"/>
          <w:sz w:val="24"/>
          <w:szCs w:val="24"/>
          <w:highlight w:val="none"/>
        </w:rPr>
        <w:t>O（2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缓释氮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%，包装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0kg/袋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特别要求：投标货物要粒状圆润，抗压强度高，不结块、无粉尘</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水溶性肥料必须符合NY110</w:t>
      </w:r>
      <w:r>
        <w:rPr>
          <w:rFonts w:hint="eastAsia" w:ascii="宋体" w:hAnsi="宋体" w:cs="宋体"/>
          <w:color w:val="auto"/>
          <w:sz w:val="24"/>
          <w:szCs w:val="24"/>
          <w:lang w:val="en-US" w:eastAsia="zh-CN"/>
        </w:rPr>
        <w:t>7</w:t>
      </w:r>
      <w:r>
        <w:rPr>
          <w:rFonts w:hint="eastAsia" w:ascii="宋体" w:hAnsi="宋体" w:cs="宋体"/>
          <w:color w:val="auto"/>
          <w:sz w:val="24"/>
          <w:szCs w:val="24"/>
        </w:rPr>
        <w:t>-20</w:t>
      </w:r>
      <w:r>
        <w:rPr>
          <w:rFonts w:hint="eastAsia" w:ascii="宋体" w:hAnsi="宋体" w:cs="宋体"/>
          <w:color w:val="auto"/>
          <w:sz w:val="24"/>
          <w:szCs w:val="24"/>
          <w:lang w:val="en-US" w:eastAsia="zh-CN"/>
        </w:rPr>
        <w:t>20</w:t>
      </w:r>
      <w:r>
        <w:rPr>
          <w:rFonts w:hint="eastAsia" w:ascii="宋体" w:hAnsi="宋体" w:cs="宋体"/>
          <w:color w:val="auto"/>
          <w:sz w:val="24"/>
          <w:szCs w:val="24"/>
        </w:rPr>
        <w:t>，剂型：水剂，主要技术指标：N+P</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5</w:t>
      </w:r>
      <w:r>
        <w:rPr>
          <w:rFonts w:hint="eastAsia" w:ascii="宋体" w:hAnsi="宋体" w:cs="宋体"/>
          <w:color w:val="auto"/>
          <w:sz w:val="24"/>
          <w:szCs w:val="24"/>
        </w:rPr>
        <w:t>+K</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lang w:val="en-US" w:eastAsia="zh-CN"/>
        </w:rPr>
        <w:t>5</w:t>
      </w:r>
      <w:r>
        <w:rPr>
          <w:rFonts w:hint="eastAsia" w:ascii="宋体" w:hAnsi="宋体" w:cs="宋体"/>
          <w:color w:val="auto"/>
          <w:sz w:val="24"/>
          <w:szCs w:val="24"/>
        </w:rPr>
        <w:t>00g/L</w:t>
      </w:r>
      <w:r>
        <w:rPr>
          <w:rFonts w:hint="eastAsia" w:ascii="宋体" w:hAnsi="宋体" w:cs="宋体"/>
          <w:b/>
          <w:bCs/>
          <w:color w:val="auto"/>
          <w:sz w:val="24"/>
          <w:szCs w:val="24"/>
          <w:highlight w:val="yellow"/>
          <w:lang w:eastAsia="zh-CN"/>
        </w:rPr>
        <w:t>（</w:t>
      </w:r>
      <w:r>
        <w:rPr>
          <w:rFonts w:hint="eastAsia" w:ascii="宋体" w:hAnsi="宋体" w:cs="宋体"/>
          <w:b/>
          <w:bCs/>
          <w:color w:val="auto"/>
          <w:sz w:val="24"/>
          <w:szCs w:val="24"/>
          <w:highlight w:val="yellow"/>
          <w:lang w:val="en-US" w:eastAsia="zh-CN"/>
        </w:rPr>
        <w:t>如提供备案证号，则需要承诺所投产品的技术指标达到</w:t>
      </w:r>
      <w:r>
        <w:rPr>
          <w:rFonts w:hint="eastAsia" w:ascii="宋体" w:hAnsi="宋体" w:cs="宋体"/>
          <w:b/>
          <w:bCs/>
          <w:color w:val="auto"/>
          <w:sz w:val="24"/>
          <w:szCs w:val="24"/>
          <w:highlight w:val="yellow"/>
        </w:rPr>
        <w:t>N+P</w:t>
      </w:r>
      <w:r>
        <w:rPr>
          <w:rFonts w:hint="eastAsia" w:ascii="宋体" w:hAnsi="宋体" w:cs="宋体"/>
          <w:b/>
          <w:bCs/>
          <w:color w:val="auto"/>
          <w:sz w:val="24"/>
          <w:szCs w:val="24"/>
          <w:highlight w:val="yellow"/>
          <w:vertAlign w:val="subscript"/>
        </w:rPr>
        <w:t>2</w:t>
      </w:r>
      <w:r>
        <w:rPr>
          <w:rFonts w:hint="eastAsia" w:ascii="宋体" w:hAnsi="宋体" w:cs="宋体"/>
          <w:b/>
          <w:bCs/>
          <w:color w:val="auto"/>
          <w:sz w:val="24"/>
          <w:szCs w:val="24"/>
          <w:highlight w:val="yellow"/>
        </w:rPr>
        <w:t>O</w:t>
      </w:r>
      <w:r>
        <w:rPr>
          <w:rFonts w:hint="eastAsia" w:ascii="宋体" w:hAnsi="宋体" w:cs="宋体"/>
          <w:b/>
          <w:bCs/>
          <w:color w:val="auto"/>
          <w:sz w:val="24"/>
          <w:szCs w:val="24"/>
          <w:highlight w:val="yellow"/>
          <w:vertAlign w:val="subscript"/>
        </w:rPr>
        <w:t>5</w:t>
      </w:r>
      <w:r>
        <w:rPr>
          <w:rFonts w:hint="eastAsia" w:ascii="宋体" w:hAnsi="宋体" w:cs="宋体"/>
          <w:b/>
          <w:bCs/>
          <w:color w:val="auto"/>
          <w:sz w:val="24"/>
          <w:szCs w:val="24"/>
          <w:highlight w:val="yellow"/>
        </w:rPr>
        <w:t>+K</w:t>
      </w:r>
      <w:r>
        <w:rPr>
          <w:rFonts w:hint="eastAsia" w:ascii="宋体" w:hAnsi="宋体" w:cs="宋体"/>
          <w:b/>
          <w:bCs/>
          <w:color w:val="auto"/>
          <w:sz w:val="24"/>
          <w:szCs w:val="24"/>
          <w:highlight w:val="yellow"/>
          <w:vertAlign w:val="subscript"/>
        </w:rPr>
        <w:t>2</w:t>
      </w:r>
      <w:r>
        <w:rPr>
          <w:rFonts w:hint="eastAsia" w:ascii="宋体" w:hAnsi="宋体" w:cs="宋体"/>
          <w:b/>
          <w:bCs/>
          <w:color w:val="auto"/>
          <w:sz w:val="24"/>
          <w:szCs w:val="24"/>
          <w:highlight w:val="yellow"/>
        </w:rPr>
        <w:t>O≥</w:t>
      </w:r>
      <w:r>
        <w:rPr>
          <w:rFonts w:hint="eastAsia" w:ascii="宋体" w:hAnsi="宋体" w:cs="宋体"/>
          <w:b/>
          <w:bCs/>
          <w:color w:val="auto"/>
          <w:sz w:val="24"/>
          <w:szCs w:val="24"/>
          <w:highlight w:val="yellow"/>
          <w:lang w:val="en-US" w:eastAsia="zh-CN"/>
        </w:rPr>
        <w:t>5</w:t>
      </w:r>
      <w:r>
        <w:rPr>
          <w:rFonts w:hint="eastAsia" w:ascii="宋体" w:hAnsi="宋体" w:cs="宋体"/>
          <w:b/>
          <w:bCs/>
          <w:color w:val="auto"/>
          <w:sz w:val="24"/>
          <w:szCs w:val="24"/>
          <w:highlight w:val="yellow"/>
        </w:rPr>
        <w:t>00g/L</w:t>
      </w:r>
      <w:r>
        <w:rPr>
          <w:rFonts w:hint="eastAsia" w:ascii="宋体" w:hAnsi="宋体" w:cs="宋体"/>
          <w:b/>
          <w:bCs/>
          <w:color w:val="auto"/>
          <w:sz w:val="24"/>
          <w:szCs w:val="24"/>
          <w:highlight w:val="yellow"/>
          <w:lang w:eastAsia="zh-CN"/>
        </w:rPr>
        <w:t>）；</w:t>
      </w:r>
      <w:r>
        <w:rPr>
          <w:rFonts w:hint="eastAsia" w:ascii="宋体" w:hAnsi="宋体" w:cs="宋体"/>
          <w:color w:val="auto"/>
          <w:sz w:val="24"/>
          <w:szCs w:val="24"/>
        </w:rPr>
        <w:t>N-P</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5</w:t>
      </w:r>
      <w:r>
        <w:rPr>
          <w:rFonts w:hint="eastAsia" w:ascii="宋体" w:hAnsi="宋体" w:cs="宋体"/>
          <w:color w:val="auto"/>
          <w:sz w:val="24"/>
          <w:szCs w:val="24"/>
        </w:rPr>
        <w:t>-K</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lang w:val="en-US" w:eastAsia="zh-CN"/>
        </w:rPr>
        <w:t>=</w:t>
      </w:r>
      <w:r>
        <w:rPr>
          <w:rFonts w:hint="eastAsia" w:ascii="宋体" w:hAnsi="宋体" w:cs="宋体"/>
          <w:color w:val="auto"/>
          <w:sz w:val="24"/>
          <w:szCs w:val="24"/>
        </w:rPr>
        <w:t>（200-100-200），水不溶物含量≤10g/L</w:t>
      </w:r>
      <w:r>
        <w:rPr>
          <w:rFonts w:hint="eastAsia" w:ascii="宋体" w:hAnsi="宋体" w:cs="宋体"/>
          <w:color w:val="auto"/>
          <w:sz w:val="24"/>
          <w:szCs w:val="24"/>
          <w:lang w:eastAsia="zh-CN"/>
        </w:rPr>
        <w:t>，</w:t>
      </w:r>
      <w:r>
        <w:rPr>
          <w:rFonts w:hint="eastAsia" w:ascii="宋体" w:hAnsi="宋体" w:cs="宋体"/>
          <w:color w:val="auto"/>
          <w:sz w:val="24"/>
          <w:szCs w:val="24"/>
        </w:rPr>
        <w:t>包装</w:t>
      </w:r>
      <w:r>
        <w:rPr>
          <w:rFonts w:hint="eastAsia" w:ascii="宋体" w:hAnsi="宋体" w:cs="宋体"/>
          <w:color w:val="auto"/>
          <w:sz w:val="24"/>
          <w:szCs w:val="24"/>
          <w:lang w:eastAsia="zh-CN"/>
        </w:rPr>
        <w:t>：</w:t>
      </w:r>
      <w:r>
        <w:rPr>
          <w:rFonts w:hint="eastAsia" w:ascii="宋体" w:hAnsi="宋体" w:cs="宋体"/>
          <w:color w:val="auto"/>
          <w:sz w:val="24"/>
          <w:szCs w:val="24"/>
        </w:rPr>
        <w:t>5kg/桶</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复合微生物肥</w:t>
      </w:r>
      <w:r>
        <w:rPr>
          <w:rFonts w:hint="eastAsia" w:ascii="宋体" w:hAnsi="宋体" w:cs="宋体"/>
          <w:sz w:val="24"/>
          <w:szCs w:val="24"/>
        </w:rPr>
        <w:t>符合或优于《复合微生物肥料NY/T 798-2015》要求，且有效活菌数≥</w:t>
      </w:r>
      <w:r>
        <w:rPr>
          <w:rFonts w:ascii="宋体" w:hAnsi="宋体" w:cs="宋体"/>
          <w:sz w:val="24"/>
          <w:szCs w:val="24"/>
        </w:rPr>
        <w:t>0.5</w:t>
      </w:r>
      <w:r>
        <w:rPr>
          <w:rFonts w:hint="eastAsia" w:ascii="宋体" w:hAnsi="宋体" w:cs="宋体"/>
          <w:sz w:val="24"/>
          <w:szCs w:val="24"/>
        </w:rPr>
        <w:t>亿/ml</w:t>
      </w:r>
      <w:r>
        <w:rPr>
          <w:rFonts w:hint="eastAsia" w:ascii="宋体" w:hAnsi="宋体" w:cs="宋体"/>
          <w:sz w:val="24"/>
          <w:szCs w:val="24"/>
          <w:lang w:eastAsia="zh-CN"/>
        </w:rPr>
        <w:t>，</w:t>
      </w:r>
      <w:r>
        <w:rPr>
          <w:rFonts w:hint="eastAsia" w:ascii="宋体" w:hAnsi="宋体" w:cs="宋体"/>
          <w:sz w:val="24"/>
          <w:szCs w:val="24"/>
        </w:rPr>
        <w:t>总养分（N-P</w:t>
      </w:r>
      <w:r>
        <w:rPr>
          <w:rFonts w:hint="eastAsia" w:ascii="宋体" w:hAnsi="宋体" w:cs="宋体"/>
          <w:sz w:val="24"/>
          <w:szCs w:val="24"/>
          <w:vertAlign w:val="subscript"/>
        </w:rPr>
        <w:t>2</w:t>
      </w:r>
      <w:r>
        <w:rPr>
          <w:rFonts w:hint="eastAsia" w:ascii="宋体" w:hAnsi="宋体" w:cs="宋体"/>
          <w:sz w:val="24"/>
          <w:szCs w:val="24"/>
        </w:rPr>
        <w:t>O</w:t>
      </w:r>
      <w:r>
        <w:rPr>
          <w:rFonts w:hint="eastAsia" w:ascii="宋体" w:hAnsi="宋体" w:cs="宋体"/>
          <w:sz w:val="24"/>
          <w:szCs w:val="24"/>
          <w:vertAlign w:val="subscript"/>
        </w:rPr>
        <w:t>5</w:t>
      </w:r>
      <w:r>
        <w:rPr>
          <w:rFonts w:hint="eastAsia" w:ascii="宋体" w:hAnsi="宋体" w:cs="宋体"/>
          <w:sz w:val="24"/>
          <w:szCs w:val="24"/>
        </w:rPr>
        <w:t>-K</w:t>
      </w:r>
      <w:r>
        <w:rPr>
          <w:rFonts w:hint="eastAsia" w:ascii="宋体" w:hAnsi="宋体" w:cs="宋体"/>
          <w:sz w:val="24"/>
          <w:szCs w:val="24"/>
          <w:vertAlign w:val="subscript"/>
        </w:rPr>
        <w:t>2</w:t>
      </w:r>
      <w:r>
        <w:rPr>
          <w:rFonts w:hint="eastAsia" w:ascii="宋体" w:hAnsi="宋体" w:cs="宋体"/>
          <w:sz w:val="24"/>
          <w:szCs w:val="24"/>
        </w:rPr>
        <w:t>O）≥1</w:t>
      </w:r>
      <w:r>
        <w:rPr>
          <w:rFonts w:ascii="宋体" w:hAnsi="宋体" w:cs="宋体"/>
          <w:sz w:val="24"/>
          <w:szCs w:val="24"/>
        </w:rPr>
        <w:t>5</w:t>
      </w:r>
      <w:r>
        <w:rPr>
          <w:rFonts w:hint="eastAsia" w:ascii="宋体" w:hAnsi="宋体" w:cs="宋体"/>
          <w:sz w:val="24"/>
          <w:szCs w:val="24"/>
        </w:rPr>
        <w:t xml:space="preserve">%，有效菌种数量2个或 </w:t>
      </w:r>
      <w:r>
        <w:rPr>
          <w:rFonts w:ascii="宋体" w:hAnsi="宋体" w:cs="宋体"/>
          <w:sz w:val="24"/>
          <w:szCs w:val="24"/>
        </w:rPr>
        <w:t>2</w:t>
      </w:r>
      <w:r>
        <w:rPr>
          <w:rFonts w:hint="eastAsia" w:ascii="宋体" w:hAnsi="宋体" w:cs="宋体"/>
          <w:sz w:val="24"/>
          <w:szCs w:val="24"/>
        </w:rPr>
        <w:t>个以上，产品为液体剂型，</w:t>
      </w:r>
      <w:r>
        <w:rPr>
          <w:rFonts w:hint="eastAsia" w:ascii="宋体" w:hAnsi="宋体" w:cs="宋体"/>
          <w:color w:val="auto"/>
          <w:sz w:val="24"/>
          <w:szCs w:val="24"/>
        </w:rPr>
        <w:t>包装</w:t>
      </w:r>
      <w:r>
        <w:rPr>
          <w:rFonts w:hint="eastAsia" w:ascii="宋体" w:hAnsi="宋体" w:cs="宋体"/>
          <w:color w:val="auto"/>
          <w:sz w:val="24"/>
          <w:szCs w:val="24"/>
          <w:lang w:eastAsia="zh-CN"/>
        </w:rPr>
        <w:t>：</w:t>
      </w:r>
      <w:r>
        <w:rPr>
          <w:rFonts w:hint="eastAsia" w:ascii="宋体" w:hAnsi="宋体" w:cs="宋体"/>
          <w:color w:val="auto"/>
          <w:sz w:val="24"/>
          <w:szCs w:val="24"/>
        </w:rPr>
        <w:t>5</w:t>
      </w:r>
      <w:r>
        <w:rPr>
          <w:rFonts w:hint="eastAsia" w:ascii="宋体" w:hAnsi="宋体" w:cs="宋体"/>
          <w:color w:val="auto"/>
          <w:sz w:val="24"/>
          <w:szCs w:val="24"/>
          <w:lang w:eastAsia="zh-CN"/>
        </w:rPr>
        <w:t>公斤</w:t>
      </w:r>
      <w:r>
        <w:rPr>
          <w:rFonts w:hint="eastAsia" w:ascii="宋体" w:hAnsi="宋体" w:cs="宋体"/>
          <w:color w:val="auto"/>
          <w:sz w:val="24"/>
          <w:szCs w:val="24"/>
        </w:rPr>
        <w:t>/桶</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液体</w:t>
      </w:r>
      <w:r>
        <w:rPr>
          <w:rFonts w:hint="eastAsia" w:ascii="宋体" w:hAnsi="宋体" w:cs="宋体"/>
          <w:color w:val="auto"/>
          <w:sz w:val="24"/>
          <w:szCs w:val="24"/>
        </w:rPr>
        <w:t>硅</w:t>
      </w:r>
      <w:r>
        <w:rPr>
          <w:rFonts w:hint="eastAsia" w:ascii="宋体" w:hAnsi="宋体" w:cs="宋体"/>
          <w:color w:val="auto"/>
          <w:sz w:val="24"/>
          <w:szCs w:val="24"/>
          <w:lang w:eastAsia="zh-CN"/>
        </w:rPr>
        <w:t>肥</w:t>
      </w:r>
      <w:r>
        <w:rPr>
          <w:rFonts w:hint="eastAsia" w:ascii="宋体" w:hAnsi="宋体" w:cs="宋体"/>
          <w:color w:val="auto"/>
          <w:sz w:val="24"/>
          <w:szCs w:val="24"/>
        </w:rPr>
        <w:t>符合</w:t>
      </w:r>
      <w:r>
        <w:rPr>
          <w:rFonts w:hint="eastAsia" w:ascii="宋体" w:hAnsi="宋体" w:cs="宋体"/>
          <w:sz w:val="24"/>
          <w:szCs w:val="24"/>
        </w:rPr>
        <w:t>或优于</w:t>
      </w:r>
      <w:r>
        <w:rPr>
          <w:rFonts w:hint="eastAsia" w:ascii="宋体" w:hAnsi="宋体" w:cs="宋体"/>
          <w:color w:val="auto"/>
          <w:sz w:val="24"/>
          <w:szCs w:val="24"/>
          <w:lang w:val="en-US" w:eastAsia="zh-CN"/>
        </w:rPr>
        <w:t>NY/T3829-2021，</w:t>
      </w:r>
      <w:r>
        <w:rPr>
          <w:rFonts w:hint="eastAsia" w:ascii="宋体" w:hAnsi="宋体" w:cs="宋体"/>
          <w:sz w:val="24"/>
          <w:szCs w:val="24"/>
        </w:rPr>
        <w:t>技术标准，产品形态：水剂，主要技术指标：Si≥150g/L，K</w:t>
      </w:r>
      <w:r>
        <w:rPr>
          <w:rFonts w:hint="eastAsia" w:ascii="宋体" w:hAnsi="宋体" w:cs="宋体"/>
          <w:sz w:val="24"/>
          <w:szCs w:val="24"/>
          <w:vertAlign w:val="subscript"/>
        </w:rPr>
        <w:t>2</w:t>
      </w:r>
      <w:r>
        <w:rPr>
          <w:rFonts w:hint="eastAsia" w:ascii="宋体" w:hAnsi="宋体" w:cs="宋体"/>
          <w:sz w:val="24"/>
          <w:szCs w:val="24"/>
        </w:rPr>
        <w:t>O≥200g/L，Na≤10g/L。登记作物含水稻。规格500mL/瓶。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四、供货要求</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ascii="宋体" w:hAnsi="宋体"/>
          <w:color w:val="auto"/>
          <w:sz w:val="24"/>
          <w:szCs w:val="24"/>
        </w:rPr>
      </w:pPr>
      <w:r>
        <w:rPr>
          <w:rFonts w:hint="eastAsia" w:ascii="宋体" w:hAnsi="宋体"/>
          <w:color w:val="auto"/>
          <w:sz w:val="24"/>
          <w:szCs w:val="24"/>
        </w:rPr>
        <w:t>投标供应商应承诺确保根据项目要求及时供货到采购人指定地点。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五、售后服务要求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ascii="宋体" w:hAnsi="宋体"/>
          <w:color w:val="auto"/>
          <w:sz w:val="24"/>
          <w:szCs w:val="24"/>
        </w:rPr>
      </w:pPr>
      <w:r>
        <w:rPr>
          <w:rFonts w:hint="eastAsia" w:ascii="宋体" w:hAnsi="宋体"/>
          <w:color w:val="auto"/>
          <w:sz w:val="24"/>
          <w:szCs w:val="24"/>
        </w:rPr>
        <w:t>投标供应商中标后应成立项目专项领导小组和工作小组并附组成人员名单，做好销售</w:t>
      </w:r>
      <w:r>
        <w:rPr>
          <w:rFonts w:hint="eastAsia" w:ascii="宋体" w:hAnsi="宋体"/>
          <w:color w:val="auto"/>
          <w:sz w:val="24"/>
          <w:szCs w:val="24"/>
          <w:lang w:eastAsia="zh-CN"/>
        </w:rPr>
        <w:t>台账记录</w:t>
      </w:r>
      <w:r>
        <w:rPr>
          <w:rFonts w:hint="eastAsia" w:ascii="宋体" w:hAnsi="宋体"/>
          <w:color w:val="auto"/>
          <w:sz w:val="24"/>
          <w:szCs w:val="24"/>
        </w:rPr>
        <w:t>，提供技术和销售服务。并对上述要求做出详细工作方案。</w:t>
      </w:r>
    </w:p>
    <w:p>
      <w:pPr>
        <w:keepNext w:val="0"/>
        <w:keepLines w:val="0"/>
        <w:pageBreakBefore w:val="0"/>
        <w:widowControl w:val="0"/>
        <w:kinsoku/>
        <w:wordWrap/>
        <w:overflowPunct/>
        <w:topLinePunct w:val="0"/>
        <w:autoSpaceDE/>
        <w:autoSpaceDN/>
        <w:bidi w:val="0"/>
        <w:adjustRightInd/>
        <w:snapToGrid w:val="0"/>
        <w:spacing w:line="360" w:lineRule="auto"/>
        <w:ind w:firstLine="426"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486" w:firstLineChars="200"/>
        <w:textAlignment w:val="auto"/>
        <w:rPr>
          <w:rFonts w:ascii="宋体" w:cs="宋体"/>
          <w:color w:val="0000FF"/>
          <w:sz w:val="24"/>
        </w:rPr>
      </w:pPr>
    </w:p>
    <w:p>
      <w:pPr>
        <w:pStyle w:val="12"/>
        <w:numPr>
          <w:ilvl w:val="0"/>
          <w:numId w:val="0"/>
        </w:numPr>
        <w:overflowPunct w:val="0"/>
        <w:snapToGrid w:val="0"/>
        <w:spacing w:line="360" w:lineRule="auto"/>
        <w:jc w:val="both"/>
        <w:rPr>
          <w:rFonts w:hint="eastAsia" w:ascii="宋体" w:hAnsi="宋体" w:cs="宋体"/>
          <w:bCs/>
          <w:kern w:val="44"/>
          <w:sz w:val="44"/>
          <w:szCs w:val="44"/>
        </w:rPr>
      </w:pPr>
    </w:p>
    <w:p>
      <w:pPr>
        <w:widowControl/>
        <w:kinsoku w:val="0"/>
        <w:autoSpaceDE w:val="0"/>
        <w:autoSpaceDN w:val="0"/>
        <w:ind w:firstLine="426" w:firstLineChars="200"/>
        <w:textAlignment w:val="baseline"/>
        <w:rPr>
          <w:rFonts w:ascii="宋体" w:hAnsi="宋体" w:cs="宋体"/>
          <w:szCs w:val="21"/>
        </w:rPr>
      </w:pPr>
    </w:p>
    <w:p>
      <w:pPr>
        <w:pStyle w:val="22"/>
        <w:snapToGrid w:val="0"/>
        <w:spacing w:before="120" w:after="120" w:line="440" w:lineRule="exact"/>
        <w:jc w:val="center"/>
        <w:outlineLvl w:val="0"/>
        <w:rPr>
          <w:rFonts w:hAnsi="宋体" w:cs="宋体"/>
          <w:szCs w:val="21"/>
        </w:rPr>
      </w:pPr>
      <w:r>
        <w:rPr>
          <w:rFonts w:hint="eastAsia" w:hAnsi="宋体"/>
          <w:sz w:val="24"/>
        </w:rPr>
        <w:br w:type="page"/>
      </w:r>
    </w:p>
    <w:bookmarkEnd w:id="362"/>
    <w:bookmarkEnd w:id="363"/>
    <w:p>
      <w:pPr>
        <w:pStyle w:val="2"/>
        <w:spacing w:line="360" w:lineRule="auto"/>
        <w:rPr>
          <w:rFonts w:ascii="宋体" w:hAnsi="宋体"/>
        </w:rPr>
      </w:pPr>
      <w:bookmarkStart w:id="366" w:name="_Toc501967563"/>
      <w:bookmarkStart w:id="367" w:name="_Toc397928631"/>
      <w:r>
        <w:rPr>
          <w:rFonts w:hint="eastAsia" w:ascii="宋体" w:hAnsi="宋体"/>
        </w:rPr>
        <w:t>第六章  投标文件格式</w:t>
      </w:r>
    </w:p>
    <w:p>
      <w:pPr>
        <w:autoSpaceDE w:val="0"/>
        <w:autoSpaceDN w:val="0"/>
        <w:adjustRightInd w:val="0"/>
        <w:spacing w:line="480" w:lineRule="atLeast"/>
        <w:ind w:firstLine="426" w:firstLineChars="200"/>
        <w:rPr>
          <w:rFonts w:ascii="宋体" w:hAnsi="宋体" w:cs="宋体"/>
          <w:kern w:val="0"/>
          <w:sz w:val="24"/>
        </w:rPr>
      </w:pPr>
      <w:r>
        <w:rPr>
          <w:rFonts w:hint="eastAsia" w:ascii="宋体" w:hAnsi="宋体" w:cs="宋体"/>
          <w:kern w:val="0"/>
          <w:sz w:val="21"/>
          <w:szCs w:val="21"/>
        </w:rPr>
        <w:t>（本章仅提供有格式要求的材料模版，具体投标文件组成不限于以下材料，投标人需按“投标人须知”章节中“投标文件”的具体要求编制投标文件）</w:t>
      </w:r>
    </w:p>
    <w:p>
      <w:pPr>
        <w:pStyle w:val="2"/>
        <w:jc w:val="both"/>
        <w:rPr>
          <w:rFonts w:ascii="宋体" w:hAnsi="宋体" w:cs="宋体"/>
          <w:b w:val="0"/>
          <w:sz w:val="32"/>
        </w:rPr>
      </w:pPr>
      <w:r>
        <w:rPr>
          <w:rFonts w:ascii="宋体" w:hAnsi="宋体" w:cs="宋体"/>
          <w:sz w:val="24"/>
        </w:rPr>
        <w:br w:type="page"/>
      </w:r>
      <w:r>
        <w:rPr>
          <w:rStyle w:val="57"/>
          <w:rFonts w:hint="eastAsia" w:ascii="宋体" w:hAnsi="宋体" w:eastAsia="宋体" w:cs="宋体"/>
          <w:b/>
          <w:bCs/>
        </w:rPr>
        <w:t>封面</w:t>
      </w:r>
      <w:bookmarkEnd w:id="366"/>
      <w:bookmarkEnd w:id="367"/>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u w:val="single"/>
        </w:rPr>
        <w:t xml:space="preserve"> （项目名称）</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72"/>
          <w:szCs w:val="72"/>
        </w:rPr>
      </w:pPr>
    </w:p>
    <w:p>
      <w:pPr>
        <w:spacing w:line="360" w:lineRule="auto"/>
        <w:jc w:val="center"/>
        <w:rPr>
          <w:rFonts w:ascii="宋体" w:hAnsi="宋体" w:cs="宋体"/>
          <w:sz w:val="96"/>
          <w:szCs w:val="96"/>
        </w:rPr>
      </w:pPr>
      <w:r>
        <w:rPr>
          <w:rFonts w:hint="eastAsia" w:ascii="宋体" w:hAnsi="宋体" w:cs="宋体"/>
          <w:b/>
          <w:bCs/>
          <w:sz w:val="96"/>
          <w:szCs w:val="96"/>
        </w:rPr>
        <w:t>投 标 文 件</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pStyle w:val="54"/>
        <w:rPr>
          <w:color w:val="auto"/>
        </w:rPr>
      </w:pPr>
    </w:p>
    <w:p>
      <w:pPr>
        <w:spacing w:line="360" w:lineRule="auto"/>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ind w:firstLine="1275" w:firstLineChars="451"/>
        <w:jc w:val="left"/>
        <w:rPr>
          <w:rFonts w:ascii="宋体" w:hAnsi="宋体" w:cs="宋体"/>
          <w:sz w:val="28"/>
          <w:szCs w:val="28"/>
          <w:u w:val="single"/>
        </w:rPr>
      </w:pPr>
      <w:r>
        <w:rPr>
          <w:rFonts w:hint="eastAsia" w:ascii="宋体" w:hAnsi="宋体" w:cs="宋体"/>
          <w:sz w:val="28"/>
          <w:szCs w:val="28"/>
        </w:rPr>
        <w:t>投标人（盖章）：</w:t>
      </w:r>
    </w:p>
    <w:p>
      <w:pPr>
        <w:spacing w:line="360" w:lineRule="auto"/>
        <w:jc w:val="center"/>
        <w:rPr>
          <w:rFonts w:ascii="宋体" w:hAnsi="宋体" w:cs="宋体"/>
        </w:rPr>
      </w:pPr>
      <w:r>
        <w:rPr>
          <w:rFonts w:hint="eastAsia" w:ascii="宋体" w:hAnsi="宋体" w:cs="宋体"/>
          <w:sz w:val="28"/>
          <w:szCs w:val="28"/>
        </w:rPr>
        <w:t>日期：年月日</w:t>
      </w:r>
      <w:bookmarkStart w:id="368" w:name="_Toc5230"/>
      <w:bookmarkStart w:id="369" w:name="_Toc387526438"/>
      <w:bookmarkStart w:id="370" w:name="_Toc387526346"/>
      <w:bookmarkStart w:id="371" w:name="_Toc397928632"/>
      <w:bookmarkStart w:id="372" w:name="_Toc387526242"/>
    </w:p>
    <w:p>
      <w:pPr>
        <w:rPr>
          <w:rFonts w:ascii="宋体" w:hAnsi="宋体"/>
        </w:rPr>
      </w:pPr>
      <w:bookmarkStart w:id="373" w:name="_Toc501967564"/>
      <w:r>
        <w:rPr>
          <w:rFonts w:hint="eastAsia" w:ascii="宋体" w:hAnsi="宋体"/>
        </w:rPr>
        <w:br w:type="page"/>
      </w:r>
      <w:bookmarkEnd w:id="368"/>
      <w:bookmarkEnd w:id="369"/>
      <w:bookmarkEnd w:id="370"/>
      <w:bookmarkEnd w:id="371"/>
      <w:bookmarkEnd w:id="372"/>
      <w:bookmarkEnd w:id="373"/>
      <w:bookmarkStart w:id="374" w:name="_Toc397928652"/>
      <w:bookmarkStart w:id="375" w:name="_Toc501967569"/>
    </w:p>
    <w:p>
      <w:pPr>
        <w:pStyle w:val="22"/>
        <w:snapToGrid w:val="0"/>
        <w:spacing w:before="120" w:after="120" w:line="460" w:lineRule="exact"/>
        <w:jc w:val="left"/>
        <w:rPr>
          <w:rFonts w:hAnsi="宋体" w:cs="Angsana New"/>
          <w:sz w:val="24"/>
          <w:szCs w:val="24"/>
          <w:lang w:bidi="th-TH"/>
        </w:rPr>
      </w:pPr>
      <w:r>
        <w:rPr>
          <w:rFonts w:hint="eastAsia" w:hAnsi="宋体"/>
          <w:sz w:val="24"/>
          <w:szCs w:val="24"/>
        </w:rPr>
        <w:t>格式一：</w:t>
      </w:r>
    </w:p>
    <w:p>
      <w:pPr>
        <w:pStyle w:val="22"/>
        <w:snapToGrid w:val="0"/>
        <w:spacing w:before="120" w:after="120" w:line="460" w:lineRule="exact"/>
        <w:jc w:val="center"/>
        <w:rPr>
          <w:rFonts w:hAnsi="宋体"/>
          <w:b/>
          <w:szCs w:val="28"/>
        </w:rPr>
      </w:pPr>
    </w:p>
    <w:p>
      <w:pPr>
        <w:pStyle w:val="22"/>
        <w:snapToGrid w:val="0"/>
        <w:spacing w:before="120" w:after="120" w:line="460" w:lineRule="exact"/>
        <w:jc w:val="center"/>
        <w:rPr>
          <w:rFonts w:hAnsi="宋体" w:cs="Angsana New"/>
          <w:lang w:bidi="th-TH"/>
        </w:rPr>
      </w:pPr>
      <w:r>
        <w:rPr>
          <w:rFonts w:hint="eastAsia" w:hAnsi="宋体"/>
          <w:b/>
          <w:szCs w:val="28"/>
        </w:rPr>
        <w:t>投标人的法定代表人身份证明书</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单位名称：</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单位性质：</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地址：</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成立时间：</w:t>
      </w:r>
      <w:r>
        <w:rPr>
          <w:rFonts w:hint="eastAsia" w:hAnsi="宋体" w:cs="Angsana New"/>
          <w:sz w:val="21"/>
          <w:szCs w:val="21"/>
          <w:u w:val="single"/>
          <w:lang w:bidi="th-TH"/>
        </w:rPr>
        <w:t xml:space="preserve">       年    月      日</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经营期限：</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姓名： 性别： 年龄： 职务：</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系</w:t>
      </w:r>
      <w:r>
        <w:rPr>
          <w:rFonts w:hint="eastAsia" w:hAnsi="宋体" w:cs="Angsana New"/>
          <w:sz w:val="21"/>
          <w:szCs w:val="21"/>
          <w:u w:val="single"/>
          <w:lang w:bidi="th-TH"/>
        </w:rPr>
        <w:t>（投标人）</w:t>
      </w:r>
      <w:r>
        <w:rPr>
          <w:rFonts w:hint="eastAsia" w:hAnsi="宋体" w:cs="Angsana New"/>
          <w:sz w:val="21"/>
          <w:szCs w:val="21"/>
          <w:lang w:bidi="th-TH"/>
        </w:rPr>
        <w:t>的法定代表人。</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特此证明。</w:t>
      </w:r>
    </w:p>
    <w:p>
      <w:pPr>
        <w:pStyle w:val="22"/>
        <w:snapToGrid w:val="0"/>
        <w:spacing w:before="120" w:after="120" w:line="460" w:lineRule="exact"/>
        <w:jc w:val="left"/>
        <w:rPr>
          <w:rFonts w:hAnsi="宋体" w:cs="Angsana New"/>
          <w:sz w:val="21"/>
          <w:szCs w:val="21"/>
          <w:lang w:bidi="th-TH"/>
        </w:rPr>
      </w:pPr>
      <w:bookmarkStart w:id="376" w:name="_top"/>
      <w:bookmarkEnd w:id="376"/>
      <w:r>
        <w:rPr>
          <w:rFonts w:hAnsi="宋体" w:cs="Angsana New"/>
          <w:sz w:val="21"/>
          <w:szCs w:val="21"/>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113030</wp:posOffset>
                </wp:positionV>
                <wp:extent cx="1943100" cy="1089660"/>
                <wp:effectExtent l="5080" t="4445" r="13970" b="10795"/>
                <wp:wrapNone/>
                <wp:docPr id="2" name="Rectangle 3"/>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4"/>
                              </w:rPr>
                            </w:pPr>
                          </w:p>
                          <w:p>
                            <w:pPr>
                              <w:jc w:val="center"/>
                              <w:rPr>
                                <w:rFonts w:ascii="宋体" w:hAnsi="宋体"/>
                                <w:sz w:val="21"/>
                                <w:szCs w:val="21"/>
                              </w:rPr>
                            </w:pPr>
                            <w:r>
                              <w:rPr>
                                <w:rFonts w:hint="eastAsia" w:ascii="宋体" w:hAnsi="宋体"/>
                                <w:sz w:val="21"/>
                                <w:szCs w:val="21"/>
                              </w:rPr>
                              <w:t>法定代表人身份证复印于此</w:t>
                            </w:r>
                          </w:p>
                        </w:txbxContent>
                      </wps:txbx>
                      <wps:bodyPr upright="1"/>
                    </wps:wsp>
                  </a:graphicData>
                </a:graphic>
              </wp:anchor>
            </w:drawing>
          </mc:Choice>
          <mc:Fallback>
            <w:pict>
              <v:rect id="Rectangle 3" o:spid="_x0000_s1026" o:spt="1" style="position:absolute;left:0pt;margin-left:1.55pt;margin-top:8.9pt;height:85.8pt;width:153pt;z-index:251660288;mso-width-relative:page;mso-height-relative:page;" fillcolor="#FFFFFF" filled="t" stroked="t" coordsize="21600,21600" o:gfxdata="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G5q/VAAAACAEAAA8AAAAAAAAAAQAgAAAAIgAAAGRycy9kb3ducmV2&#10;LnhtbFBLAQIUABQAAAAIAIdO4kBLaIb2/wEAADsEAAAOAAAAAAAAAAEAIAAAACQBAABkcnMvZTJv&#10;RG9jLnhtbFBLBQYAAAAABgAGAFkBAACVBQAAAAA=&#10;">
                <v:fill on="t" focussize="0,0"/>
                <v:stroke color="#000000" joinstyle="miter"/>
                <v:imagedata o:title=""/>
                <o:lock v:ext="edit" aspectratio="f"/>
                <v:textbox>
                  <w:txbxContent>
                    <w:p>
                      <w:pPr>
                        <w:jc w:val="center"/>
                        <w:rPr>
                          <w:rFonts w:ascii="宋体" w:hAnsi="宋体"/>
                          <w:sz w:val="24"/>
                        </w:rPr>
                      </w:pPr>
                    </w:p>
                    <w:p>
                      <w:pPr>
                        <w:jc w:val="center"/>
                        <w:rPr>
                          <w:rFonts w:ascii="宋体" w:hAnsi="宋体"/>
                          <w:sz w:val="21"/>
                          <w:szCs w:val="21"/>
                        </w:rPr>
                      </w:pPr>
                      <w:r>
                        <w:rPr>
                          <w:rFonts w:hint="eastAsia" w:ascii="宋体" w:hAnsi="宋体"/>
                          <w:sz w:val="21"/>
                          <w:szCs w:val="21"/>
                        </w:rPr>
                        <w:t>法定代表人身份证复印于此</w:t>
                      </w:r>
                    </w:p>
                  </w:txbxContent>
                </v:textbox>
              </v:rect>
            </w:pict>
          </mc:Fallback>
        </mc:AlternateContent>
      </w: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Ansi="宋体" w:cs="Angsana New"/>
          <w:sz w:val="21"/>
          <w:szCs w:val="21"/>
          <w:u w:val="single"/>
          <w:lang w:bidi="th-TH"/>
        </w:rPr>
      </w:pPr>
      <w:r>
        <w:rPr>
          <w:rFonts w:hint="eastAsia" w:hAnsi="宋体" w:cs="Angsana New"/>
          <w:sz w:val="21"/>
          <w:szCs w:val="21"/>
          <w:lang w:bidi="th-TH"/>
        </w:rPr>
        <w:t>投标人（盖章）：</w:t>
      </w:r>
    </w:p>
    <w:p>
      <w:pPr>
        <w:pStyle w:val="22"/>
        <w:snapToGrid w:val="0"/>
        <w:spacing w:before="120" w:after="120" w:line="460" w:lineRule="exact"/>
        <w:ind w:firstLine="4887" w:firstLineChars="2295"/>
        <w:jc w:val="left"/>
        <w:rPr>
          <w:rFonts w:hAnsi="宋体" w:cs="Angsana New"/>
          <w:sz w:val="24"/>
          <w:szCs w:val="24"/>
          <w:lang w:bidi="th-TH"/>
        </w:rPr>
      </w:pPr>
      <w:r>
        <w:rPr>
          <w:rFonts w:hint="eastAsia" w:hAnsi="宋体" w:cs="Angsana New"/>
          <w:sz w:val="21"/>
          <w:szCs w:val="21"/>
          <w:lang w:bidi="th-TH"/>
        </w:rPr>
        <w:t>日期：</w:t>
      </w:r>
      <w:r>
        <w:rPr>
          <w:rFonts w:hint="eastAsia" w:hAnsi="宋体" w:cs="Angsana New"/>
          <w:sz w:val="21"/>
          <w:szCs w:val="21"/>
          <w:u w:val="none"/>
          <w:lang w:bidi="th-TH"/>
        </w:rPr>
        <w:t xml:space="preserve">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年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月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日</w:t>
      </w:r>
      <w:r>
        <w:rPr>
          <w:rFonts w:hAnsi="宋体" w:cs="Angsana New"/>
          <w:sz w:val="21"/>
          <w:szCs w:val="21"/>
          <w:u w:val="none"/>
          <w:lang w:bidi="th-TH"/>
        </w:rPr>
        <w:br w:type="page"/>
      </w:r>
      <w:r>
        <w:rPr>
          <w:rFonts w:hint="eastAsia" w:hAnsi="宋体" w:cs="Angsana New"/>
          <w:sz w:val="24"/>
          <w:szCs w:val="24"/>
          <w:lang w:bidi="th-TH"/>
        </w:rPr>
        <w:t>格式二：</w:t>
      </w:r>
    </w:p>
    <w:p>
      <w:pPr>
        <w:pStyle w:val="22"/>
        <w:snapToGrid w:val="0"/>
        <w:spacing w:before="120" w:after="120" w:line="460" w:lineRule="exact"/>
        <w:jc w:val="center"/>
        <w:rPr>
          <w:rFonts w:hAnsi="宋体"/>
          <w:b/>
          <w:szCs w:val="28"/>
        </w:rPr>
      </w:pPr>
    </w:p>
    <w:p>
      <w:pPr>
        <w:pStyle w:val="22"/>
        <w:snapToGrid w:val="0"/>
        <w:spacing w:before="120" w:after="120" w:line="460" w:lineRule="exact"/>
        <w:jc w:val="center"/>
        <w:rPr>
          <w:rFonts w:hAnsi="宋体"/>
          <w:b/>
          <w:szCs w:val="28"/>
        </w:rPr>
      </w:pPr>
      <w:r>
        <w:rPr>
          <w:rFonts w:hint="eastAsia" w:hAnsi="宋体"/>
          <w:b/>
          <w:szCs w:val="28"/>
        </w:rPr>
        <w:t>投标人的法定代表人授权委托书</w:t>
      </w:r>
    </w:p>
    <w:p>
      <w:pPr>
        <w:pStyle w:val="22"/>
        <w:snapToGrid w:val="0"/>
        <w:spacing w:before="120" w:after="120" w:line="460" w:lineRule="exact"/>
        <w:ind w:firstLine="426" w:firstLineChars="200"/>
        <w:jc w:val="left"/>
        <w:rPr>
          <w:rFonts w:hAnsi="宋体" w:cs="Angsana New"/>
          <w:sz w:val="21"/>
          <w:szCs w:val="21"/>
          <w:lang w:bidi="th-TH"/>
        </w:rPr>
      </w:pPr>
      <w:r>
        <w:rPr>
          <w:rFonts w:hint="eastAsia" w:hAnsi="宋体" w:cs="Angsana New"/>
          <w:sz w:val="21"/>
          <w:szCs w:val="21"/>
          <w:lang w:bidi="th-TH"/>
        </w:rPr>
        <w:t>本授权委托书声明：我</w:t>
      </w:r>
      <w:r>
        <w:rPr>
          <w:rFonts w:hint="eastAsia" w:hAnsi="宋体" w:cs="Angsana New"/>
          <w:sz w:val="21"/>
          <w:szCs w:val="21"/>
          <w:u w:val="single"/>
          <w:lang w:bidi="th-TH"/>
        </w:rPr>
        <w:t>（姓名）</w:t>
      </w:r>
      <w:r>
        <w:rPr>
          <w:rFonts w:hint="eastAsia" w:hAnsi="宋体" w:cs="Angsana New"/>
          <w:sz w:val="21"/>
          <w:szCs w:val="21"/>
          <w:lang w:bidi="th-TH"/>
        </w:rPr>
        <w:t>系</w:t>
      </w:r>
      <w:r>
        <w:rPr>
          <w:rFonts w:hint="eastAsia" w:hAnsi="宋体" w:cs="Angsana New"/>
          <w:sz w:val="21"/>
          <w:szCs w:val="21"/>
          <w:u w:val="single"/>
          <w:lang w:bidi="th-TH"/>
        </w:rPr>
        <w:t>（投标人名称）</w:t>
      </w:r>
      <w:r>
        <w:rPr>
          <w:rFonts w:hint="eastAsia" w:hAnsi="宋体" w:cs="Angsana New"/>
          <w:sz w:val="21"/>
          <w:szCs w:val="21"/>
          <w:lang w:bidi="th-TH"/>
        </w:rPr>
        <w:t>的法定代表人，现授权委托</w:t>
      </w:r>
      <w:r>
        <w:rPr>
          <w:rFonts w:hint="eastAsia" w:hAnsi="宋体" w:cs="Angsana New"/>
          <w:sz w:val="21"/>
          <w:szCs w:val="21"/>
          <w:u w:val="single"/>
          <w:lang w:bidi="th-TH"/>
        </w:rPr>
        <w:t>（单位名称）</w:t>
      </w:r>
      <w:r>
        <w:rPr>
          <w:rFonts w:hint="eastAsia" w:hAnsi="宋体" w:cs="Angsana New"/>
          <w:sz w:val="21"/>
          <w:szCs w:val="21"/>
          <w:lang w:bidi="th-TH"/>
        </w:rPr>
        <w:t>的</w:t>
      </w:r>
      <w:r>
        <w:rPr>
          <w:rFonts w:hint="eastAsia" w:hAnsi="宋体" w:cs="Angsana New"/>
          <w:sz w:val="21"/>
          <w:szCs w:val="21"/>
          <w:u w:val="single"/>
          <w:lang w:bidi="th-TH"/>
        </w:rPr>
        <w:t>（姓名）</w:t>
      </w:r>
      <w:r>
        <w:rPr>
          <w:rFonts w:hint="eastAsia" w:hAnsi="宋体" w:cs="Angsana New"/>
          <w:sz w:val="21"/>
          <w:szCs w:val="21"/>
          <w:lang w:bidi="th-TH"/>
        </w:rPr>
        <w:t>为我公司的代理人，以本公司的名义参加（招标项目名称）的投标活动。代理人在开标、评标、合同谈判过程中所签署的一切文件和处理与之有关的一切事务，我均予以承认。</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代理人：   性别： 年龄：</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     部门： 职务：</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代理人无转委托权。特此委托。</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授权期限：</w:t>
      </w:r>
    </w:p>
    <w:p>
      <w:pPr>
        <w:pStyle w:val="22"/>
        <w:snapToGrid w:val="0"/>
        <w:spacing w:before="120" w:after="120" w:line="460" w:lineRule="exact"/>
        <w:jc w:val="left"/>
        <w:rPr>
          <w:rFonts w:hAnsi="宋体" w:cs="Angsana New"/>
          <w:sz w:val="21"/>
          <w:szCs w:val="21"/>
          <w:lang w:bidi="th-TH"/>
        </w:rPr>
      </w:pPr>
      <w:r>
        <w:rPr>
          <w:rFonts w:hAnsi="宋体" w:cs="Angsana New"/>
          <w:sz w:val="21"/>
          <w:szCs w:val="21"/>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22860</wp:posOffset>
                </wp:positionV>
                <wp:extent cx="1943100" cy="1089660"/>
                <wp:effectExtent l="5080" t="4445" r="13970" b="10795"/>
                <wp:wrapNone/>
                <wp:docPr id="1" name="Rectangle 2"/>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4"/>
                              </w:rPr>
                            </w:pPr>
                          </w:p>
                          <w:p>
                            <w:pPr>
                              <w:jc w:val="center"/>
                              <w:rPr>
                                <w:rFonts w:ascii="宋体" w:hAnsi="宋体"/>
                                <w:szCs w:val="21"/>
                              </w:rPr>
                            </w:pPr>
                            <w:r>
                              <w:rPr>
                                <w:rFonts w:hint="eastAsia" w:ascii="宋体" w:hAnsi="宋体"/>
                                <w:szCs w:val="21"/>
                              </w:rPr>
                              <w:t>法定代表人及授权委托人身份证复印于此</w:t>
                            </w:r>
                          </w:p>
                        </w:txbxContent>
                      </wps:txbx>
                      <wps:bodyPr upright="1"/>
                    </wps:wsp>
                  </a:graphicData>
                </a:graphic>
              </wp:anchor>
            </w:drawing>
          </mc:Choice>
          <mc:Fallback>
            <w:pict>
              <v:rect id="Rectangle 2" o:spid="_x0000_s1026" o:spt="1" style="position:absolute;left:0pt;margin-left:3.3pt;margin-top:1.8pt;height:85.8pt;width:153pt;z-index:251661312;mso-width-relative:page;mso-height-relative:page;" fillcolor="#FFFFFF" filled="t" stroked="t" coordsize="21600,21600" o:gfxdata="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vm5T9QAAAAHAQAADwAAAAAAAAABACAAAAAiAAAAZHJzL2Rvd25yZXYu&#10;eG1sUEsBAhQAFAAAAAgAh07iQKepWhX/AQAAOwQAAA4AAAAAAAAAAQAgAAAAIwEAAGRycy9lMm9E&#10;b2MueG1sUEsFBgAAAAAGAAYAWQEAAJQFAAAAAA==&#10;">
                <v:fill on="t" focussize="0,0"/>
                <v:stroke color="#000000" joinstyle="miter"/>
                <v:imagedata o:title=""/>
                <o:lock v:ext="edit" aspectratio="f"/>
                <v:textbox>
                  <w:txbxContent>
                    <w:p>
                      <w:pPr>
                        <w:jc w:val="center"/>
                        <w:rPr>
                          <w:rFonts w:ascii="宋体" w:hAnsi="宋体"/>
                          <w:sz w:val="24"/>
                        </w:rPr>
                      </w:pPr>
                    </w:p>
                    <w:p>
                      <w:pPr>
                        <w:jc w:val="center"/>
                        <w:rPr>
                          <w:rFonts w:ascii="宋体" w:hAnsi="宋体"/>
                          <w:szCs w:val="21"/>
                        </w:rPr>
                      </w:pPr>
                      <w:r>
                        <w:rPr>
                          <w:rFonts w:hint="eastAsia" w:ascii="宋体" w:hAnsi="宋体"/>
                          <w:szCs w:val="21"/>
                        </w:rPr>
                        <w:t>法定代表人及授权委托人身份证复印于此</w:t>
                      </w:r>
                    </w:p>
                  </w:txbxContent>
                </v:textbox>
              </v:rect>
            </w:pict>
          </mc:Fallback>
        </mc:AlternateContent>
      </w: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center"/>
        <w:rPr>
          <w:rFonts w:hAnsi="宋体" w:cs="Angsana New"/>
          <w:sz w:val="21"/>
          <w:szCs w:val="21"/>
          <w:u w:val="single"/>
          <w:lang w:bidi="th-TH"/>
        </w:rPr>
      </w:pPr>
      <w:r>
        <w:rPr>
          <w:rFonts w:hint="eastAsia" w:hAnsi="宋体" w:cs="Angsana New"/>
          <w:sz w:val="21"/>
          <w:szCs w:val="21"/>
          <w:lang w:val="en-US" w:eastAsia="zh-CN" w:bidi="th-TH"/>
        </w:rPr>
        <w:t xml:space="preserve">  </w:t>
      </w:r>
      <w:r>
        <w:rPr>
          <w:rFonts w:hint="eastAsia" w:hAnsi="宋体" w:cs="Angsana New"/>
          <w:sz w:val="21"/>
          <w:szCs w:val="21"/>
          <w:lang w:bidi="th-TH"/>
        </w:rPr>
        <w:t>投标人（盖章）：</w:t>
      </w:r>
    </w:p>
    <w:p>
      <w:pPr>
        <w:pStyle w:val="22"/>
        <w:snapToGrid w:val="0"/>
        <w:spacing w:before="120" w:after="120" w:line="460" w:lineRule="exact"/>
        <w:ind w:firstLine="3408" w:firstLineChars="1600"/>
        <w:jc w:val="left"/>
        <w:rPr>
          <w:rFonts w:hAnsi="宋体" w:cs="Angsana New"/>
          <w:sz w:val="21"/>
          <w:szCs w:val="21"/>
          <w:lang w:bidi="th-TH"/>
        </w:rPr>
      </w:pPr>
      <w:r>
        <w:rPr>
          <w:rFonts w:hint="eastAsia" w:hAnsi="宋体" w:cs="Angsana New"/>
          <w:sz w:val="21"/>
          <w:szCs w:val="21"/>
          <w:lang w:bidi="th-TH"/>
        </w:rPr>
        <w:t>法定代表人（签字或盖章）：</w:t>
      </w:r>
    </w:p>
    <w:p>
      <w:pPr>
        <w:pStyle w:val="22"/>
        <w:snapToGrid w:val="0"/>
        <w:spacing w:before="120" w:after="120" w:line="460" w:lineRule="exact"/>
        <w:ind w:firstLine="3408" w:firstLineChars="16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Angsana New"/>
          <w:sz w:val="21"/>
          <w:szCs w:val="21"/>
          <w:lang w:bidi="th-TH"/>
        </w:rPr>
        <w:t>年</w:t>
      </w:r>
      <w:r>
        <w:rPr>
          <w:rFonts w:hint="eastAsia" w:hAnsi="宋体" w:cs="Angsana New"/>
          <w:sz w:val="21"/>
          <w:szCs w:val="21"/>
          <w:lang w:val="en-US" w:eastAsia="zh-CN" w:bidi="th-TH"/>
        </w:rPr>
        <w:t xml:space="preserve">     </w:t>
      </w:r>
      <w:r>
        <w:rPr>
          <w:rFonts w:hint="eastAsia" w:hAnsi="宋体" w:cs="Angsana New"/>
          <w:sz w:val="21"/>
          <w:szCs w:val="21"/>
          <w:lang w:bidi="th-TH"/>
        </w:rPr>
        <w:t>月</w:t>
      </w:r>
      <w:r>
        <w:rPr>
          <w:rFonts w:hint="eastAsia" w:hAnsi="宋体" w:cs="Angsana New"/>
          <w:sz w:val="21"/>
          <w:szCs w:val="21"/>
          <w:lang w:val="en-US" w:eastAsia="zh-CN" w:bidi="th-TH"/>
        </w:rPr>
        <w:t xml:space="preserve">      </w:t>
      </w:r>
      <w:r>
        <w:rPr>
          <w:rFonts w:hint="eastAsia" w:hAnsi="宋体" w:cs="Angsana New"/>
          <w:sz w:val="21"/>
          <w:szCs w:val="21"/>
          <w:lang w:bidi="th-TH"/>
        </w:rPr>
        <w:t>日</w:t>
      </w:r>
    </w:p>
    <w:p>
      <w:pPr>
        <w:pStyle w:val="22"/>
        <w:snapToGrid w:val="0"/>
        <w:spacing w:before="120" w:after="120" w:line="460" w:lineRule="exact"/>
        <w:jc w:val="left"/>
        <w:rPr>
          <w:rFonts w:hAnsi="宋体" w:cs="Angsana New"/>
          <w:lang w:bidi="th-TH"/>
        </w:rPr>
      </w:pPr>
    </w:p>
    <w:p>
      <w:pPr>
        <w:pStyle w:val="22"/>
        <w:snapToGrid w:val="0"/>
        <w:spacing w:before="120" w:after="120" w:line="460" w:lineRule="exact"/>
        <w:rPr>
          <w:rFonts w:hAnsi="宋体" w:cs="Angsana New"/>
          <w:sz w:val="24"/>
          <w:szCs w:val="24"/>
          <w:lang w:bidi="th-TH"/>
        </w:rPr>
      </w:pPr>
      <w:r>
        <w:rPr>
          <w:rFonts w:hAnsi="宋体" w:cs="Angsana New"/>
          <w:lang w:bidi="th-TH"/>
        </w:rPr>
        <w:br w:type="page"/>
      </w:r>
      <w:r>
        <w:rPr>
          <w:rFonts w:hint="eastAsia" w:hAnsi="宋体" w:cs="Angsana New"/>
          <w:sz w:val="24"/>
          <w:szCs w:val="24"/>
          <w:lang w:bidi="th-TH"/>
        </w:rPr>
        <w:t>格式三：</w:t>
      </w:r>
    </w:p>
    <w:p>
      <w:pPr>
        <w:pStyle w:val="22"/>
        <w:snapToGrid w:val="0"/>
        <w:spacing w:line="480" w:lineRule="exact"/>
        <w:jc w:val="center"/>
        <w:rPr>
          <w:rFonts w:hAnsi="宋体"/>
          <w:b/>
          <w:szCs w:val="28"/>
        </w:rPr>
      </w:pPr>
      <w:r>
        <w:rPr>
          <w:rFonts w:hint="eastAsia" w:hAnsi="宋体"/>
          <w:b/>
          <w:szCs w:val="28"/>
        </w:rPr>
        <w:t>投标函</w:t>
      </w:r>
    </w:p>
    <w:p>
      <w:pPr>
        <w:pStyle w:val="22"/>
        <w:spacing w:line="400" w:lineRule="exact"/>
        <w:jc w:val="left"/>
        <w:rPr>
          <w:rFonts w:hAnsi="宋体" w:cs="Angsana New"/>
          <w:sz w:val="21"/>
          <w:szCs w:val="21"/>
          <w:lang w:bidi="th-TH"/>
        </w:rPr>
      </w:pPr>
      <w:r>
        <w:rPr>
          <w:rFonts w:hint="eastAsia" w:hAnsi="宋体" w:cs="Angsana New"/>
          <w:sz w:val="21"/>
          <w:szCs w:val="21"/>
          <w:u w:val="single"/>
          <w:lang w:bidi="th-TH"/>
        </w:rPr>
        <w:t>（招标人名称）</w:t>
      </w:r>
      <w:r>
        <w:rPr>
          <w:rFonts w:hint="eastAsia" w:hAnsi="宋体" w:cs="Angsana New"/>
          <w:sz w:val="21"/>
          <w:szCs w:val="21"/>
          <w:lang w:bidi="th-TH"/>
        </w:rPr>
        <w:t>：</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根据贵方为</w:t>
      </w:r>
      <w:r>
        <w:rPr>
          <w:rFonts w:hint="eastAsia" w:hAnsi="宋体" w:cs="Angsana New"/>
          <w:sz w:val="21"/>
          <w:szCs w:val="21"/>
          <w:u w:val="single"/>
          <w:lang w:bidi="th-TH"/>
        </w:rPr>
        <w:t>（项目名称）</w:t>
      </w:r>
      <w:r>
        <w:rPr>
          <w:rFonts w:hint="eastAsia" w:hAnsi="宋体" w:cs="Angsana New"/>
          <w:sz w:val="21"/>
          <w:szCs w:val="21"/>
          <w:lang w:bidi="th-TH"/>
        </w:rPr>
        <w:t>项目的招标文件</w:t>
      </w:r>
      <w:r>
        <w:rPr>
          <w:rFonts w:hint="eastAsia" w:hAnsi="宋体" w:cs="Angsana New"/>
          <w:sz w:val="21"/>
          <w:szCs w:val="21"/>
          <w:lang w:eastAsia="zh-CN" w:bidi="th-TH"/>
        </w:rPr>
        <w:t>，</w:t>
      </w:r>
      <w:r>
        <w:rPr>
          <w:rFonts w:hint="eastAsia" w:hAnsi="宋体" w:cs="Angsana New"/>
          <w:sz w:val="21"/>
          <w:szCs w:val="21"/>
          <w:lang w:bidi="th-TH"/>
        </w:rPr>
        <w:t>签字人</w:t>
      </w:r>
      <w:r>
        <w:rPr>
          <w:rFonts w:hint="eastAsia" w:hAnsi="宋体" w:cs="Angsana New"/>
          <w:sz w:val="21"/>
          <w:szCs w:val="21"/>
          <w:u w:val="single"/>
          <w:lang w:bidi="th-TH"/>
        </w:rPr>
        <w:t>（姓名、职务）</w:t>
      </w:r>
      <w:r>
        <w:rPr>
          <w:rFonts w:hint="eastAsia" w:hAnsi="宋体" w:cs="Angsana New"/>
          <w:sz w:val="21"/>
          <w:szCs w:val="21"/>
          <w:lang w:bidi="th-TH"/>
        </w:rPr>
        <w:t>经正式授权并代表投标人</w:t>
      </w:r>
      <w:r>
        <w:rPr>
          <w:rFonts w:hint="eastAsia" w:hAnsi="宋体" w:cs="Angsana New"/>
          <w:sz w:val="21"/>
          <w:szCs w:val="21"/>
          <w:u w:val="single"/>
          <w:lang w:bidi="th-TH"/>
        </w:rPr>
        <w:t>（投标人名称、地址）</w:t>
      </w:r>
      <w:r>
        <w:rPr>
          <w:rFonts w:hint="eastAsia" w:hAnsi="宋体" w:cs="Angsana New"/>
          <w:sz w:val="21"/>
          <w:szCs w:val="21"/>
          <w:lang w:bidi="th-TH"/>
        </w:rPr>
        <w:t>提交投标文件；</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据此函，签字代表宣布同意如下：</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1.我方已仔细研究了</w:t>
      </w:r>
      <w:r>
        <w:rPr>
          <w:rFonts w:hint="eastAsia" w:hAnsi="宋体" w:cs="Angsana New"/>
          <w:sz w:val="21"/>
          <w:szCs w:val="21"/>
          <w:u w:val="single"/>
          <w:lang w:bidi="th-TH"/>
        </w:rPr>
        <w:t xml:space="preserve">         </w:t>
      </w:r>
      <w:r>
        <w:rPr>
          <w:rFonts w:hint="eastAsia" w:hAnsi="宋体" w:cs="Angsana New"/>
          <w:sz w:val="21"/>
          <w:szCs w:val="21"/>
          <w:u w:val="single"/>
          <w:lang w:val="en-US" w:eastAsia="zh-CN" w:bidi="th-TH"/>
        </w:rPr>
        <w:t xml:space="preserve"> </w:t>
      </w:r>
      <w:r>
        <w:rPr>
          <w:rFonts w:hint="eastAsia" w:hAnsi="宋体" w:cs="Angsana New"/>
          <w:sz w:val="21"/>
          <w:szCs w:val="21"/>
          <w:u w:val="single"/>
          <w:lang w:bidi="th-TH"/>
        </w:rPr>
        <w:t xml:space="preserve">      （项目名称）</w:t>
      </w:r>
      <w:r>
        <w:rPr>
          <w:rFonts w:hint="eastAsia" w:hAnsi="宋体" w:cs="Angsana New"/>
          <w:sz w:val="21"/>
          <w:szCs w:val="21"/>
          <w:u w:val="single"/>
          <w:lang w:val="en-US" w:eastAsia="zh-CN" w:bidi="th-TH"/>
        </w:rPr>
        <w:t xml:space="preserve">    （标段名称）</w:t>
      </w:r>
      <w:r>
        <w:rPr>
          <w:rFonts w:hint="eastAsia" w:hAnsi="宋体" w:cs="Angsana New"/>
          <w:sz w:val="21"/>
          <w:szCs w:val="21"/>
          <w:lang w:bidi="th-TH"/>
        </w:rPr>
        <w:t>招标文件的全部内容，愿意以</w:t>
      </w:r>
      <w:r>
        <w:rPr>
          <w:rFonts w:hint="eastAsia" w:hAnsi="宋体" w:cs="Angsana New"/>
          <w:sz w:val="21"/>
          <w:szCs w:val="21"/>
          <w:lang w:val="en-US" w:eastAsia="zh-CN" w:bidi="th-TH"/>
        </w:rPr>
        <w:t>投标报价表中</w:t>
      </w:r>
      <w:r>
        <w:rPr>
          <w:rFonts w:hint="eastAsia" w:hAnsi="宋体" w:cs="Angsana New"/>
          <w:sz w:val="21"/>
          <w:szCs w:val="21"/>
          <w:lang w:bidi="th-TH"/>
        </w:rPr>
        <w:t>的投标报价，向买方提供所需货物与服务</w:t>
      </w:r>
      <w:r>
        <w:rPr>
          <w:rFonts w:hint="eastAsia" w:hAnsi="宋体" w:cs="Angsana New"/>
          <w:sz w:val="21"/>
          <w:szCs w:val="21"/>
          <w:u w:val="none"/>
          <w:lang w:bidi="th-TH"/>
        </w:rPr>
        <w:t>。</w:t>
      </w:r>
      <w:r>
        <w:rPr>
          <w:rFonts w:hint="eastAsia" w:hAnsi="宋体" w:cs="Angsana New"/>
          <w:sz w:val="21"/>
          <w:szCs w:val="21"/>
          <w:lang w:bidi="th-TH"/>
        </w:rPr>
        <w:t>并将按招标文件的规定履行合同责任和义务，实现招标目的。</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2.我方已详细审查全部招标文件，包括有关澄清和补充说明（如果有的话）。我们完全理解并同意放弃对这方面有不明及误解的权力。</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3.本投标文件有效期为自开标日起</w:t>
      </w:r>
      <w:r>
        <w:rPr>
          <w:rFonts w:hint="eastAsia" w:hAnsi="宋体" w:cs="Angsana New"/>
          <w:sz w:val="21"/>
          <w:szCs w:val="21"/>
          <w:u w:val="single"/>
          <w:lang w:val="en-US" w:eastAsia="zh-CN" w:bidi="th-TH"/>
        </w:rPr>
        <w:t xml:space="preserve"> 60 </w:t>
      </w:r>
      <w:r>
        <w:rPr>
          <w:rFonts w:hint="eastAsia" w:hAnsi="宋体" w:cs="Angsana New"/>
          <w:sz w:val="21"/>
          <w:szCs w:val="21"/>
          <w:lang w:bidi="th-TH"/>
        </w:rPr>
        <w:t>个日历天。在这期间，本投标文件将始终对我方具有约束力，并可随时被接受。本次招标文件和本投标文件（含承诺书）将作为买卖合同的附件。</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4.我方愿意向招标人提供与本次招标的相关资料，并对其真实性、合法性、有效性负责。</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5.我方将严格履行本投标文件中的全部承诺和责任，并遵守招标文件中对投标人的所有规定。</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6.我方完全理解招标人有保留在授标之前任何时候根据评标委员会的意见接受或拒绝任何投标的权力，并完全理解招标人对此无解释的义务。</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7.我方完全理解招标人不一定接受投标价最低的投标。</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8.我方承诺在此次招标过程中涉及的一切应当保密的事项，不向任何第三方泄露，否则承担一切法律责任。</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9.如果我方中标，我们将按招标人要求的时间节点进行交接和运营管理，严格按照招标文件的规定履行合同责任和义务。</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10.如果我方中标，为执行合同，我们将按照招标文件约定要求，接受招标人及其他主管部门的管理、考核等。</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11.与本次投标有关的一切往来信函请寄：</w:t>
      </w:r>
    </w:p>
    <w:p>
      <w:pPr>
        <w:pStyle w:val="22"/>
        <w:spacing w:line="400" w:lineRule="exact"/>
        <w:ind w:firstLine="426" w:firstLineChars="200"/>
        <w:jc w:val="left"/>
        <w:rPr>
          <w:rFonts w:hAnsi="宋体" w:cs="Angsana New"/>
          <w:sz w:val="21"/>
          <w:szCs w:val="21"/>
          <w:u w:val="single"/>
          <w:lang w:bidi="th-TH"/>
        </w:rPr>
      </w:pPr>
      <w:r>
        <w:rPr>
          <w:rFonts w:hint="eastAsia" w:hAnsi="宋体" w:cs="Angsana New"/>
          <w:sz w:val="21"/>
          <w:szCs w:val="21"/>
          <w:lang w:bidi="th-TH"/>
        </w:rPr>
        <w:t xml:space="preserve">地址：    </w:t>
      </w:r>
      <w:r>
        <w:rPr>
          <w:rFonts w:hint="eastAsia" w:hAnsi="宋体" w:cs="Angsana New"/>
          <w:sz w:val="21"/>
          <w:szCs w:val="21"/>
          <w:lang w:val="en-US" w:eastAsia="zh-CN" w:bidi="th-TH"/>
        </w:rPr>
        <w:t xml:space="preserve">        </w:t>
      </w:r>
      <w:r>
        <w:rPr>
          <w:rFonts w:hint="eastAsia" w:hAnsi="宋体" w:cs="Angsana New"/>
          <w:sz w:val="21"/>
          <w:szCs w:val="21"/>
          <w:lang w:bidi="th-TH"/>
        </w:rPr>
        <w:t xml:space="preserve">电话：  </w:t>
      </w:r>
      <w:r>
        <w:rPr>
          <w:rFonts w:hint="eastAsia" w:hAnsi="宋体" w:cs="Angsana New"/>
          <w:sz w:val="21"/>
          <w:szCs w:val="21"/>
          <w:lang w:val="en-US" w:eastAsia="zh-CN" w:bidi="th-TH"/>
        </w:rPr>
        <w:t xml:space="preserve">            </w:t>
      </w:r>
      <w:r>
        <w:rPr>
          <w:rFonts w:hint="eastAsia" w:hAnsi="宋体" w:cs="Angsana New"/>
          <w:sz w:val="21"/>
          <w:szCs w:val="21"/>
          <w:lang w:bidi="th-TH"/>
        </w:rPr>
        <w:t xml:space="preserve">  电子邮件：</w:t>
      </w:r>
    </w:p>
    <w:p>
      <w:pPr>
        <w:pStyle w:val="22"/>
        <w:spacing w:line="400" w:lineRule="exact"/>
        <w:ind w:firstLine="426" w:firstLineChars="200"/>
        <w:jc w:val="left"/>
        <w:rPr>
          <w:rFonts w:hAnsi="宋体" w:cs="Angsana New"/>
          <w:sz w:val="21"/>
          <w:szCs w:val="21"/>
          <w:u w:val="single"/>
          <w:lang w:bidi="th-TH"/>
        </w:rPr>
      </w:pPr>
    </w:p>
    <w:p>
      <w:pPr>
        <w:pStyle w:val="22"/>
        <w:spacing w:line="40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投标人（盖章）：</w:t>
      </w:r>
    </w:p>
    <w:p>
      <w:pPr>
        <w:pStyle w:val="22"/>
        <w:spacing w:line="400" w:lineRule="exact"/>
        <w:ind w:firstLine="4047" w:firstLineChars="1900"/>
        <w:jc w:val="left"/>
        <w:rPr>
          <w:rFonts w:hAnsi="宋体" w:cs="Angsana New"/>
          <w:sz w:val="21"/>
          <w:szCs w:val="21"/>
          <w:lang w:bidi="th-TH"/>
        </w:rPr>
      </w:pPr>
      <w:r>
        <w:rPr>
          <w:rFonts w:hint="eastAsia" w:hAnsi="宋体" w:cs="Angsana New"/>
          <w:sz w:val="21"/>
          <w:szCs w:val="21"/>
          <w:lang w:bidi="th-TH"/>
        </w:rPr>
        <w:t>法定代表人或授权委托人（签字或盖章）：</w:t>
      </w:r>
    </w:p>
    <w:p>
      <w:pPr>
        <w:pStyle w:val="22"/>
        <w:snapToGrid w:val="0"/>
        <w:spacing w:before="120" w:after="120" w:line="28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FangSong_GB2312-Identity-H"/>
          <w:kern w:val="0"/>
          <w:sz w:val="21"/>
          <w:szCs w:val="21"/>
        </w:rPr>
        <w:t>年</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月</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日</w:t>
      </w:r>
    </w:p>
    <w:p>
      <w:pPr>
        <w:pStyle w:val="12"/>
        <w:spacing w:line="480" w:lineRule="auto"/>
        <w:rPr>
          <w:rFonts w:hint="eastAsia" w:hAnsi="宋体" w:cs="Angsana New"/>
          <w:sz w:val="24"/>
          <w:szCs w:val="24"/>
          <w:lang w:bidi="th-TH"/>
        </w:rPr>
      </w:pPr>
      <w:r>
        <w:rPr>
          <w:rFonts w:hint="eastAsia" w:hAnsi="宋体" w:cs="Angsana New"/>
          <w:sz w:val="24"/>
          <w:szCs w:val="24"/>
          <w:lang w:bidi="th-TH"/>
        </w:rPr>
        <w:br w:type="page"/>
      </w:r>
      <w:bookmarkEnd w:id="374"/>
      <w:bookmarkEnd w:id="375"/>
    </w:p>
    <w:p>
      <w:pPr>
        <w:pStyle w:val="22"/>
        <w:snapToGrid w:val="0"/>
        <w:spacing w:line="480" w:lineRule="exact"/>
        <w:jc w:val="center"/>
        <w:rPr>
          <w:rFonts w:hint="eastAsia" w:hAnsi="宋体"/>
          <w:b/>
          <w:szCs w:val="28"/>
        </w:rPr>
      </w:pPr>
      <w:r>
        <w:rPr>
          <w:rFonts w:hint="eastAsia" w:hAnsi="宋体"/>
          <w:b/>
          <w:szCs w:val="28"/>
        </w:rPr>
        <w:t>投标报价表</w:t>
      </w:r>
    </w:p>
    <w:p>
      <w:pPr>
        <w:pStyle w:val="12"/>
        <w:spacing w:line="480" w:lineRule="auto"/>
        <w:ind w:left="0" w:leftChars="0" w:firstLine="0" w:firstLineChars="0"/>
        <w:rPr>
          <w:rFonts w:hint="eastAsia" w:ascii="宋体" w:hAnsi="宋体"/>
          <w:b w:val="0"/>
          <w:bCs/>
        </w:rPr>
      </w:pPr>
    </w:p>
    <w:p>
      <w:pPr>
        <w:pStyle w:val="12"/>
        <w:spacing w:line="480" w:lineRule="auto"/>
        <w:ind w:left="0" w:leftChars="0" w:firstLine="0" w:firstLineChars="0"/>
        <w:rPr>
          <w:rFonts w:hint="eastAsia" w:ascii="宋体" w:hAnsi="宋体"/>
          <w:b w:val="0"/>
          <w:bCs/>
        </w:rPr>
      </w:pPr>
      <w:r>
        <w:rPr>
          <w:rFonts w:hint="eastAsia" w:ascii="宋体" w:hAnsi="宋体"/>
          <w:b w:val="0"/>
          <w:bCs/>
        </w:rPr>
        <w:t xml:space="preserve">投标人全称：               </w:t>
      </w:r>
    </w:p>
    <w:p>
      <w:pPr>
        <w:pStyle w:val="12"/>
        <w:spacing w:line="480" w:lineRule="auto"/>
        <w:ind w:left="0" w:leftChars="0" w:firstLine="0" w:firstLineChars="0"/>
        <w:rPr>
          <w:rFonts w:ascii="宋体" w:hAnsi="宋体"/>
          <w:b w:val="0"/>
          <w:bCs/>
        </w:rPr>
      </w:pPr>
      <w:r>
        <w:rPr>
          <w:rFonts w:hint="eastAsia" w:ascii="宋体" w:hAnsi="宋体"/>
          <w:b w:val="0"/>
          <w:bCs/>
          <w:lang w:val="en-US" w:eastAsia="zh-CN"/>
        </w:rPr>
        <w:t>项目名称</w:t>
      </w:r>
      <w:r>
        <w:rPr>
          <w:rFonts w:hint="eastAsia" w:ascii="宋体" w:hAnsi="宋体"/>
          <w:b w:val="0"/>
          <w:bCs/>
        </w:rPr>
        <w:t>：</w:t>
      </w:r>
    </w:p>
    <w:tbl>
      <w:tblPr>
        <w:tblStyle w:val="44"/>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04"/>
        <w:gridCol w:w="1643"/>
        <w:gridCol w:w="1074"/>
        <w:gridCol w:w="1417"/>
        <w:gridCol w:w="146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lang w:val="en-US" w:eastAsia="zh-CN"/>
              </w:rPr>
            </w:pPr>
            <w:r>
              <w:rPr>
                <w:rFonts w:hint="eastAsia" w:ascii="宋体" w:hAnsi="宋体"/>
                <w:lang w:val="en-US" w:eastAsia="zh-CN"/>
              </w:rPr>
              <w:t>标段编号</w:t>
            </w:r>
          </w:p>
        </w:tc>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产品名称</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总养分含量（%）</w:t>
            </w:r>
          </w:p>
        </w:tc>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rPr>
            </w:pPr>
            <w:r>
              <w:rPr>
                <w:rFonts w:hint="eastAsia" w:ascii="宋体" w:hAnsi="宋体"/>
              </w:rPr>
              <w:t>供应数量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（吨）</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单价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（元/吨</w:t>
            </w:r>
            <w:r>
              <w:rPr>
                <w:rFonts w:hint="eastAsia" w:ascii="宋体" w:hAnsi="宋体"/>
                <w:lang w:val="en-US" w:eastAsia="zh-CN"/>
              </w:rPr>
              <w:t>或桶或瓶</w:t>
            </w:r>
            <w:r>
              <w:rPr>
                <w:rFonts w:hint="eastAsia" w:ascii="宋体" w:hAnsi="宋体"/>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lang w:val="en-US" w:eastAsia="zh-CN"/>
              </w:rPr>
            </w:pPr>
            <w:r>
              <w:rPr>
                <w:rFonts w:hint="eastAsia" w:ascii="宋体" w:hAnsi="宋体"/>
                <w:lang w:val="en-US" w:eastAsia="zh-CN"/>
              </w:rPr>
              <w:t>总价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（元）</w:t>
            </w:r>
          </w:p>
        </w:tc>
        <w:tc>
          <w:tcPr>
            <w:tcW w:w="8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lang w:val="en-US" w:eastAsia="zh-CN"/>
              </w:rPr>
            </w:pPr>
            <w:r>
              <w:rPr>
                <w:rFonts w:hint="eastAsia" w:ascii="宋体" w:hAnsi="宋体"/>
                <w:lang w:val="en-US" w:eastAsia="zh-CN"/>
              </w:rPr>
              <w:t>品牌/厂商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1</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2</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3</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bl>
    <w:p>
      <w:pPr>
        <w:pStyle w:val="24"/>
        <w:spacing w:line="480" w:lineRule="auto"/>
        <w:ind w:left="0" w:leftChars="0" w:firstLine="0" w:firstLineChars="0"/>
        <w:rPr>
          <w:rFonts w:ascii="宋体" w:hAnsi="宋体"/>
        </w:rPr>
      </w:pPr>
      <w:r>
        <w:rPr>
          <w:rFonts w:hint="eastAsia" w:ascii="宋体" w:hAnsi="宋体"/>
          <w:szCs w:val="21"/>
        </w:rPr>
        <w:t>（所填内容必须和开标一览表一致）</w:t>
      </w:r>
    </w:p>
    <w:p>
      <w:pPr>
        <w:spacing w:line="480" w:lineRule="auto"/>
        <w:ind w:left="5325" w:leftChars="100" w:hanging="5112" w:hangingChars="2400"/>
        <w:rPr>
          <w:rFonts w:ascii="宋体" w:hAnsi="宋体"/>
        </w:rPr>
      </w:pPr>
      <w:r>
        <w:rPr>
          <w:rFonts w:hint="eastAsia" w:ascii="宋体" w:hAnsi="宋体"/>
        </w:rPr>
        <w:t>注：1、单价含财政补贴。</w:t>
      </w:r>
    </w:p>
    <w:p>
      <w:pPr>
        <w:spacing w:line="480" w:lineRule="auto"/>
        <w:ind w:left="5325" w:leftChars="300" w:hanging="4686" w:hangingChars="2200"/>
        <w:rPr>
          <w:rFonts w:ascii="宋体" w:hAnsi="宋体"/>
        </w:rPr>
      </w:pPr>
      <w:r>
        <w:rPr>
          <w:rFonts w:hint="eastAsia" w:ascii="宋体" w:hAnsi="宋体"/>
        </w:rPr>
        <w:t xml:space="preserve">2、根据需要自行增减行。     </w:t>
      </w:r>
    </w:p>
    <w:p>
      <w:pPr>
        <w:spacing w:line="480" w:lineRule="auto"/>
        <w:jc w:val="left"/>
        <w:rPr>
          <w:rFonts w:ascii="宋体" w:hAnsi="宋体"/>
        </w:rPr>
      </w:pPr>
    </w:p>
    <w:p>
      <w:pPr>
        <w:pStyle w:val="22"/>
        <w:spacing w:line="40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投标人（盖章）：</w:t>
      </w:r>
    </w:p>
    <w:p>
      <w:pPr>
        <w:pStyle w:val="22"/>
        <w:spacing w:line="400" w:lineRule="exact"/>
        <w:ind w:firstLine="4047" w:firstLineChars="1900"/>
        <w:jc w:val="left"/>
        <w:rPr>
          <w:rFonts w:hAnsi="宋体" w:cs="Angsana New"/>
          <w:sz w:val="21"/>
          <w:szCs w:val="21"/>
          <w:lang w:bidi="th-TH"/>
        </w:rPr>
      </w:pPr>
      <w:r>
        <w:rPr>
          <w:rFonts w:hint="eastAsia" w:hAnsi="宋体" w:cs="Angsana New"/>
          <w:sz w:val="21"/>
          <w:szCs w:val="21"/>
          <w:lang w:bidi="th-TH"/>
        </w:rPr>
        <w:t>法定代表人或授权委托人（签字或盖章）：</w:t>
      </w:r>
    </w:p>
    <w:p>
      <w:pPr>
        <w:pStyle w:val="22"/>
        <w:snapToGrid w:val="0"/>
        <w:spacing w:before="120" w:after="120" w:line="28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FangSong_GB2312-Identity-H"/>
          <w:kern w:val="0"/>
          <w:sz w:val="21"/>
          <w:szCs w:val="21"/>
        </w:rPr>
        <w:t>年</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月</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日</w:t>
      </w:r>
    </w:p>
    <w:p>
      <w:pPr>
        <w:rPr>
          <w:rFonts w:hint="eastAsia" w:hAnsi="宋体" w:cs="Angsana New"/>
          <w:sz w:val="24"/>
          <w:szCs w:val="24"/>
          <w:lang w:bidi="th-TH"/>
        </w:rPr>
      </w:pPr>
    </w:p>
    <w:p>
      <w:pPr>
        <w:rPr>
          <w:rFonts w:hint="eastAsia" w:hAnsi="宋体" w:cs="Angsana New"/>
          <w:sz w:val="24"/>
          <w:szCs w:val="24"/>
          <w:lang w:bidi="th-TH"/>
        </w:rPr>
      </w:pPr>
      <w:r>
        <w:rPr>
          <w:rFonts w:hint="eastAsia" w:hAnsi="宋体" w:cs="Angsana New"/>
          <w:sz w:val="24"/>
          <w:szCs w:val="24"/>
          <w:lang w:bidi="th-TH"/>
        </w:rPr>
        <w:br w:type="page"/>
      </w:r>
    </w:p>
    <w:p>
      <w:pPr>
        <w:pStyle w:val="22"/>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格式四：</w:t>
      </w:r>
    </w:p>
    <w:p>
      <w:pPr>
        <w:autoSpaceDE w:val="0"/>
        <w:autoSpaceDN w:val="0"/>
        <w:adjustRightInd w:val="0"/>
        <w:spacing w:line="700" w:lineRule="exact"/>
        <w:jc w:val="center"/>
        <w:rPr>
          <w:rFonts w:ascii="宋体" w:hAnsi="宋体" w:cs="FangSong_GB2312-Identity-H"/>
          <w:b/>
          <w:bCs/>
          <w:kern w:val="0"/>
          <w:sz w:val="36"/>
          <w:szCs w:val="36"/>
        </w:rPr>
      </w:pPr>
      <w:r>
        <w:rPr>
          <w:rFonts w:hint="eastAsia" w:ascii="宋体" w:hAnsi="宋体" w:cs="FangSong_GB2312-Identity-H"/>
          <w:b/>
          <w:bCs/>
          <w:kern w:val="0"/>
          <w:sz w:val="36"/>
          <w:szCs w:val="36"/>
        </w:rPr>
        <w:t>商务条款偏离表</w:t>
      </w:r>
    </w:p>
    <w:p>
      <w:pPr>
        <w:autoSpaceDE w:val="0"/>
        <w:autoSpaceDN w:val="0"/>
        <w:adjustRightInd w:val="0"/>
        <w:spacing w:line="700" w:lineRule="exact"/>
        <w:rPr>
          <w:rFonts w:ascii="宋体" w:hAnsi="宋体" w:cs="FangSong_GB2312-Identity-H"/>
          <w:kern w:val="0"/>
          <w:sz w:val="21"/>
          <w:szCs w:val="21"/>
        </w:rPr>
      </w:pPr>
      <w:r>
        <w:rPr>
          <w:rFonts w:hint="eastAsia" w:ascii="宋体" w:hAnsi="宋体" w:cs="FangSong_GB2312-Identity-H"/>
          <w:kern w:val="0"/>
          <w:sz w:val="21"/>
          <w:szCs w:val="21"/>
        </w:rPr>
        <w:t xml:space="preserve">项目名称：                                </w:t>
      </w:r>
    </w:p>
    <w:tbl>
      <w:tblPr>
        <w:tblStyle w:val="44"/>
        <w:tblW w:w="5076" w:type="pct"/>
        <w:tblInd w:w="-1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34"/>
        <w:gridCol w:w="2946"/>
        <w:gridCol w:w="1569"/>
        <w:gridCol w:w="3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项目</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是否响应</w:t>
            </w: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质保期</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4"/>
                <w:szCs w:val="20"/>
                <w:lang w:val="en-US" w:eastAsia="zh-CN"/>
              </w:rPr>
            </w:pPr>
            <w:r>
              <w:rPr>
                <w:rFonts w:hint="eastAsia" w:ascii="宋体" w:hAnsi="宋体"/>
                <w:sz w:val="24"/>
                <w:szCs w:val="20"/>
                <w:lang w:val="en-US" w:eastAsia="zh-CN"/>
              </w:rPr>
              <w:t>1年</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售后技术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服务要求</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有产品使用说明书</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项目完成时间</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交货方式</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交货地点</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付款方式</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投标货币</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人民币</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备品备件及耗材等要求</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由于原料质量、发酵质量、养分含量、造粒质量，包装质量以及在贮运产品过程中产生的各种质量问题必须无条件更换或退货。</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其  他</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无</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bl>
    <w:p>
      <w:pPr>
        <w:autoSpaceDE w:val="0"/>
        <w:autoSpaceDN w:val="0"/>
        <w:adjustRightInd w:val="0"/>
        <w:spacing w:line="700" w:lineRule="exact"/>
        <w:rPr>
          <w:rFonts w:ascii="宋体" w:hAnsi="宋体" w:cs="FangSong_GB2312-Identity-H"/>
          <w:bCs/>
          <w:kern w:val="0"/>
          <w:sz w:val="21"/>
          <w:szCs w:val="21"/>
        </w:rPr>
      </w:pPr>
      <w:r>
        <w:rPr>
          <w:rFonts w:hint="eastAsia" w:ascii="宋体" w:hAnsi="宋体" w:cs="FangSong_GB2312-Identity-H"/>
          <w:kern w:val="0"/>
          <w:sz w:val="21"/>
          <w:szCs w:val="21"/>
        </w:rPr>
        <w:t>我方承诺：除上表中的偏离外，完全响应招标文件的其他条款。</w:t>
      </w:r>
    </w:p>
    <w:p>
      <w:pPr>
        <w:autoSpaceDE w:val="0"/>
        <w:autoSpaceDN w:val="0"/>
        <w:adjustRightInd w:val="0"/>
        <w:spacing w:line="500" w:lineRule="exact"/>
        <w:jc w:val="left"/>
        <w:rPr>
          <w:rFonts w:ascii="宋体" w:hAnsi="宋体" w:cs="FangSong_GB2312-Identity-H"/>
          <w:kern w:val="0"/>
          <w:sz w:val="21"/>
          <w:szCs w:val="21"/>
        </w:rPr>
      </w:pPr>
    </w:p>
    <w:p>
      <w:pPr>
        <w:autoSpaceDE w:val="0"/>
        <w:autoSpaceDN w:val="0"/>
        <w:adjustRightInd w:val="0"/>
        <w:spacing w:line="500" w:lineRule="exact"/>
        <w:ind w:firstLine="3834" w:firstLineChars="1800"/>
        <w:jc w:val="left"/>
        <w:rPr>
          <w:rFonts w:ascii="宋体" w:hAnsi="宋体" w:cs="FangSong_GB2312-Identity-H"/>
          <w:kern w:val="0"/>
          <w:sz w:val="21"/>
          <w:szCs w:val="21"/>
          <w:u w:val="single"/>
        </w:rPr>
      </w:pPr>
      <w:r>
        <w:rPr>
          <w:rFonts w:hint="eastAsia" w:ascii="宋体" w:hAnsi="宋体" w:cs="FangSong_GB2312-Identity-H"/>
          <w:kern w:val="0"/>
          <w:sz w:val="21"/>
          <w:szCs w:val="21"/>
        </w:rPr>
        <w:t>投标人</w:t>
      </w:r>
      <w:r>
        <w:rPr>
          <w:rFonts w:ascii="宋体" w:hAnsi="宋体" w:cs="FangSong_GB2312-Identity-H"/>
          <w:kern w:val="0"/>
          <w:sz w:val="21"/>
          <w:szCs w:val="21"/>
        </w:rPr>
        <w:t>(</w:t>
      </w:r>
      <w:r>
        <w:rPr>
          <w:rFonts w:hint="eastAsia" w:ascii="宋体" w:hAnsi="宋体" w:cs="FangSong_GB2312-Identity-H"/>
          <w:kern w:val="0"/>
          <w:sz w:val="21"/>
          <w:szCs w:val="21"/>
        </w:rPr>
        <w:t>公章</w:t>
      </w:r>
      <w:r>
        <w:rPr>
          <w:rFonts w:ascii="宋体" w:hAnsi="宋体" w:cs="FangSong_GB2312-Identity-H"/>
          <w:kern w:val="0"/>
          <w:sz w:val="21"/>
          <w:szCs w:val="21"/>
        </w:rPr>
        <w:t xml:space="preserve">) </w:t>
      </w:r>
      <w:r>
        <w:rPr>
          <w:rFonts w:hint="eastAsia" w:ascii="宋体" w:hAnsi="宋体" w:cs="FangSong_GB2312-Identity-H"/>
          <w:kern w:val="0"/>
          <w:sz w:val="21"/>
          <w:szCs w:val="21"/>
        </w:rPr>
        <w:t>：</w:t>
      </w:r>
    </w:p>
    <w:p>
      <w:pPr>
        <w:autoSpaceDE w:val="0"/>
        <w:autoSpaceDN w:val="0"/>
        <w:adjustRightInd w:val="0"/>
        <w:spacing w:line="500" w:lineRule="exact"/>
        <w:ind w:firstLine="3834" w:firstLineChars="1800"/>
        <w:jc w:val="left"/>
        <w:rPr>
          <w:rFonts w:ascii="宋体" w:hAnsi="宋体" w:cs="FangSong_GB2312-Identity-H"/>
          <w:kern w:val="0"/>
          <w:sz w:val="21"/>
          <w:szCs w:val="21"/>
          <w:u w:val="single"/>
        </w:rPr>
      </w:pPr>
      <w:r>
        <w:rPr>
          <w:rFonts w:hint="eastAsia" w:ascii="宋体" w:hAnsi="宋体" w:cs="FangSong_GB2312-Identity-H"/>
          <w:kern w:val="0"/>
          <w:sz w:val="21"/>
          <w:szCs w:val="21"/>
        </w:rPr>
        <w:t>法定代表人或授权委托人（签字或盖章）：</w:t>
      </w:r>
    </w:p>
    <w:p>
      <w:pPr>
        <w:autoSpaceDE w:val="0"/>
        <w:autoSpaceDN w:val="0"/>
        <w:adjustRightInd w:val="0"/>
        <w:spacing w:line="500" w:lineRule="exact"/>
        <w:ind w:firstLine="3834" w:firstLineChars="1800"/>
        <w:jc w:val="left"/>
        <w:rPr>
          <w:rFonts w:ascii="宋体" w:hAnsi="宋体" w:cs="FangSong_GB2312-Identity-H"/>
          <w:kern w:val="0"/>
          <w:sz w:val="21"/>
          <w:szCs w:val="21"/>
        </w:rPr>
      </w:pPr>
      <w:r>
        <w:rPr>
          <w:rFonts w:hint="eastAsia" w:ascii="宋体" w:hAnsi="宋体" w:cs="FangSong_GB2312-Identity-H"/>
          <w:kern w:val="0"/>
          <w:sz w:val="21"/>
          <w:szCs w:val="21"/>
        </w:rPr>
        <w:t>日期：</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年</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月</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日</w:t>
      </w:r>
    </w:p>
    <w:p>
      <w:pPr>
        <w:autoSpaceDE w:val="0"/>
        <w:autoSpaceDN w:val="0"/>
        <w:adjustRightInd w:val="0"/>
        <w:spacing w:line="500" w:lineRule="exact"/>
        <w:rPr>
          <w:rFonts w:ascii="宋体" w:hAnsi="宋体" w:cs="FangSong_GB2312-Identity-H"/>
          <w:kern w:val="0"/>
          <w:sz w:val="24"/>
        </w:rPr>
      </w:pPr>
      <w:r>
        <w:rPr>
          <w:rFonts w:hint="eastAsia" w:ascii="宋体" w:hAnsi="宋体" w:cs="宋体"/>
          <w:b/>
          <w:bCs/>
          <w:sz w:val="32"/>
          <w:szCs w:val="32"/>
        </w:rPr>
        <w:br w:type="page"/>
      </w:r>
      <w:r>
        <w:rPr>
          <w:rFonts w:hint="eastAsia" w:ascii="宋体" w:hAnsi="宋体" w:cs="FangSong_GB2312-Identity-H"/>
          <w:kern w:val="0"/>
          <w:sz w:val="24"/>
        </w:rPr>
        <w:t>格式五：</w:t>
      </w:r>
    </w:p>
    <w:p>
      <w:pPr>
        <w:autoSpaceDE w:val="0"/>
        <w:autoSpaceDN w:val="0"/>
        <w:adjustRightInd w:val="0"/>
        <w:spacing w:line="700" w:lineRule="exact"/>
        <w:jc w:val="center"/>
        <w:rPr>
          <w:rFonts w:ascii="宋体" w:hAnsi="宋体" w:cs="宋体"/>
          <w:b/>
          <w:bCs/>
          <w:sz w:val="32"/>
          <w:szCs w:val="32"/>
        </w:rPr>
      </w:pPr>
      <w:r>
        <w:rPr>
          <w:rFonts w:hint="eastAsia" w:ascii="宋体" w:hAnsi="宋体" w:cs="宋体"/>
          <w:b/>
          <w:bCs/>
          <w:sz w:val="32"/>
          <w:szCs w:val="32"/>
          <w:lang w:val="en-US" w:eastAsia="zh-CN"/>
        </w:rPr>
        <w:t>技术声明</w:t>
      </w:r>
    </w:p>
    <w:tbl>
      <w:tblPr>
        <w:tblStyle w:val="44"/>
        <w:tblW w:w="5000" w:type="pct"/>
        <w:tblInd w:w="0" w:type="dxa"/>
        <w:tblLayout w:type="autofit"/>
        <w:tblCellMar>
          <w:top w:w="0" w:type="dxa"/>
          <w:left w:w="108" w:type="dxa"/>
          <w:bottom w:w="0" w:type="dxa"/>
          <w:right w:w="108" w:type="dxa"/>
        </w:tblCellMar>
      </w:tblPr>
      <w:tblGrid>
        <w:gridCol w:w="1036"/>
        <w:gridCol w:w="270"/>
        <w:gridCol w:w="203"/>
        <w:gridCol w:w="976"/>
        <w:gridCol w:w="345"/>
        <w:gridCol w:w="20"/>
        <w:gridCol w:w="1248"/>
        <w:gridCol w:w="41"/>
        <w:gridCol w:w="306"/>
        <w:gridCol w:w="428"/>
        <w:gridCol w:w="718"/>
        <w:gridCol w:w="73"/>
        <w:gridCol w:w="1137"/>
        <w:gridCol w:w="428"/>
        <w:gridCol w:w="173"/>
        <w:gridCol w:w="619"/>
        <w:gridCol w:w="75"/>
        <w:gridCol w:w="1758"/>
      </w:tblGrid>
      <w:tr>
        <w:tblPrEx>
          <w:tblCellMar>
            <w:top w:w="0" w:type="dxa"/>
            <w:left w:w="108" w:type="dxa"/>
            <w:bottom w:w="0" w:type="dxa"/>
            <w:right w:w="108" w:type="dxa"/>
          </w:tblCellMar>
        </w:tblPrEx>
        <w:trPr>
          <w:trHeight w:val="26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企业名称</w:t>
            </w:r>
          </w:p>
        </w:tc>
        <w:tc>
          <w:tcPr>
            <w:tcW w:w="4233" w:type="pct"/>
            <w:gridSpan w:val="1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7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通讯地址</w:t>
            </w:r>
          </w:p>
        </w:tc>
        <w:tc>
          <w:tcPr>
            <w:tcW w:w="2070" w:type="pct"/>
            <w:gridSpan w:val="8"/>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邮政编码</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8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法定代表人</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联系电话</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传真电话</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8"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技术负责人</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企业性质</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企业隶属</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5"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投产日期</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r>
              <w:rPr>
                <w:rFonts w:hint="eastAsia" w:ascii="宋体" w:hAnsi="宋体" w:cs="宋体"/>
                <w:lang w:val="zh-CN"/>
              </w:rPr>
              <w:t>年设计生产能力（吨）</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r>
              <w:rPr>
                <w:rFonts w:hint="eastAsia" w:ascii="宋体" w:hAnsi="宋体" w:cs="宋体"/>
                <w:lang w:val="zh-CN"/>
              </w:rPr>
              <w:t>上年实际生产能力（吨）</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1"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注册商标</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营业执照号</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19"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发照机关</w:t>
            </w:r>
          </w:p>
        </w:tc>
        <w:tc>
          <w:tcPr>
            <w:tcW w:w="1243"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szCs w:val="18"/>
                <w:lang w:val="zh-CN"/>
              </w:rPr>
            </w:pPr>
          </w:p>
        </w:tc>
      </w:tr>
      <w:tr>
        <w:tblPrEx>
          <w:tblCellMar>
            <w:top w:w="0" w:type="dxa"/>
            <w:left w:w="108" w:type="dxa"/>
            <w:bottom w:w="0" w:type="dxa"/>
            <w:right w:w="108" w:type="dxa"/>
          </w:tblCellMar>
        </w:tblPrEx>
        <w:trPr>
          <w:trHeight w:val="271"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执行标准号</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肥料登记证号</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19"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领证日期</w:t>
            </w:r>
          </w:p>
        </w:tc>
        <w:tc>
          <w:tcPr>
            <w:tcW w:w="1243"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9" w:hRule="atLeast"/>
        </w:trPr>
        <w:tc>
          <w:tcPr>
            <w:tcW w:w="1446" w:type="pct"/>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产品形态、外观</w:t>
            </w:r>
          </w:p>
        </w:tc>
        <w:tc>
          <w:tcPr>
            <w:tcW w:w="3553" w:type="pct"/>
            <w:gridSpan w:val="1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9" w:hRule="atLeast"/>
        </w:trPr>
        <w:tc>
          <w:tcPr>
            <w:tcW w:w="663" w:type="pct"/>
            <w:gridSpan w:val="2"/>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有效成分</w:t>
            </w: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p>
        </w:tc>
      </w:tr>
      <w:tr>
        <w:tblPrEx>
          <w:tblCellMar>
            <w:top w:w="0" w:type="dxa"/>
            <w:left w:w="108" w:type="dxa"/>
            <w:bottom w:w="0" w:type="dxa"/>
            <w:right w:w="108" w:type="dxa"/>
          </w:tblCellMar>
        </w:tblPrEx>
        <w:trPr>
          <w:cantSplit/>
          <w:trHeight w:val="261"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2"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136"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lang w:val="en-US" w:eastAsia="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rPr>
                <w:rFonts w:ascii="宋体" w:hAnsi="宋体"/>
                <w:lang w:val="zh-CN"/>
              </w:rPr>
            </w:pPr>
            <w:r>
              <w:rPr>
                <w:rFonts w:hint="eastAsia"/>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7" w:hRule="atLeast"/>
        </w:trPr>
        <w:tc>
          <w:tcPr>
            <w:tcW w:w="663" w:type="pct"/>
            <w:gridSpan w:val="2"/>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原料来源</w:t>
            </w:r>
          </w:p>
        </w:tc>
        <w:tc>
          <w:tcPr>
            <w:tcW w:w="4336" w:type="pct"/>
            <w:gridSpan w:val="1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3" w:hRule="atLeast"/>
        </w:trPr>
        <w:tc>
          <w:tcPr>
            <w:tcW w:w="1436" w:type="pct"/>
            <w:gridSpan w:val="5"/>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发酵菌剂来源及品种</w:t>
            </w:r>
          </w:p>
        </w:tc>
        <w:tc>
          <w:tcPr>
            <w:tcW w:w="3563" w:type="pct"/>
            <w:gridSpan w:val="13"/>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306" w:hRule="atLeast"/>
        </w:trPr>
        <w:tc>
          <w:tcPr>
            <w:tcW w:w="526" w:type="pct"/>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原料组成</w:t>
            </w: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r>
      <w:tr>
        <w:tblPrEx>
          <w:tblCellMar>
            <w:top w:w="0" w:type="dxa"/>
            <w:left w:w="108" w:type="dxa"/>
            <w:bottom w:w="0" w:type="dxa"/>
            <w:right w:w="108" w:type="dxa"/>
          </w:tblCellMar>
        </w:tblPrEx>
        <w:trPr>
          <w:cantSplit/>
          <w:trHeight w:val="251"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306"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原料名称</w:t>
            </w: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发酵菌剂</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215"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563"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lang w:val="zh-CN"/>
              </w:rPr>
              <w:t>产品生产工艺流程简述</w:t>
            </w:r>
          </w:p>
        </w:tc>
        <w:tc>
          <w:tcPr>
            <w:tcW w:w="3563" w:type="pct"/>
            <w:gridSpan w:val="1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r>
      <w:tr>
        <w:tblPrEx>
          <w:tblCellMar>
            <w:top w:w="0" w:type="dxa"/>
            <w:left w:w="108" w:type="dxa"/>
            <w:bottom w:w="0" w:type="dxa"/>
            <w:right w:w="108" w:type="dxa"/>
          </w:tblCellMar>
        </w:tblPrEx>
        <w:trPr>
          <w:cantSplit/>
          <w:trHeight w:val="507" w:hRule="atLeast"/>
        </w:trPr>
        <w:tc>
          <w:tcPr>
            <w:tcW w:w="1436" w:type="pct"/>
            <w:gridSpan w:val="5"/>
            <w:tcBorders>
              <w:top w:val="single" w:color="auto" w:sz="4"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主要生产设备名称</w:t>
            </w:r>
          </w:p>
          <w:p>
            <w:pPr>
              <w:autoSpaceDE w:val="0"/>
              <w:autoSpaceDN w:val="0"/>
              <w:adjustRightInd w:val="0"/>
              <w:spacing w:line="480" w:lineRule="auto"/>
              <w:jc w:val="left"/>
              <w:rPr>
                <w:rFonts w:ascii="宋体" w:hAnsi="宋体" w:cs="宋体"/>
                <w:lang w:val="zh-CN"/>
              </w:rPr>
            </w:pPr>
            <w:r>
              <w:rPr>
                <w:rFonts w:hint="eastAsia" w:ascii="宋体" w:hAnsi="宋体" w:cs="宋体"/>
                <w:lang w:val="zh-CN"/>
              </w:rPr>
              <w:t>及发酵大棚面积（M</w:t>
            </w:r>
            <w:r>
              <w:rPr>
                <w:rFonts w:hint="eastAsia" w:ascii="宋体" w:hAnsi="宋体" w:cs="宋体"/>
                <w:vertAlign w:val="superscript"/>
                <w:lang w:val="zh-CN"/>
              </w:rPr>
              <w:t>2</w:t>
            </w:r>
            <w:r>
              <w:rPr>
                <w:rFonts w:hint="eastAsia" w:ascii="宋体" w:hAnsi="宋体" w:cs="宋体"/>
                <w:lang w:val="zh-CN"/>
              </w:rPr>
              <w:t>）</w:t>
            </w:r>
          </w:p>
        </w:tc>
        <w:tc>
          <w:tcPr>
            <w:tcW w:w="3563" w:type="pct"/>
            <w:gridSpan w:val="13"/>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r>
      <w:tr>
        <w:tblPrEx>
          <w:tblCellMar>
            <w:top w:w="0" w:type="dxa"/>
            <w:left w:w="108" w:type="dxa"/>
            <w:bottom w:w="0" w:type="dxa"/>
            <w:right w:w="108" w:type="dxa"/>
          </w:tblCellMar>
        </w:tblPrEx>
        <w:trPr>
          <w:cantSplit/>
          <w:trHeight w:val="503" w:hRule="atLeast"/>
        </w:trPr>
        <w:tc>
          <w:tcPr>
            <w:tcW w:w="1436" w:type="pct"/>
            <w:gridSpan w:val="5"/>
            <w:tcBorders>
              <w:top w:val="single" w:color="auto" w:sz="4"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检测能力</w:t>
            </w:r>
          </w:p>
        </w:tc>
        <w:tc>
          <w:tcPr>
            <w:tcW w:w="1436" w:type="pct"/>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具备自检能力或委托检验</w:t>
            </w:r>
          </w:p>
        </w:tc>
        <w:tc>
          <w:tcPr>
            <w:tcW w:w="2126" w:type="pct"/>
            <w:gridSpan w:val="6"/>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555"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使用方法</w:t>
            </w:r>
          </w:p>
        </w:tc>
        <w:tc>
          <w:tcPr>
            <w:tcW w:w="3563" w:type="pct"/>
            <w:gridSpan w:val="1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420" w:hRule="atLeast"/>
        </w:trPr>
        <w:tc>
          <w:tcPr>
            <w:tcW w:w="2100" w:type="pct"/>
            <w:gridSpan w:val="8"/>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近三年内在经营活动中有无重大违法记录</w:t>
            </w:r>
          </w:p>
        </w:tc>
        <w:tc>
          <w:tcPr>
            <w:tcW w:w="2899" w:type="pct"/>
            <w:gridSpan w:val="10"/>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555"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是否依法缴纳税收</w:t>
            </w:r>
          </w:p>
        </w:tc>
        <w:tc>
          <w:tcPr>
            <w:tcW w:w="1036" w:type="pct"/>
            <w:gridSpan w:val="5"/>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p>
        </w:tc>
        <w:tc>
          <w:tcPr>
            <w:tcW w:w="1195" w:type="pct"/>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是否依法缴纳社会保障资金</w:t>
            </w:r>
          </w:p>
        </w:tc>
        <w:tc>
          <w:tcPr>
            <w:tcW w:w="1330" w:type="pct"/>
            <w:gridSpan w:val="4"/>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bl>
    <w:p>
      <w:pPr>
        <w:spacing w:line="480" w:lineRule="auto"/>
        <w:ind w:firstLine="48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480" w:lineRule="auto"/>
        <w:rPr>
          <w:rFonts w:hint="eastAsia" w:ascii="宋体" w:hAnsi="宋体"/>
          <w:bCs/>
          <w:sz w:val="24"/>
        </w:rPr>
      </w:pPr>
    </w:p>
    <w:p>
      <w:pPr>
        <w:spacing w:line="480" w:lineRule="auto"/>
        <w:rPr>
          <w:rFonts w:hint="eastAsia" w:ascii="宋体" w:hAnsi="宋体"/>
          <w:bCs/>
          <w:sz w:val="24"/>
          <w:u w:val="single"/>
        </w:rPr>
      </w:pPr>
      <w:r>
        <w:rPr>
          <w:rFonts w:hint="eastAsia" w:ascii="宋体" w:hAnsi="宋体"/>
          <w:bCs/>
          <w:sz w:val="24"/>
          <w:lang w:val="en-US" w:eastAsia="zh-CN"/>
        </w:rPr>
        <w:t>投标人公</w:t>
      </w:r>
      <w:r>
        <w:rPr>
          <w:rFonts w:hint="eastAsia" w:ascii="宋体" w:hAnsi="宋体"/>
          <w:bCs/>
          <w:sz w:val="24"/>
        </w:rPr>
        <w:t>章</w:t>
      </w:r>
      <w:r>
        <w:rPr>
          <w:rFonts w:hint="eastAsia" w:ascii="宋体" w:hAnsi="宋体"/>
          <w:bCs/>
          <w:sz w:val="24"/>
          <w:lang w:eastAsia="zh-CN"/>
        </w:rPr>
        <w:t>：</w:t>
      </w:r>
      <w:r>
        <w:rPr>
          <w:rFonts w:hint="eastAsia" w:ascii="宋体" w:hAnsi="宋体"/>
          <w:bCs/>
          <w:sz w:val="24"/>
        </w:rPr>
        <w:t xml:space="preserve"> </w:t>
      </w:r>
      <w:r>
        <w:rPr>
          <w:rFonts w:hint="eastAsia" w:ascii="宋体" w:hAnsi="宋体"/>
          <w:bCs/>
          <w:sz w:val="24"/>
          <w:u w:val="single"/>
        </w:rPr>
        <w:t xml:space="preserve">              </w:t>
      </w:r>
    </w:p>
    <w:p>
      <w:pPr>
        <w:spacing w:line="480" w:lineRule="auto"/>
        <w:rPr>
          <w:rFonts w:ascii="宋体" w:hAnsi="宋体"/>
          <w:bCs/>
          <w:sz w:val="24"/>
        </w:rPr>
      </w:pPr>
      <w:r>
        <w:rPr>
          <w:rFonts w:hint="eastAsia" w:ascii="宋体" w:hAnsi="宋体"/>
          <w:bCs/>
          <w:sz w:val="24"/>
        </w:rPr>
        <w:t>电话号和传真号：</w:t>
      </w:r>
      <w:r>
        <w:rPr>
          <w:rFonts w:hint="eastAsia" w:ascii="宋体" w:hAnsi="宋体"/>
          <w:bCs/>
          <w:sz w:val="24"/>
          <w:u w:val="none"/>
        </w:rPr>
        <w:t>________________</w:t>
      </w:r>
      <w:r>
        <w:rPr>
          <w:rFonts w:hint="eastAsia" w:ascii="宋体" w:hAnsi="宋体"/>
          <w:bCs/>
          <w:sz w:val="24"/>
        </w:rPr>
        <w:t xml:space="preserve">                      </w:t>
      </w:r>
    </w:p>
    <w:p>
      <w:pPr>
        <w:spacing w:line="480" w:lineRule="auto"/>
        <w:rPr>
          <w:rFonts w:ascii="宋体" w:hAnsi="宋体"/>
          <w:bCs/>
          <w:sz w:val="24"/>
        </w:rPr>
      </w:pPr>
      <w:r>
        <w:rPr>
          <w:rFonts w:hint="eastAsia" w:ascii="宋体" w:hAnsi="宋体"/>
          <w:bCs/>
          <w:sz w:val="24"/>
        </w:rPr>
        <w:t>日期：</w:t>
      </w:r>
      <w:r>
        <w:rPr>
          <w:rFonts w:hint="eastAsia" w:ascii="宋体" w:hAnsi="宋体"/>
          <w:bCs/>
          <w:sz w:val="24"/>
          <w:u w:val="none"/>
        </w:rPr>
        <w:t>______年</w:t>
      </w:r>
      <w:r>
        <w:rPr>
          <w:rFonts w:hint="eastAsia" w:ascii="宋体" w:hAnsi="宋体"/>
          <w:bCs/>
          <w:sz w:val="24"/>
          <w:u w:val="single"/>
        </w:rPr>
        <w:t xml:space="preserve">    </w:t>
      </w:r>
      <w:r>
        <w:rPr>
          <w:rFonts w:hint="eastAsia" w:ascii="宋体" w:hAnsi="宋体"/>
          <w:bCs/>
          <w:sz w:val="24"/>
          <w:u w:val="none"/>
        </w:rPr>
        <w:t>月</w:t>
      </w:r>
      <w:r>
        <w:rPr>
          <w:rFonts w:hint="eastAsia" w:ascii="宋体" w:hAnsi="宋体"/>
          <w:bCs/>
          <w:sz w:val="24"/>
          <w:u w:val="single"/>
        </w:rPr>
        <w:t xml:space="preserve">    </w:t>
      </w:r>
      <w:r>
        <w:rPr>
          <w:rFonts w:hint="eastAsia" w:ascii="宋体" w:hAnsi="宋体"/>
          <w:bCs/>
          <w:sz w:val="24"/>
          <w:u w:val="none"/>
        </w:rPr>
        <w:t>日</w:t>
      </w:r>
    </w:p>
    <w:p>
      <w:pPr>
        <w:pStyle w:val="12"/>
        <w:spacing w:line="480" w:lineRule="auto"/>
        <w:jc w:val="center"/>
        <w:rPr>
          <w:rFonts w:ascii="宋体" w:hAnsi="宋体"/>
          <w:b w:val="0"/>
        </w:rPr>
      </w:pPr>
    </w:p>
    <w:p>
      <w:pPr>
        <w:spacing w:line="440" w:lineRule="exact"/>
        <w:jc w:val="left"/>
        <w:rPr>
          <w:rFonts w:ascii="宋体" w:hAnsi="宋体"/>
          <w:sz w:val="24"/>
        </w:rPr>
      </w:pPr>
    </w:p>
    <w:p>
      <w:pPr>
        <w:spacing w:line="440" w:lineRule="exact"/>
        <w:jc w:val="left"/>
        <w:rPr>
          <w:rFonts w:ascii="宋体" w:hAnsi="宋体"/>
          <w:sz w:val="24"/>
        </w:rPr>
      </w:pPr>
    </w:p>
    <w:p>
      <w:pPr>
        <w:spacing w:line="440" w:lineRule="exact"/>
        <w:jc w:val="left"/>
        <w:rPr>
          <w:rFonts w:ascii="宋体" w:hAnsi="宋体"/>
          <w:sz w:val="24"/>
        </w:rPr>
      </w:pPr>
    </w:p>
    <w:p>
      <w:pPr>
        <w:spacing w:line="440" w:lineRule="exact"/>
        <w:jc w:val="left"/>
        <w:rPr>
          <w:rFonts w:ascii="宋体" w:hAnsi="宋体"/>
          <w:sz w:val="24"/>
        </w:rPr>
      </w:pPr>
      <w:r>
        <w:rPr>
          <w:rFonts w:hint="eastAsia" w:ascii="宋体" w:hAnsi="宋体"/>
          <w:sz w:val="24"/>
        </w:rPr>
        <w:br w:type="page"/>
      </w:r>
    </w:p>
    <w:p>
      <w:pPr>
        <w:pStyle w:val="125"/>
        <w:spacing w:line="360" w:lineRule="auto"/>
        <w:ind w:firstLine="486" w:firstLineChars="200"/>
        <w:rPr>
          <w:rFonts w:hAnsi="宋体" w:eastAsia="宋体" w:cs="宋体"/>
          <w:sz w:val="24"/>
        </w:rPr>
        <w:sectPr>
          <w:headerReference r:id="rId5" w:type="default"/>
          <w:footerReference r:id="rId6" w:type="default"/>
          <w:pgSz w:w="11906" w:h="16838"/>
          <w:pgMar w:top="1134" w:right="1134" w:bottom="1134" w:left="1134" w:header="851" w:footer="794" w:gutter="0"/>
          <w:pgNumType w:fmt="decimal"/>
          <w:cols w:space="0" w:num="1"/>
          <w:rtlGutter w:val="0"/>
          <w:docGrid w:type="linesAndChars" w:linePitch="317" w:charSpace="819"/>
        </w:sectPr>
      </w:pPr>
    </w:p>
    <w:p>
      <w:pPr>
        <w:spacing w:line="360" w:lineRule="auto"/>
        <w:rPr>
          <w:rFonts w:ascii="宋体" w:hAnsi="宋体" w:cs="宋体"/>
          <w:sz w:val="24"/>
        </w:rPr>
      </w:pPr>
      <w:r>
        <w:rPr>
          <w:rFonts w:hint="eastAsia" w:ascii="宋体" w:hAnsi="宋体" w:cs="宋体"/>
          <w:sz w:val="24"/>
        </w:rPr>
        <w:t>格式</w:t>
      </w:r>
      <w:r>
        <w:rPr>
          <w:rFonts w:hint="eastAsia" w:ascii="宋体" w:hAnsi="宋体" w:cs="宋体"/>
          <w:sz w:val="24"/>
          <w:lang w:val="en-US" w:eastAsia="zh-CN"/>
        </w:rPr>
        <w:t>六</w:t>
      </w:r>
      <w:r>
        <w:rPr>
          <w:rFonts w:hint="eastAsia" w:ascii="宋体" w:hAnsi="宋体" w:cs="宋体"/>
          <w:sz w:val="24"/>
        </w:rPr>
        <w:t>：</w:t>
      </w:r>
    </w:p>
    <w:p>
      <w:pPr>
        <w:pStyle w:val="43"/>
        <w:ind w:firstLine="0" w:firstLineChars="0"/>
        <w:jc w:val="center"/>
        <w:rPr>
          <w:rFonts w:ascii="宋体" w:hAnsi="宋体" w:cs="宋体"/>
          <w:sz w:val="32"/>
          <w:szCs w:val="32"/>
        </w:rPr>
      </w:pPr>
      <w:bookmarkStart w:id="377" w:name="_Toc11169_WPSOffice_Level1"/>
      <w:bookmarkStart w:id="378" w:name="_Toc24158_WPSOffice_Level1"/>
      <w:bookmarkStart w:id="379" w:name="_Toc103_WPSOffice_Level1"/>
      <w:bookmarkStart w:id="380" w:name="_Toc26894_WPSOffice_Level1"/>
      <w:r>
        <w:rPr>
          <w:rFonts w:hint="eastAsia" w:ascii="宋体" w:hAnsi="宋体" w:cs="宋体"/>
          <w:sz w:val="32"/>
          <w:szCs w:val="32"/>
        </w:rPr>
        <w:t>书面声明</w:t>
      </w:r>
      <w:bookmarkEnd w:id="377"/>
      <w:bookmarkEnd w:id="378"/>
      <w:bookmarkEnd w:id="379"/>
      <w:bookmarkEnd w:id="380"/>
    </w:p>
    <w:p>
      <w:pPr>
        <w:pStyle w:val="140"/>
        <w:adjustRightInd w:val="0"/>
        <w:spacing w:before="0" w:beforeAutospacing="0" w:after="0" w:afterAutospacing="0" w:line="480" w:lineRule="auto"/>
        <w:ind w:firstLine="566" w:firstLineChars="200"/>
        <w:rPr>
          <w:rFonts w:ascii="宋体" w:hAnsi="宋体" w:cs="宋体"/>
          <w:kern w:val="2"/>
          <w:sz w:val="28"/>
          <w:szCs w:val="28"/>
        </w:rPr>
      </w:pPr>
    </w:p>
    <w:p>
      <w:pPr>
        <w:pStyle w:val="140"/>
        <w:adjustRightInd w:val="0"/>
        <w:spacing w:before="0" w:beforeAutospacing="0" w:after="0" w:afterAutospacing="0" w:line="480" w:lineRule="auto"/>
        <w:ind w:firstLine="426" w:firstLineChars="200"/>
        <w:rPr>
          <w:rFonts w:ascii="宋体" w:hAnsi="宋体" w:cs="宋体"/>
          <w:kern w:val="2"/>
          <w:sz w:val="21"/>
          <w:szCs w:val="21"/>
        </w:rPr>
      </w:pPr>
      <w:r>
        <w:rPr>
          <w:rFonts w:hint="eastAsia" w:ascii="宋体" w:hAnsi="宋体" w:cs="宋体"/>
          <w:kern w:val="2"/>
          <w:sz w:val="21"/>
          <w:szCs w:val="21"/>
        </w:rPr>
        <w:t>我单位具备《中华人民共和国政府采购法》第二十二条第(一)至(六)项条件。</w:t>
      </w:r>
    </w:p>
    <w:p>
      <w:pPr>
        <w:pStyle w:val="140"/>
        <w:adjustRightInd w:val="0"/>
        <w:spacing w:before="0" w:beforeAutospacing="0" w:after="0" w:afterAutospacing="0" w:line="480" w:lineRule="auto"/>
        <w:rPr>
          <w:rFonts w:ascii="宋体" w:hAnsi="宋体" w:cs="宋体"/>
          <w:kern w:val="2"/>
          <w:sz w:val="21"/>
          <w:szCs w:val="21"/>
        </w:rPr>
      </w:pPr>
      <w:r>
        <w:rPr>
          <w:rFonts w:hint="eastAsia" w:ascii="宋体" w:hAnsi="宋体" w:cs="宋体"/>
          <w:kern w:val="2"/>
          <w:sz w:val="21"/>
          <w:szCs w:val="21"/>
        </w:rPr>
        <w:t>特此声明，如有虚假，贵方可取消我方参与本次项目投标资格。</w:t>
      </w:r>
    </w:p>
    <w:p>
      <w:pPr>
        <w:tabs>
          <w:tab w:val="left" w:pos="2814"/>
        </w:tabs>
        <w:spacing w:line="480" w:lineRule="auto"/>
        <w:ind w:firstLine="426" w:firstLineChars="200"/>
        <w:jc w:val="left"/>
        <w:rPr>
          <w:rFonts w:ascii="宋体" w:hAnsi="宋体" w:cs="宋体"/>
          <w:sz w:val="21"/>
          <w:szCs w:val="21"/>
        </w:rPr>
      </w:pPr>
    </w:p>
    <w:p>
      <w:pPr>
        <w:tabs>
          <w:tab w:val="left" w:pos="2814"/>
        </w:tabs>
        <w:spacing w:line="480" w:lineRule="auto"/>
        <w:ind w:firstLine="426" w:firstLineChars="200"/>
        <w:jc w:val="left"/>
        <w:rPr>
          <w:rFonts w:ascii="宋体" w:hAnsi="宋体" w:cs="宋体"/>
          <w:sz w:val="21"/>
          <w:szCs w:val="21"/>
        </w:rPr>
      </w:pPr>
    </w:p>
    <w:p>
      <w:pPr>
        <w:tabs>
          <w:tab w:val="left" w:pos="2814"/>
        </w:tabs>
        <w:spacing w:line="480" w:lineRule="auto"/>
        <w:ind w:firstLine="4047" w:firstLineChars="1900"/>
        <w:jc w:val="left"/>
        <w:rPr>
          <w:rFonts w:ascii="宋体" w:hAnsi="宋体" w:cs="宋体"/>
          <w:sz w:val="21"/>
          <w:szCs w:val="21"/>
        </w:rPr>
      </w:pPr>
      <w:r>
        <w:rPr>
          <w:rFonts w:hint="eastAsia" w:ascii="宋体" w:hAnsi="宋体" w:cs="宋体"/>
          <w:sz w:val="21"/>
          <w:szCs w:val="21"/>
        </w:rPr>
        <w:t>投标人(盖章)：</w:t>
      </w:r>
    </w:p>
    <w:p>
      <w:pPr>
        <w:tabs>
          <w:tab w:val="left" w:pos="2814"/>
        </w:tabs>
        <w:spacing w:line="480" w:lineRule="auto"/>
        <w:ind w:firstLine="4047" w:firstLineChars="1900"/>
        <w:jc w:val="left"/>
        <w:rPr>
          <w:rFonts w:ascii="宋体" w:hAnsi="宋体" w:cs="宋体"/>
          <w:sz w:val="21"/>
          <w:szCs w:val="21"/>
        </w:rPr>
      </w:pPr>
      <w:r>
        <w:rPr>
          <w:rFonts w:hint="eastAsia" w:ascii="宋体" w:hAnsi="宋体" w:cs="宋体"/>
          <w:sz w:val="21"/>
          <w:szCs w:val="21"/>
        </w:rPr>
        <w:t>法定代表人或其授权委托人 (签字或盖章)：</w:t>
      </w:r>
    </w:p>
    <w:p>
      <w:pPr>
        <w:adjustRightInd w:val="0"/>
        <w:snapToGrid w:val="0"/>
        <w:spacing w:line="460" w:lineRule="exact"/>
        <w:rPr>
          <w:rFonts w:ascii="宋体" w:hAnsi="宋体" w:cs="宋体"/>
          <w:w w:val="90"/>
          <w:sz w:val="21"/>
          <w:szCs w:val="21"/>
        </w:rPr>
      </w:pPr>
    </w:p>
    <w:p>
      <w:pPr>
        <w:pStyle w:val="140"/>
        <w:adjustRightInd w:val="0"/>
        <w:spacing w:beforeLines="25" w:beforeAutospacing="0" w:afterLines="25" w:afterAutospacing="0" w:line="240" w:lineRule="auto"/>
        <w:jc w:val="right"/>
        <w:rPr>
          <w:rFonts w:ascii="宋体" w:hAnsi="宋体" w:cs="宋体"/>
          <w:kern w:val="2"/>
          <w:sz w:val="21"/>
          <w:szCs w:val="21"/>
        </w:rPr>
      </w:pPr>
      <w:r>
        <w:rPr>
          <w:rFonts w:hint="eastAsia" w:ascii="宋体" w:hAnsi="宋体" w:cs="宋体"/>
          <w:kern w:val="2"/>
          <w:sz w:val="21"/>
          <w:szCs w:val="21"/>
        </w:rPr>
        <w:t>时间：</w:t>
      </w:r>
      <w:r>
        <w:rPr>
          <w:rFonts w:hint="eastAsia" w:ascii="宋体" w:hAnsi="宋体" w:cs="宋体"/>
          <w:kern w:val="2"/>
          <w:sz w:val="21"/>
          <w:szCs w:val="21"/>
          <w:lang w:val="en-US" w:eastAsia="zh-CN"/>
        </w:rPr>
        <w:t xml:space="preserve">     </w:t>
      </w:r>
      <w:r>
        <w:rPr>
          <w:rFonts w:hint="eastAsia" w:ascii="宋体" w:hAnsi="宋体" w:cs="宋体"/>
          <w:kern w:val="2"/>
          <w:sz w:val="21"/>
          <w:szCs w:val="21"/>
        </w:rPr>
        <w:t>年</w:t>
      </w:r>
      <w:r>
        <w:rPr>
          <w:rFonts w:hint="eastAsia" w:ascii="宋体" w:hAnsi="宋体" w:cs="宋体"/>
          <w:kern w:val="2"/>
          <w:sz w:val="21"/>
          <w:szCs w:val="21"/>
          <w:lang w:val="en-US" w:eastAsia="zh-CN"/>
        </w:rPr>
        <w:t xml:space="preserve">      </w:t>
      </w:r>
      <w:r>
        <w:rPr>
          <w:rFonts w:hint="eastAsia" w:ascii="宋体" w:hAnsi="宋体" w:cs="宋体"/>
          <w:kern w:val="2"/>
          <w:sz w:val="21"/>
          <w:szCs w:val="21"/>
        </w:rPr>
        <w:t>月</w:t>
      </w:r>
      <w:r>
        <w:rPr>
          <w:rFonts w:hint="eastAsia" w:ascii="宋体" w:hAnsi="宋体" w:cs="宋体"/>
          <w:kern w:val="2"/>
          <w:sz w:val="21"/>
          <w:szCs w:val="21"/>
          <w:lang w:val="en-US" w:eastAsia="zh-CN"/>
        </w:rPr>
        <w:t xml:space="preserve">      </w:t>
      </w:r>
      <w:r>
        <w:rPr>
          <w:rFonts w:hint="eastAsia" w:ascii="宋体" w:hAnsi="宋体" w:cs="宋体"/>
          <w:kern w:val="2"/>
          <w:sz w:val="21"/>
          <w:szCs w:val="21"/>
        </w:rPr>
        <w:t>日</w:t>
      </w:r>
    </w:p>
    <w:p>
      <w:pPr>
        <w:pStyle w:val="17"/>
      </w:pPr>
    </w:p>
    <w:p>
      <w:pPr>
        <w:pStyle w:val="17"/>
      </w:pPr>
    </w:p>
    <w:p>
      <w:pPr>
        <w:rPr>
          <w:rFonts w:hAnsi="宋体" w:cs="宋体"/>
        </w:rPr>
      </w:pPr>
      <w:r>
        <w:rPr>
          <w:rFonts w:hAnsi="宋体" w:cs="宋体"/>
        </w:rPr>
        <w:br w:type="page"/>
      </w:r>
    </w:p>
    <w:p>
      <w:pPr>
        <w:spacing w:line="440" w:lineRule="exact"/>
        <w:jc w:val="left"/>
        <w:rPr>
          <w:rFonts w:ascii="宋体" w:hAnsi="宋体"/>
          <w:sz w:val="24"/>
        </w:rPr>
      </w:pPr>
      <w:r>
        <w:rPr>
          <w:rFonts w:hint="eastAsia" w:ascii="宋体" w:hAnsi="宋体"/>
          <w:sz w:val="24"/>
        </w:rPr>
        <w:t>格式</w:t>
      </w:r>
      <w:r>
        <w:rPr>
          <w:rFonts w:hint="eastAsia" w:ascii="宋体" w:hAnsi="宋体"/>
          <w:sz w:val="24"/>
          <w:lang w:val="en-US" w:eastAsia="zh-CN"/>
        </w:rPr>
        <w:t>七</w:t>
      </w:r>
      <w:r>
        <w:rPr>
          <w:rFonts w:hint="eastAsia" w:ascii="宋体" w:hAnsi="宋体"/>
          <w:sz w:val="24"/>
        </w:rPr>
        <w:t>：</w:t>
      </w:r>
    </w:p>
    <w:p>
      <w:pPr>
        <w:jc w:val="center"/>
        <w:rPr>
          <w:rFonts w:ascii="宋体" w:hAnsi="宋体" w:cs="宋体"/>
          <w:b/>
          <w:bCs/>
          <w:sz w:val="44"/>
          <w:szCs w:val="44"/>
        </w:rPr>
      </w:pPr>
      <w:r>
        <w:rPr>
          <w:rFonts w:hint="eastAsia" w:ascii="宋体" w:hAnsi="宋体" w:cs="宋体"/>
          <w:b/>
          <w:bCs/>
          <w:sz w:val="44"/>
          <w:szCs w:val="44"/>
        </w:rPr>
        <w:t>盐城市大丰区政府招标采购供应商承诺书</w:t>
      </w:r>
    </w:p>
    <w:p>
      <w:pPr>
        <w:spacing w:line="400" w:lineRule="exact"/>
        <w:ind w:firstLine="606" w:firstLineChars="200"/>
        <w:rPr>
          <w:sz w:val="30"/>
          <w:szCs w:val="30"/>
        </w:rPr>
      </w:pPr>
    </w:p>
    <w:p>
      <w:pPr>
        <w:spacing w:line="360" w:lineRule="auto"/>
        <w:ind w:firstLine="426" w:firstLineChars="200"/>
        <w:rPr>
          <w:rFonts w:ascii="宋体" w:hAnsi="宋体" w:cs="宋体"/>
          <w:szCs w:val="21"/>
        </w:rPr>
      </w:pPr>
      <w:r>
        <w:rPr>
          <w:rFonts w:hint="eastAsia" w:ascii="宋体" w:hAnsi="宋体" w:cs="宋体"/>
          <w:szCs w:val="21"/>
        </w:rPr>
        <w:t>为营造公开、公平、公正、诚实守信的政府招标采购交易环境，树立诚信守法的投标人形象，本单位参加政府招标采购项目</w:t>
      </w:r>
      <w:r>
        <w:rPr>
          <w:rFonts w:hint="eastAsia" w:ascii="宋体" w:hAnsi="宋体" w:cs="宋体"/>
          <w:szCs w:val="21"/>
          <w:u w:val="single"/>
        </w:rPr>
        <w:t xml:space="preserve">：                         </w:t>
      </w:r>
      <w:r>
        <w:rPr>
          <w:rFonts w:hint="eastAsia" w:ascii="宋体" w:hAnsi="宋体" w:cs="宋体"/>
          <w:szCs w:val="21"/>
        </w:rPr>
        <w:t>的招标采购活动，本人代表本单位作出以下承诺：</w:t>
      </w:r>
    </w:p>
    <w:p>
      <w:pPr>
        <w:spacing w:line="360" w:lineRule="auto"/>
        <w:ind w:firstLine="426" w:firstLineChars="200"/>
        <w:rPr>
          <w:rFonts w:ascii="宋体" w:hAnsi="宋体" w:cs="宋体"/>
          <w:szCs w:val="21"/>
        </w:rPr>
      </w:pPr>
      <w:r>
        <w:rPr>
          <w:rFonts w:hint="eastAsia" w:ascii="宋体" w:hAnsi="宋体" w:cs="宋体"/>
          <w:szCs w:val="21"/>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360" w:lineRule="auto"/>
        <w:ind w:firstLine="426" w:firstLineChars="200"/>
        <w:rPr>
          <w:rFonts w:ascii="宋体" w:hAnsi="宋体" w:cs="宋体"/>
          <w:szCs w:val="21"/>
        </w:rPr>
      </w:pPr>
      <w:r>
        <w:rPr>
          <w:rFonts w:hint="eastAsia" w:ascii="宋体" w:hAnsi="宋体" w:cs="宋体"/>
          <w:szCs w:val="21"/>
        </w:rPr>
        <w:t>（二）本单位无涉及政府招标采购活动的违法、违规不良记录，我公司及相关负责人无因存在重大隐患整改不力、发生有重大社会影响生产安全事故或其他严重违法违规行为而被列入失信联合惩戒的不良记录；</w:t>
      </w:r>
    </w:p>
    <w:p>
      <w:pPr>
        <w:spacing w:line="360" w:lineRule="auto"/>
        <w:ind w:firstLine="426" w:firstLineChars="200"/>
        <w:rPr>
          <w:rFonts w:ascii="宋体" w:hAnsi="宋体" w:cs="宋体"/>
          <w:szCs w:val="21"/>
        </w:rPr>
      </w:pPr>
      <w:r>
        <w:rPr>
          <w:rFonts w:hint="eastAsia" w:ascii="宋体" w:hAnsi="宋体" w:cs="宋体"/>
          <w:szCs w:val="21"/>
        </w:rPr>
        <w:t xml:space="preserve">（三）严格依照国家和省、市关于政府招标采购的法律、法规、规章、规范性文件，参加政府招标采购的投标活动；积极履行社会责任，促进廉政建设； </w:t>
      </w:r>
    </w:p>
    <w:p>
      <w:pPr>
        <w:spacing w:line="360" w:lineRule="auto"/>
        <w:rPr>
          <w:rFonts w:ascii="宋体" w:hAnsi="宋体" w:cs="宋体"/>
          <w:szCs w:val="21"/>
        </w:rPr>
      </w:pPr>
      <w:r>
        <w:rPr>
          <w:rFonts w:hint="eastAsia" w:ascii="宋体" w:hAnsi="宋体" w:cs="宋体"/>
          <w:szCs w:val="21"/>
        </w:rPr>
        <w:t>   （四）严格遵守即时信息公示规定，及时维护和更新盐城市政府采购网、公共资源交易平台中与本单位相关的信息；</w:t>
      </w:r>
    </w:p>
    <w:p>
      <w:pPr>
        <w:spacing w:line="360" w:lineRule="auto"/>
        <w:ind w:firstLine="367"/>
        <w:rPr>
          <w:rFonts w:ascii="宋体" w:hAnsi="宋体" w:cs="宋体"/>
          <w:szCs w:val="21"/>
        </w:rPr>
      </w:pPr>
      <w:r>
        <w:rPr>
          <w:rFonts w:hint="eastAsia" w:ascii="宋体" w:hAnsi="宋体" w:cs="宋体"/>
          <w:szCs w:val="21"/>
        </w:rPr>
        <w:t>（五）自我约束、自我管理，守合同、重信用，自觉维护政府招标采购交易的良好秩序，与参与本次政府招标采购活动的其他供应商不存在直接控股或管理关系，不参与围标串标、弄虚作假、骗取中标、干扰评标、违约毁约等行为；</w:t>
      </w:r>
    </w:p>
    <w:p>
      <w:pPr>
        <w:spacing w:line="360" w:lineRule="auto"/>
        <w:ind w:firstLine="367"/>
        <w:rPr>
          <w:rFonts w:ascii="宋体" w:hAnsi="宋体" w:cs="宋体"/>
          <w:szCs w:val="21"/>
        </w:rPr>
      </w:pPr>
      <w:r>
        <w:rPr>
          <w:rFonts w:hint="eastAsia" w:ascii="宋体" w:hAnsi="宋体" w:cs="宋体"/>
          <w:szCs w:val="21"/>
        </w:rPr>
        <w:t>（六）自觉接受政府、行业组织、社会公众、新闻舆论的监督；</w:t>
      </w:r>
    </w:p>
    <w:p>
      <w:pPr>
        <w:spacing w:line="360" w:lineRule="auto"/>
        <w:ind w:firstLine="367"/>
        <w:rPr>
          <w:rFonts w:ascii="宋体" w:hAnsi="宋体" w:cs="宋体"/>
          <w:szCs w:val="21"/>
        </w:rPr>
      </w:pPr>
      <w:r>
        <w:rPr>
          <w:rFonts w:hint="eastAsia" w:ascii="宋体" w:hAnsi="宋体" w:cs="宋体"/>
          <w:szCs w:val="21"/>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360" w:lineRule="auto"/>
        <w:ind w:firstLine="367"/>
        <w:rPr>
          <w:rFonts w:ascii="宋体" w:hAnsi="宋体" w:cs="宋体"/>
          <w:szCs w:val="21"/>
        </w:rPr>
      </w:pPr>
      <w:r>
        <w:rPr>
          <w:rFonts w:hint="eastAsia" w:ascii="宋体" w:hAnsi="宋体" w:cs="宋体"/>
          <w:szCs w:val="21"/>
        </w:rPr>
        <w:t>（八）本人已认真阅读了上述承诺，并向本单位员工作了宣传教育。</w:t>
      </w:r>
    </w:p>
    <w:p>
      <w:pPr>
        <w:spacing w:line="340" w:lineRule="exact"/>
        <w:ind w:firstLine="426" w:firstLineChars="200"/>
        <w:rPr>
          <w:rFonts w:ascii="宋体" w:hAnsi="宋体" w:cs="宋体"/>
          <w:szCs w:val="21"/>
        </w:rPr>
      </w:pPr>
    </w:p>
    <w:p>
      <w:pPr>
        <w:spacing w:line="340" w:lineRule="exact"/>
        <w:ind w:firstLine="426" w:firstLineChars="200"/>
        <w:rPr>
          <w:rFonts w:ascii="宋体" w:hAnsi="宋体" w:cs="宋体"/>
          <w:szCs w:val="21"/>
        </w:rPr>
      </w:pPr>
      <w:r>
        <w:rPr>
          <w:rFonts w:hint="eastAsia" w:ascii="宋体" w:hAnsi="宋体" w:cs="宋体"/>
          <w:szCs w:val="21"/>
        </w:rPr>
        <w:t xml:space="preserve">法定代表人签名：          </w:t>
      </w:r>
      <w:r>
        <w:rPr>
          <w:rFonts w:hint="eastAsia" w:ascii="宋体" w:hAnsi="宋体" w:cs="宋体"/>
          <w:szCs w:val="21"/>
          <w:lang w:val="en-US" w:eastAsia="zh-CN"/>
        </w:rPr>
        <w:t xml:space="preserve">        </w:t>
      </w:r>
      <w:r>
        <w:rPr>
          <w:rFonts w:hint="eastAsia" w:ascii="宋体" w:hAnsi="宋体" w:cs="宋体"/>
          <w:szCs w:val="21"/>
        </w:rPr>
        <w:t xml:space="preserve"> 单位名称（盖章）：</w:t>
      </w:r>
    </w:p>
    <w:p>
      <w:pPr>
        <w:spacing w:line="340" w:lineRule="exact"/>
        <w:rPr>
          <w:rFonts w:ascii="宋体" w:hAnsi="宋体" w:cs="宋体"/>
          <w:szCs w:val="21"/>
        </w:rPr>
      </w:pPr>
    </w:p>
    <w:p>
      <w:pPr>
        <w:pStyle w:val="22"/>
        <w:snapToGrid w:val="0"/>
        <w:spacing w:line="480" w:lineRule="exact"/>
        <w:jc w:val="right"/>
        <w:rPr>
          <w:rFonts w:hAnsi="宋体" w:cs="宋体"/>
          <w:b/>
          <w:sz w:val="21"/>
          <w:szCs w:val="21"/>
        </w:rPr>
      </w:pPr>
      <w:r>
        <w:rPr>
          <w:rFonts w:hint="eastAsia" w:hAnsi="宋体" w:cs="宋体"/>
          <w:sz w:val="21"/>
          <w:szCs w:val="21"/>
        </w:rPr>
        <w:t>年    月    日</w:t>
      </w: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4"/>
          <w:szCs w:val="24"/>
          <w:highlight w:val="none"/>
          <w:lang w:eastAsia="zh-CN"/>
        </w:rPr>
        <w:t>格式八：</w:t>
      </w:r>
    </w:p>
    <w:p>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中小企业声明函（</w:t>
      </w:r>
      <w:r>
        <w:rPr>
          <w:rFonts w:hint="eastAsia" w:ascii="宋体" w:hAnsi="宋体" w:cs="宋体"/>
          <w:b/>
          <w:bCs/>
          <w:sz w:val="28"/>
          <w:szCs w:val="28"/>
          <w:highlight w:val="none"/>
          <w:lang w:eastAsia="zh-CN"/>
        </w:rPr>
        <w:t>货物</w:t>
      </w:r>
      <w:r>
        <w:rPr>
          <w:rFonts w:hint="eastAsia" w:ascii="宋体" w:hAnsi="宋体" w:cs="宋体"/>
          <w:b/>
          <w:bCs/>
          <w:sz w:val="28"/>
          <w:szCs w:val="28"/>
          <w:highlight w:val="none"/>
        </w:rPr>
        <w:t>）</w:t>
      </w:r>
    </w:p>
    <w:p>
      <w:pPr>
        <w:pStyle w:val="25"/>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本公司郑重声明，根据《政府采购促进中小 企业发展管理办法》（财库﹝2020﹞46 号）的规定，本公司 参加</w:t>
      </w:r>
      <w:r>
        <w:rPr>
          <w:rFonts w:hint="eastAsia" w:ascii="宋体" w:hAnsi="宋体" w:eastAsia="宋体" w:cs="宋体"/>
          <w:sz w:val="21"/>
          <w:szCs w:val="21"/>
          <w:highlight w:val="none"/>
          <w:u w:val="single"/>
        </w:rPr>
        <w:t>（单位名称）</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采购活动，</w:t>
      </w:r>
      <w:r>
        <w:rPr>
          <w:rFonts w:hint="eastAsia" w:ascii="宋体" w:hAnsi="宋体" w:cs="宋体"/>
          <w:sz w:val="21"/>
          <w:szCs w:val="21"/>
          <w:highlight w:val="none"/>
          <w:lang w:eastAsia="zh-CN"/>
        </w:rPr>
        <w:t>提供的货物</w:t>
      </w:r>
      <w:r>
        <w:rPr>
          <w:rFonts w:hint="eastAsia" w:ascii="宋体" w:hAnsi="宋体" w:eastAsia="宋体" w:cs="宋体"/>
          <w:sz w:val="21"/>
          <w:szCs w:val="21"/>
          <w:highlight w:val="none"/>
        </w:rPr>
        <w:t>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u w:val="single"/>
        </w:rPr>
        <w:t>（标的名称）</w:t>
      </w:r>
      <w:r>
        <w:rPr>
          <w:rFonts w:hint="eastAsia" w:ascii="宋体" w:hAnsi="宋体" w:eastAsia="宋体" w:cs="宋体"/>
          <w:sz w:val="21"/>
          <w:szCs w:val="21"/>
          <w:highlight w:val="none"/>
        </w:rPr>
        <w:t xml:space="preserve"> ，属于</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工业</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；承接企业为</w:t>
      </w:r>
      <w:r>
        <w:rPr>
          <w:rFonts w:hint="eastAsia" w:ascii="宋体" w:hAnsi="宋体" w:eastAsia="宋体" w:cs="宋体"/>
          <w:sz w:val="21"/>
          <w:szCs w:val="21"/>
          <w:highlight w:val="none"/>
          <w:u w:val="single"/>
        </w:rPr>
        <w:t>（企业名称）</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 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万元，属于</w:t>
      </w:r>
      <w:r>
        <w:rPr>
          <w:rFonts w:hint="eastAsia" w:ascii="宋体" w:hAnsi="宋体" w:eastAsia="宋体" w:cs="宋体"/>
          <w:sz w:val="21"/>
          <w:szCs w:val="21"/>
          <w:highlight w:val="none"/>
          <w:u w:val="single"/>
        </w:rPr>
        <w:t>（中型企业、 小型企业、微型企业）</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企业名称（盖章）：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从业人员、营业收入、资产总额填报上一年度数据，无上一年度数据的新成立企业可不填报</w:t>
      </w:r>
    </w:p>
    <w:p>
      <w:pPr>
        <w:pStyle w:val="119"/>
        <w:spacing w:line="360" w:lineRule="auto"/>
        <w:rPr>
          <w:rFonts w:hAnsi="宋体" w:cs="宋体"/>
        </w:rPr>
      </w:pPr>
    </w:p>
    <w:p>
      <w:pPr>
        <w:rPr>
          <w:rFonts w:hAnsi="宋体" w:cs="宋体"/>
        </w:rPr>
      </w:pPr>
      <w:r>
        <w:rPr>
          <w:rFonts w:hAnsi="宋体" w:cs="宋体"/>
        </w:rPr>
        <w:br w:type="page"/>
      </w:r>
    </w:p>
    <w:p>
      <w:pPr>
        <w:spacing w:line="360" w:lineRule="auto"/>
        <w:jc w:val="left"/>
        <w:rPr>
          <w:rFonts w:hint="eastAsia" w:ascii="宋体" w:hAnsi="宋体" w:eastAsia="宋体" w:cs="宋体"/>
          <w:b w:val="0"/>
          <w:bCs w:val="0"/>
          <w:sz w:val="28"/>
          <w:szCs w:val="28"/>
          <w:highlight w:val="none"/>
          <w:lang w:eastAsia="zh-CN"/>
        </w:rPr>
      </w:pPr>
      <w:bookmarkStart w:id="381" w:name="_Toc536594754"/>
      <w:r>
        <w:rPr>
          <w:rFonts w:hint="eastAsia" w:ascii="宋体" w:hAnsi="宋体" w:cs="宋体"/>
          <w:b w:val="0"/>
          <w:bCs w:val="0"/>
          <w:sz w:val="24"/>
          <w:szCs w:val="24"/>
          <w:highlight w:val="none"/>
          <w:lang w:eastAsia="zh-CN"/>
        </w:rPr>
        <w:t>格式</w:t>
      </w:r>
      <w:r>
        <w:rPr>
          <w:rFonts w:hint="eastAsia" w:ascii="宋体" w:hAnsi="宋体" w:cs="宋体"/>
          <w:b w:val="0"/>
          <w:bCs w:val="0"/>
          <w:sz w:val="24"/>
          <w:szCs w:val="24"/>
          <w:highlight w:val="none"/>
          <w:lang w:val="en-US" w:eastAsia="zh-CN"/>
        </w:rPr>
        <w:t>九</w:t>
      </w:r>
      <w:r>
        <w:rPr>
          <w:rFonts w:hint="eastAsia" w:ascii="宋体" w:hAnsi="宋体" w:cs="宋体"/>
          <w:b w:val="0"/>
          <w:bCs w:val="0"/>
          <w:sz w:val="24"/>
          <w:szCs w:val="24"/>
          <w:highlight w:val="none"/>
          <w:lang w:eastAsia="zh-CN"/>
        </w:rPr>
        <w:t>：</w:t>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bookmarkEnd w:id="381"/>
      <w:r>
        <w:rPr>
          <w:rFonts w:hint="eastAsia" w:ascii="宋体" w:hAnsi="宋体" w:eastAsia="宋体"/>
          <w:bCs w:val="0"/>
          <w:lang w:eastAsia="zh-CN"/>
        </w:rPr>
        <w:t>（</w:t>
      </w:r>
      <w:r>
        <w:rPr>
          <w:rFonts w:hint="eastAsia" w:ascii="宋体" w:hAnsi="宋体" w:eastAsia="宋体"/>
          <w:bCs w:val="0"/>
          <w:lang w:val="en-US" w:eastAsia="zh-CN"/>
        </w:rPr>
        <w:t>标段001</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有机无机复混肥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hint="eastAsia" w:ascii="宋体" w:hAnsi="宋体" w:eastAsia="宋体"/>
                <w:szCs w:val="21"/>
                <w:u w:val="none"/>
                <w:lang w:eastAsia="zh-CN"/>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总价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ascii="宋体" w:hAnsi="宋体"/>
          <w:szCs w:val="21"/>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标段002</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szCs w:val="21"/>
                <w:lang w:eastAsia="zh-CN"/>
              </w:rPr>
              <w:t>缓释肥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总价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标段003</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hint="eastAsia" w:ascii="宋体" w:hAnsi="宋体" w:eastAsia="宋体"/>
                <w:szCs w:val="21"/>
                <w:u w:val="none"/>
                <w:lang w:eastAsia="zh-CN"/>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szCs w:val="21"/>
                <w:u w:val="none"/>
                <w:lang w:val="en-US" w:eastAsia="zh-CN"/>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default" w:ascii="宋体" w:hAnsi="宋体" w:eastAsia="宋体"/>
                <w:szCs w:val="21"/>
                <w:lang w:val="en-US" w:eastAsia="zh-CN"/>
              </w:rPr>
            </w:pPr>
            <w:r>
              <w:rPr>
                <w:rFonts w:hint="eastAsia" w:ascii="宋体" w:hAnsi="宋体" w:cs="宋体"/>
                <w:szCs w:val="21"/>
                <w:lang w:eastAsia="zh-CN"/>
              </w:rPr>
              <w:t>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标段004</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554"/>
        <w:gridCol w:w="2536"/>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复合微生物肥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1"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cs="Times New Roman"/>
                <w:kern w:val="2"/>
                <w:sz w:val="21"/>
                <w:szCs w:val="21"/>
                <w:u w:val="none"/>
                <w:lang w:val="en-US" w:eastAsia="zh-CN" w:bidi="ar-SA"/>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宋体"/>
                <w:szCs w:val="21"/>
                <w:lang w:eastAsia="zh-CN"/>
              </w:rPr>
              <w:t>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标段005</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554"/>
        <w:gridCol w:w="2536"/>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1"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val="en-US" w:eastAsia="zh-CN"/>
              </w:rPr>
              <w:t>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r>
              <w:rPr>
                <w:rFonts w:hint="eastAsia" w:ascii="宋体" w:hAnsi="宋体" w:cs="宋体"/>
                <w:szCs w:val="21"/>
              </w:rPr>
              <w:t>/</w:t>
            </w:r>
            <w:r>
              <w:rPr>
                <w:rFonts w:hint="eastAsia" w:ascii="宋体" w:hAnsi="宋体" w:cs="宋体"/>
                <w:szCs w:val="21"/>
                <w:lang w:val="en-US" w:eastAsia="zh-CN"/>
              </w:rPr>
              <w:t>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cs="Times New Roman"/>
                <w:kern w:val="2"/>
                <w:sz w:val="21"/>
                <w:szCs w:val="21"/>
                <w:u w:val="none"/>
                <w:lang w:val="en-US" w:eastAsia="zh-CN" w:bidi="ar-SA"/>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b/>
          <w:bCs/>
          <w:iCs/>
          <w:szCs w:val="21"/>
          <w:u w:val="single"/>
        </w:rPr>
      </w:pPr>
    </w:p>
    <w:sectPr>
      <w:headerReference r:id="rId7" w:type="default"/>
      <w:footerReference r:id="rId8" w:type="default"/>
      <w:pgSz w:w="11906" w:h="16838"/>
      <w:pgMar w:top="1134" w:right="1134" w:bottom="1134" w:left="1134" w:header="851" w:footer="992" w:gutter="0"/>
      <w:pgNumType w:fmt="decimal"/>
      <w:cols w:space="0" w:num="1"/>
      <w:rtlGutter w:val="0"/>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ˎ̥">
    <w:altName w:val="Times New Roman"/>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ngsana New">
    <w:altName w:val="Microsoft Sans Serif"/>
    <w:panose1 w:val="02020603050405020304"/>
    <w:charset w:val="DE"/>
    <w:family w:val="roman"/>
    <w:pitch w:val="default"/>
    <w:sig w:usb0="00000000" w:usb1="00000000" w:usb2="00000000" w:usb3="00000000" w:csb0="00010001" w:csb1="00000000"/>
  </w:font>
  <w:font w:name="FangSong_GB2312-Identity-H">
    <w:altName w:val="宋体"/>
    <w:panose1 w:val="00000000000000000000"/>
    <w:charset w:val="86"/>
    <w:family w:val="auto"/>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840" w:hanging="420"/>
      <w:jc w:val="both"/>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41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41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554D3"/>
    <w:multiLevelType w:val="singleLevel"/>
    <w:tmpl w:val="BEB554D3"/>
    <w:lvl w:ilvl="0" w:tentative="0">
      <w:start w:val="2"/>
      <w:numFmt w:val="decimal"/>
      <w:lvlText w:val="%1."/>
      <w:lvlJc w:val="left"/>
      <w:pPr>
        <w:tabs>
          <w:tab w:val="left" w:pos="312"/>
        </w:tabs>
      </w:pPr>
    </w:lvl>
  </w:abstractNum>
  <w:abstractNum w:abstractNumId="1">
    <w:nsid w:val="E939DE0E"/>
    <w:multiLevelType w:val="singleLevel"/>
    <w:tmpl w:val="E939DE0E"/>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7"/>
  <w:drawingGridVerticalSpacing w:val="158"/>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TQ2MDYzNmM2MTJkOWNkM2VlZjgzMzQ4YjVmYTAifQ=="/>
  </w:docVars>
  <w:rsids>
    <w:rsidRoot w:val="00172A27"/>
    <w:rsid w:val="00002D7F"/>
    <w:rsid w:val="00002F26"/>
    <w:rsid w:val="00007A05"/>
    <w:rsid w:val="00010413"/>
    <w:rsid w:val="00016D54"/>
    <w:rsid w:val="00017451"/>
    <w:rsid w:val="00017CFF"/>
    <w:rsid w:val="000218AB"/>
    <w:rsid w:val="000228CD"/>
    <w:rsid w:val="00022DF9"/>
    <w:rsid w:val="000235B5"/>
    <w:rsid w:val="00023801"/>
    <w:rsid w:val="000334C6"/>
    <w:rsid w:val="00035661"/>
    <w:rsid w:val="00035F52"/>
    <w:rsid w:val="00040142"/>
    <w:rsid w:val="000458B7"/>
    <w:rsid w:val="000503D1"/>
    <w:rsid w:val="0005448E"/>
    <w:rsid w:val="00061885"/>
    <w:rsid w:val="00061EC2"/>
    <w:rsid w:val="00063EA6"/>
    <w:rsid w:val="000657C2"/>
    <w:rsid w:val="00065FDE"/>
    <w:rsid w:val="0006604C"/>
    <w:rsid w:val="000664BF"/>
    <w:rsid w:val="00066916"/>
    <w:rsid w:val="0007232A"/>
    <w:rsid w:val="000763D5"/>
    <w:rsid w:val="0007756C"/>
    <w:rsid w:val="00081504"/>
    <w:rsid w:val="000815E4"/>
    <w:rsid w:val="00081B9D"/>
    <w:rsid w:val="00085F17"/>
    <w:rsid w:val="000874F2"/>
    <w:rsid w:val="00087836"/>
    <w:rsid w:val="00091771"/>
    <w:rsid w:val="00092A74"/>
    <w:rsid w:val="000A1A0F"/>
    <w:rsid w:val="000A6AD1"/>
    <w:rsid w:val="000B5A52"/>
    <w:rsid w:val="000C250B"/>
    <w:rsid w:val="000C2588"/>
    <w:rsid w:val="000C29EC"/>
    <w:rsid w:val="000C63F6"/>
    <w:rsid w:val="000C6B4A"/>
    <w:rsid w:val="000C6D8C"/>
    <w:rsid w:val="000C753E"/>
    <w:rsid w:val="000D1538"/>
    <w:rsid w:val="000D19E0"/>
    <w:rsid w:val="000D3BC5"/>
    <w:rsid w:val="000E00B3"/>
    <w:rsid w:val="000E0D9F"/>
    <w:rsid w:val="000E4830"/>
    <w:rsid w:val="000E7DD8"/>
    <w:rsid w:val="000F3A20"/>
    <w:rsid w:val="000F54D6"/>
    <w:rsid w:val="000F5553"/>
    <w:rsid w:val="00103D35"/>
    <w:rsid w:val="00104678"/>
    <w:rsid w:val="00111371"/>
    <w:rsid w:val="00113B8C"/>
    <w:rsid w:val="00114360"/>
    <w:rsid w:val="001167C7"/>
    <w:rsid w:val="00116C40"/>
    <w:rsid w:val="0012081F"/>
    <w:rsid w:val="0012106E"/>
    <w:rsid w:val="00123280"/>
    <w:rsid w:val="001258B3"/>
    <w:rsid w:val="0012726A"/>
    <w:rsid w:val="00127C83"/>
    <w:rsid w:val="00134F05"/>
    <w:rsid w:val="00135658"/>
    <w:rsid w:val="001363C3"/>
    <w:rsid w:val="001375ED"/>
    <w:rsid w:val="00147728"/>
    <w:rsid w:val="00147C37"/>
    <w:rsid w:val="00157EFB"/>
    <w:rsid w:val="00167D24"/>
    <w:rsid w:val="0017024E"/>
    <w:rsid w:val="0017039F"/>
    <w:rsid w:val="0017144B"/>
    <w:rsid w:val="001718FF"/>
    <w:rsid w:val="00172A27"/>
    <w:rsid w:val="00175994"/>
    <w:rsid w:val="00176360"/>
    <w:rsid w:val="00177A2E"/>
    <w:rsid w:val="001813B6"/>
    <w:rsid w:val="0018177F"/>
    <w:rsid w:val="00184892"/>
    <w:rsid w:val="00185CF1"/>
    <w:rsid w:val="001975D9"/>
    <w:rsid w:val="001A052D"/>
    <w:rsid w:val="001A0B80"/>
    <w:rsid w:val="001A18EA"/>
    <w:rsid w:val="001A426A"/>
    <w:rsid w:val="001A47DF"/>
    <w:rsid w:val="001A6115"/>
    <w:rsid w:val="001A6236"/>
    <w:rsid w:val="001A7C42"/>
    <w:rsid w:val="001B28B6"/>
    <w:rsid w:val="001B4C60"/>
    <w:rsid w:val="001B62F8"/>
    <w:rsid w:val="001B632F"/>
    <w:rsid w:val="001B6B0E"/>
    <w:rsid w:val="001C0C80"/>
    <w:rsid w:val="001C2B51"/>
    <w:rsid w:val="001C4CD1"/>
    <w:rsid w:val="001D042F"/>
    <w:rsid w:val="001D0945"/>
    <w:rsid w:val="001D2121"/>
    <w:rsid w:val="001D21A4"/>
    <w:rsid w:val="001D3F3B"/>
    <w:rsid w:val="001D42E8"/>
    <w:rsid w:val="001D6B9E"/>
    <w:rsid w:val="001E08CB"/>
    <w:rsid w:val="001E2497"/>
    <w:rsid w:val="001E333E"/>
    <w:rsid w:val="001E5267"/>
    <w:rsid w:val="001E5D34"/>
    <w:rsid w:val="001E61EE"/>
    <w:rsid w:val="001E6DBB"/>
    <w:rsid w:val="001F0058"/>
    <w:rsid w:val="001F0421"/>
    <w:rsid w:val="001F0EAE"/>
    <w:rsid w:val="001F7FFE"/>
    <w:rsid w:val="00201FCB"/>
    <w:rsid w:val="00204AE4"/>
    <w:rsid w:val="002078AB"/>
    <w:rsid w:val="00211D9B"/>
    <w:rsid w:val="00211E26"/>
    <w:rsid w:val="0022002B"/>
    <w:rsid w:val="00220DE8"/>
    <w:rsid w:val="00226082"/>
    <w:rsid w:val="002261C3"/>
    <w:rsid w:val="00226B71"/>
    <w:rsid w:val="00226D4B"/>
    <w:rsid w:val="00226D73"/>
    <w:rsid w:val="0023025D"/>
    <w:rsid w:val="00232BA4"/>
    <w:rsid w:val="0023436A"/>
    <w:rsid w:val="00240BB7"/>
    <w:rsid w:val="0024377D"/>
    <w:rsid w:val="00243856"/>
    <w:rsid w:val="00244201"/>
    <w:rsid w:val="0024632E"/>
    <w:rsid w:val="002467C8"/>
    <w:rsid w:val="002508B1"/>
    <w:rsid w:val="00251E62"/>
    <w:rsid w:val="002520FB"/>
    <w:rsid w:val="00254B00"/>
    <w:rsid w:val="00257E3E"/>
    <w:rsid w:val="0026712C"/>
    <w:rsid w:val="00270BDE"/>
    <w:rsid w:val="00270E4B"/>
    <w:rsid w:val="00271253"/>
    <w:rsid w:val="00276AFE"/>
    <w:rsid w:val="00276D49"/>
    <w:rsid w:val="00280719"/>
    <w:rsid w:val="00280EAE"/>
    <w:rsid w:val="002819B0"/>
    <w:rsid w:val="00282BEB"/>
    <w:rsid w:val="00283A00"/>
    <w:rsid w:val="00283D48"/>
    <w:rsid w:val="002854F8"/>
    <w:rsid w:val="00293B03"/>
    <w:rsid w:val="00293DC3"/>
    <w:rsid w:val="002963E6"/>
    <w:rsid w:val="002A3495"/>
    <w:rsid w:val="002A5EF0"/>
    <w:rsid w:val="002B1C86"/>
    <w:rsid w:val="002B6E8C"/>
    <w:rsid w:val="002C03A9"/>
    <w:rsid w:val="002C44FB"/>
    <w:rsid w:val="002D2821"/>
    <w:rsid w:val="002D2EB7"/>
    <w:rsid w:val="002D3356"/>
    <w:rsid w:val="002D73F5"/>
    <w:rsid w:val="002F0886"/>
    <w:rsid w:val="00307277"/>
    <w:rsid w:val="00310434"/>
    <w:rsid w:val="0031176D"/>
    <w:rsid w:val="00311CC8"/>
    <w:rsid w:val="00311EB2"/>
    <w:rsid w:val="003131D6"/>
    <w:rsid w:val="00323B24"/>
    <w:rsid w:val="00325AF5"/>
    <w:rsid w:val="0032784E"/>
    <w:rsid w:val="0033160F"/>
    <w:rsid w:val="0033231C"/>
    <w:rsid w:val="00333F0E"/>
    <w:rsid w:val="00335B47"/>
    <w:rsid w:val="00337B50"/>
    <w:rsid w:val="00342491"/>
    <w:rsid w:val="00343AF7"/>
    <w:rsid w:val="003446B3"/>
    <w:rsid w:val="00350494"/>
    <w:rsid w:val="00351E8C"/>
    <w:rsid w:val="00355514"/>
    <w:rsid w:val="00355C5D"/>
    <w:rsid w:val="003577A2"/>
    <w:rsid w:val="00361108"/>
    <w:rsid w:val="00362482"/>
    <w:rsid w:val="003624C3"/>
    <w:rsid w:val="00365B86"/>
    <w:rsid w:val="00367FA6"/>
    <w:rsid w:val="0037043A"/>
    <w:rsid w:val="003713C6"/>
    <w:rsid w:val="00375D46"/>
    <w:rsid w:val="0037674D"/>
    <w:rsid w:val="00377147"/>
    <w:rsid w:val="0037746E"/>
    <w:rsid w:val="00380EA0"/>
    <w:rsid w:val="00381C0F"/>
    <w:rsid w:val="0038580F"/>
    <w:rsid w:val="00385BB8"/>
    <w:rsid w:val="00385E80"/>
    <w:rsid w:val="0039217D"/>
    <w:rsid w:val="003A0A49"/>
    <w:rsid w:val="003B12E6"/>
    <w:rsid w:val="003B4A71"/>
    <w:rsid w:val="003B6A91"/>
    <w:rsid w:val="003B72B8"/>
    <w:rsid w:val="003B7566"/>
    <w:rsid w:val="003C103F"/>
    <w:rsid w:val="003C3091"/>
    <w:rsid w:val="003D0094"/>
    <w:rsid w:val="003D19A7"/>
    <w:rsid w:val="003D240C"/>
    <w:rsid w:val="003D2BA6"/>
    <w:rsid w:val="003D59B1"/>
    <w:rsid w:val="003E13A1"/>
    <w:rsid w:val="003E27A4"/>
    <w:rsid w:val="003E2F6E"/>
    <w:rsid w:val="003E4122"/>
    <w:rsid w:val="003E43EB"/>
    <w:rsid w:val="003E46CA"/>
    <w:rsid w:val="003E484E"/>
    <w:rsid w:val="003E58A4"/>
    <w:rsid w:val="003E7C20"/>
    <w:rsid w:val="003F011C"/>
    <w:rsid w:val="003F073B"/>
    <w:rsid w:val="003F536E"/>
    <w:rsid w:val="003F5678"/>
    <w:rsid w:val="003F5B71"/>
    <w:rsid w:val="003F5F12"/>
    <w:rsid w:val="003F7E55"/>
    <w:rsid w:val="004001ED"/>
    <w:rsid w:val="00403E29"/>
    <w:rsid w:val="004043E7"/>
    <w:rsid w:val="00406DA0"/>
    <w:rsid w:val="0041115F"/>
    <w:rsid w:val="004115C7"/>
    <w:rsid w:val="0041177B"/>
    <w:rsid w:val="004124A1"/>
    <w:rsid w:val="00413B06"/>
    <w:rsid w:val="00413CEA"/>
    <w:rsid w:val="00414BE0"/>
    <w:rsid w:val="004204A9"/>
    <w:rsid w:val="00426E33"/>
    <w:rsid w:val="00436E54"/>
    <w:rsid w:val="00441E5D"/>
    <w:rsid w:val="004443AA"/>
    <w:rsid w:val="00445180"/>
    <w:rsid w:val="00445B3B"/>
    <w:rsid w:val="00451462"/>
    <w:rsid w:val="00452FD5"/>
    <w:rsid w:val="0045455B"/>
    <w:rsid w:val="00461DBD"/>
    <w:rsid w:val="00462402"/>
    <w:rsid w:val="00464867"/>
    <w:rsid w:val="00467968"/>
    <w:rsid w:val="00470992"/>
    <w:rsid w:val="00471C8A"/>
    <w:rsid w:val="00472BC2"/>
    <w:rsid w:val="00474345"/>
    <w:rsid w:val="004810AE"/>
    <w:rsid w:val="00481206"/>
    <w:rsid w:val="00481623"/>
    <w:rsid w:val="004822BD"/>
    <w:rsid w:val="00483477"/>
    <w:rsid w:val="00485D88"/>
    <w:rsid w:val="00487449"/>
    <w:rsid w:val="0049076F"/>
    <w:rsid w:val="004957C1"/>
    <w:rsid w:val="00495C05"/>
    <w:rsid w:val="0049680A"/>
    <w:rsid w:val="004A0DAD"/>
    <w:rsid w:val="004A17BD"/>
    <w:rsid w:val="004A2FB9"/>
    <w:rsid w:val="004A35EA"/>
    <w:rsid w:val="004B0392"/>
    <w:rsid w:val="004B26CA"/>
    <w:rsid w:val="004B46F5"/>
    <w:rsid w:val="004B4F54"/>
    <w:rsid w:val="004B58DE"/>
    <w:rsid w:val="004B6972"/>
    <w:rsid w:val="004C0209"/>
    <w:rsid w:val="004C3A87"/>
    <w:rsid w:val="004C5B77"/>
    <w:rsid w:val="004C71B2"/>
    <w:rsid w:val="004C7334"/>
    <w:rsid w:val="004C7DA4"/>
    <w:rsid w:val="004D0F22"/>
    <w:rsid w:val="004D2FF7"/>
    <w:rsid w:val="004D6AE6"/>
    <w:rsid w:val="004D6FC4"/>
    <w:rsid w:val="004E254A"/>
    <w:rsid w:val="004E5BFC"/>
    <w:rsid w:val="004E61CC"/>
    <w:rsid w:val="004E78BE"/>
    <w:rsid w:val="004F47FF"/>
    <w:rsid w:val="004F5996"/>
    <w:rsid w:val="004F5F82"/>
    <w:rsid w:val="0050020D"/>
    <w:rsid w:val="0050083C"/>
    <w:rsid w:val="00501692"/>
    <w:rsid w:val="005018F6"/>
    <w:rsid w:val="00502324"/>
    <w:rsid w:val="00504AD2"/>
    <w:rsid w:val="00505044"/>
    <w:rsid w:val="00506524"/>
    <w:rsid w:val="00510905"/>
    <w:rsid w:val="005141A3"/>
    <w:rsid w:val="005153F4"/>
    <w:rsid w:val="00516519"/>
    <w:rsid w:val="00517D60"/>
    <w:rsid w:val="00524123"/>
    <w:rsid w:val="00524E02"/>
    <w:rsid w:val="00526A78"/>
    <w:rsid w:val="00527AFA"/>
    <w:rsid w:val="00531D4E"/>
    <w:rsid w:val="00532F65"/>
    <w:rsid w:val="005350AA"/>
    <w:rsid w:val="00537C21"/>
    <w:rsid w:val="00542200"/>
    <w:rsid w:val="00542694"/>
    <w:rsid w:val="00543535"/>
    <w:rsid w:val="005466C6"/>
    <w:rsid w:val="005473B4"/>
    <w:rsid w:val="00552828"/>
    <w:rsid w:val="00555E14"/>
    <w:rsid w:val="00562099"/>
    <w:rsid w:val="00562423"/>
    <w:rsid w:val="0056331E"/>
    <w:rsid w:val="00565DF4"/>
    <w:rsid w:val="00566FA1"/>
    <w:rsid w:val="0056708A"/>
    <w:rsid w:val="00567A66"/>
    <w:rsid w:val="00570468"/>
    <w:rsid w:val="00571A8F"/>
    <w:rsid w:val="00574B49"/>
    <w:rsid w:val="005774C1"/>
    <w:rsid w:val="00582907"/>
    <w:rsid w:val="00583040"/>
    <w:rsid w:val="00585210"/>
    <w:rsid w:val="00586D24"/>
    <w:rsid w:val="00587EA3"/>
    <w:rsid w:val="00593617"/>
    <w:rsid w:val="005946D5"/>
    <w:rsid w:val="00596CFD"/>
    <w:rsid w:val="005A044D"/>
    <w:rsid w:val="005A1936"/>
    <w:rsid w:val="005A2158"/>
    <w:rsid w:val="005A2EB3"/>
    <w:rsid w:val="005B2738"/>
    <w:rsid w:val="005B53AF"/>
    <w:rsid w:val="005B657E"/>
    <w:rsid w:val="005B669C"/>
    <w:rsid w:val="005B68F9"/>
    <w:rsid w:val="005B7205"/>
    <w:rsid w:val="005C4A8E"/>
    <w:rsid w:val="005C6512"/>
    <w:rsid w:val="005C6D03"/>
    <w:rsid w:val="005D5F61"/>
    <w:rsid w:val="005D6FA2"/>
    <w:rsid w:val="005D7B30"/>
    <w:rsid w:val="005E7D85"/>
    <w:rsid w:val="005F2D07"/>
    <w:rsid w:val="005F2DF4"/>
    <w:rsid w:val="005F4A96"/>
    <w:rsid w:val="005F75D3"/>
    <w:rsid w:val="006037FB"/>
    <w:rsid w:val="006041A9"/>
    <w:rsid w:val="006057A5"/>
    <w:rsid w:val="00605EEE"/>
    <w:rsid w:val="00611A66"/>
    <w:rsid w:val="006123B6"/>
    <w:rsid w:val="00613BAA"/>
    <w:rsid w:val="00614294"/>
    <w:rsid w:val="006164A4"/>
    <w:rsid w:val="00620B28"/>
    <w:rsid w:val="0062548F"/>
    <w:rsid w:val="00625C05"/>
    <w:rsid w:val="00625CF9"/>
    <w:rsid w:val="00626B0A"/>
    <w:rsid w:val="00630C54"/>
    <w:rsid w:val="006316D2"/>
    <w:rsid w:val="006340FC"/>
    <w:rsid w:val="00635018"/>
    <w:rsid w:val="00636CA9"/>
    <w:rsid w:val="006405A7"/>
    <w:rsid w:val="0064374C"/>
    <w:rsid w:val="006455F6"/>
    <w:rsid w:val="00645F11"/>
    <w:rsid w:val="006473FB"/>
    <w:rsid w:val="006511D5"/>
    <w:rsid w:val="00651E26"/>
    <w:rsid w:val="006579FE"/>
    <w:rsid w:val="0066197C"/>
    <w:rsid w:val="00663EBF"/>
    <w:rsid w:val="00664E28"/>
    <w:rsid w:val="006661E3"/>
    <w:rsid w:val="00670787"/>
    <w:rsid w:val="006734A2"/>
    <w:rsid w:val="00674696"/>
    <w:rsid w:val="006754D8"/>
    <w:rsid w:val="00677041"/>
    <w:rsid w:val="00680089"/>
    <w:rsid w:val="00680819"/>
    <w:rsid w:val="00680D74"/>
    <w:rsid w:val="00683B58"/>
    <w:rsid w:val="006918D2"/>
    <w:rsid w:val="00692A75"/>
    <w:rsid w:val="00697DAA"/>
    <w:rsid w:val="006A6D62"/>
    <w:rsid w:val="006B0C66"/>
    <w:rsid w:val="006B4C9F"/>
    <w:rsid w:val="006B6316"/>
    <w:rsid w:val="006B7DC5"/>
    <w:rsid w:val="006C013F"/>
    <w:rsid w:val="006C124A"/>
    <w:rsid w:val="006C28B1"/>
    <w:rsid w:val="006D1E1F"/>
    <w:rsid w:val="006D725F"/>
    <w:rsid w:val="006E2CEB"/>
    <w:rsid w:val="006E4649"/>
    <w:rsid w:val="006E4EED"/>
    <w:rsid w:val="006E7543"/>
    <w:rsid w:val="006F35D2"/>
    <w:rsid w:val="006F3649"/>
    <w:rsid w:val="006F381A"/>
    <w:rsid w:val="006F525C"/>
    <w:rsid w:val="006F56E3"/>
    <w:rsid w:val="006F59E9"/>
    <w:rsid w:val="006F61AD"/>
    <w:rsid w:val="006F68D2"/>
    <w:rsid w:val="006F7DB0"/>
    <w:rsid w:val="007009F3"/>
    <w:rsid w:val="00700DEA"/>
    <w:rsid w:val="0070313A"/>
    <w:rsid w:val="007077A7"/>
    <w:rsid w:val="007077B5"/>
    <w:rsid w:val="00707CF1"/>
    <w:rsid w:val="00707EE9"/>
    <w:rsid w:val="007128C4"/>
    <w:rsid w:val="0071324D"/>
    <w:rsid w:val="0071564B"/>
    <w:rsid w:val="00715763"/>
    <w:rsid w:val="00715D1F"/>
    <w:rsid w:val="007200CA"/>
    <w:rsid w:val="00722C92"/>
    <w:rsid w:val="00725DA9"/>
    <w:rsid w:val="00726CA6"/>
    <w:rsid w:val="00726DCE"/>
    <w:rsid w:val="0073020C"/>
    <w:rsid w:val="0073055E"/>
    <w:rsid w:val="00732AC8"/>
    <w:rsid w:val="007334E3"/>
    <w:rsid w:val="00735C6F"/>
    <w:rsid w:val="00743891"/>
    <w:rsid w:val="00743ECB"/>
    <w:rsid w:val="00746812"/>
    <w:rsid w:val="00754628"/>
    <w:rsid w:val="00755A08"/>
    <w:rsid w:val="00755B1D"/>
    <w:rsid w:val="00761173"/>
    <w:rsid w:val="00764F59"/>
    <w:rsid w:val="00765126"/>
    <w:rsid w:val="00770182"/>
    <w:rsid w:val="00770A4A"/>
    <w:rsid w:val="0077241A"/>
    <w:rsid w:val="007748F1"/>
    <w:rsid w:val="00776111"/>
    <w:rsid w:val="00776F85"/>
    <w:rsid w:val="00776FE8"/>
    <w:rsid w:val="00777BE7"/>
    <w:rsid w:val="007809F8"/>
    <w:rsid w:val="0078134D"/>
    <w:rsid w:val="007850E6"/>
    <w:rsid w:val="00785A35"/>
    <w:rsid w:val="007864CE"/>
    <w:rsid w:val="00786C2E"/>
    <w:rsid w:val="00787875"/>
    <w:rsid w:val="00791963"/>
    <w:rsid w:val="00796862"/>
    <w:rsid w:val="007A2763"/>
    <w:rsid w:val="007A48E6"/>
    <w:rsid w:val="007A6C4D"/>
    <w:rsid w:val="007A79BC"/>
    <w:rsid w:val="007B5711"/>
    <w:rsid w:val="007B5EAF"/>
    <w:rsid w:val="007B67A6"/>
    <w:rsid w:val="007C1B10"/>
    <w:rsid w:val="007C2FC9"/>
    <w:rsid w:val="007C3224"/>
    <w:rsid w:val="007C47D5"/>
    <w:rsid w:val="007D18B3"/>
    <w:rsid w:val="007D1E0D"/>
    <w:rsid w:val="007D22B6"/>
    <w:rsid w:val="007D2739"/>
    <w:rsid w:val="007D3A3C"/>
    <w:rsid w:val="007D5831"/>
    <w:rsid w:val="007D6328"/>
    <w:rsid w:val="007D6EC0"/>
    <w:rsid w:val="007D7670"/>
    <w:rsid w:val="007D7E15"/>
    <w:rsid w:val="007E13C1"/>
    <w:rsid w:val="007E34D7"/>
    <w:rsid w:val="007E521E"/>
    <w:rsid w:val="007E72E7"/>
    <w:rsid w:val="007F1317"/>
    <w:rsid w:val="007F36F0"/>
    <w:rsid w:val="007F38A4"/>
    <w:rsid w:val="007F3F3D"/>
    <w:rsid w:val="007F4032"/>
    <w:rsid w:val="007F495C"/>
    <w:rsid w:val="007F4BBA"/>
    <w:rsid w:val="007F7538"/>
    <w:rsid w:val="00801541"/>
    <w:rsid w:val="00801586"/>
    <w:rsid w:val="00803E62"/>
    <w:rsid w:val="008047E7"/>
    <w:rsid w:val="00804D8A"/>
    <w:rsid w:val="00805E1D"/>
    <w:rsid w:val="008074BB"/>
    <w:rsid w:val="008105C6"/>
    <w:rsid w:val="00813D6F"/>
    <w:rsid w:val="00815C9A"/>
    <w:rsid w:val="00817F66"/>
    <w:rsid w:val="00824701"/>
    <w:rsid w:val="00825F24"/>
    <w:rsid w:val="00830620"/>
    <w:rsid w:val="00831637"/>
    <w:rsid w:val="0083240A"/>
    <w:rsid w:val="008334D5"/>
    <w:rsid w:val="00835B36"/>
    <w:rsid w:val="00841C10"/>
    <w:rsid w:val="00842F79"/>
    <w:rsid w:val="00844428"/>
    <w:rsid w:val="008464A4"/>
    <w:rsid w:val="0084797D"/>
    <w:rsid w:val="00847F60"/>
    <w:rsid w:val="0085619B"/>
    <w:rsid w:val="00857E08"/>
    <w:rsid w:val="00864B51"/>
    <w:rsid w:val="00874692"/>
    <w:rsid w:val="00875028"/>
    <w:rsid w:val="008767BE"/>
    <w:rsid w:val="008824F3"/>
    <w:rsid w:val="00884937"/>
    <w:rsid w:val="008850A6"/>
    <w:rsid w:val="00891AE2"/>
    <w:rsid w:val="00893AC7"/>
    <w:rsid w:val="00894C86"/>
    <w:rsid w:val="00895ADB"/>
    <w:rsid w:val="008966D1"/>
    <w:rsid w:val="008A43D2"/>
    <w:rsid w:val="008A69B5"/>
    <w:rsid w:val="008A6F74"/>
    <w:rsid w:val="008B1E40"/>
    <w:rsid w:val="008B4E3F"/>
    <w:rsid w:val="008C0601"/>
    <w:rsid w:val="008C4DA7"/>
    <w:rsid w:val="008C6D0A"/>
    <w:rsid w:val="008C7CC5"/>
    <w:rsid w:val="008D092A"/>
    <w:rsid w:val="008D1A9C"/>
    <w:rsid w:val="008D369F"/>
    <w:rsid w:val="008D38D3"/>
    <w:rsid w:val="008D3F64"/>
    <w:rsid w:val="008E042A"/>
    <w:rsid w:val="008E20E3"/>
    <w:rsid w:val="008E2E7A"/>
    <w:rsid w:val="008E31BB"/>
    <w:rsid w:val="008E369D"/>
    <w:rsid w:val="008E77D8"/>
    <w:rsid w:val="008E7AF0"/>
    <w:rsid w:val="008F10C1"/>
    <w:rsid w:val="008F31AD"/>
    <w:rsid w:val="008F3632"/>
    <w:rsid w:val="008F4C54"/>
    <w:rsid w:val="00900398"/>
    <w:rsid w:val="009014B3"/>
    <w:rsid w:val="0090219A"/>
    <w:rsid w:val="009024EC"/>
    <w:rsid w:val="00904615"/>
    <w:rsid w:val="009049D8"/>
    <w:rsid w:val="00912374"/>
    <w:rsid w:val="00913066"/>
    <w:rsid w:val="0091413E"/>
    <w:rsid w:val="00914E62"/>
    <w:rsid w:val="0092070A"/>
    <w:rsid w:val="00922331"/>
    <w:rsid w:val="00924347"/>
    <w:rsid w:val="0092458D"/>
    <w:rsid w:val="00931830"/>
    <w:rsid w:val="00931E26"/>
    <w:rsid w:val="009354AE"/>
    <w:rsid w:val="009365E8"/>
    <w:rsid w:val="00937176"/>
    <w:rsid w:val="009379D4"/>
    <w:rsid w:val="0094011D"/>
    <w:rsid w:val="00941417"/>
    <w:rsid w:val="009425B0"/>
    <w:rsid w:val="009425F0"/>
    <w:rsid w:val="00943BB6"/>
    <w:rsid w:val="009464EB"/>
    <w:rsid w:val="00953624"/>
    <w:rsid w:val="00953AC0"/>
    <w:rsid w:val="00953EF2"/>
    <w:rsid w:val="00955F0F"/>
    <w:rsid w:val="00956BC5"/>
    <w:rsid w:val="0096031E"/>
    <w:rsid w:val="00960976"/>
    <w:rsid w:val="0096247C"/>
    <w:rsid w:val="00962BDB"/>
    <w:rsid w:val="00965222"/>
    <w:rsid w:val="00966709"/>
    <w:rsid w:val="00967CB4"/>
    <w:rsid w:val="0097046C"/>
    <w:rsid w:val="00970C27"/>
    <w:rsid w:val="00971958"/>
    <w:rsid w:val="00974EF7"/>
    <w:rsid w:val="0097537E"/>
    <w:rsid w:val="009772C1"/>
    <w:rsid w:val="00985756"/>
    <w:rsid w:val="0098597A"/>
    <w:rsid w:val="009860D1"/>
    <w:rsid w:val="009872F3"/>
    <w:rsid w:val="00987988"/>
    <w:rsid w:val="009916A1"/>
    <w:rsid w:val="0099383A"/>
    <w:rsid w:val="00997987"/>
    <w:rsid w:val="009A030F"/>
    <w:rsid w:val="009A04ED"/>
    <w:rsid w:val="009A3DC3"/>
    <w:rsid w:val="009A497E"/>
    <w:rsid w:val="009A4E7C"/>
    <w:rsid w:val="009B2CF4"/>
    <w:rsid w:val="009C1183"/>
    <w:rsid w:val="009C5AA4"/>
    <w:rsid w:val="009C7071"/>
    <w:rsid w:val="009D0C67"/>
    <w:rsid w:val="009D0EA3"/>
    <w:rsid w:val="009D41C6"/>
    <w:rsid w:val="009D48AD"/>
    <w:rsid w:val="009E0340"/>
    <w:rsid w:val="009E1EF4"/>
    <w:rsid w:val="009E28D5"/>
    <w:rsid w:val="009E3987"/>
    <w:rsid w:val="009F3293"/>
    <w:rsid w:val="009F46F1"/>
    <w:rsid w:val="00A008F2"/>
    <w:rsid w:val="00A167F8"/>
    <w:rsid w:val="00A225E4"/>
    <w:rsid w:val="00A24EBB"/>
    <w:rsid w:val="00A25580"/>
    <w:rsid w:val="00A30288"/>
    <w:rsid w:val="00A317D9"/>
    <w:rsid w:val="00A33876"/>
    <w:rsid w:val="00A33CAA"/>
    <w:rsid w:val="00A358C5"/>
    <w:rsid w:val="00A4071A"/>
    <w:rsid w:val="00A41401"/>
    <w:rsid w:val="00A4184C"/>
    <w:rsid w:val="00A4245B"/>
    <w:rsid w:val="00A43D30"/>
    <w:rsid w:val="00A44F46"/>
    <w:rsid w:val="00A51EB6"/>
    <w:rsid w:val="00A539C2"/>
    <w:rsid w:val="00A53A4B"/>
    <w:rsid w:val="00A54AB3"/>
    <w:rsid w:val="00A5635A"/>
    <w:rsid w:val="00A56AB1"/>
    <w:rsid w:val="00A57E9D"/>
    <w:rsid w:val="00A62A2D"/>
    <w:rsid w:val="00A62D34"/>
    <w:rsid w:val="00A62EE1"/>
    <w:rsid w:val="00A64010"/>
    <w:rsid w:val="00A641DB"/>
    <w:rsid w:val="00A64EB5"/>
    <w:rsid w:val="00A65C75"/>
    <w:rsid w:val="00A7079C"/>
    <w:rsid w:val="00A7119F"/>
    <w:rsid w:val="00A717FE"/>
    <w:rsid w:val="00A7253F"/>
    <w:rsid w:val="00A750CC"/>
    <w:rsid w:val="00A77056"/>
    <w:rsid w:val="00A81E7A"/>
    <w:rsid w:val="00A84432"/>
    <w:rsid w:val="00A85960"/>
    <w:rsid w:val="00A86C78"/>
    <w:rsid w:val="00A90E56"/>
    <w:rsid w:val="00A93644"/>
    <w:rsid w:val="00A93DC4"/>
    <w:rsid w:val="00A96167"/>
    <w:rsid w:val="00AA02F8"/>
    <w:rsid w:val="00AA6E77"/>
    <w:rsid w:val="00AB0444"/>
    <w:rsid w:val="00AB24D7"/>
    <w:rsid w:val="00AC636A"/>
    <w:rsid w:val="00AD1D41"/>
    <w:rsid w:val="00AD2379"/>
    <w:rsid w:val="00AD2A3E"/>
    <w:rsid w:val="00AE1C56"/>
    <w:rsid w:val="00AE3642"/>
    <w:rsid w:val="00AE518B"/>
    <w:rsid w:val="00AF1959"/>
    <w:rsid w:val="00AF20FB"/>
    <w:rsid w:val="00AF2985"/>
    <w:rsid w:val="00AF5D68"/>
    <w:rsid w:val="00AF6C25"/>
    <w:rsid w:val="00B0151F"/>
    <w:rsid w:val="00B07754"/>
    <w:rsid w:val="00B11644"/>
    <w:rsid w:val="00B11664"/>
    <w:rsid w:val="00B11AE5"/>
    <w:rsid w:val="00B12011"/>
    <w:rsid w:val="00B21910"/>
    <w:rsid w:val="00B21B32"/>
    <w:rsid w:val="00B261FB"/>
    <w:rsid w:val="00B26E30"/>
    <w:rsid w:val="00B30185"/>
    <w:rsid w:val="00B32E1C"/>
    <w:rsid w:val="00B335AC"/>
    <w:rsid w:val="00B33C84"/>
    <w:rsid w:val="00B35A9D"/>
    <w:rsid w:val="00B36AA3"/>
    <w:rsid w:val="00B37DA4"/>
    <w:rsid w:val="00B41883"/>
    <w:rsid w:val="00B41AA2"/>
    <w:rsid w:val="00B44C9E"/>
    <w:rsid w:val="00B5235F"/>
    <w:rsid w:val="00B528E7"/>
    <w:rsid w:val="00B52DD9"/>
    <w:rsid w:val="00B55D75"/>
    <w:rsid w:val="00B5725E"/>
    <w:rsid w:val="00B6206C"/>
    <w:rsid w:val="00B66630"/>
    <w:rsid w:val="00B66DBE"/>
    <w:rsid w:val="00B67CAA"/>
    <w:rsid w:val="00B67E24"/>
    <w:rsid w:val="00B67EAC"/>
    <w:rsid w:val="00B70AD0"/>
    <w:rsid w:val="00B70CE1"/>
    <w:rsid w:val="00B74A13"/>
    <w:rsid w:val="00B750F5"/>
    <w:rsid w:val="00B805F9"/>
    <w:rsid w:val="00B81D1C"/>
    <w:rsid w:val="00B82BD9"/>
    <w:rsid w:val="00B84ECA"/>
    <w:rsid w:val="00B95314"/>
    <w:rsid w:val="00B970DF"/>
    <w:rsid w:val="00B97E4E"/>
    <w:rsid w:val="00BA0B85"/>
    <w:rsid w:val="00BA11F0"/>
    <w:rsid w:val="00BA67C3"/>
    <w:rsid w:val="00BB1D78"/>
    <w:rsid w:val="00BB3E6F"/>
    <w:rsid w:val="00BB6577"/>
    <w:rsid w:val="00BB786F"/>
    <w:rsid w:val="00BC0F25"/>
    <w:rsid w:val="00BC43BE"/>
    <w:rsid w:val="00BC52A7"/>
    <w:rsid w:val="00BC7D3B"/>
    <w:rsid w:val="00BC7D6D"/>
    <w:rsid w:val="00BC7F67"/>
    <w:rsid w:val="00BD3DF0"/>
    <w:rsid w:val="00BD4F77"/>
    <w:rsid w:val="00BD5F91"/>
    <w:rsid w:val="00BD64E3"/>
    <w:rsid w:val="00BD7578"/>
    <w:rsid w:val="00BD7BD5"/>
    <w:rsid w:val="00BD7C17"/>
    <w:rsid w:val="00BE2D51"/>
    <w:rsid w:val="00BE3263"/>
    <w:rsid w:val="00BE5C85"/>
    <w:rsid w:val="00BE73D9"/>
    <w:rsid w:val="00BF1E1A"/>
    <w:rsid w:val="00BF2EEA"/>
    <w:rsid w:val="00BF57D2"/>
    <w:rsid w:val="00BF6620"/>
    <w:rsid w:val="00BF716C"/>
    <w:rsid w:val="00C00AC8"/>
    <w:rsid w:val="00C03C55"/>
    <w:rsid w:val="00C05D7C"/>
    <w:rsid w:val="00C10DC4"/>
    <w:rsid w:val="00C16B60"/>
    <w:rsid w:val="00C21B7A"/>
    <w:rsid w:val="00C2208B"/>
    <w:rsid w:val="00C25B18"/>
    <w:rsid w:val="00C2766C"/>
    <w:rsid w:val="00C318D8"/>
    <w:rsid w:val="00C31E35"/>
    <w:rsid w:val="00C35FD5"/>
    <w:rsid w:val="00C36B5B"/>
    <w:rsid w:val="00C372CA"/>
    <w:rsid w:val="00C400FF"/>
    <w:rsid w:val="00C40CC7"/>
    <w:rsid w:val="00C4143C"/>
    <w:rsid w:val="00C44B32"/>
    <w:rsid w:val="00C44E08"/>
    <w:rsid w:val="00C53589"/>
    <w:rsid w:val="00C5462F"/>
    <w:rsid w:val="00C56A51"/>
    <w:rsid w:val="00C576D8"/>
    <w:rsid w:val="00C625B2"/>
    <w:rsid w:val="00C63723"/>
    <w:rsid w:val="00C66D4D"/>
    <w:rsid w:val="00C725D8"/>
    <w:rsid w:val="00C73915"/>
    <w:rsid w:val="00C775D1"/>
    <w:rsid w:val="00C84BA9"/>
    <w:rsid w:val="00C85A0C"/>
    <w:rsid w:val="00C91459"/>
    <w:rsid w:val="00C924C9"/>
    <w:rsid w:val="00C94C27"/>
    <w:rsid w:val="00C9584D"/>
    <w:rsid w:val="00C965E3"/>
    <w:rsid w:val="00CA3A8A"/>
    <w:rsid w:val="00CA4297"/>
    <w:rsid w:val="00CA5274"/>
    <w:rsid w:val="00CA6F2A"/>
    <w:rsid w:val="00CB0F05"/>
    <w:rsid w:val="00CB10D8"/>
    <w:rsid w:val="00CB1110"/>
    <w:rsid w:val="00CB11A8"/>
    <w:rsid w:val="00CB703F"/>
    <w:rsid w:val="00CB782E"/>
    <w:rsid w:val="00CB7B44"/>
    <w:rsid w:val="00CC175E"/>
    <w:rsid w:val="00CC2D18"/>
    <w:rsid w:val="00CC3FD8"/>
    <w:rsid w:val="00CC4AAB"/>
    <w:rsid w:val="00CC75CF"/>
    <w:rsid w:val="00CD0374"/>
    <w:rsid w:val="00CD3CD0"/>
    <w:rsid w:val="00CD6BA8"/>
    <w:rsid w:val="00CD7BA0"/>
    <w:rsid w:val="00CD7C3B"/>
    <w:rsid w:val="00CE2E4C"/>
    <w:rsid w:val="00CE4108"/>
    <w:rsid w:val="00CE486C"/>
    <w:rsid w:val="00CF00BE"/>
    <w:rsid w:val="00CF09CE"/>
    <w:rsid w:val="00CF49E5"/>
    <w:rsid w:val="00D02E8F"/>
    <w:rsid w:val="00D03881"/>
    <w:rsid w:val="00D04BDA"/>
    <w:rsid w:val="00D07775"/>
    <w:rsid w:val="00D10753"/>
    <w:rsid w:val="00D10BB6"/>
    <w:rsid w:val="00D21734"/>
    <w:rsid w:val="00D21A62"/>
    <w:rsid w:val="00D220CA"/>
    <w:rsid w:val="00D22D59"/>
    <w:rsid w:val="00D23EB2"/>
    <w:rsid w:val="00D25926"/>
    <w:rsid w:val="00D27FF5"/>
    <w:rsid w:val="00D31158"/>
    <w:rsid w:val="00D3262F"/>
    <w:rsid w:val="00D32C93"/>
    <w:rsid w:val="00D34E0B"/>
    <w:rsid w:val="00D508DB"/>
    <w:rsid w:val="00D512DB"/>
    <w:rsid w:val="00D537D9"/>
    <w:rsid w:val="00D54F4F"/>
    <w:rsid w:val="00D5512B"/>
    <w:rsid w:val="00D56C5A"/>
    <w:rsid w:val="00D56F67"/>
    <w:rsid w:val="00D60BD8"/>
    <w:rsid w:val="00D62468"/>
    <w:rsid w:val="00D62DF3"/>
    <w:rsid w:val="00D63BA3"/>
    <w:rsid w:val="00D658EE"/>
    <w:rsid w:val="00D65BFE"/>
    <w:rsid w:val="00D67DAD"/>
    <w:rsid w:val="00D7269F"/>
    <w:rsid w:val="00D72832"/>
    <w:rsid w:val="00D74548"/>
    <w:rsid w:val="00D74E8C"/>
    <w:rsid w:val="00D8167F"/>
    <w:rsid w:val="00D819FE"/>
    <w:rsid w:val="00D860CC"/>
    <w:rsid w:val="00D8656B"/>
    <w:rsid w:val="00D91A79"/>
    <w:rsid w:val="00D94B20"/>
    <w:rsid w:val="00D94D69"/>
    <w:rsid w:val="00DA1223"/>
    <w:rsid w:val="00DA3228"/>
    <w:rsid w:val="00DA369F"/>
    <w:rsid w:val="00DA3A9E"/>
    <w:rsid w:val="00DA5EF0"/>
    <w:rsid w:val="00DA7ECE"/>
    <w:rsid w:val="00DB1328"/>
    <w:rsid w:val="00DB2487"/>
    <w:rsid w:val="00DB66C2"/>
    <w:rsid w:val="00DC20B2"/>
    <w:rsid w:val="00DC31F1"/>
    <w:rsid w:val="00DC4E52"/>
    <w:rsid w:val="00DC6F1E"/>
    <w:rsid w:val="00DC7819"/>
    <w:rsid w:val="00DD0D9A"/>
    <w:rsid w:val="00DD1938"/>
    <w:rsid w:val="00DD44B9"/>
    <w:rsid w:val="00DE03E9"/>
    <w:rsid w:val="00DE06D4"/>
    <w:rsid w:val="00DE0A04"/>
    <w:rsid w:val="00DE0B7E"/>
    <w:rsid w:val="00DE11A0"/>
    <w:rsid w:val="00DE7368"/>
    <w:rsid w:val="00DF20A6"/>
    <w:rsid w:val="00DF3345"/>
    <w:rsid w:val="00E0161C"/>
    <w:rsid w:val="00E0240C"/>
    <w:rsid w:val="00E02573"/>
    <w:rsid w:val="00E04827"/>
    <w:rsid w:val="00E11641"/>
    <w:rsid w:val="00E154B0"/>
    <w:rsid w:val="00E16398"/>
    <w:rsid w:val="00E1656E"/>
    <w:rsid w:val="00E170DB"/>
    <w:rsid w:val="00E21435"/>
    <w:rsid w:val="00E2211D"/>
    <w:rsid w:val="00E22FB8"/>
    <w:rsid w:val="00E23314"/>
    <w:rsid w:val="00E23EAC"/>
    <w:rsid w:val="00E2435B"/>
    <w:rsid w:val="00E24BC3"/>
    <w:rsid w:val="00E24E07"/>
    <w:rsid w:val="00E252BE"/>
    <w:rsid w:val="00E37DC1"/>
    <w:rsid w:val="00E40FCC"/>
    <w:rsid w:val="00E46F2A"/>
    <w:rsid w:val="00E47B16"/>
    <w:rsid w:val="00E51B5B"/>
    <w:rsid w:val="00E52E16"/>
    <w:rsid w:val="00E551DC"/>
    <w:rsid w:val="00E564DC"/>
    <w:rsid w:val="00E57CBB"/>
    <w:rsid w:val="00E611DD"/>
    <w:rsid w:val="00E612AD"/>
    <w:rsid w:val="00E61F7E"/>
    <w:rsid w:val="00E63D75"/>
    <w:rsid w:val="00E63FD6"/>
    <w:rsid w:val="00E66483"/>
    <w:rsid w:val="00E713E4"/>
    <w:rsid w:val="00E750B1"/>
    <w:rsid w:val="00E778AE"/>
    <w:rsid w:val="00E81205"/>
    <w:rsid w:val="00E822E0"/>
    <w:rsid w:val="00E82B09"/>
    <w:rsid w:val="00E94C11"/>
    <w:rsid w:val="00E95978"/>
    <w:rsid w:val="00EA266B"/>
    <w:rsid w:val="00EA3E00"/>
    <w:rsid w:val="00EA667F"/>
    <w:rsid w:val="00EA7969"/>
    <w:rsid w:val="00EB0C89"/>
    <w:rsid w:val="00EB17DF"/>
    <w:rsid w:val="00EC2FE3"/>
    <w:rsid w:val="00EC3175"/>
    <w:rsid w:val="00EC3989"/>
    <w:rsid w:val="00EC4A6D"/>
    <w:rsid w:val="00EC4B94"/>
    <w:rsid w:val="00EC6FE5"/>
    <w:rsid w:val="00ED2C50"/>
    <w:rsid w:val="00ED6198"/>
    <w:rsid w:val="00EE0867"/>
    <w:rsid w:val="00EE0FE4"/>
    <w:rsid w:val="00EE2C1E"/>
    <w:rsid w:val="00EE6AEB"/>
    <w:rsid w:val="00EE7DCE"/>
    <w:rsid w:val="00EF0A1F"/>
    <w:rsid w:val="00EF1230"/>
    <w:rsid w:val="00EF3CCC"/>
    <w:rsid w:val="00EF4116"/>
    <w:rsid w:val="00F0026E"/>
    <w:rsid w:val="00F00335"/>
    <w:rsid w:val="00F0110E"/>
    <w:rsid w:val="00F01B0F"/>
    <w:rsid w:val="00F10C4D"/>
    <w:rsid w:val="00F12747"/>
    <w:rsid w:val="00F14B5F"/>
    <w:rsid w:val="00F15E69"/>
    <w:rsid w:val="00F17542"/>
    <w:rsid w:val="00F30B2A"/>
    <w:rsid w:val="00F3183C"/>
    <w:rsid w:val="00F36CB0"/>
    <w:rsid w:val="00F4306E"/>
    <w:rsid w:val="00F43290"/>
    <w:rsid w:val="00F43F44"/>
    <w:rsid w:val="00F45907"/>
    <w:rsid w:val="00F462F7"/>
    <w:rsid w:val="00F47B94"/>
    <w:rsid w:val="00F47D59"/>
    <w:rsid w:val="00F5182F"/>
    <w:rsid w:val="00F51DDD"/>
    <w:rsid w:val="00F548E7"/>
    <w:rsid w:val="00F553A5"/>
    <w:rsid w:val="00F55AD0"/>
    <w:rsid w:val="00F65A28"/>
    <w:rsid w:val="00F65D47"/>
    <w:rsid w:val="00F675B3"/>
    <w:rsid w:val="00F67DFC"/>
    <w:rsid w:val="00F708B1"/>
    <w:rsid w:val="00F7262B"/>
    <w:rsid w:val="00F855CF"/>
    <w:rsid w:val="00F87267"/>
    <w:rsid w:val="00F903B3"/>
    <w:rsid w:val="00F94594"/>
    <w:rsid w:val="00F957EC"/>
    <w:rsid w:val="00FA06E3"/>
    <w:rsid w:val="00FA20A8"/>
    <w:rsid w:val="00FA22DE"/>
    <w:rsid w:val="00FA32B9"/>
    <w:rsid w:val="00FA32CA"/>
    <w:rsid w:val="00FA3421"/>
    <w:rsid w:val="00FA374C"/>
    <w:rsid w:val="00FA42C0"/>
    <w:rsid w:val="00FA5A17"/>
    <w:rsid w:val="00FA6C7C"/>
    <w:rsid w:val="00FA756B"/>
    <w:rsid w:val="00FB14F3"/>
    <w:rsid w:val="00FB4BF6"/>
    <w:rsid w:val="00FB6622"/>
    <w:rsid w:val="00FC0964"/>
    <w:rsid w:val="00FD0BFF"/>
    <w:rsid w:val="00FD41F7"/>
    <w:rsid w:val="00FD4966"/>
    <w:rsid w:val="00FD5EEC"/>
    <w:rsid w:val="00FE020E"/>
    <w:rsid w:val="00FE06D1"/>
    <w:rsid w:val="00FE3FFC"/>
    <w:rsid w:val="00FE4596"/>
    <w:rsid w:val="00FE6BE7"/>
    <w:rsid w:val="00FF3FE8"/>
    <w:rsid w:val="00FF4DC7"/>
    <w:rsid w:val="00FF71F1"/>
    <w:rsid w:val="010A3385"/>
    <w:rsid w:val="011569B0"/>
    <w:rsid w:val="011D2710"/>
    <w:rsid w:val="012515C4"/>
    <w:rsid w:val="0129173D"/>
    <w:rsid w:val="01366B71"/>
    <w:rsid w:val="0138145C"/>
    <w:rsid w:val="01396960"/>
    <w:rsid w:val="01540B58"/>
    <w:rsid w:val="015966AC"/>
    <w:rsid w:val="017F39D0"/>
    <w:rsid w:val="01861C66"/>
    <w:rsid w:val="019A1C0A"/>
    <w:rsid w:val="01A50C23"/>
    <w:rsid w:val="01B70CC2"/>
    <w:rsid w:val="01E076F6"/>
    <w:rsid w:val="01E44FDB"/>
    <w:rsid w:val="01EB46C3"/>
    <w:rsid w:val="01FE5971"/>
    <w:rsid w:val="020149A5"/>
    <w:rsid w:val="02196F01"/>
    <w:rsid w:val="02250EFF"/>
    <w:rsid w:val="022C11BA"/>
    <w:rsid w:val="027D0030"/>
    <w:rsid w:val="029546DD"/>
    <w:rsid w:val="02A24DAE"/>
    <w:rsid w:val="02B0310F"/>
    <w:rsid w:val="02DD7EB5"/>
    <w:rsid w:val="02E87F35"/>
    <w:rsid w:val="02E903CF"/>
    <w:rsid w:val="03172113"/>
    <w:rsid w:val="031A67DB"/>
    <w:rsid w:val="031E1945"/>
    <w:rsid w:val="03435D32"/>
    <w:rsid w:val="034B600F"/>
    <w:rsid w:val="03504809"/>
    <w:rsid w:val="035241C7"/>
    <w:rsid w:val="035E6632"/>
    <w:rsid w:val="03634A0A"/>
    <w:rsid w:val="03707E2A"/>
    <w:rsid w:val="03895AEE"/>
    <w:rsid w:val="03917B3D"/>
    <w:rsid w:val="03B80EA5"/>
    <w:rsid w:val="03B94246"/>
    <w:rsid w:val="03DD6186"/>
    <w:rsid w:val="03E23755"/>
    <w:rsid w:val="03E316BA"/>
    <w:rsid w:val="04586ABA"/>
    <w:rsid w:val="045A3333"/>
    <w:rsid w:val="04691D19"/>
    <w:rsid w:val="048E32A8"/>
    <w:rsid w:val="04B375D5"/>
    <w:rsid w:val="04C05BC6"/>
    <w:rsid w:val="04DB762B"/>
    <w:rsid w:val="04E1148C"/>
    <w:rsid w:val="04E826DA"/>
    <w:rsid w:val="04E83870"/>
    <w:rsid w:val="050E6F5B"/>
    <w:rsid w:val="05367A8A"/>
    <w:rsid w:val="055B64A4"/>
    <w:rsid w:val="05665D07"/>
    <w:rsid w:val="05810D93"/>
    <w:rsid w:val="05B178CA"/>
    <w:rsid w:val="05B84196"/>
    <w:rsid w:val="05C4187A"/>
    <w:rsid w:val="05C649F8"/>
    <w:rsid w:val="05D351D3"/>
    <w:rsid w:val="05D90BCF"/>
    <w:rsid w:val="05DA00A2"/>
    <w:rsid w:val="05E42EC1"/>
    <w:rsid w:val="05ED3628"/>
    <w:rsid w:val="05FE23E4"/>
    <w:rsid w:val="06233160"/>
    <w:rsid w:val="062E4A77"/>
    <w:rsid w:val="06402D43"/>
    <w:rsid w:val="0644195F"/>
    <w:rsid w:val="064A1A24"/>
    <w:rsid w:val="065D710A"/>
    <w:rsid w:val="066761DB"/>
    <w:rsid w:val="068C09A3"/>
    <w:rsid w:val="06922615"/>
    <w:rsid w:val="06ED4932"/>
    <w:rsid w:val="07091040"/>
    <w:rsid w:val="070C2674"/>
    <w:rsid w:val="071023CF"/>
    <w:rsid w:val="071F2612"/>
    <w:rsid w:val="07372051"/>
    <w:rsid w:val="074405C2"/>
    <w:rsid w:val="076B3AA9"/>
    <w:rsid w:val="076F4724"/>
    <w:rsid w:val="07731053"/>
    <w:rsid w:val="077961C6"/>
    <w:rsid w:val="07807554"/>
    <w:rsid w:val="078C5AF8"/>
    <w:rsid w:val="07BF5403"/>
    <w:rsid w:val="07C05BA3"/>
    <w:rsid w:val="07F43A9E"/>
    <w:rsid w:val="07FD6DF7"/>
    <w:rsid w:val="08062606"/>
    <w:rsid w:val="080C53C9"/>
    <w:rsid w:val="082500FC"/>
    <w:rsid w:val="08341D37"/>
    <w:rsid w:val="083D7E89"/>
    <w:rsid w:val="08430582"/>
    <w:rsid w:val="08594D3A"/>
    <w:rsid w:val="085A292F"/>
    <w:rsid w:val="086D5416"/>
    <w:rsid w:val="08955563"/>
    <w:rsid w:val="08B4450F"/>
    <w:rsid w:val="08D43AEC"/>
    <w:rsid w:val="08E51639"/>
    <w:rsid w:val="08EF690D"/>
    <w:rsid w:val="08FD6F07"/>
    <w:rsid w:val="09057E7F"/>
    <w:rsid w:val="090C4E18"/>
    <w:rsid w:val="0926412B"/>
    <w:rsid w:val="094678BF"/>
    <w:rsid w:val="094978B3"/>
    <w:rsid w:val="09562CDC"/>
    <w:rsid w:val="09620CF5"/>
    <w:rsid w:val="09756D49"/>
    <w:rsid w:val="097C1DD7"/>
    <w:rsid w:val="09A37F26"/>
    <w:rsid w:val="09AB5C61"/>
    <w:rsid w:val="09B8223F"/>
    <w:rsid w:val="09DE0562"/>
    <w:rsid w:val="0A0F696E"/>
    <w:rsid w:val="0A1E55DD"/>
    <w:rsid w:val="0A227723"/>
    <w:rsid w:val="0A2A6F65"/>
    <w:rsid w:val="0A5D1DCF"/>
    <w:rsid w:val="0A6D6844"/>
    <w:rsid w:val="0A7D5FCD"/>
    <w:rsid w:val="0A8C05EF"/>
    <w:rsid w:val="0A927B78"/>
    <w:rsid w:val="0AA0043E"/>
    <w:rsid w:val="0AC312A9"/>
    <w:rsid w:val="0ACB31DC"/>
    <w:rsid w:val="0AD33E3F"/>
    <w:rsid w:val="0ADF51C5"/>
    <w:rsid w:val="0AE76B1D"/>
    <w:rsid w:val="0B09531E"/>
    <w:rsid w:val="0B0D02DE"/>
    <w:rsid w:val="0B464611"/>
    <w:rsid w:val="0B4B1C27"/>
    <w:rsid w:val="0B846A84"/>
    <w:rsid w:val="0B903ADE"/>
    <w:rsid w:val="0BB23844"/>
    <w:rsid w:val="0BC635C5"/>
    <w:rsid w:val="0BCA6F5D"/>
    <w:rsid w:val="0BDA11FD"/>
    <w:rsid w:val="0BE51AAB"/>
    <w:rsid w:val="0BF40511"/>
    <w:rsid w:val="0BFA1670"/>
    <w:rsid w:val="0C1C52E6"/>
    <w:rsid w:val="0C3962B4"/>
    <w:rsid w:val="0C8C0B1C"/>
    <w:rsid w:val="0CA21D1B"/>
    <w:rsid w:val="0CBE3ADF"/>
    <w:rsid w:val="0CCA3020"/>
    <w:rsid w:val="0CCC400A"/>
    <w:rsid w:val="0CDB347F"/>
    <w:rsid w:val="0D292C91"/>
    <w:rsid w:val="0D3C216F"/>
    <w:rsid w:val="0D4D4D66"/>
    <w:rsid w:val="0D6D5086"/>
    <w:rsid w:val="0D74379A"/>
    <w:rsid w:val="0D957C35"/>
    <w:rsid w:val="0DAE649D"/>
    <w:rsid w:val="0DC3019B"/>
    <w:rsid w:val="0DF11314"/>
    <w:rsid w:val="0DF2282E"/>
    <w:rsid w:val="0E030F98"/>
    <w:rsid w:val="0E0E673A"/>
    <w:rsid w:val="0E19425F"/>
    <w:rsid w:val="0E2A1FC8"/>
    <w:rsid w:val="0E941B37"/>
    <w:rsid w:val="0F470958"/>
    <w:rsid w:val="0F474DFC"/>
    <w:rsid w:val="0F764A51"/>
    <w:rsid w:val="0F7C0AFC"/>
    <w:rsid w:val="0F7C185D"/>
    <w:rsid w:val="0FDC02B9"/>
    <w:rsid w:val="0FF52AC8"/>
    <w:rsid w:val="0FF70D71"/>
    <w:rsid w:val="100E76C7"/>
    <w:rsid w:val="10797237"/>
    <w:rsid w:val="107E4201"/>
    <w:rsid w:val="10831E63"/>
    <w:rsid w:val="10993435"/>
    <w:rsid w:val="109D3E45"/>
    <w:rsid w:val="10AC6ADB"/>
    <w:rsid w:val="10C2711D"/>
    <w:rsid w:val="10F21AF5"/>
    <w:rsid w:val="10F5399A"/>
    <w:rsid w:val="112403EF"/>
    <w:rsid w:val="116578E9"/>
    <w:rsid w:val="11665A0D"/>
    <w:rsid w:val="11A33722"/>
    <w:rsid w:val="11C97D4A"/>
    <w:rsid w:val="11E33BF0"/>
    <w:rsid w:val="11E626AA"/>
    <w:rsid w:val="120D6344"/>
    <w:rsid w:val="12146187"/>
    <w:rsid w:val="121A6EC9"/>
    <w:rsid w:val="127C6797"/>
    <w:rsid w:val="12A55CF8"/>
    <w:rsid w:val="12AC3B06"/>
    <w:rsid w:val="12CB76BD"/>
    <w:rsid w:val="12EF1A32"/>
    <w:rsid w:val="12EF37E0"/>
    <w:rsid w:val="13335D9C"/>
    <w:rsid w:val="1337637E"/>
    <w:rsid w:val="13737DAF"/>
    <w:rsid w:val="138C2876"/>
    <w:rsid w:val="13AF4D1D"/>
    <w:rsid w:val="13CD252D"/>
    <w:rsid w:val="13E41333"/>
    <w:rsid w:val="13F12108"/>
    <w:rsid w:val="14005CEE"/>
    <w:rsid w:val="140B464A"/>
    <w:rsid w:val="14237BE5"/>
    <w:rsid w:val="14261574"/>
    <w:rsid w:val="148D61E8"/>
    <w:rsid w:val="14991C55"/>
    <w:rsid w:val="14D92A17"/>
    <w:rsid w:val="14F636E0"/>
    <w:rsid w:val="15070602"/>
    <w:rsid w:val="150E6A01"/>
    <w:rsid w:val="151C3EFD"/>
    <w:rsid w:val="153656F6"/>
    <w:rsid w:val="155A03C3"/>
    <w:rsid w:val="15642092"/>
    <w:rsid w:val="1565422D"/>
    <w:rsid w:val="1567638D"/>
    <w:rsid w:val="158F7E33"/>
    <w:rsid w:val="15EF4F4C"/>
    <w:rsid w:val="161377E5"/>
    <w:rsid w:val="164125A5"/>
    <w:rsid w:val="165F1806"/>
    <w:rsid w:val="168F1B0D"/>
    <w:rsid w:val="16ED6288"/>
    <w:rsid w:val="171510CA"/>
    <w:rsid w:val="17171752"/>
    <w:rsid w:val="173D5CD4"/>
    <w:rsid w:val="174C193E"/>
    <w:rsid w:val="174F240F"/>
    <w:rsid w:val="17562080"/>
    <w:rsid w:val="176A5B2B"/>
    <w:rsid w:val="176D079D"/>
    <w:rsid w:val="1789226F"/>
    <w:rsid w:val="17B10BE3"/>
    <w:rsid w:val="17F83B61"/>
    <w:rsid w:val="17FD3C06"/>
    <w:rsid w:val="1807389A"/>
    <w:rsid w:val="18130ECE"/>
    <w:rsid w:val="18300B23"/>
    <w:rsid w:val="18433342"/>
    <w:rsid w:val="185E3459"/>
    <w:rsid w:val="187279D3"/>
    <w:rsid w:val="1881449F"/>
    <w:rsid w:val="18AE4BF9"/>
    <w:rsid w:val="18BF3C55"/>
    <w:rsid w:val="18C837EE"/>
    <w:rsid w:val="18CD45C3"/>
    <w:rsid w:val="18F9516C"/>
    <w:rsid w:val="193957B5"/>
    <w:rsid w:val="1973708C"/>
    <w:rsid w:val="197D0EC5"/>
    <w:rsid w:val="198256D8"/>
    <w:rsid w:val="19CE0D15"/>
    <w:rsid w:val="19DC3E19"/>
    <w:rsid w:val="1A0C111B"/>
    <w:rsid w:val="1A175295"/>
    <w:rsid w:val="1A1E51E5"/>
    <w:rsid w:val="1A330E88"/>
    <w:rsid w:val="1A524B70"/>
    <w:rsid w:val="1A536139"/>
    <w:rsid w:val="1A6F44D8"/>
    <w:rsid w:val="1A7B1DFD"/>
    <w:rsid w:val="1AA0476B"/>
    <w:rsid w:val="1ACA59D4"/>
    <w:rsid w:val="1AD5775F"/>
    <w:rsid w:val="1ADB0C0E"/>
    <w:rsid w:val="1AE532C2"/>
    <w:rsid w:val="1AF20311"/>
    <w:rsid w:val="1AF926C0"/>
    <w:rsid w:val="1B0E67CD"/>
    <w:rsid w:val="1B4346C9"/>
    <w:rsid w:val="1B75621D"/>
    <w:rsid w:val="1BAD248A"/>
    <w:rsid w:val="1BB27AA1"/>
    <w:rsid w:val="1BBB6955"/>
    <w:rsid w:val="1BCB763F"/>
    <w:rsid w:val="1BD96DDB"/>
    <w:rsid w:val="1BF056E8"/>
    <w:rsid w:val="1C071E01"/>
    <w:rsid w:val="1C0874AD"/>
    <w:rsid w:val="1C1918CE"/>
    <w:rsid w:val="1C58527F"/>
    <w:rsid w:val="1C7D28C0"/>
    <w:rsid w:val="1CA92C52"/>
    <w:rsid w:val="1CAC04B0"/>
    <w:rsid w:val="1CE04199"/>
    <w:rsid w:val="1CE111BF"/>
    <w:rsid w:val="1CF46024"/>
    <w:rsid w:val="1D0B504C"/>
    <w:rsid w:val="1D1327C1"/>
    <w:rsid w:val="1D1C3424"/>
    <w:rsid w:val="1D6862F8"/>
    <w:rsid w:val="1D8E0E72"/>
    <w:rsid w:val="1DA34F79"/>
    <w:rsid w:val="1DAB048A"/>
    <w:rsid w:val="1DEA1774"/>
    <w:rsid w:val="1DF12B02"/>
    <w:rsid w:val="1DF26B55"/>
    <w:rsid w:val="1E0663AD"/>
    <w:rsid w:val="1E0A6AF0"/>
    <w:rsid w:val="1E1A6CCB"/>
    <w:rsid w:val="1E27021B"/>
    <w:rsid w:val="1E374110"/>
    <w:rsid w:val="1E676920"/>
    <w:rsid w:val="1E792541"/>
    <w:rsid w:val="1E85588E"/>
    <w:rsid w:val="1E904441"/>
    <w:rsid w:val="1EA35012"/>
    <w:rsid w:val="1F225BA0"/>
    <w:rsid w:val="1F234C8E"/>
    <w:rsid w:val="1F25008A"/>
    <w:rsid w:val="1F2D7B6A"/>
    <w:rsid w:val="1F303E83"/>
    <w:rsid w:val="1F364A26"/>
    <w:rsid w:val="1F474BE8"/>
    <w:rsid w:val="1F475CD4"/>
    <w:rsid w:val="1F617178"/>
    <w:rsid w:val="1F713604"/>
    <w:rsid w:val="1F833C2E"/>
    <w:rsid w:val="1F8927F9"/>
    <w:rsid w:val="1F9951FF"/>
    <w:rsid w:val="1F9A1CC3"/>
    <w:rsid w:val="1FA75D15"/>
    <w:rsid w:val="20087C8F"/>
    <w:rsid w:val="202C6073"/>
    <w:rsid w:val="204247FD"/>
    <w:rsid w:val="205B27D3"/>
    <w:rsid w:val="206564EF"/>
    <w:rsid w:val="20695861"/>
    <w:rsid w:val="207831DD"/>
    <w:rsid w:val="207D3BDD"/>
    <w:rsid w:val="208A6731"/>
    <w:rsid w:val="20920BC6"/>
    <w:rsid w:val="20A34DB8"/>
    <w:rsid w:val="20A630D0"/>
    <w:rsid w:val="20CE0563"/>
    <w:rsid w:val="20EA3839"/>
    <w:rsid w:val="21014773"/>
    <w:rsid w:val="211762CF"/>
    <w:rsid w:val="2178204C"/>
    <w:rsid w:val="218872DA"/>
    <w:rsid w:val="218B0B78"/>
    <w:rsid w:val="21980980"/>
    <w:rsid w:val="21B420FA"/>
    <w:rsid w:val="21CC0099"/>
    <w:rsid w:val="21DD1463"/>
    <w:rsid w:val="21DF52D3"/>
    <w:rsid w:val="21E915AB"/>
    <w:rsid w:val="21F7445F"/>
    <w:rsid w:val="229D6DB5"/>
    <w:rsid w:val="22B61C24"/>
    <w:rsid w:val="22D14CB0"/>
    <w:rsid w:val="231E77CA"/>
    <w:rsid w:val="234436D4"/>
    <w:rsid w:val="23496F3C"/>
    <w:rsid w:val="234E6301"/>
    <w:rsid w:val="235E5098"/>
    <w:rsid w:val="236C13D9"/>
    <w:rsid w:val="23A501AB"/>
    <w:rsid w:val="23C110B2"/>
    <w:rsid w:val="23DB401D"/>
    <w:rsid w:val="23E80503"/>
    <w:rsid w:val="24001FAF"/>
    <w:rsid w:val="24135D3A"/>
    <w:rsid w:val="242E68A9"/>
    <w:rsid w:val="243279D1"/>
    <w:rsid w:val="243715F0"/>
    <w:rsid w:val="245E2574"/>
    <w:rsid w:val="24623647"/>
    <w:rsid w:val="248C70E1"/>
    <w:rsid w:val="249146F7"/>
    <w:rsid w:val="24B65A52"/>
    <w:rsid w:val="24BB1774"/>
    <w:rsid w:val="24E8008F"/>
    <w:rsid w:val="24FA1481"/>
    <w:rsid w:val="24FE5B05"/>
    <w:rsid w:val="250B0DA1"/>
    <w:rsid w:val="252D3DDC"/>
    <w:rsid w:val="25532B27"/>
    <w:rsid w:val="25972F70"/>
    <w:rsid w:val="259F3991"/>
    <w:rsid w:val="25B04653"/>
    <w:rsid w:val="25B23A68"/>
    <w:rsid w:val="25D36F91"/>
    <w:rsid w:val="25DC5E46"/>
    <w:rsid w:val="25E3451C"/>
    <w:rsid w:val="25E87237"/>
    <w:rsid w:val="262B0B7B"/>
    <w:rsid w:val="26306192"/>
    <w:rsid w:val="26327233"/>
    <w:rsid w:val="26486D34"/>
    <w:rsid w:val="265B583F"/>
    <w:rsid w:val="265D55EA"/>
    <w:rsid w:val="267047E0"/>
    <w:rsid w:val="26B3134A"/>
    <w:rsid w:val="26BE51B6"/>
    <w:rsid w:val="26C40ED6"/>
    <w:rsid w:val="26D01808"/>
    <w:rsid w:val="27032260"/>
    <w:rsid w:val="27174C5C"/>
    <w:rsid w:val="27486EDF"/>
    <w:rsid w:val="274D6981"/>
    <w:rsid w:val="27520F90"/>
    <w:rsid w:val="275A34C6"/>
    <w:rsid w:val="27624129"/>
    <w:rsid w:val="277250C0"/>
    <w:rsid w:val="277F1239"/>
    <w:rsid w:val="278D3841"/>
    <w:rsid w:val="27A81611"/>
    <w:rsid w:val="27AE736E"/>
    <w:rsid w:val="27D149AE"/>
    <w:rsid w:val="27DA62D4"/>
    <w:rsid w:val="27DB3EDB"/>
    <w:rsid w:val="27E04540"/>
    <w:rsid w:val="28061C2F"/>
    <w:rsid w:val="282B09BF"/>
    <w:rsid w:val="285008F0"/>
    <w:rsid w:val="28815018"/>
    <w:rsid w:val="28877C0E"/>
    <w:rsid w:val="288B60A8"/>
    <w:rsid w:val="28D76D98"/>
    <w:rsid w:val="29405A4D"/>
    <w:rsid w:val="295279AB"/>
    <w:rsid w:val="29601C3C"/>
    <w:rsid w:val="29B777B1"/>
    <w:rsid w:val="29BC4348"/>
    <w:rsid w:val="2A1C2CB5"/>
    <w:rsid w:val="2A247DBB"/>
    <w:rsid w:val="2A66508D"/>
    <w:rsid w:val="2A6D1762"/>
    <w:rsid w:val="2AD66543"/>
    <w:rsid w:val="2AD92954"/>
    <w:rsid w:val="2B011EAB"/>
    <w:rsid w:val="2B033E75"/>
    <w:rsid w:val="2B3161AC"/>
    <w:rsid w:val="2B6C58AE"/>
    <w:rsid w:val="2B860A38"/>
    <w:rsid w:val="2B99732A"/>
    <w:rsid w:val="2B9A2C4C"/>
    <w:rsid w:val="2BA430B1"/>
    <w:rsid w:val="2BB82A63"/>
    <w:rsid w:val="2BC37160"/>
    <w:rsid w:val="2BC41327"/>
    <w:rsid w:val="2BDD0222"/>
    <w:rsid w:val="2C23573A"/>
    <w:rsid w:val="2C317A84"/>
    <w:rsid w:val="2C481BF7"/>
    <w:rsid w:val="2C4C35F9"/>
    <w:rsid w:val="2C521796"/>
    <w:rsid w:val="2C5A3F68"/>
    <w:rsid w:val="2C736DD8"/>
    <w:rsid w:val="2C8C39F6"/>
    <w:rsid w:val="2CBC252D"/>
    <w:rsid w:val="2CD51841"/>
    <w:rsid w:val="2D1C7C34"/>
    <w:rsid w:val="2D230DCF"/>
    <w:rsid w:val="2D4F15F3"/>
    <w:rsid w:val="2D9E5783"/>
    <w:rsid w:val="2DB33E3D"/>
    <w:rsid w:val="2DB751A0"/>
    <w:rsid w:val="2DBB0A37"/>
    <w:rsid w:val="2DE402E5"/>
    <w:rsid w:val="2DF28DDE"/>
    <w:rsid w:val="2DFD4BAB"/>
    <w:rsid w:val="2E175A33"/>
    <w:rsid w:val="2E1E18C4"/>
    <w:rsid w:val="2E530C6F"/>
    <w:rsid w:val="2E6B68AB"/>
    <w:rsid w:val="2EA01DE3"/>
    <w:rsid w:val="2EA8630D"/>
    <w:rsid w:val="2EAD550D"/>
    <w:rsid w:val="2EB46A04"/>
    <w:rsid w:val="2EBB1A59"/>
    <w:rsid w:val="2ECC0FC7"/>
    <w:rsid w:val="2ED33101"/>
    <w:rsid w:val="2ED973C6"/>
    <w:rsid w:val="2EE24EDB"/>
    <w:rsid w:val="2EF835C5"/>
    <w:rsid w:val="2F0565D0"/>
    <w:rsid w:val="2F0C331C"/>
    <w:rsid w:val="2F0E519C"/>
    <w:rsid w:val="2F2342CE"/>
    <w:rsid w:val="2F2D3AA0"/>
    <w:rsid w:val="2F5527C5"/>
    <w:rsid w:val="2F656248"/>
    <w:rsid w:val="2F6A769E"/>
    <w:rsid w:val="2F6F7011"/>
    <w:rsid w:val="2F7C5FA4"/>
    <w:rsid w:val="2F8133DB"/>
    <w:rsid w:val="2F8A246F"/>
    <w:rsid w:val="2FDE5B33"/>
    <w:rsid w:val="300246FB"/>
    <w:rsid w:val="30052E9F"/>
    <w:rsid w:val="3081665F"/>
    <w:rsid w:val="308772AD"/>
    <w:rsid w:val="30C22476"/>
    <w:rsid w:val="30E91417"/>
    <w:rsid w:val="30EE2ED1"/>
    <w:rsid w:val="31480833"/>
    <w:rsid w:val="31576CC8"/>
    <w:rsid w:val="319D5866"/>
    <w:rsid w:val="31AD4B3A"/>
    <w:rsid w:val="31B661F7"/>
    <w:rsid w:val="31E0281A"/>
    <w:rsid w:val="31F6374C"/>
    <w:rsid w:val="32584AA6"/>
    <w:rsid w:val="327F62D5"/>
    <w:rsid w:val="32A36F3E"/>
    <w:rsid w:val="32AC0E95"/>
    <w:rsid w:val="32AE0B6A"/>
    <w:rsid w:val="32CC5A8C"/>
    <w:rsid w:val="32E75E2A"/>
    <w:rsid w:val="32F5516E"/>
    <w:rsid w:val="32F57CA9"/>
    <w:rsid w:val="32FF033B"/>
    <w:rsid w:val="32FF15C5"/>
    <w:rsid w:val="33037AF3"/>
    <w:rsid w:val="3306722F"/>
    <w:rsid w:val="330F082B"/>
    <w:rsid w:val="33144B24"/>
    <w:rsid w:val="331A7FAD"/>
    <w:rsid w:val="331E0BA0"/>
    <w:rsid w:val="33525999"/>
    <w:rsid w:val="338E4750"/>
    <w:rsid w:val="338F274A"/>
    <w:rsid w:val="33AA7583"/>
    <w:rsid w:val="33C45366"/>
    <w:rsid w:val="33D62126"/>
    <w:rsid w:val="33D97E69"/>
    <w:rsid w:val="33FC75EE"/>
    <w:rsid w:val="34023623"/>
    <w:rsid w:val="343432F1"/>
    <w:rsid w:val="34447F13"/>
    <w:rsid w:val="34482CE4"/>
    <w:rsid w:val="344C23E9"/>
    <w:rsid w:val="34630F1A"/>
    <w:rsid w:val="346959F8"/>
    <w:rsid w:val="349B10D7"/>
    <w:rsid w:val="34B326E0"/>
    <w:rsid w:val="34BD2C73"/>
    <w:rsid w:val="34F8431E"/>
    <w:rsid w:val="34FB5E50"/>
    <w:rsid w:val="35100708"/>
    <w:rsid w:val="351279C4"/>
    <w:rsid w:val="35143384"/>
    <w:rsid w:val="35586B6B"/>
    <w:rsid w:val="35730895"/>
    <w:rsid w:val="35C25BB1"/>
    <w:rsid w:val="35CD2162"/>
    <w:rsid w:val="35D02F2A"/>
    <w:rsid w:val="35E5296F"/>
    <w:rsid w:val="35E623C9"/>
    <w:rsid w:val="35E825E5"/>
    <w:rsid w:val="362D1DA6"/>
    <w:rsid w:val="363E498D"/>
    <w:rsid w:val="3685205F"/>
    <w:rsid w:val="36854F42"/>
    <w:rsid w:val="36867BB4"/>
    <w:rsid w:val="36BE0D67"/>
    <w:rsid w:val="36CC3E4A"/>
    <w:rsid w:val="36E82A57"/>
    <w:rsid w:val="36EA7C97"/>
    <w:rsid w:val="36F6488E"/>
    <w:rsid w:val="37294C63"/>
    <w:rsid w:val="374474FC"/>
    <w:rsid w:val="374E1CC7"/>
    <w:rsid w:val="375815A3"/>
    <w:rsid w:val="375C0B95"/>
    <w:rsid w:val="3763026C"/>
    <w:rsid w:val="37C357B7"/>
    <w:rsid w:val="37C86618"/>
    <w:rsid w:val="37E03ECD"/>
    <w:rsid w:val="37E1167F"/>
    <w:rsid w:val="37E46F21"/>
    <w:rsid w:val="37EA2644"/>
    <w:rsid w:val="37F012DD"/>
    <w:rsid w:val="37F13211"/>
    <w:rsid w:val="384C4157"/>
    <w:rsid w:val="38591316"/>
    <w:rsid w:val="38593326"/>
    <w:rsid w:val="386D6DD1"/>
    <w:rsid w:val="387F6880"/>
    <w:rsid w:val="38831A62"/>
    <w:rsid w:val="3894564D"/>
    <w:rsid w:val="389E6F8B"/>
    <w:rsid w:val="389F26C3"/>
    <w:rsid w:val="38B40260"/>
    <w:rsid w:val="38B55CCE"/>
    <w:rsid w:val="38B56F92"/>
    <w:rsid w:val="38B642D4"/>
    <w:rsid w:val="38BF79E4"/>
    <w:rsid w:val="38E52A09"/>
    <w:rsid w:val="38E52BFD"/>
    <w:rsid w:val="38F2597A"/>
    <w:rsid w:val="394E15CD"/>
    <w:rsid w:val="395220AC"/>
    <w:rsid w:val="396D1E40"/>
    <w:rsid w:val="397228F1"/>
    <w:rsid w:val="397E2C60"/>
    <w:rsid w:val="39D17979"/>
    <w:rsid w:val="39DC420F"/>
    <w:rsid w:val="39F350B4"/>
    <w:rsid w:val="3A160E5D"/>
    <w:rsid w:val="3A487D64"/>
    <w:rsid w:val="3A4F49E1"/>
    <w:rsid w:val="3A577D39"/>
    <w:rsid w:val="3A6B59C1"/>
    <w:rsid w:val="3A737A9C"/>
    <w:rsid w:val="3A864E7E"/>
    <w:rsid w:val="3A8723CC"/>
    <w:rsid w:val="3A9815A6"/>
    <w:rsid w:val="3AAA72B7"/>
    <w:rsid w:val="3AED6238"/>
    <w:rsid w:val="3B412D58"/>
    <w:rsid w:val="3B532B57"/>
    <w:rsid w:val="3B5C5786"/>
    <w:rsid w:val="3B6D19D2"/>
    <w:rsid w:val="3B7010B2"/>
    <w:rsid w:val="3B920BA8"/>
    <w:rsid w:val="3BB46DC8"/>
    <w:rsid w:val="3BBE5091"/>
    <w:rsid w:val="3BE60140"/>
    <w:rsid w:val="3C0E2679"/>
    <w:rsid w:val="3C2259D4"/>
    <w:rsid w:val="3C634979"/>
    <w:rsid w:val="3C686A41"/>
    <w:rsid w:val="3C884BA3"/>
    <w:rsid w:val="3C8F21C6"/>
    <w:rsid w:val="3CA60B04"/>
    <w:rsid w:val="3CAD5C44"/>
    <w:rsid w:val="3CB37121"/>
    <w:rsid w:val="3CD97AB8"/>
    <w:rsid w:val="3CE42B97"/>
    <w:rsid w:val="3CF33D49"/>
    <w:rsid w:val="3D042E95"/>
    <w:rsid w:val="3D3E0D3C"/>
    <w:rsid w:val="3D415961"/>
    <w:rsid w:val="3D804EB1"/>
    <w:rsid w:val="3D9D01B2"/>
    <w:rsid w:val="3DCE2D6D"/>
    <w:rsid w:val="3DF338D5"/>
    <w:rsid w:val="3E13766A"/>
    <w:rsid w:val="3E68037C"/>
    <w:rsid w:val="3E855720"/>
    <w:rsid w:val="3E8B7FB1"/>
    <w:rsid w:val="3E94330A"/>
    <w:rsid w:val="3ED55A56"/>
    <w:rsid w:val="3EE5747C"/>
    <w:rsid w:val="3EEC6CA2"/>
    <w:rsid w:val="3F1B42A4"/>
    <w:rsid w:val="3F287222"/>
    <w:rsid w:val="3F5F1022"/>
    <w:rsid w:val="3F8D2662"/>
    <w:rsid w:val="3FA2081A"/>
    <w:rsid w:val="3FB87E1E"/>
    <w:rsid w:val="3FF20BF5"/>
    <w:rsid w:val="4008423D"/>
    <w:rsid w:val="40314C30"/>
    <w:rsid w:val="4037567F"/>
    <w:rsid w:val="40493C80"/>
    <w:rsid w:val="404B3E9C"/>
    <w:rsid w:val="405A5E8D"/>
    <w:rsid w:val="408D1DBF"/>
    <w:rsid w:val="408F1D8F"/>
    <w:rsid w:val="408F7977"/>
    <w:rsid w:val="40AA5872"/>
    <w:rsid w:val="40B0544B"/>
    <w:rsid w:val="40E15914"/>
    <w:rsid w:val="40F44DE7"/>
    <w:rsid w:val="410447A5"/>
    <w:rsid w:val="412258F4"/>
    <w:rsid w:val="412A13C8"/>
    <w:rsid w:val="41331741"/>
    <w:rsid w:val="41425804"/>
    <w:rsid w:val="418A09F4"/>
    <w:rsid w:val="41A43864"/>
    <w:rsid w:val="41B15F81"/>
    <w:rsid w:val="41B22FA2"/>
    <w:rsid w:val="41D1346C"/>
    <w:rsid w:val="41D60587"/>
    <w:rsid w:val="420044FB"/>
    <w:rsid w:val="421B164C"/>
    <w:rsid w:val="42733917"/>
    <w:rsid w:val="428F7D7F"/>
    <w:rsid w:val="42C442A5"/>
    <w:rsid w:val="42C706D0"/>
    <w:rsid w:val="42D51201"/>
    <w:rsid w:val="42D96D28"/>
    <w:rsid w:val="435F5C45"/>
    <w:rsid w:val="438751EB"/>
    <w:rsid w:val="43D9479F"/>
    <w:rsid w:val="43E91AE7"/>
    <w:rsid w:val="43ED0DC6"/>
    <w:rsid w:val="43F51A36"/>
    <w:rsid w:val="4404683C"/>
    <w:rsid w:val="44334A09"/>
    <w:rsid w:val="4447309F"/>
    <w:rsid w:val="444934AC"/>
    <w:rsid w:val="444F6318"/>
    <w:rsid w:val="448B2A50"/>
    <w:rsid w:val="44C42994"/>
    <w:rsid w:val="45102FBE"/>
    <w:rsid w:val="452052CC"/>
    <w:rsid w:val="45252F0E"/>
    <w:rsid w:val="453714C8"/>
    <w:rsid w:val="453B2E99"/>
    <w:rsid w:val="455E0086"/>
    <w:rsid w:val="455E7699"/>
    <w:rsid w:val="4568196D"/>
    <w:rsid w:val="45A9328E"/>
    <w:rsid w:val="45C7721F"/>
    <w:rsid w:val="45DC7B5D"/>
    <w:rsid w:val="45E826AD"/>
    <w:rsid w:val="45EA1A61"/>
    <w:rsid w:val="46155B08"/>
    <w:rsid w:val="464B5944"/>
    <w:rsid w:val="46512D82"/>
    <w:rsid w:val="466510E8"/>
    <w:rsid w:val="4675710B"/>
    <w:rsid w:val="46864152"/>
    <w:rsid w:val="469F0A9E"/>
    <w:rsid w:val="46C6427C"/>
    <w:rsid w:val="46DE7D7E"/>
    <w:rsid w:val="46DF0E9A"/>
    <w:rsid w:val="46EA51DB"/>
    <w:rsid w:val="46F74436"/>
    <w:rsid w:val="470C1241"/>
    <w:rsid w:val="4735324C"/>
    <w:rsid w:val="47503B46"/>
    <w:rsid w:val="475E78D5"/>
    <w:rsid w:val="4768030F"/>
    <w:rsid w:val="477D002C"/>
    <w:rsid w:val="477D2FE2"/>
    <w:rsid w:val="47893008"/>
    <w:rsid w:val="47B1127D"/>
    <w:rsid w:val="47B224C4"/>
    <w:rsid w:val="47B651E6"/>
    <w:rsid w:val="48395EBD"/>
    <w:rsid w:val="48401E0D"/>
    <w:rsid w:val="484324EA"/>
    <w:rsid w:val="48444F9D"/>
    <w:rsid w:val="486929ED"/>
    <w:rsid w:val="48983B04"/>
    <w:rsid w:val="48A5224C"/>
    <w:rsid w:val="48B93C0A"/>
    <w:rsid w:val="48BD16AF"/>
    <w:rsid w:val="48E5571F"/>
    <w:rsid w:val="48FF5824"/>
    <w:rsid w:val="49034865"/>
    <w:rsid w:val="49366D6C"/>
    <w:rsid w:val="493C0826"/>
    <w:rsid w:val="4945298F"/>
    <w:rsid w:val="495D55BE"/>
    <w:rsid w:val="496F62BB"/>
    <w:rsid w:val="498E6227"/>
    <w:rsid w:val="499078B0"/>
    <w:rsid w:val="49E52C3F"/>
    <w:rsid w:val="49F72576"/>
    <w:rsid w:val="4A1949DE"/>
    <w:rsid w:val="4A276C22"/>
    <w:rsid w:val="4A6E2C61"/>
    <w:rsid w:val="4A75177A"/>
    <w:rsid w:val="4A7D2D81"/>
    <w:rsid w:val="4AAC4F32"/>
    <w:rsid w:val="4ABF34BD"/>
    <w:rsid w:val="4ADB406F"/>
    <w:rsid w:val="4AF14AB1"/>
    <w:rsid w:val="4AF81AF2"/>
    <w:rsid w:val="4B182909"/>
    <w:rsid w:val="4B1830E9"/>
    <w:rsid w:val="4B491CA4"/>
    <w:rsid w:val="4B62516E"/>
    <w:rsid w:val="4B660E85"/>
    <w:rsid w:val="4B74216D"/>
    <w:rsid w:val="4B756271"/>
    <w:rsid w:val="4B85046D"/>
    <w:rsid w:val="4B8B7843"/>
    <w:rsid w:val="4BB5437A"/>
    <w:rsid w:val="4BBE0F26"/>
    <w:rsid w:val="4BF76C86"/>
    <w:rsid w:val="4BFC3DEF"/>
    <w:rsid w:val="4BFF4A09"/>
    <w:rsid w:val="4C082CC8"/>
    <w:rsid w:val="4C0A69B9"/>
    <w:rsid w:val="4C165E9B"/>
    <w:rsid w:val="4C306DDD"/>
    <w:rsid w:val="4C871DB8"/>
    <w:rsid w:val="4C8C2F4B"/>
    <w:rsid w:val="4C905CCA"/>
    <w:rsid w:val="4C9155B9"/>
    <w:rsid w:val="4C991C31"/>
    <w:rsid w:val="4C9A71E7"/>
    <w:rsid w:val="4CA24E44"/>
    <w:rsid w:val="4CA65CA1"/>
    <w:rsid w:val="4CCE3E8B"/>
    <w:rsid w:val="4D1C28A1"/>
    <w:rsid w:val="4D31441A"/>
    <w:rsid w:val="4D7D31BB"/>
    <w:rsid w:val="4D8E5258"/>
    <w:rsid w:val="4D9C4A8E"/>
    <w:rsid w:val="4DB210B7"/>
    <w:rsid w:val="4DD128B7"/>
    <w:rsid w:val="4DDB29DC"/>
    <w:rsid w:val="4DDC1405"/>
    <w:rsid w:val="4DEA18A7"/>
    <w:rsid w:val="4DF30C68"/>
    <w:rsid w:val="4E150271"/>
    <w:rsid w:val="4E2A7BE1"/>
    <w:rsid w:val="4E3B5550"/>
    <w:rsid w:val="4E402E20"/>
    <w:rsid w:val="4E492CF4"/>
    <w:rsid w:val="4E6F028E"/>
    <w:rsid w:val="4E7B352A"/>
    <w:rsid w:val="4EA42D6A"/>
    <w:rsid w:val="4EC5306C"/>
    <w:rsid w:val="4EE01CFB"/>
    <w:rsid w:val="4EE074B7"/>
    <w:rsid w:val="4EE137F3"/>
    <w:rsid w:val="4EF4576E"/>
    <w:rsid w:val="4F2F3CF4"/>
    <w:rsid w:val="4F6463E1"/>
    <w:rsid w:val="4F894F5F"/>
    <w:rsid w:val="4FA570A2"/>
    <w:rsid w:val="4FB319A2"/>
    <w:rsid w:val="4FBB3EDC"/>
    <w:rsid w:val="4FCB3D0E"/>
    <w:rsid w:val="4FF21C3E"/>
    <w:rsid w:val="4FFD1F52"/>
    <w:rsid w:val="4FFE6835"/>
    <w:rsid w:val="502E69EF"/>
    <w:rsid w:val="50605FE1"/>
    <w:rsid w:val="50840C26"/>
    <w:rsid w:val="508C39BB"/>
    <w:rsid w:val="50926B99"/>
    <w:rsid w:val="50940F47"/>
    <w:rsid w:val="50B068F4"/>
    <w:rsid w:val="50C826B8"/>
    <w:rsid w:val="50CC248F"/>
    <w:rsid w:val="511377A1"/>
    <w:rsid w:val="51247091"/>
    <w:rsid w:val="51273B6A"/>
    <w:rsid w:val="51844B18"/>
    <w:rsid w:val="51A16A1E"/>
    <w:rsid w:val="51AA1FD7"/>
    <w:rsid w:val="51AF70C8"/>
    <w:rsid w:val="51B0767D"/>
    <w:rsid w:val="51D419CD"/>
    <w:rsid w:val="51DC7A9B"/>
    <w:rsid w:val="51FD16F6"/>
    <w:rsid w:val="520D3AF7"/>
    <w:rsid w:val="521074C0"/>
    <w:rsid w:val="52121566"/>
    <w:rsid w:val="5214298C"/>
    <w:rsid w:val="52170935"/>
    <w:rsid w:val="521C5BFD"/>
    <w:rsid w:val="52501648"/>
    <w:rsid w:val="525210BA"/>
    <w:rsid w:val="526A46EB"/>
    <w:rsid w:val="527E48EC"/>
    <w:rsid w:val="5282789E"/>
    <w:rsid w:val="52B61649"/>
    <w:rsid w:val="52B6324F"/>
    <w:rsid w:val="52BE7D12"/>
    <w:rsid w:val="52EC2EE2"/>
    <w:rsid w:val="53536E98"/>
    <w:rsid w:val="53703458"/>
    <w:rsid w:val="537C1425"/>
    <w:rsid w:val="538B458F"/>
    <w:rsid w:val="539838EA"/>
    <w:rsid w:val="53AA684E"/>
    <w:rsid w:val="53B33FCE"/>
    <w:rsid w:val="53D17AAE"/>
    <w:rsid w:val="53DF421F"/>
    <w:rsid w:val="53E62B59"/>
    <w:rsid w:val="5420040B"/>
    <w:rsid w:val="542C5C75"/>
    <w:rsid w:val="54374AE7"/>
    <w:rsid w:val="5441347B"/>
    <w:rsid w:val="544A055A"/>
    <w:rsid w:val="5462385C"/>
    <w:rsid w:val="54AA67E8"/>
    <w:rsid w:val="54B41154"/>
    <w:rsid w:val="54E63687"/>
    <w:rsid w:val="54FE2E33"/>
    <w:rsid w:val="551D680C"/>
    <w:rsid w:val="552A7B27"/>
    <w:rsid w:val="55322ADD"/>
    <w:rsid w:val="55367BF7"/>
    <w:rsid w:val="554C65E5"/>
    <w:rsid w:val="55633325"/>
    <w:rsid w:val="557D5BA1"/>
    <w:rsid w:val="559303A3"/>
    <w:rsid w:val="5594267A"/>
    <w:rsid w:val="55C91693"/>
    <w:rsid w:val="55DA2224"/>
    <w:rsid w:val="55F1506F"/>
    <w:rsid w:val="55F637EA"/>
    <w:rsid w:val="563B5A15"/>
    <w:rsid w:val="563C0A7F"/>
    <w:rsid w:val="564156CE"/>
    <w:rsid w:val="566D64C3"/>
    <w:rsid w:val="56714FDE"/>
    <w:rsid w:val="56806BA5"/>
    <w:rsid w:val="568455BA"/>
    <w:rsid w:val="569B01CA"/>
    <w:rsid w:val="56A0017C"/>
    <w:rsid w:val="56C43C09"/>
    <w:rsid w:val="56F73FDE"/>
    <w:rsid w:val="57004A1D"/>
    <w:rsid w:val="57612EAC"/>
    <w:rsid w:val="57662666"/>
    <w:rsid w:val="576A2A02"/>
    <w:rsid w:val="578D049F"/>
    <w:rsid w:val="57925AB5"/>
    <w:rsid w:val="57BD73AB"/>
    <w:rsid w:val="57D305A7"/>
    <w:rsid w:val="57D61E46"/>
    <w:rsid w:val="57EA334F"/>
    <w:rsid w:val="581F309E"/>
    <w:rsid w:val="58267A73"/>
    <w:rsid w:val="5832269D"/>
    <w:rsid w:val="586236D9"/>
    <w:rsid w:val="58630370"/>
    <w:rsid w:val="58693A3C"/>
    <w:rsid w:val="58721400"/>
    <w:rsid w:val="58E13AB8"/>
    <w:rsid w:val="58EE10B5"/>
    <w:rsid w:val="59192495"/>
    <w:rsid w:val="59286F4F"/>
    <w:rsid w:val="593C3F2A"/>
    <w:rsid w:val="595C716E"/>
    <w:rsid w:val="598B1EF7"/>
    <w:rsid w:val="59926240"/>
    <w:rsid w:val="59B44C3A"/>
    <w:rsid w:val="59D209B2"/>
    <w:rsid w:val="59F82547"/>
    <w:rsid w:val="5A1E30EC"/>
    <w:rsid w:val="5A2F44D7"/>
    <w:rsid w:val="5A310C5F"/>
    <w:rsid w:val="5A351BCA"/>
    <w:rsid w:val="5A3D43FE"/>
    <w:rsid w:val="5A475723"/>
    <w:rsid w:val="5A53559E"/>
    <w:rsid w:val="5A643739"/>
    <w:rsid w:val="5A671778"/>
    <w:rsid w:val="5AC41944"/>
    <w:rsid w:val="5B046CCA"/>
    <w:rsid w:val="5B0F3676"/>
    <w:rsid w:val="5B1E1ED1"/>
    <w:rsid w:val="5B6B0AF7"/>
    <w:rsid w:val="5BAB5397"/>
    <w:rsid w:val="5BD10564"/>
    <w:rsid w:val="5BD129F2"/>
    <w:rsid w:val="5BE24306"/>
    <w:rsid w:val="5C02279D"/>
    <w:rsid w:val="5C14118E"/>
    <w:rsid w:val="5C2A3776"/>
    <w:rsid w:val="5C2D2F4F"/>
    <w:rsid w:val="5C33512E"/>
    <w:rsid w:val="5C5123E2"/>
    <w:rsid w:val="5C62014C"/>
    <w:rsid w:val="5C620555"/>
    <w:rsid w:val="5C6739B4"/>
    <w:rsid w:val="5C677510"/>
    <w:rsid w:val="5C7D7D4E"/>
    <w:rsid w:val="5C9758B5"/>
    <w:rsid w:val="5CCB7A9F"/>
    <w:rsid w:val="5D1C479E"/>
    <w:rsid w:val="5D2F170B"/>
    <w:rsid w:val="5D3A76DA"/>
    <w:rsid w:val="5D4111F8"/>
    <w:rsid w:val="5D9B5A9B"/>
    <w:rsid w:val="5DA0236E"/>
    <w:rsid w:val="5DD021B6"/>
    <w:rsid w:val="5E1F4C10"/>
    <w:rsid w:val="5E223408"/>
    <w:rsid w:val="5E316028"/>
    <w:rsid w:val="5EA710B6"/>
    <w:rsid w:val="5EB278BE"/>
    <w:rsid w:val="5EBA44BD"/>
    <w:rsid w:val="5ED81FE2"/>
    <w:rsid w:val="5EE053D5"/>
    <w:rsid w:val="5EF17565"/>
    <w:rsid w:val="5F44591A"/>
    <w:rsid w:val="5F4F11D9"/>
    <w:rsid w:val="5F593A88"/>
    <w:rsid w:val="5F68378D"/>
    <w:rsid w:val="5F9623A7"/>
    <w:rsid w:val="5FC42B81"/>
    <w:rsid w:val="5FCA1BB0"/>
    <w:rsid w:val="5FCF392A"/>
    <w:rsid w:val="60464805"/>
    <w:rsid w:val="604B0A1D"/>
    <w:rsid w:val="60554B79"/>
    <w:rsid w:val="605C4EB2"/>
    <w:rsid w:val="60624BBE"/>
    <w:rsid w:val="607E12CC"/>
    <w:rsid w:val="60875166"/>
    <w:rsid w:val="60AE3102"/>
    <w:rsid w:val="60B73387"/>
    <w:rsid w:val="60BE791B"/>
    <w:rsid w:val="60FD23C9"/>
    <w:rsid w:val="61001CE1"/>
    <w:rsid w:val="610500C2"/>
    <w:rsid w:val="615D1EB7"/>
    <w:rsid w:val="61656BD4"/>
    <w:rsid w:val="618A5577"/>
    <w:rsid w:val="618C498B"/>
    <w:rsid w:val="61A42FB4"/>
    <w:rsid w:val="61B72CE8"/>
    <w:rsid w:val="61BB6C9C"/>
    <w:rsid w:val="61BF3651"/>
    <w:rsid w:val="61CB6793"/>
    <w:rsid w:val="61D85EF6"/>
    <w:rsid w:val="61D93C05"/>
    <w:rsid w:val="61E4690C"/>
    <w:rsid w:val="61E516E3"/>
    <w:rsid w:val="61F353FB"/>
    <w:rsid w:val="620D6805"/>
    <w:rsid w:val="620D6DAC"/>
    <w:rsid w:val="6213360E"/>
    <w:rsid w:val="621A5025"/>
    <w:rsid w:val="623205C0"/>
    <w:rsid w:val="623D6F6C"/>
    <w:rsid w:val="623E0D13"/>
    <w:rsid w:val="62696090"/>
    <w:rsid w:val="626F6586"/>
    <w:rsid w:val="627836EA"/>
    <w:rsid w:val="628C1A7E"/>
    <w:rsid w:val="62953331"/>
    <w:rsid w:val="62A15006"/>
    <w:rsid w:val="62A74B0A"/>
    <w:rsid w:val="62D43425"/>
    <w:rsid w:val="631A1356"/>
    <w:rsid w:val="63536A40"/>
    <w:rsid w:val="636D0F45"/>
    <w:rsid w:val="63722AB6"/>
    <w:rsid w:val="63943403"/>
    <w:rsid w:val="63F6207D"/>
    <w:rsid w:val="63FA5FE0"/>
    <w:rsid w:val="6420379D"/>
    <w:rsid w:val="642301C1"/>
    <w:rsid w:val="64234664"/>
    <w:rsid w:val="642B3E5D"/>
    <w:rsid w:val="64395C36"/>
    <w:rsid w:val="64970BAF"/>
    <w:rsid w:val="64B42227"/>
    <w:rsid w:val="64C73242"/>
    <w:rsid w:val="64CB55E1"/>
    <w:rsid w:val="651B6916"/>
    <w:rsid w:val="65506D17"/>
    <w:rsid w:val="65804B36"/>
    <w:rsid w:val="65D0387B"/>
    <w:rsid w:val="65D26342"/>
    <w:rsid w:val="65E25E59"/>
    <w:rsid w:val="66061B48"/>
    <w:rsid w:val="660B32B0"/>
    <w:rsid w:val="66134265"/>
    <w:rsid w:val="66285F62"/>
    <w:rsid w:val="66371766"/>
    <w:rsid w:val="665C7188"/>
    <w:rsid w:val="666763CD"/>
    <w:rsid w:val="66BB5028"/>
    <w:rsid w:val="66D659BE"/>
    <w:rsid w:val="66DC36F6"/>
    <w:rsid w:val="66E8749F"/>
    <w:rsid w:val="670A1760"/>
    <w:rsid w:val="67213E2E"/>
    <w:rsid w:val="67234D4B"/>
    <w:rsid w:val="672959C9"/>
    <w:rsid w:val="67310E46"/>
    <w:rsid w:val="67380715"/>
    <w:rsid w:val="673A3588"/>
    <w:rsid w:val="675E59B4"/>
    <w:rsid w:val="6770290D"/>
    <w:rsid w:val="6775344C"/>
    <w:rsid w:val="67791F59"/>
    <w:rsid w:val="677B0314"/>
    <w:rsid w:val="67A006D7"/>
    <w:rsid w:val="67BB3B85"/>
    <w:rsid w:val="67E7657C"/>
    <w:rsid w:val="67E77846"/>
    <w:rsid w:val="67F72A5E"/>
    <w:rsid w:val="68215D34"/>
    <w:rsid w:val="6826112F"/>
    <w:rsid w:val="683E1A6D"/>
    <w:rsid w:val="68541290"/>
    <w:rsid w:val="68594195"/>
    <w:rsid w:val="68784109"/>
    <w:rsid w:val="68793830"/>
    <w:rsid w:val="689E250C"/>
    <w:rsid w:val="68A67612"/>
    <w:rsid w:val="68CF4DBB"/>
    <w:rsid w:val="68E502D3"/>
    <w:rsid w:val="68E51EE8"/>
    <w:rsid w:val="68EB6B91"/>
    <w:rsid w:val="690848D9"/>
    <w:rsid w:val="69140A64"/>
    <w:rsid w:val="69641DFA"/>
    <w:rsid w:val="69917ADB"/>
    <w:rsid w:val="69A1252E"/>
    <w:rsid w:val="69B51E7C"/>
    <w:rsid w:val="69EA71C4"/>
    <w:rsid w:val="69F34EB4"/>
    <w:rsid w:val="69FC16D5"/>
    <w:rsid w:val="6A010AAA"/>
    <w:rsid w:val="6A070584"/>
    <w:rsid w:val="6A106E8A"/>
    <w:rsid w:val="6A1B7B8C"/>
    <w:rsid w:val="6A2133F4"/>
    <w:rsid w:val="6A241363"/>
    <w:rsid w:val="6A52762F"/>
    <w:rsid w:val="6A8B2B69"/>
    <w:rsid w:val="6A957282"/>
    <w:rsid w:val="6ACE1E98"/>
    <w:rsid w:val="6AD3534A"/>
    <w:rsid w:val="6AE815F8"/>
    <w:rsid w:val="6B113698"/>
    <w:rsid w:val="6B2367ED"/>
    <w:rsid w:val="6B3017B5"/>
    <w:rsid w:val="6B517D09"/>
    <w:rsid w:val="6B816DAA"/>
    <w:rsid w:val="6B8E2271"/>
    <w:rsid w:val="6B9E0A74"/>
    <w:rsid w:val="6BB52C22"/>
    <w:rsid w:val="6BB81B36"/>
    <w:rsid w:val="6BBB7583"/>
    <w:rsid w:val="6BD5384A"/>
    <w:rsid w:val="6BDA7CFF"/>
    <w:rsid w:val="6BE0108D"/>
    <w:rsid w:val="6C180827"/>
    <w:rsid w:val="6C727F37"/>
    <w:rsid w:val="6C8859AD"/>
    <w:rsid w:val="6D4A082B"/>
    <w:rsid w:val="6D86784B"/>
    <w:rsid w:val="6DB35718"/>
    <w:rsid w:val="6DBA7720"/>
    <w:rsid w:val="6DCD41FA"/>
    <w:rsid w:val="6DDB1B0C"/>
    <w:rsid w:val="6DDE1315"/>
    <w:rsid w:val="6DE508A0"/>
    <w:rsid w:val="6E071C2C"/>
    <w:rsid w:val="6E12013B"/>
    <w:rsid w:val="6E2337BB"/>
    <w:rsid w:val="6E5F30EC"/>
    <w:rsid w:val="6E8D72AA"/>
    <w:rsid w:val="6EA35B7D"/>
    <w:rsid w:val="6EDF387E"/>
    <w:rsid w:val="6EE67467"/>
    <w:rsid w:val="6EFB6D71"/>
    <w:rsid w:val="6F017329"/>
    <w:rsid w:val="6F0B6EC8"/>
    <w:rsid w:val="6F12155D"/>
    <w:rsid w:val="6F1277AF"/>
    <w:rsid w:val="6F1A48B6"/>
    <w:rsid w:val="6F62308B"/>
    <w:rsid w:val="6F6C1D50"/>
    <w:rsid w:val="6F963B26"/>
    <w:rsid w:val="6FBD3BEC"/>
    <w:rsid w:val="6FBE6845"/>
    <w:rsid w:val="6FC26A18"/>
    <w:rsid w:val="6FEB0B4A"/>
    <w:rsid w:val="70001CFE"/>
    <w:rsid w:val="70111815"/>
    <w:rsid w:val="701126D8"/>
    <w:rsid w:val="70441350"/>
    <w:rsid w:val="70741DA4"/>
    <w:rsid w:val="708A237B"/>
    <w:rsid w:val="70A018A2"/>
    <w:rsid w:val="70B64CD9"/>
    <w:rsid w:val="70B850BA"/>
    <w:rsid w:val="70BD199D"/>
    <w:rsid w:val="70C3062D"/>
    <w:rsid w:val="70E909E4"/>
    <w:rsid w:val="70E96B8A"/>
    <w:rsid w:val="70F671C7"/>
    <w:rsid w:val="71020EA7"/>
    <w:rsid w:val="71052ED3"/>
    <w:rsid w:val="711C66C3"/>
    <w:rsid w:val="71405D67"/>
    <w:rsid w:val="715A44A2"/>
    <w:rsid w:val="7169623E"/>
    <w:rsid w:val="71881FAB"/>
    <w:rsid w:val="71A3672F"/>
    <w:rsid w:val="71DC3B89"/>
    <w:rsid w:val="71F43E08"/>
    <w:rsid w:val="7229553C"/>
    <w:rsid w:val="722A12B4"/>
    <w:rsid w:val="72364402"/>
    <w:rsid w:val="72467786"/>
    <w:rsid w:val="725A2D31"/>
    <w:rsid w:val="72872D3A"/>
    <w:rsid w:val="729445D6"/>
    <w:rsid w:val="72A050D2"/>
    <w:rsid w:val="72BD5C84"/>
    <w:rsid w:val="739D1260"/>
    <w:rsid w:val="73B46F4E"/>
    <w:rsid w:val="73D47E32"/>
    <w:rsid w:val="73E334C8"/>
    <w:rsid w:val="74051691"/>
    <w:rsid w:val="74084E95"/>
    <w:rsid w:val="74317D5F"/>
    <w:rsid w:val="743949D4"/>
    <w:rsid w:val="7456622C"/>
    <w:rsid w:val="745A4A08"/>
    <w:rsid w:val="745E6FF3"/>
    <w:rsid w:val="746E7D2A"/>
    <w:rsid w:val="74AF44C4"/>
    <w:rsid w:val="74CC351E"/>
    <w:rsid w:val="75080D12"/>
    <w:rsid w:val="75201FBB"/>
    <w:rsid w:val="75361E98"/>
    <w:rsid w:val="7572311C"/>
    <w:rsid w:val="75771DB5"/>
    <w:rsid w:val="75887FBF"/>
    <w:rsid w:val="75B01AD0"/>
    <w:rsid w:val="75C76698"/>
    <w:rsid w:val="75EB0D5A"/>
    <w:rsid w:val="75FA1D83"/>
    <w:rsid w:val="75FC4D15"/>
    <w:rsid w:val="76122FA5"/>
    <w:rsid w:val="76560462"/>
    <w:rsid w:val="768F7938"/>
    <w:rsid w:val="76D338D8"/>
    <w:rsid w:val="76EE2AAB"/>
    <w:rsid w:val="76FF0366"/>
    <w:rsid w:val="77000835"/>
    <w:rsid w:val="77132317"/>
    <w:rsid w:val="77215CF3"/>
    <w:rsid w:val="773329B9"/>
    <w:rsid w:val="777036C6"/>
    <w:rsid w:val="77783D60"/>
    <w:rsid w:val="777C4977"/>
    <w:rsid w:val="779A665C"/>
    <w:rsid w:val="77B05E98"/>
    <w:rsid w:val="77C875A5"/>
    <w:rsid w:val="77D01FB6"/>
    <w:rsid w:val="77E022DE"/>
    <w:rsid w:val="77F51B55"/>
    <w:rsid w:val="78000AED"/>
    <w:rsid w:val="78111AD0"/>
    <w:rsid w:val="78284229"/>
    <w:rsid w:val="78321D4C"/>
    <w:rsid w:val="78446E57"/>
    <w:rsid w:val="78686282"/>
    <w:rsid w:val="788039DC"/>
    <w:rsid w:val="78856E60"/>
    <w:rsid w:val="78F543CA"/>
    <w:rsid w:val="79224A93"/>
    <w:rsid w:val="79297609"/>
    <w:rsid w:val="792E51E6"/>
    <w:rsid w:val="79337EBF"/>
    <w:rsid w:val="794B34A6"/>
    <w:rsid w:val="7956473D"/>
    <w:rsid w:val="797D43BF"/>
    <w:rsid w:val="79C43D9C"/>
    <w:rsid w:val="79E85935"/>
    <w:rsid w:val="7A067F11"/>
    <w:rsid w:val="7A0720FB"/>
    <w:rsid w:val="7A3647F1"/>
    <w:rsid w:val="7A5F62EE"/>
    <w:rsid w:val="7A65607E"/>
    <w:rsid w:val="7A9C0875"/>
    <w:rsid w:val="7AAE2680"/>
    <w:rsid w:val="7AD028EA"/>
    <w:rsid w:val="7AE83ABA"/>
    <w:rsid w:val="7AE91D0C"/>
    <w:rsid w:val="7AEC5358"/>
    <w:rsid w:val="7AEF353D"/>
    <w:rsid w:val="7B160627"/>
    <w:rsid w:val="7B171894"/>
    <w:rsid w:val="7B1B5107"/>
    <w:rsid w:val="7B764B5B"/>
    <w:rsid w:val="7B8B7B16"/>
    <w:rsid w:val="7B9967F5"/>
    <w:rsid w:val="7BA05E2A"/>
    <w:rsid w:val="7BA966BA"/>
    <w:rsid w:val="7BD464EC"/>
    <w:rsid w:val="7BF77187"/>
    <w:rsid w:val="7BF8CB0D"/>
    <w:rsid w:val="7C7E0232"/>
    <w:rsid w:val="7CB1685A"/>
    <w:rsid w:val="7CE029A9"/>
    <w:rsid w:val="7CF3206D"/>
    <w:rsid w:val="7CFE2D4B"/>
    <w:rsid w:val="7D2B14AA"/>
    <w:rsid w:val="7D545F82"/>
    <w:rsid w:val="7D584F27"/>
    <w:rsid w:val="7D6531A0"/>
    <w:rsid w:val="7D847272"/>
    <w:rsid w:val="7DAF401F"/>
    <w:rsid w:val="7DC725C3"/>
    <w:rsid w:val="7DE44A0D"/>
    <w:rsid w:val="7DF509C8"/>
    <w:rsid w:val="7DF5428B"/>
    <w:rsid w:val="7E014FD0"/>
    <w:rsid w:val="7E086EDB"/>
    <w:rsid w:val="7E1075B0"/>
    <w:rsid w:val="7E152F02"/>
    <w:rsid w:val="7E206AA9"/>
    <w:rsid w:val="7E3B6F9B"/>
    <w:rsid w:val="7E40312D"/>
    <w:rsid w:val="7E447410"/>
    <w:rsid w:val="7E746378"/>
    <w:rsid w:val="7E7713DD"/>
    <w:rsid w:val="7E8931A1"/>
    <w:rsid w:val="7EC02D84"/>
    <w:rsid w:val="7EC24AA2"/>
    <w:rsid w:val="7EC30AC6"/>
    <w:rsid w:val="7EE8052D"/>
    <w:rsid w:val="7F381C8E"/>
    <w:rsid w:val="7F4A0307"/>
    <w:rsid w:val="7F5D4A77"/>
    <w:rsid w:val="7F635015"/>
    <w:rsid w:val="7F663BB5"/>
    <w:rsid w:val="7F6A5898"/>
    <w:rsid w:val="7F974733"/>
    <w:rsid w:val="AF4F22E8"/>
    <w:rsid w:val="FFFA0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576" w:lineRule="auto"/>
      <w:jc w:val="center"/>
      <w:outlineLvl w:val="0"/>
    </w:pPr>
    <w:rPr>
      <w:b/>
      <w:bCs/>
      <w:kern w:val="44"/>
      <w:sz w:val="44"/>
      <w:szCs w:val="44"/>
    </w:rPr>
  </w:style>
  <w:style w:type="paragraph" w:styleId="3">
    <w:name w:val="heading 2"/>
    <w:basedOn w:val="1"/>
    <w:next w:val="1"/>
    <w:link w:val="57"/>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60"/>
    <w:autoRedefine/>
    <w:qFormat/>
    <w:uiPriority w:val="0"/>
    <w:pPr>
      <w:keepNext/>
      <w:keepLines/>
      <w:spacing w:line="415" w:lineRule="auto"/>
      <w:ind w:firstLine="137" w:firstLineChars="49"/>
      <w:outlineLvl w:val="2"/>
    </w:pPr>
    <w:rPr>
      <w:rFonts w:hAnsi="黑体" w:eastAsia="黑体"/>
      <w:sz w:val="24"/>
      <w:szCs w:val="20"/>
    </w:rPr>
  </w:style>
  <w:style w:type="paragraph" w:styleId="5">
    <w:name w:val="heading 4"/>
    <w:basedOn w:val="1"/>
    <w:next w:val="1"/>
    <w:link w:val="61"/>
    <w:autoRedefine/>
    <w:qFormat/>
    <w:uiPriority w:val="0"/>
    <w:pPr>
      <w:keepNext/>
      <w:keepLines/>
      <w:spacing w:line="374" w:lineRule="auto"/>
      <w:outlineLvl w:val="3"/>
    </w:pPr>
    <w:rPr>
      <w:rFonts w:hint="eastAsia" w:ascii="Cambria" w:hAnsi="Cambria"/>
      <w:b/>
      <w:sz w:val="28"/>
      <w:szCs w:val="20"/>
    </w:rPr>
  </w:style>
  <w:style w:type="paragraph" w:styleId="6">
    <w:name w:val="heading 5"/>
    <w:basedOn w:val="1"/>
    <w:next w:val="1"/>
    <w:link w:val="62"/>
    <w:autoRedefine/>
    <w:qFormat/>
    <w:uiPriority w:val="0"/>
    <w:pPr>
      <w:keepNext/>
      <w:keepLines/>
      <w:spacing w:line="376" w:lineRule="auto"/>
      <w:outlineLvl w:val="4"/>
    </w:pPr>
    <w:rPr>
      <w:b/>
      <w:bCs/>
      <w:sz w:val="28"/>
      <w:szCs w:val="28"/>
    </w:rPr>
  </w:style>
  <w:style w:type="paragraph" w:styleId="7">
    <w:name w:val="heading 6"/>
    <w:basedOn w:val="1"/>
    <w:next w:val="1"/>
    <w:link w:val="63"/>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6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65"/>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66"/>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67"/>
    <w:autoRedefine/>
    <w:qFormat/>
    <w:uiPriority w:val="0"/>
    <w:pPr>
      <w:ind w:firstLine="420"/>
    </w:pPr>
    <w:rPr>
      <w:b/>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68"/>
    <w:autoRedefine/>
    <w:qFormat/>
    <w:uiPriority w:val="0"/>
    <w:pPr>
      <w:shd w:val="clear" w:color="auto" w:fill="000080"/>
    </w:pPr>
  </w:style>
  <w:style w:type="paragraph" w:styleId="15">
    <w:name w:val="annotation text"/>
    <w:basedOn w:val="1"/>
    <w:link w:val="69"/>
    <w:autoRedefine/>
    <w:qFormat/>
    <w:uiPriority w:val="0"/>
    <w:pPr>
      <w:jc w:val="left"/>
    </w:pPr>
    <w:rPr>
      <w:szCs w:val="20"/>
    </w:rPr>
  </w:style>
  <w:style w:type="paragraph" w:styleId="16">
    <w:name w:val="Body Text 3"/>
    <w:basedOn w:val="1"/>
    <w:link w:val="70"/>
    <w:autoRedefine/>
    <w:qFormat/>
    <w:uiPriority w:val="0"/>
    <w:rPr>
      <w:rFonts w:ascii="宋体"/>
      <w:sz w:val="24"/>
      <w:szCs w:val="20"/>
    </w:rPr>
  </w:style>
  <w:style w:type="paragraph" w:styleId="17">
    <w:name w:val="Body Text"/>
    <w:basedOn w:val="1"/>
    <w:link w:val="71"/>
    <w:autoRedefine/>
    <w:qFormat/>
    <w:uiPriority w:val="0"/>
  </w:style>
  <w:style w:type="paragraph" w:styleId="18">
    <w:name w:val="Body Text Indent"/>
    <w:basedOn w:val="1"/>
    <w:link w:val="72"/>
    <w:autoRedefine/>
    <w:qFormat/>
    <w:uiPriority w:val="0"/>
    <w:pPr>
      <w:spacing w:line="360" w:lineRule="auto"/>
      <w:ind w:firstLine="420"/>
    </w:pPr>
    <w:rPr>
      <w:rFonts w:ascii="宋体"/>
      <w:sz w:val="24"/>
      <w:szCs w:val="20"/>
    </w:rPr>
  </w:style>
  <w:style w:type="paragraph" w:styleId="19">
    <w:name w:val="Block Text"/>
    <w:basedOn w:val="1"/>
    <w:autoRedefine/>
    <w:unhideWhenUsed/>
    <w:qFormat/>
    <w:uiPriority w:val="99"/>
    <w:pPr>
      <w:spacing w:after="120" w:afterLines="0" w:afterAutospacing="0"/>
      <w:ind w:left="1440" w:leftChars="700" w:rightChars="700"/>
    </w:p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ind w:left="840" w:leftChars="400"/>
      <w:jc w:val="left"/>
    </w:pPr>
  </w:style>
  <w:style w:type="paragraph" w:styleId="22">
    <w:name w:val="Plain Text"/>
    <w:basedOn w:val="1"/>
    <w:link w:val="73"/>
    <w:autoRedefine/>
    <w:qFormat/>
    <w:uiPriority w:val="0"/>
    <w:rPr>
      <w:rFonts w:ascii="宋体" w:hAnsi="Courier New"/>
      <w:sz w:val="28"/>
      <w:szCs w:val="20"/>
    </w:rPr>
  </w:style>
  <w:style w:type="paragraph" w:styleId="23">
    <w:name w:val="toc 8"/>
    <w:basedOn w:val="1"/>
    <w:next w:val="1"/>
    <w:autoRedefine/>
    <w:qFormat/>
    <w:uiPriority w:val="0"/>
    <w:pPr>
      <w:ind w:left="2940" w:leftChars="1400"/>
    </w:pPr>
  </w:style>
  <w:style w:type="paragraph" w:styleId="24">
    <w:name w:val="Date"/>
    <w:basedOn w:val="1"/>
    <w:next w:val="1"/>
    <w:autoRedefine/>
    <w:qFormat/>
    <w:uiPriority w:val="0"/>
    <w:pPr>
      <w:ind w:left="100" w:leftChars="2500"/>
    </w:pPr>
  </w:style>
  <w:style w:type="paragraph" w:styleId="25">
    <w:name w:val="Body Text Indent 2"/>
    <w:basedOn w:val="1"/>
    <w:link w:val="59"/>
    <w:autoRedefine/>
    <w:qFormat/>
    <w:uiPriority w:val="0"/>
    <w:pPr>
      <w:spacing w:line="420" w:lineRule="exact"/>
      <w:ind w:firstLine="525"/>
    </w:pPr>
    <w:rPr>
      <w:rFonts w:ascii="宋体"/>
      <w:szCs w:val="20"/>
    </w:rPr>
  </w:style>
  <w:style w:type="paragraph" w:styleId="26">
    <w:name w:val="Balloon Text"/>
    <w:basedOn w:val="1"/>
    <w:link w:val="74"/>
    <w:autoRedefine/>
    <w:qFormat/>
    <w:uiPriority w:val="0"/>
    <w:rPr>
      <w:sz w:val="18"/>
      <w:szCs w:val="18"/>
    </w:rPr>
  </w:style>
  <w:style w:type="paragraph" w:styleId="27">
    <w:name w:val="footer"/>
    <w:basedOn w:val="1"/>
    <w:link w:val="75"/>
    <w:autoRedefine/>
    <w:qFormat/>
    <w:uiPriority w:val="0"/>
    <w:pPr>
      <w:tabs>
        <w:tab w:val="center" w:pos="4153"/>
        <w:tab w:val="right" w:pos="8306"/>
      </w:tabs>
      <w:snapToGrid w:val="0"/>
      <w:jc w:val="left"/>
    </w:pPr>
    <w:rPr>
      <w:sz w:val="18"/>
      <w:szCs w:val="20"/>
    </w:rPr>
  </w:style>
  <w:style w:type="paragraph" w:styleId="28">
    <w:name w:val="header"/>
    <w:basedOn w:val="1"/>
    <w:link w:val="7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29">
    <w:name w:val="toc 1"/>
    <w:basedOn w:val="1"/>
    <w:next w:val="1"/>
    <w:autoRedefine/>
    <w:qFormat/>
    <w:uiPriority w:val="0"/>
    <w:pPr>
      <w:jc w:val="left"/>
    </w:pPr>
  </w:style>
  <w:style w:type="paragraph" w:styleId="30">
    <w:name w:val="toc 4"/>
    <w:basedOn w:val="1"/>
    <w:next w:val="1"/>
    <w:autoRedefine/>
    <w:qFormat/>
    <w:uiPriority w:val="0"/>
    <w:pPr>
      <w:ind w:left="1260" w:leftChars="600"/>
    </w:pPr>
  </w:style>
  <w:style w:type="paragraph" w:styleId="31">
    <w:name w:val="Subtitle"/>
    <w:basedOn w:val="1"/>
    <w:next w:val="1"/>
    <w:link w:val="77"/>
    <w:autoRedefine/>
    <w:qFormat/>
    <w:uiPriority w:val="0"/>
    <w:pPr>
      <w:spacing w:line="312" w:lineRule="auto"/>
      <w:jc w:val="center"/>
      <w:outlineLvl w:val="1"/>
    </w:pPr>
    <w:rPr>
      <w:rFonts w:ascii="Cambria" w:hAnsi="Cambria"/>
      <w:b/>
      <w:bCs/>
      <w:kern w:val="28"/>
      <w:sz w:val="32"/>
      <w:szCs w:val="32"/>
    </w:rPr>
  </w:style>
  <w:style w:type="paragraph" w:styleId="32">
    <w:name w:val="footnote text"/>
    <w:basedOn w:val="1"/>
    <w:link w:val="78"/>
    <w:autoRedefine/>
    <w:qFormat/>
    <w:uiPriority w:val="0"/>
    <w:rPr>
      <w:sz w:val="20"/>
      <w:szCs w:val="20"/>
    </w:rPr>
  </w:style>
  <w:style w:type="paragraph" w:styleId="33">
    <w:name w:val="toc 6"/>
    <w:basedOn w:val="1"/>
    <w:next w:val="1"/>
    <w:autoRedefine/>
    <w:qFormat/>
    <w:uiPriority w:val="0"/>
    <w:pPr>
      <w:ind w:left="2100" w:leftChars="1000"/>
    </w:pPr>
  </w:style>
  <w:style w:type="paragraph" w:styleId="34">
    <w:name w:val="Body Text Indent 3"/>
    <w:basedOn w:val="1"/>
    <w:link w:val="79"/>
    <w:autoRedefine/>
    <w:qFormat/>
    <w:uiPriority w:val="0"/>
    <w:pPr>
      <w:ind w:left="420" w:leftChars="200"/>
    </w:pPr>
    <w:rPr>
      <w:sz w:val="16"/>
      <w:szCs w:val="16"/>
    </w:rPr>
  </w:style>
  <w:style w:type="paragraph" w:styleId="35">
    <w:name w:val="table of figures"/>
    <w:basedOn w:val="1"/>
    <w:next w:val="1"/>
    <w:autoRedefine/>
    <w:qFormat/>
    <w:uiPriority w:val="0"/>
    <w:pPr>
      <w:ind w:left="200" w:leftChars="200" w:hanging="200" w:hangingChars="200"/>
    </w:pPr>
  </w:style>
  <w:style w:type="paragraph" w:styleId="36">
    <w:name w:val="toc 2"/>
    <w:basedOn w:val="1"/>
    <w:next w:val="1"/>
    <w:autoRedefine/>
    <w:qFormat/>
    <w:uiPriority w:val="0"/>
    <w:pPr>
      <w:ind w:left="420" w:leftChars="200"/>
      <w:jc w:val="left"/>
    </w:pPr>
  </w:style>
  <w:style w:type="paragraph" w:styleId="37">
    <w:name w:val="toc 9"/>
    <w:basedOn w:val="1"/>
    <w:next w:val="1"/>
    <w:autoRedefine/>
    <w:qFormat/>
    <w:uiPriority w:val="0"/>
    <w:pPr>
      <w:ind w:left="3360" w:leftChars="1600"/>
    </w:pPr>
  </w:style>
  <w:style w:type="paragraph" w:styleId="38">
    <w:name w:val="List Continue 2"/>
    <w:basedOn w:val="1"/>
    <w:autoRedefine/>
    <w:qFormat/>
    <w:uiPriority w:val="0"/>
    <w:pPr>
      <w:ind w:left="840"/>
    </w:pPr>
  </w:style>
  <w:style w:type="paragraph" w:styleId="39">
    <w:name w:val="Normal (Web)"/>
    <w:basedOn w:val="1"/>
    <w:autoRedefine/>
    <w:qFormat/>
    <w:uiPriority w:val="0"/>
    <w:pPr>
      <w:widowControl/>
      <w:spacing w:beforeAutospacing="1" w:afterAutospacing="1"/>
      <w:jc w:val="left"/>
    </w:pPr>
    <w:rPr>
      <w:rFonts w:ascii="宋体" w:hAnsi="宋体" w:cs="宋体"/>
      <w:kern w:val="0"/>
      <w:sz w:val="24"/>
    </w:rPr>
  </w:style>
  <w:style w:type="paragraph" w:styleId="40">
    <w:name w:val="index 1"/>
    <w:basedOn w:val="1"/>
    <w:next w:val="1"/>
    <w:autoRedefine/>
    <w:qFormat/>
    <w:uiPriority w:val="0"/>
    <w:pPr>
      <w:ind w:left="210" w:hanging="210"/>
      <w:jc w:val="left"/>
    </w:pPr>
    <w:rPr>
      <w:szCs w:val="21"/>
    </w:rPr>
  </w:style>
  <w:style w:type="paragraph" w:styleId="41">
    <w:name w:val="Title"/>
    <w:basedOn w:val="1"/>
    <w:link w:val="80"/>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2">
    <w:name w:val="annotation subject"/>
    <w:basedOn w:val="15"/>
    <w:next w:val="15"/>
    <w:link w:val="81"/>
    <w:autoRedefine/>
    <w:qFormat/>
    <w:uiPriority w:val="0"/>
    <w:rPr>
      <w:b/>
      <w:bCs/>
      <w:szCs w:val="24"/>
    </w:rPr>
  </w:style>
  <w:style w:type="paragraph" w:styleId="43">
    <w:name w:val="Body Text First Indent"/>
    <w:basedOn w:val="17"/>
    <w:autoRedefine/>
    <w:qFormat/>
    <w:uiPriority w:val="99"/>
    <w:pPr>
      <w:ind w:firstLine="420" w:firstLineChars="100"/>
    </w:pPr>
    <w:rPr>
      <w:rFonts w:ascii="Calibri" w:hAnsi="Calibri"/>
      <w:szCs w:val="22"/>
    </w:r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autoRedefine/>
    <w:qFormat/>
    <w:uiPriority w:val="0"/>
    <w:rPr>
      <w:rFonts w:ascii="Times New Roman" w:hAnsi="Times New Roman" w:eastAsia="宋体" w:cs="Times New Roman"/>
      <w:b/>
      <w:bCs/>
    </w:rPr>
  </w:style>
  <w:style w:type="character" w:styleId="48">
    <w:name w:val="page number"/>
    <w:autoRedefine/>
    <w:qFormat/>
    <w:uiPriority w:val="0"/>
    <w:rPr>
      <w:rFonts w:ascii="Times New Roman" w:hAnsi="Times New Roman" w:eastAsia="宋体" w:cs="Times New Roman"/>
    </w:rPr>
  </w:style>
  <w:style w:type="character" w:styleId="49">
    <w:name w:val="FollowedHyperlink"/>
    <w:autoRedefine/>
    <w:qFormat/>
    <w:uiPriority w:val="0"/>
    <w:rPr>
      <w:rFonts w:ascii="Times New Roman" w:hAnsi="Times New Roman" w:eastAsia="宋体" w:cs="Times New Roman"/>
      <w:color w:val="800080"/>
      <w:u w:val="none"/>
    </w:rPr>
  </w:style>
  <w:style w:type="character" w:styleId="50">
    <w:name w:val="Emphasis"/>
    <w:autoRedefine/>
    <w:qFormat/>
    <w:uiPriority w:val="0"/>
    <w:rPr>
      <w:rFonts w:ascii="Times New Roman" w:hAnsi="Times New Roman" w:eastAsia="宋体" w:cs="Times New Roman"/>
      <w:i/>
      <w:iCs/>
    </w:rPr>
  </w:style>
  <w:style w:type="character" w:styleId="51">
    <w:name w:val="Hyperlink"/>
    <w:autoRedefine/>
    <w:qFormat/>
    <w:uiPriority w:val="0"/>
    <w:rPr>
      <w:rFonts w:ascii="Times New Roman" w:hAnsi="Times New Roman" w:eastAsia="宋体" w:cs="Times New Roman"/>
      <w:color w:val="0000FF"/>
      <w:u w:val="none"/>
    </w:rPr>
  </w:style>
  <w:style w:type="character" w:styleId="52">
    <w:name w:val="annotation reference"/>
    <w:autoRedefine/>
    <w:qFormat/>
    <w:uiPriority w:val="0"/>
    <w:rPr>
      <w:rFonts w:ascii="Times New Roman" w:hAnsi="Times New Roman" w:eastAsia="宋体" w:cs="Times New Roman"/>
      <w:sz w:val="21"/>
      <w:szCs w:val="21"/>
    </w:rPr>
  </w:style>
  <w:style w:type="character" w:styleId="53">
    <w:name w:val="footnote reference"/>
    <w:autoRedefine/>
    <w:qFormat/>
    <w:uiPriority w:val="0"/>
    <w:rPr>
      <w:rFonts w:ascii="Times New Roman" w:hAnsi="Times New Roman" w:eastAsia="宋体" w:cs="Times New Roman"/>
      <w:vertAlign w:val="superscript"/>
    </w:rPr>
  </w:style>
  <w:style w:type="paragraph" w:customStyle="1" w:styleId="5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5">
    <w:name w:val="Fließtext"/>
    <w:basedOn w:val="1"/>
    <w:autoRedefine/>
    <w:qFormat/>
    <w:uiPriority w:val="0"/>
    <w:pPr>
      <w:overflowPunct w:val="0"/>
      <w:autoSpaceDE w:val="0"/>
      <w:autoSpaceDN w:val="0"/>
      <w:adjustRightInd w:val="0"/>
      <w:textAlignment w:val="baseline"/>
    </w:pPr>
    <w:rPr>
      <w:kern w:val="28"/>
      <w:szCs w:val="20"/>
    </w:rPr>
  </w:style>
  <w:style w:type="paragraph" w:styleId="56">
    <w:name w:val="List Paragraph"/>
    <w:basedOn w:val="1"/>
    <w:autoRedefine/>
    <w:qFormat/>
    <w:uiPriority w:val="34"/>
    <w:pPr>
      <w:ind w:firstLine="420" w:firstLineChars="200"/>
    </w:pPr>
  </w:style>
  <w:style w:type="character" w:customStyle="1" w:styleId="57">
    <w:name w:val="标题 2 Char"/>
    <w:link w:val="3"/>
    <w:autoRedefine/>
    <w:qFormat/>
    <w:uiPriority w:val="0"/>
    <w:rPr>
      <w:rFonts w:ascii="Arial" w:hAnsi="Arial" w:eastAsia="黑体" w:cs="Times New Roman"/>
      <w:b/>
      <w:bCs/>
      <w:kern w:val="2"/>
      <w:sz w:val="32"/>
      <w:szCs w:val="32"/>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25"/>
    <w:autoRedefine/>
    <w:qFormat/>
    <w:uiPriority w:val="0"/>
    <w:rPr>
      <w:rFonts w:ascii="宋体" w:hAnsi="Times New Roman" w:eastAsia="宋体" w:cs="Times New Roman"/>
      <w:kern w:val="2"/>
      <w:sz w:val="21"/>
    </w:rPr>
  </w:style>
  <w:style w:type="character" w:customStyle="1" w:styleId="60">
    <w:name w:val="标题 3 Char1"/>
    <w:link w:val="4"/>
    <w:autoRedefine/>
    <w:qFormat/>
    <w:uiPriority w:val="0"/>
    <w:rPr>
      <w:rFonts w:hint="default" w:ascii="Times New Roman" w:hAnsi="黑体" w:eastAsia="黑体" w:cs="Times New Roman"/>
      <w:kern w:val="2"/>
      <w:sz w:val="24"/>
    </w:rPr>
  </w:style>
  <w:style w:type="character" w:customStyle="1" w:styleId="61">
    <w:name w:val="标题 4 Char1"/>
    <w:link w:val="5"/>
    <w:autoRedefine/>
    <w:qFormat/>
    <w:uiPriority w:val="0"/>
    <w:rPr>
      <w:rFonts w:hint="eastAsia" w:ascii="Cambria" w:hAnsi="Cambria" w:eastAsia="宋体" w:cs="Times New Roman"/>
      <w:b/>
      <w:kern w:val="2"/>
      <w:sz w:val="28"/>
    </w:rPr>
  </w:style>
  <w:style w:type="character" w:customStyle="1" w:styleId="62">
    <w:name w:val="标题 5 Char"/>
    <w:link w:val="6"/>
    <w:autoRedefine/>
    <w:qFormat/>
    <w:uiPriority w:val="0"/>
    <w:rPr>
      <w:rFonts w:ascii="Times New Roman" w:hAnsi="Times New Roman" w:eastAsia="宋体" w:cs="Times New Roman"/>
      <w:b/>
      <w:bCs/>
      <w:kern w:val="2"/>
      <w:sz w:val="28"/>
      <w:szCs w:val="28"/>
    </w:rPr>
  </w:style>
  <w:style w:type="character" w:customStyle="1" w:styleId="63">
    <w:name w:val="标题 6 Char"/>
    <w:link w:val="7"/>
    <w:autoRedefine/>
    <w:qFormat/>
    <w:uiPriority w:val="0"/>
    <w:rPr>
      <w:rFonts w:ascii="Arial" w:hAnsi="Arial" w:eastAsia="黑体" w:cs="Times New Roman"/>
      <w:b/>
      <w:bCs/>
      <w:sz w:val="24"/>
      <w:szCs w:val="24"/>
    </w:rPr>
  </w:style>
  <w:style w:type="character" w:customStyle="1" w:styleId="64">
    <w:name w:val="标题 7 Char"/>
    <w:link w:val="8"/>
    <w:autoRedefine/>
    <w:qFormat/>
    <w:uiPriority w:val="0"/>
    <w:rPr>
      <w:rFonts w:ascii="Times New Roman" w:hAnsi="Times New Roman" w:eastAsia="宋体" w:cs="Times New Roman"/>
      <w:b/>
      <w:bCs/>
      <w:sz w:val="24"/>
      <w:szCs w:val="24"/>
    </w:rPr>
  </w:style>
  <w:style w:type="character" w:customStyle="1" w:styleId="65">
    <w:name w:val="标题 8 Char"/>
    <w:link w:val="9"/>
    <w:autoRedefine/>
    <w:qFormat/>
    <w:uiPriority w:val="0"/>
    <w:rPr>
      <w:rFonts w:ascii="Arial" w:hAnsi="Arial" w:eastAsia="黑体" w:cs="Times New Roman"/>
      <w:sz w:val="24"/>
      <w:szCs w:val="24"/>
    </w:rPr>
  </w:style>
  <w:style w:type="character" w:customStyle="1" w:styleId="66">
    <w:name w:val="标题 9 Char"/>
    <w:link w:val="10"/>
    <w:autoRedefine/>
    <w:qFormat/>
    <w:uiPriority w:val="0"/>
    <w:rPr>
      <w:rFonts w:ascii="Arial" w:hAnsi="Arial" w:eastAsia="黑体" w:cs="Times New Roman"/>
      <w:sz w:val="21"/>
      <w:szCs w:val="21"/>
    </w:rPr>
  </w:style>
  <w:style w:type="character" w:customStyle="1" w:styleId="67">
    <w:name w:val="正文缩进 Char"/>
    <w:link w:val="12"/>
    <w:autoRedefine/>
    <w:qFormat/>
    <w:uiPriority w:val="0"/>
    <w:rPr>
      <w:rFonts w:ascii="Times New Roman" w:hAnsi="Times New Roman" w:eastAsia="宋体" w:cs="Times New Roman"/>
      <w:b/>
      <w:kern w:val="2"/>
      <w:sz w:val="24"/>
    </w:rPr>
  </w:style>
  <w:style w:type="character" w:customStyle="1" w:styleId="68">
    <w:name w:val="文档结构图 Char"/>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Char1"/>
    <w:link w:val="15"/>
    <w:autoRedefine/>
    <w:qFormat/>
    <w:uiPriority w:val="0"/>
    <w:rPr>
      <w:rFonts w:ascii="Times New Roman" w:hAnsi="Times New Roman" w:eastAsia="宋体" w:cs="Times New Roman"/>
      <w:kern w:val="2"/>
      <w:sz w:val="21"/>
    </w:rPr>
  </w:style>
  <w:style w:type="character" w:customStyle="1" w:styleId="70">
    <w:name w:val="正文文本 3 Char"/>
    <w:link w:val="16"/>
    <w:autoRedefine/>
    <w:qFormat/>
    <w:uiPriority w:val="0"/>
    <w:rPr>
      <w:rFonts w:ascii="宋体" w:hAnsi="Times New Roman" w:eastAsia="宋体" w:cs="Times New Roman"/>
      <w:kern w:val="2"/>
      <w:sz w:val="24"/>
    </w:rPr>
  </w:style>
  <w:style w:type="character" w:customStyle="1" w:styleId="71">
    <w:name w:val="正文文本 Char"/>
    <w:link w:val="17"/>
    <w:autoRedefine/>
    <w:qFormat/>
    <w:uiPriority w:val="0"/>
    <w:rPr>
      <w:rFonts w:ascii="Times New Roman" w:hAnsi="Times New Roman" w:eastAsia="宋体" w:cs="Times New Roman"/>
      <w:kern w:val="2"/>
      <w:sz w:val="21"/>
      <w:szCs w:val="24"/>
    </w:rPr>
  </w:style>
  <w:style w:type="character" w:customStyle="1" w:styleId="72">
    <w:name w:val="正文文本缩进 Char"/>
    <w:link w:val="18"/>
    <w:autoRedefine/>
    <w:qFormat/>
    <w:uiPriority w:val="0"/>
    <w:rPr>
      <w:rFonts w:ascii="宋体" w:hAnsi="Times New Roman" w:eastAsia="宋体" w:cs="Times New Roman"/>
      <w:kern w:val="2"/>
      <w:sz w:val="24"/>
    </w:rPr>
  </w:style>
  <w:style w:type="character" w:customStyle="1" w:styleId="73">
    <w:name w:val="纯文本 Char"/>
    <w:link w:val="22"/>
    <w:autoRedefine/>
    <w:qFormat/>
    <w:uiPriority w:val="0"/>
    <w:rPr>
      <w:rFonts w:ascii="宋体" w:hAnsi="Courier New" w:eastAsia="宋体" w:cs="Times New Roman"/>
      <w:kern w:val="2"/>
      <w:sz w:val="28"/>
    </w:rPr>
  </w:style>
  <w:style w:type="character" w:customStyle="1" w:styleId="74">
    <w:name w:val="批注框文本 Char"/>
    <w:link w:val="26"/>
    <w:autoRedefine/>
    <w:qFormat/>
    <w:uiPriority w:val="0"/>
    <w:rPr>
      <w:rFonts w:ascii="Times New Roman" w:hAnsi="Times New Roman" w:eastAsia="宋体" w:cs="Times New Roman"/>
      <w:kern w:val="2"/>
      <w:sz w:val="18"/>
      <w:szCs w:val="18"/>
    </w:rPr>
  </w:style>
  <w:style w:type="character" w:customStyle="1" w:styleId="75">
    <w:name w:val="页脚 Char1"/>
    <w:link w:val="27"/>
    <w:autoRedefine/>
    <w:qFormat/>
    <w:uiPriority w:val="0"/>
    <w:rPr>
      <w:rFonts w:hint="default" w:ascii="Times New Roman" w:hAnsi="Times New Roman" w:eastAsia="宋体" w:cs="Times New Roman"/>
      <w:kern w:val="2"/>
      <w:sz w:val="18"/>
    </w:rPr>
  </w:style>
  <w:style w:type="character" w:customStyle="1" w:styleId="76">
    <w:name w:val="页眉 Char1"/>
    <w:link w:val="28"/>
    <w:autoRedefine/>
    <w:qFormat/>
    <w:uiPriority w:val="0"/>
    <w:rPr>
      <w:rFonts w:hint="default" w:ascii="Times New Roman" w:hAnsi="Times New Roman" w:eastAsia="宋体" w:cs="Times New Roman"/>
      <w:kern w:val="2"/>
      <w:sz w:val="18"/>
      <w:lang w:val="en-US" w:eastAsia="zh-CN"/>
    </w:rPr>
  </w:style>
  <w:style w:type="character" w:customStyle="1" w:styleId="77">
    <w:name w:val="副标题 Char"/>
    <w:link w:val="31"/>
    <w:autoRedefine/>
    <w:qFormat/>
    <w:uiPriority w:val="0"/>
    <w:rPr>
      <w:rFonts w:ascii="Cambria" w:hAnsi="Cambria" w:eastAsia="宋体" w:cs="Times New Roman"/>
      <w:b/>
      <w:bCs/>
      <w:kern w:val="28"/>
      <w:sz w:val="32"/>
      <w:szCs w:val="32"/>
    </w:rPr>
  </w:style>
  <w:style w:type="character" w:customStyle="1" w:styleId="78">
    <w:name w:val="脚注文本 Char"/>
    <w:link w:val="32"/>
    <w:autoRedefine/>
    <w:qFormat/>
    <w:uiPriority w:val="0"/>
    <w:rPr>
      <w:rFonts w:ascii="Times New Roman" w:hAnsi="Times New Roman" w:eastAsia="宋体" w:cs="Times New Roman"/>
      <w:kern w:val="2"/>
    </w:rPr>
  </w:style>
  <w:style w:type="character" w:customStyle="1" w:styleId="79">
    <w:name w:val="正文文本缩进 3 Char"/>
    <w:link w:val="34"/>
    <w:autoRedefine/>
    <w:qFormat/>
    <w:uiPriority w:val="0"/>
    <w:rPr>
      <w:rFonts w:ascii="Times New Roman" w:hAnsi="Times New Roman" w:eastAsia="宋体" w:cs="Times New Roman"/>
      <w:kern w:val="2"/>
      <w:sz w:val="16"/>
      <w:szCs w:val="16"/>
    </w:rPr>
  </w:style>
  <w:style w:type="character" w:customStyle="1" w:styleId="80">
    <w:name w:val="标题 Char"/>
    <w:link w:val="41"/>
    <w:autoRedefine/>
    <w:qFormat/>
    <w:uiPriority w:val="0"/>
    <w:rPr>
      <w:rFonts w:ascii="Arial" w:hAnsi="Arial" w:eastAsia="宋体" w:cs="Times New Roman"/>
      <w:b/>
      <w:sz w:val="32"/>
    </w:rPr>
  </w:style>
  <w:style w:type="character" w:customStyle="1" w:styleId="81">
    <w:name w:val="批注主题 Char"/>
    <w:link w:val="42"/>
    <w:autoRedefine/>
    <w:qFormat/>
    <w:uiPriority w:val="0"/>
    <w:rPr>
      <w:rFonts w:ascii="Times New Roman" w:hAnsi="Times New Roman" w:eastAsia="宋体" w:cs="Times New Roman"/>
      <w:b/>
      <w:bCs/>
      <w:kern w:val="2"/>
      <w:sz w:val="21"/>
      <w:szCs w:val="24"/>
    </w:rPr>
  </w:style>
  <w:style w:type="character" w:customStyle="1" w:styleId="82">
    <w:name w:val="样式 Char"/>
    <w:link w:val="83"/>
    <w:autoRedefine/>
    <w:qFormat/>
    <w:uiPriority w:val="0"/>
    <w:rPr>
      <w:rFonts w:ascii="宋体" w:hAnsi="宋体" w:cs="宋体"/>
      <w:sz w:val="24"/>
      <w:szCs w:val="24"/>
      <w:lang w:val="en-US" w:eastAsia="zh-CN" w:bidi="ar-SA"/>
    </w:rPr>
  </w:style>
  <w:style w:type="paragraph" w:customStyle="1" w:styleId="83">
    <w:name w:val="样式"/>
    <w:link w:val="82"/>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4">
    <w:name w:val="_Style 78"/>
    <w:autoRedefine/>
    <w:qFormat/>
    <w:uiPriority w:val="0"/>
    <w:rPr>
      <w:rFonts w:ascii="Times New Roman" w:hAnsi="Times New Roman" w:eastAsia="宋体" w:cs="Times New Roman"/>
      <w:b/>
      <w:bCs/>
      <w:smallCaps/>
      <w:color w:val="C0504D"/>
      <w:spacing w:val="5"/>
      <w:u w:val="single"/>
    </w:rPr>
  </w:style>
  <w:style w:type="character" w:customStyle="1" w:styleId="85">
    <w:name w:val="_Style 79"/>
    <w:autoRedefine/>
    <w:qFormat/>
    <w:uiPriority w:val="0"/>
    <w:rPr>
      <w:rFonts w:ascii="Times New Roman" w:hAnsi="Times New Roman" w:eastAsia="宋体" w:cs="Times New Roman"/>
      <w:smallCaps/>
      <w:color w:val="C0504D"/>
      <w:u w:val="single"/>
    </w:rPr>
  </w:style>
  <w:style w:type="character" w:customStyle="1" w:styleId="86">
    <w:name w:val="页眉 Char"/>
    <w:autoRedefine/>
    <w:qFormat/>
    <w:uiPriority w:val="0"/>
    <w:rPr>
      <w:rFonts w:ascii="Times New Roman" w:hAnsi="Times New Roman" w:eastAsia="宋体" w:cs="Times New Roman"/>
      <w:kern w:val="2"/>
      <w:sz w:val="18"/>
    </w:rPr>
  </w:style>
  <w:style w:type="character" w:customStyle="1" w:styleId="87">
    <w:name w:val="font41"/>
    <w:autoRedefine/>
    <w:qFormat/>
    <w:uiPriority w:val="0"/>
    <w:rPr>
      <w:rFonts w:hint="eastAsia" w:ascii="宋体" w:hAnsi="宋体" w:eastAsia="宋体" w:cs="宋体"/>
      <w:color w:val="000000"/>
      <w:sz w:val="22"/>
      <w:szCs w:val="22"/>
      <w:u w:val="none"/>
    </w:rPr>
  </w:style>
  <w:style w:type="character" w:customStyle="1" w:styleId="88">
    <w:name w:val="font21"/>
    <w:autoRedefine/>
    <w:qFormat/>
    <w:uiPriority w:val="0"/>
    <w:rPr>
      <w:rFonts w:hint="default" w:ascii="Times New Roman" w:hAnsi="Times New Roman" w:eastAsia="宋体" w:cs="Times New Roman"/>
      <w:color w:val="000000"/>
      <w:sz w:val="22"/>
      <w:szCs w:val="22"/>
      <w:u w:val="none"/>
    </w:rPr>
  </w:style>
  <w:style w:type="character" w:customStyle="1" w:styleId="89">
    <w:name w:val="标题 3 Char"/>
    <w:autoRedefine/>
    <w:qFormat/>
    <w:uiPriority w:val="0"/>
    <w:rPr>
      <w:rFonts w:ascii="黑体" w:hAnsi="宋体" w:eastAsia="黑体" w:cs="Times New Roman"/>
      <w:bCs/>
      <w:kern w:val="2"/>
      <w:sz w:val="28"/>
      <w:szCs w:val="28"/>
    </w:rPr>
  </w:style>
  <w:style w:type="character" w:customStyle="1" w:styleId="90">
    <w:name w:val="明显引用 Char"/>
    <w:link w:val="91"/>
    <w:autoRedefine/>
    <w:qFormat/>
    <w:uiPriority w:val="0"/>
    <w:rPr>
      <w:rFonts w:ascii="Times New Roman" w:hAnsi="Times New Roman" w:eastAsia="宋体" w:cs="Times New Roman"/>
      <w:b/>
      <w:bCs/>
      <w:i/>
      <w:iCs/>
      <w:color w:val="4F81BD"/>
      <w:kern w:val="2"/>
      <w:sz w:val="21"/>
      <w:szCs w:val="24"/>
    </w:rPr>
  </w:style>
  <w:style w:type="paragraph" w:styleId="91">
    <w:name w:val="Intense Quote"/>
    <w:basedOn w:val="1"/>
    <w:next w:val="1"/>
    <w:link w:val="90"/>
    <w:autoRedefine/>
    <w:qFormat/>
    <w:uiPriority w:val="0"/>
    <w:pPr>
      <w:pBdr>
        <w:bottom w:val="single" w:color="4F81BD" w:sz="4" w:space="4"/>
      </w:pBdr>
      <w:ind w:left="936" w:right="936"/>
    </w:pPr>
    <w:rPr>
      <w:b/>
      <w:bCs/>
      <w:i/>
      <w:iCs/>
      <w:color w:val="4F81BD"/>
    </w:rPr>
  </w:style>
  <w:style w:type="character" w:customStyle="1" w:styleId="92">
    <w:name w:val="_Style 86"/>
    <w:autoRedefine/>
    <w:qFormat/>
    <w:uiPriority w:val="0"/>
    <w:rPr>
      <w:rFonts w:ascii="Times New Roman" w:hAnsi="Times New Roman" w:eastAsia="宋体" w:cs="Times New Roman"/>
      <w:i/>
      <w:iCs/>
      <w:color w:val="808080"/>
    </w:rPr>
  </w:style>
  <w:style w:type="character" w:customStyle="1" w:styleId="93">
    <w:name w:val="_Style 87"/>
    <w:autoRedefine/>
    <w:qFormat/>
    <w:uiPriority w:val="0"/>
    <w:rPr>
      <w:rFonts w:ascii="Times New Roman" w:hAnsi="Times New Roman" w:eastAsia="宋体" w:cs="Times New Roman"/>
      <w:b/>
      <w:bCs/>
      <w:smallCaps/>
      <w:spacing w:val="5"/>
    </w:rPr>
  </w:style>
  <w:style w:type="character" w:customStyle="1" w:styleId="94">
    <w:name w:val="页脚 Char"/>
    <w:autoRedefine/>
    <w:qFormat/>
    <w:uiPriority w:val="0"/>
    <w:rPr>
      <w:rFonts w:ascii="Times New Roman" w:hAnsi="Times New Roman" w:eastAsia="宋体" w:cs="Times New Roman"/>
      <w:kern w:val="2"/>
      <w:sz w:val="18"/>
    </w:rPr>
  </w:style>
  <w:style w:type="character" w:customStyle="1" w:styleId="95">
    <w:name w:val="标题 4 Char"/>
    <w:autoRedefine/>
    <w:qFormat/>
    <w:uiPriority w:val="0"/>
    <w:rPr>
      <w:rFonts w:ascii="Arial" w:hAnsi="Arial" w:eastAsia="黑体" w:cs="Times New Roman"/>
      <w:b/>
      <w:bCs/>
      <w:kern w:val="2"/>
      <w:sz w:val="28"/>
      <w:szCs w:val="28"/>
    </w:rPr>
  </w:style>
  <w:style w:type="character" w:customStyle="1" w:styleId="96">
    <w:name w:val="Char Char"/>
    <w:autoRedefine/>
    <w:qFormat/>
    <w:uiPriority w:val="0"/>
    <w:rPr>
      <w:rFonts w:ascii="Arial" w:hAnsi="Arial" w:eastAsia="黑体" w:cs="Times New Roman"/>
      <w:b/>
      <w:bCs/>
      <w:kern w:val="2"/>
      <w:sz w:val="32"/>
      <w:szCs w:val="32"/>
      <w:lang w:val="en-US" w:eastAsia="zh-CN" w:bidi="ar-SA"/>
    </w:rPr>
  </w:style>
  <w:style w:type="character" w:customStyle="1" w:styleId="97">
    <w:name w:val="批注文字 Char"/>
    <w:autoRedefine/>
    <w:qFormat/>
    <w:uiPriority w:val="0"/>
    <w:rPr>
      <w:rFonts w:ascii="Times New Roman" w:hAnsi="Times New Roman" w:eastAsia="宋体" w:cs="Times New Roman"/>
      <w:kern w:val="2"/>
      <w:sz w:val="21"/>
      <w:szCs w:val="24"/>
      <w:lang w:val="en-US" w:eastAsia="zh-CN" w:bidi="ar-SA"/>
    </w:rPr>
  </w:style>
  <w:style w:type="character" w:customStyle="1" w:styleId="98">
    <w:name w:val="_Style 92"/>
    <w:autoRedefine/>
    <w:qFormat/>
    <w:uiPriority w:val="0"/>
    <w:rPr>
      <w:rFonts w:ascii="Times New Roman" w:hAnsi="Times New Roman" w:eastAsia="宋体" w:cs="Times New Roman"/>
      <w:b/>
      <w:bCs/>
      <w:i/>
      <w:iCs/>
      <w:color w:val="4F81BD"/>
    </w:rPr>
  </w:style>
  <w:style w:type="character" w:customStyle="1" w:styleId="99">
    <w:name w:val="Char Char8"/>
    <w:autoRedefine/>
    <w:qFormat/>
    <w:uiPriority w:val="0"/>
    <w:rPr>
      <w:rFonts w:ascii="Arial" w:hAnsi="Arial" w:eastAsia="黑体" w:cs="Times New Roman"/>
      <w:b/>
      <w:bCs/>
      <w:kern w:val="2"/>
      <w:sz w:val="32"/>
      <w:szCs w:val="32"/>
      <w:lang w:val="en-US" w:eastAsia="zh-CN" w:bidi="ar-SA"/>
    </w:rPr>
  </w:style>
  <w:style w:type="character" w:customStyle="1" w:styleId="100">
    <w:name w:val="Char Char2"/>
    <w:autoRedefine/>
    <w:qFormat/>
    <w:uiPriority w:val="0"/>
    <w:rPr>
      <w:rFonts w:ascii="Times New Roman" w:hAnsi="Times New Roman" w:eastAsia="宋体" w:cs="Times New Roman"/>
      <w:kern w:val="2"/>
      <w:sz w:val="21"/>
      <w:szCs w:val="24"/>
      <w:lang w:val="en-US" w:eastAsia="zh-CN" w:bidi="ar-SA"/>
    </w:rPr>
  </w:style>
  <w:style w:type="character" w:customStyle="1" w:styleId="101">
    <w:name w:val="font61"/>
    <w:autoRedefine/>
    <w:qFormat/>
    <w:uiPriority w:val="0"/>
    <w:rPr>
      <w:rFonts w:hint="default" w:ascii="Times New Roman" w:hAnsi="Times New Roman" w:eastAsia="宋体" w:cs="Times New Roman"/>
      <w:color w:val="000000"/>
      <w:sz w:val="22"/>
      <w:szCs w:val="22"/>
      <w:u w:val="none"/>
    </w:rPr>
  </w:style>
  <w:style w:type="character" w:customStyle="1" w:styleId="102">
    <w:name w:val="引用 Char"/>
    <w:link w:val="103"/>
    <w:autoRedefine/>
    <w:qFormat/>
    <w:uiPriority w:val="0"/>
    <w:rPr>
      <w:rFonts w:ascii="Times New Roman" w:hAnsi="Times New Roman" w:eastAsia="宋体" w:cs="Times New Roman"/>
      <w:i/>
      <w:iCs/>
      <w:color w:val="000000"/>
      <w:kern w:val="2"/>
      <w:sz w:val="21"/>
      <w:szCs w:val="24"/>
    </w:rPr>
  </w:style>
  <w:style w:type="paragraph" w:styleId="103">
    <w:name w:val="Quote"/>
    <w:basedOn w:val="1"/>
    <w:next w:val="1"/>
    <w:link w:val="102"/>
    <w:autoRedefine/>
    <w:qFormat/>
    <w:uiPriority w:val="0"/>
    <w:rPr>
      <w:i/>
      <w:iCs/>
      <w:color w:val="000000"/>
    </w:rPr>
  </w:style>
  <w:style w:type="character" w:customStyle="1" w:styleId="104">
    <w:name w:val="Char Char7"/>
    <w:autoRedefine/>
    <w:qFormat/>
    <w:uiPriority w:val="0"/>
    <w:rPr>
      <w:rFonts w:ascii="Arial" w:hAnsi="Arial" w:eastAsia="黑体" w:cs="Times New Roman"/>
      <w:b/>
      <w:bCs/>
      <w:kern w:val="2"/>
      <w:sz w:val="32"/>
      <w:szCs w:val="32"/>
      <w:lang w:val="en-US" w:eastAsia="zh-CN" w:bidi="ar-SA"/>
    </w:rPr>
  </w:style>
  <w:style w:type="character" w:customStyle="1" w:styleId="105">
    <w:name w:val="无间隔 Char"/>
    <w:link w:val="106"/>
    <w:autoRedefine/>
    <w:qFormat/>
    <w:uiPriority w:val="0"/>
    <w:rPr>
      <w:kern w:val="2"/>
      <w:sz w:val="21"/>
      <w:szCs w:val="24"/>
      <w:lang w:val="en-US" w:eastAsia="zh-CN" w:bidi="ar-SA"/>
    </w:rPr>
  </w:style>
  <w:style w:type="paragraph" w:styleId="106">
    <w:name w:val="No Spacing"/>
    <w:link w:val="10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7">
    <w:name w:val="font161"/>
    <w:autoRedefine/>
    <w:qFormat/>
    <w:uiPriority w:val="0"/>
    <w:rPr>
      <w:rFonts w:ascii="Times New Roman" w:hAnsi="Times New Roman" w:eastAsia="宋体" w:cs="Times New Roman"/>
      <w:b/>
      <w:bCs/>
      <w:sz w:val="32"/>
      <w:szCs w:val="32"/>
    </w:rPr>
  </w:style>
  <w:style w:type="character" w:customStyle="1" w:styleId="108">
    <w:name w:val="font51"/>
    <w:autoRedefine/>
    <w:qFormat/>
    <w:uiPriority w:val="0"/>
    <w:rPr>
      <w:rFonts w:hint="eastAsia" w:ascii="宋体" w:hAnsi="宋体" w:eastAsia="宋体" w:cs="宋体"/>
      <w:b/>
      <w:bCs/>
      <w:color w:val="000000"/>
      <w:sz w:val="21"/>
      <w:szCs w:val="21"/>
      <w:u w:val="none"/>
    </w:rPr>
  </w:style>
  <w:style w:type="character" w:customStyle="1" w:styleId="109">
    <w:name w:val="font31"/>
    <w:autoRedefine/>
    <w:qFormat/>
    <w:uiPriority w:val="0"/>
    <w:rPr>
      <w:rFonts w:hint="default" w:ascii="Times New Roman" w:hAnsi="Times New Roman" w:cs="Times New Roman"/>
      <w:b/>
      <w:bCs/>
      <w:color w:val="000000"/>
      <w:sz w:val="21"/>
      <w:szCs w:val="21"/>
      <w:u w:val="none"/>
    </w:rPr>
  </w:style>
  <w:style w:type="character" w:customStyle="1" w:styleId="110">
    <w:name w:val="font71"/>
    <w:autoRedefine/>
    <w:qFormat/>
    <w:uiPriority w:val="0"/>
    <w:rPr>
      <w:rFonts w:hint="default" w:ascii="Times New Roman" w:hAnsi="Times New Roman" w:cs="Times New Roman"/>
      <w:color w:val="000000"/>
      <w:sz w:val="21"/>
      <w:szCs w:val="21"/>
      <w:u w:val="none"/>
    </w:rPr>
  </w:style>
  <w:style w:type="paragraph" w:customStyle="1" w:styleId="111">
    <w:name w:val="样式 标题 2 + 黑色 行距: 1.5 倍行距"/>
    <w:basedOn w:val="3"/>
    <w:autoRedefine/>
    <w:qFormat/>
    <w:uiPriority w:val="0"/>
    <w:pPr>
      <w:spacing w:line="360" w:lineRule="auto"/>
    </w:pPr>
    <w:rPr>
      <w:rFonts w:ascii="Times New Roman" w:hAnsi="Times New Roman" w:eastAsia="宋体" w:cs="宋体"/>
      <w:color w:val="000000"/>
    </w:rPr>
  </w:style>
  <w:style w:type="paragraph" w:customStyle="1" w:styleId="112">
    <w:name w:val="标题 2 + 黑色 行距: 1.5 倍行距"/>
    <w:basedOn w:val="3"/>
    <w:autoRedefine/>
    <w:qFormat/>
    <w:uiPriority w:val="0"/>
    <w:pPr>
      <w:spacing w:line="360" w:lineRule="auto"/>
    </w:pPr>
    <w:rPr>
      <w:rFonts w:ascii="Times New Roman" w:hAnsi="Times New Roman" w:eastAsia="宋体" w:cs="宋体"/>
      <w:color w:val="000000"/>
      <w:szCs w:val="20"/>
    </w:rPr>
  </w:style>
  <w:style w:type="paragraph" w:customStyle="1" w:styleId="113">
    <w:name w:val="_Style 108"/>
    <w:basedOn w:val="2"/>
    <w:next w:val="1"/>
    <w:autoRedefine/>
    <w:qFormat/>
    <w:uiPriority w:val="0"/>
    <w:pPr>
      <w:spacing w:line="578" w:lineRule="auto"/>
      <w:outlineLvl w:val="9"/>
    </w:pPr>
  </w:style>
  <w:style w:type="paragraph" w:customStyle="1" w:styleId="114">
    <w:name w:val="样式 标题 3 + (中文) 黑体 小四 非加粗 段前: 7.8 磅 段后: 0 磅 行距: 固定值 20 磅"/>
    <w:basedOn w:val="4"/>
    <w:autoRedefine/>
    <w:qFormat/>
    <w:uiPriority w:val="0"/>
    <w:pPr>
      <w:spacing w:line="400" w:lineRule="exact"/>
    </w:pPr>
    <w:rPr>
      <w:rFonts w:hAnsi="Times New Roman" w:cs="宋体"/>
      <w:b/>
      <w:bCs/>
    </w:rPr>
  </w:style>
  <w:style w:type="paragraph" w:customStyle="1" w:styleId="115">
    <w:name w:val="List Paragraph1"/>
    <w:basedOn w:val="1"/>
    <w:autoRedefine/>
    <w:qFormat/>
    <w:uiPriority w:val="34"/>
    <w:pPr>
      <w:ind w:firstLine="420" w:firstLineChars="200"/>
    </w:pPr>
  </w:style>
  <w:style w:type="paragraph" w:customStyle="1" w:styleId="116">
    <w:name w:val="Table Paragraph"/>
    <w:basedOn w:val="1"/>
    <w:autoRedefine/>
    <w:qFormat/>
    <w:uiPriority w:val="1"/>
    <w:rPr>
      <w:rFonts w:ascii="宋体" w:hAnsi="宋体" w:cs="宋体"/>
      <w:lang w:val="zh-CN" w:bidi="zh-CN"/>
    </w:rPr>
  </w:style>
  <w:style w:type="paragraph" w:customStyle="1" w:styleId="117">
    <w:name w:val="样式4"/>
    <w:basedOn w:val="4"/>
    <w:autoRedefine/>
    <w:qFormat/>
    <w:uiPriority w:val="0"/>
    <w:rPr>
      <w:rFonts w:hAnsi="Times New Roman" w:eastAsia="Arial"/>
    </w:rPr>
  </w:style>
  <w:style w:type="paragraph" w:customStyle="1" w:styleId="118">
    <w:name w:val="一级目录"/>
    <w:next w:val="1"/>
    <w:autoRedefine/>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19">
    <w:name w:val="纯文本1"/>
    <w:basedOn w:val="1"/>
    <w:autoRedefine/>
    <w:qFormat/>
    <w:uiPriority w:val="0"/>
    <w:rPr>
      <w:rFonts w:ascii="宋体" w:hAnsi="Courier New"/>
      <w:sz w:val="28"/>
    </w:rPr>
  </w:style>
  <w:style w:type="paragraph" w:customStyle="1" w:styleId="120">
    <w:name w:val="Char Char2 Char Char"/>
    <w:basedOn w:val="14"/>
    <w:autoRedefine/>
    <w:qFormat/>
    <w:uiPriority w:val="0"/>
    <w:rPr>
      <w:rFonts w:hint="eastAsia" w:ascii="Tahoma" w:hAnsi="Tahoma"/>
      <w:sz w:val="24"/>
    </w:rPr>
  </w:style>
  <w:style w:type="paragraph" w:customStyle="1" w:styleId="121">
    <w:name w:val="Personal Name"/>
    <w:basedOn w:val="41"/>
    <w:autoRedefine/>
    <w:qFormat/>
    <w:uiPriority w:val="0"/>
    <w:rPr>
      <w:rFonts w:ascii="Impact" w:hAnsi="Impact"/>
      <w:b w:val="0"/>
      <w:caps/>
      <w:color w:val="000000"/>
      <w:sz w:val="28"/>
      <w:szCs w:val="28"/>
    </w:rPr>
  </w:style>
  <w:style w:type="paragraph" w:customStyle="1" w:styleId="122">
    <w:name w:val="表格文字"/>
    <w:basedOn w:val="1"/>
    <w:autoRedefine/>
    <w:qFormat/>
    <w:uiPriority w:val="0"/>
    <w:pPr>
      <w:adjustRightInd w:val="0"/>
      <w:spacing w:line="420" w:lineRule="atLeast"/>
      <w:jc w:val="left"/>
      <w:textAlignment w:val="baseline"/>
    </w:pPr>
    <w:rPr>
      <w:kern w:val="0"/>
    </w:rPr>
  </w:style>
  <w:style w:type="paragraph" w:customStyle="1" w:styleId="123">
    <w:name w:val="样式1"/>
    <w:basedOn w:val="4"/>
    <w:autoRedefine/>
    <w:qFormat/>
    <w:uiPriority w:val="0"/>
    <w:rPr>
      <w:rFonts w:hAnsi="Times New Roman" w:eastAsia="Arial"/>
    </w:rPr>
  </w:style>
  <w:style w:type="paragraph" w:customStyle="1" w:styleId="12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25">
    <w:name w:val="纯文本11"/>
    <w:basedOn w:val="1"/>
    <w:autoRedefine/>
    <w:qFormat/>
    <w:uiPriority w:val="0"/>
    <w:pPr>
      <w:adjustRightInd w:val="0"/>
      <w:textAlignment w:val="baseline"/>
    </w:pPr>
    <w:rPr>
      <w:rFonts w:ascii="宋体" w:hAnsi="Courier New" w:eastAsia="楷体_GB2312"/>
      <w:sz w:val="26"/>
    </w:rPr>
  </w:style>
  <w:style w:type="paragraph" w:customStyle="1" w:styleId="126">
    <w:name w:val="列出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27">
    <w:name w:val="样式3"/>
    <w:basedOn w:val="4"/>
    <w:autoRedefine/>
    <w:qFormat/>
    <w:uiPriority w:val="0"/>
    <w:rPr>
      <w:rFonts w:hAnsi="Times New Roman" w:eastAsia="Arial"/>
    </w:rPr>
  </w:style>
  <w:style w:type="paragraph" w:customStyle="1" w:styleId="128">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129">
    <w:name w:val="Char"/>
    <w:basedOn w:val="1"/>
    <w:autoRedefine/>
    <w:qFormat/>
    <w:uiPriority w:val="0"/>
    <w:pPr>
      <w:tabs>
        <w:tab w:val="left" w:pos="360"/>
      </w:tabs>
    </w:pPr>
    <w:rPr>
      <w:sz w:val="24"/>
    </w:rPr>
  </w:style>
  <w:style w:type="paragraph" w:customStyle="1" w:styleId="130">
    <w:name w:val="默认段落字体 Para Char Char Char Char Char Char Char Char Char1 Char Char Char Char Char Char Char"/>
    <w:basedOn w:val="14"/>
    <w:autoRedefine/>
    <w:qFormat/>
    <w:uiPriority w:val="0"/>
    <w:rPr>
      <w:rFonts w:ascii="Tahoma" w:hAnsi="Tahoma"/>
      <w:sz w:val="24"/>
    </w:rPr>
  </w:style>
  <w:style w:type="paragraph" w:customStyle="1" w:styleId="131">
    <w:name w:val="正文文本缩进1"/>
    <w:basedOn w:val="1"/>
    <w:autoRedefine/>
    <w:qFormat/>
    <w:uiPriority w:val="0"/>
    <w:pPr>
      <w:spacing w:line="360" w:lineRule="auto"/>
      <w:ind w:firstLine="420"/>
    </w:pPr>
    <w:rPr>
      <w:rFonts w:ascii="宋体"/>
      <w:sz w:val="24"/>
    </w:rPr>
  </w:style>
  <w:style w:type="paragraph" w:customStyle="1" w:styleId="13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表格"/>
    <w:basedOn w:val="1"/>
    <w:autoRedefine/>
    <w:qFormat/>
    <w:uiPriority w:val="0"/>
    <w:pPr>
      <w:jc w:val="center"/>
      <w:textAlignment w:val="center"/>
    </w:pPr>
    <w:rPr>
      <w:rFonts w:ascii="华文细黑" w:hAnsi="华文细黑"/>
      <w:kern w:val="0"/>
    </w:rPr>
  </w:style>
  <w:style w:type="paragraph" w:customStyle="1" w:styleId="134">
    <w:name w:val="1"/>
    <w:basedOn w:val="1"/>
    <w:next w:val="1"/>
    <w:autoRedefine/>
    <w:qFormat/>
    <w:uiPriority w:val="0"/>
  </w:style>
  <w:style w:type="paragraph" w:customStyle="1" w:styleId="135">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136">
    <w:name w:val="样式2"/>
    <w:basedOn w:val="4"/>
    <w:autoRedefine/>
    <w:qFormat/>
    <w:uiPriority w:val="0"/>
    <w:rPr>
      <w:rFonts w:hAnsi="Times New Roman" w:eastAsia="宋体"/>
    </w:rPr>
  </w:style>
  <w:style w:type="paragraph" w:customStyle="1" w:styleId="137">
    <w:name w:val="正文1"/>
    <w:basedOn w:val="1"/>
    <w:next w:val="1"/>
    <w:autoRedefine/>
    <w:qFormat/>
    <w:uiPriority w:val="0"/>
    <w:pPr>
      <w:tabs>
        <w:tab w:val="left" w:pos="7358"/>
      </w:tabs>
      <w:suppressAutoHyphens/>
      <w:topLinePunct/>
      <w:autoSpaceDE w:val="0"/>
      <w:autoSpaceDN w:val="0"/>
      <w:adjustRightInd w:val="0"/>
      <w:spacing w:line="360" w:lineRule="exact"/>
      <w:ind w:firstLine="580"/>
      <w:textAlignment w:val="baseline"/>
    </w:pPr>
    <w:rPr>
      <w:rFonts w:ascii="宋体" w:hAnsi="MS Mincho"/>
      <w:color w:val="FF6600"/>
      <w:sz w:val="24"/>
    </w:rPr>
  </w:style>
  <w:style w:type="table" w:customStyle="1" w:styleId="138">
    <w:name w:val="Table Normal"/>
    <w:autoRedefine/>
    <w:unhideWhenUsed/>
    <w:qFormat/>
    <w:uiPriority w:val="0"/>
    <w:tblPr>
      <w:tblCellMar>
        <w:top w:w="0" w:type="dxa"/>
        <w:left w:w="0" w:type="dxa"/>
        <w:bottom w:w="0" w:type="dxa"/>
        <w:right w:w="0" w:type="dxa"/>
      </w:tblCellMar>
    </w:tblPr>
  </w:style>
  <w:style w:type="paragraph" w:customStyle="1" w:styleId="139">
    <w:name w:val="纯文本2"/>
    <w:basedOn w:val="1"/>
    <w:autoRedefine/>
    <w:qFormat/>
    <w:uiPriority w:val="0"/>
    <w:rPr>
      <w:rFonts w:ascii="宋体" w:hAnsi="Courier New"/>
      <w:sz w:val="28"/>
    </w:rPr>
  </w:style>
  <w:style w:type="paragraph" w:customStyle="1" w:styleId="140">
    <w:name w:val="普通(Web)4"/>
    <w:basedOn w:val="1"/>
    <w:autoRedefine/>
    <w:qFormat/>
    <w:uiPriority w:val="0"/>
    <w:pPr>
      <w:widowControl/>
      <w:spacing w:before="100" w:beforeAutospacing="1" w:after="100" w:afterAutospacing="1" w:line="375" w:lineRule="atLeast"/>
      <w:jc w:val="left"/>
    </w:pPr>
    <w:rPr>
      <w:rFonts w:ascii="ˎ̥" w:hAnsi="ˎ̥"/>
      <w:kern w:val="0"/>
      <w:sz w:val="24"/>
    </w:rPr>
  </w:style>
  <w:style w:type="paragraph" w:customStyle="1" w:styleId="141">
    <w:name w:val="一级条标题"/>
    <w:basedOn w:val="142"/>
    <w:next w:val="143"/>
    <w:autoRedefine/>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1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43">
    <w:name w:val="段"/>
    <w:next w:val="144"/>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44">
    <w:name w:val="正文 A"/>
    <w:next w:val="143"/>
    <w:autoRedefine/>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145">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46">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Table Text"/>
    <w:basedOn w:val="1"/>
    <w:autoRedefine/>
    <w:semiHidden/>
    <w:qFormat/>
    <w:uiPriority w:val="0"/>
    <w:rPr>
      <w:rFonts w:ascii="宋体" w:hAnsi="宋体" w:eastAsia="宋体" w:cs="宋体"/>
      <w:sz w:val="24"/>
      <w:szCs w:val="24"/>
      <w:lang w:val="en-US" w:eastAsia="en-US" w:bidi="ar-SA"/>
    </w:rPr>
  </w:style>
  <w:style w:type="paragraph" w:customStyle="1" w:styleId="148">
    <w:name w:val="纯文本3"/>
    <w:basedOn w:val="1"/>
    <w:autoRedefine/>
    <w:qFormat/>
    <w:uiPriority w:val="0"/>
    <w:rPr>
      <w:rFonts w:ascii="宋体" w:hAnsi="Courier New"/>
      <w:sz w:val="28"/>
    </w:rPr>
  </w:style>
  <w:style w:type="paragraph" w:customStyle="1" w:styleId="149">
    <w:name w:val="图例"/>
    <w:basedOn w:val="1"/>
    <w:autoRedefine/>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22086</Words>
  <Characters>23597</Characters>
  <Lines>202</Lines>
  <Paragraphs>57</Paragraphs>
  <TotalTime>1</TotalTime>
  <ScaleCrop>false</ScaleCrop>
  <LinksUpToDate>false</LinksUpToDate>
  <CharactersWithSpaces>25209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2023-01-10T07:06:00Z</dcterms:created>
  <dc:creator>kikmfga</dc:creator>
  <cp:lastModifiedBy>水不杨波</cp:lastModifiedBy>
  <cp:lastPrinted>2019-12-24T08:38:00Z</cp:lastPrinted>
  <dcterms:modified xsi:type="dcterms:W3CDTF">2024-06-19T05:38:57Z</dcterms:modified>
  <dc:title>江苏省房屋建筑和市政基础设施工程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7A0447B05E514654A403CF218CC8E64C_13</vt:lpwstr>
  </property>
</Properties>
</file>