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JSZC-320585-SZTZ-G2024-0027</w:t>
      </w:r>
      <w:r>
        <w:rPr>
          <w:rFonts w:hint="eastAsia" w:ascii="宋体" w:hAnsi="宋体" w:cs="宋体"/>
          <w:b/>
          <w:color w:val="auto"/>
          <w:sz w:val="30"/>
          <w:szCs w:val="30"/>
          <w:highlight w:val="none"/>
        </w:rPr>
        <w:t xml:space="preserve">  </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原太仓市红旗涂装地块土壤污染状况详情调查、风险评估及管控或修复方案设计项目</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480"/>
        <w:spacing w:line="360" w:lineRule="auto"/>
        <w:rPr>
          <w:rFonts w:ascii="宋体" w:hAnsi="宋体" w:cs="宋体"/>
          <w:color w:val="auto"/>
          <w:sz w:val="30"/>
          <w:highlight w:val="none"/>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（十六）其他未列明行业。</w:t>
      </w:r>
      <w:r>
        <w:rPr>
          <w:rFonts w:hint="eastAsia" w:ascii="宋体" w:hAnsi="宋体" w:cs="宋体"/>
          <w:color w:val="auto"/>
          <w:sz w:val="30"/>
          <w:highlight w:val="none"/>
        </w:rPr>
        <w:t xml:space="preserve">  </w:t>
      </w:r>
      <w:r/>
    </w:p>
    <w:p>
      <w:pPr>
        <w:ind w:left="480" w:right="-159"/>
        <w:spacing w:line="48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太仓市沙溪镇人民政府</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二〇二四年</w:t>
      </w:r>
      <w:r>
        <w:rPr>
          <w:rFonts w:hint="eastAsia" w:cs="宋体"/>
          <w:b/>
          <w:color w:val="auto"/>
          <w:sz w:val="30"/>
          <w:szCs w:val="30"/>
          <w:highlight w:val="none"/>
          <w:lang w:val="en-US" w:eastAsia="zh-CN"/>
        </w:rPr>
        <w:t xml:space="preserve">九</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945"/>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45"/>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945"/>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45"/>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945"/>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945"/>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945"/>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945"/>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921"/>
        <w:numPr>
          <w:ilvl w:val="0"/>
          <w:numId w:val="0"/>
        </w:numPr>
        <w:jc w:val="center"/>
        <w:spacing w:before="0" w:after="0"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3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太仓市沙溪镇人民政府</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JSZC-320585-SZTZ-G2024-0027</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49"/>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原太仓市红旗涂装地块土壤污染状况详情调查、风险评估及管控或修复方案设计项目</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49"/>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  17306187343</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时间：</w:t>
            </w:r>
            <w:r>
              <w:rPr>
                <w:rFonts w:hint="eastAsia" w:ascii="宋体" w:hAnsi="宋体" w:cs="宋体"/>
                <w:color w:val="auto"/>
                <w:sz w:val="21"/>
                <w:szCs w:val="21"/>
                <w:highlight w:val="none"/>
                <w:lang w:eastAsia="zh-CN" w:bidi="ar"/>
              </w:rPr>
              <w:t xml:space="preserve">2024年09月19日</w:t>
            </w: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lang w:eastAsia="zh-CN" w:bidi="ar"/>
              </w:rPr>
              <w:t xml:space="preserve"> 2024年09月29日</w:t>
            </w:r>
            <w:r>
              <w:rPr>
                <w:rFonts w:hint="eastAsia" w:ascii="宋体" w:hAnsi="宋体" w:cs="宋体"/>
                <w:color w:val="auto"/>
                <w:sz w:val="21"/>
                <w:szCs w:val="21"/>
                <w:highlight w:val="none"/>
                <w:lang w:bidi="ar"/>
              </w:rPr>
              <w:t xml:space="preserve"> ，每天上午00:00-12:00,下午12:00-23:59 （北京时间，法定节假日除外） </w:t>
            </w:r>
            <w:r/>
          </w:p>
          <w:p>
            <w:pPr>
              <w:jc w:val="both"/>
              <w:spacing w:line="360" w:lineRule="auto"/>
              <w:shd w:val="clear" w:color="auto" w:fill="ffff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  17306187343。</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2024年10月18日09点30分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时间：2024年10月18日09点30分（北京时间）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1014"/>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12"/>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b w:val="0"/>
                <w:bCs w:val="0"/>
                <w:color w:val="auto"/>
                <w:sz w:val="21"/>
                <w:szCs w:val="21"/>
                <w:highlight w:val="none"/>
                <w:lang w:eastAsia="zh-CN"/>
              </w:rPr>
              <w:t xml:space="preserve">无</w:t>
            </w:r>
            <w:r>
              <w:rPr>
                <w:rFonts w:hint="eastAsia" w:ascii="宋体" w:hAnsi="宋体" w:cs="宋体"/>
                <w:b w:val="0"/>
                <w:bCs w:val="0"/>
                <w:color w:val="auto"/>
                <w:sz w:val="21"/>
                <w:szCs w:val="21"/>
                <w:highlight w:val="none"/>
              </w:rPr>
              <w:t xml:space="preserve">。</w:t>
            </w:r>
            <w:r/>
          </w:p>
        </w:tc>
      </w:tr>
    </w:tbl>
    <w:p>
      <w:pPr>
        <w:ind w:firstLine="544"/>
        <w:jc w:val="right"/>
        <w:spacing w:line="360" w:lineRule="auto"/>
        <w:shd w:val="clear" w:color="auto" w:fill="ffffff"/>
        <w:rPr>
          <w:rFonts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921"/>
        <w:numPr>
          <w:ilvl w:val="0"/>
          <w:numId w:val="0"/>
        </w:numPr>
        <w:jc w:val="center"/>
        <w:spacing w:before="0" w:after="0" w:line="480" w:lineRule="auto"/>
        <w:rPr>
          <w:rFonts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31"/>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原太仓市红旗涂装地块土壤污染状况详情调查、风险评估及管控或修复方案设计项目</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JSZC-320585-SZTZ-G2024-0027</w:t>
            </w:r>
            <w:r>
              <w:rPr>
                <w:rFonts w:hint="eastAsia" w:ascii="仿宋" w:hAnsi="仿宋" w:eastAsia="仿宋" w:cs="仿宋"/>
                <w:color w:val="auto"/>
                <w:sz w:val="21"/>
                <w:szCs w:val="21"/>
                <w:highlight w:val="none"/>
              </w:rPr>
              <w:t xml:space="preserve"> 招标项目的潜在投标人应在苏州市政府采购网，点击底部苏采云图标，登录苏采云政府采购一体化平台，对参与项目进行报名，并下载电子招标文件 获取招标文件，并于</w:t>
            </w:r>
            <w:r>
              <w:rPr>
                <w:rFonts w:hint="eastAsia" w:ascii="仿宋" w:hAnsi="仿宋" w:eastAsia="仿宋" w:cs="仿宋"/>
                <w:color w:val="auto"/>
                <w:sz w:val="21"/>
                <w:szCs w:val="21"/>
                <w:highlight w:val="none"/>
                <w:lang w:eastAsia="zh-CN"/>
              </w:rPr>
              <w:t xml:space="preserve">2024年10月18日09点30分</w:t>
            </w:r>
            <w:r>
              <w:rPr>
                <w:rFonts w:hint="eastAsia" w:ascii="仿宋" w:hAnsi="仿宋" w:eastAsia="仿宋" w:cs="仿宋"/>
                <w:color w:val="auto"/>
                <w:sz w:val="21"/>
                <w:szCs w:val="21"/>
                <w:highlight w:val="none"/>
              </w:rPr>
              <w:t xml:space="preserve"> （北京时间）前递交投标文件。</w:t>
            </w:r>
            <w:r/>
          </w:p>
        </w:tc>
      </w:tr>
    </w:tbl>
    <w:p>
      <w:pPr>
        <w:pStyle w:val="922"/>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8"/>
          <w:rFonts w:hint="eastAsia" w:ascii="仿宋" w:hAnsi="仿宋" w:eastAsia="仿宋" w:cs="仿宋"/>
          <w:b/>
          <w:bCs/>
          <w:color w:val="auto"/>
          <w:sz w:val="21"/>
          <w:szCs w:val="21"/>
          <w:highlight w:val="none"/>
        </w:rPr>
        <w:t xml:space="preserve">一、项目基本情况</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JSZC-320585-SZTZ-G2024-0027</w:t>
      </w:r>
      <w:r>
        <w:rPr>
          <w:rFonts w:hint="eastAsia" w:ascii="仿宋" w:hAnsi="仿宋" w:eastAsia="仿宋" w:cs="仿宋"/>
          <w:color w:val="auto"/>
          <w:sz w:val="21"/>
          <w:szCs w:val="21"/>
          <w:highlight w:val="none"/>
        </w:rPr>
        <w:t xml:space="preserve">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原太仓市红旗涂装地块土壤污染状况详情调查、风险评估及管控或修复方案设计项目</w:t>
      </w:r>
      <w:r>
        <w:rPr>
          <w:rFonts w:hint="eastAsia" w:ascii="仿宋" w:hAnsi="仿宋" w:eastAsia="仿宋" w:cs="仿宋"/>
          <w:color w:val="auto"/>
          <w:sz w:val="21"/>
          <w:szCs w:val="21"/>
          <w:highlight w:val="none"/>
        </w:rPr>
        <w:t xml:space="preserve">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76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00000万元 </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76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00000万元</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lang w:eastAsia="zh-CN"/>
        </w:rPr>
        <w:t xml:space="preserve">原太仓市红旗涂装有限公司地块土壤污染状况详细调查、风险评估及管控或修复方案设计</w:t>
      </w:r>
      <w:r>
        <w:rPr>
          <w:rFonts w:hint="eastAsia" w:ascii="仿宋" w:hAnsi="仿宋" w:eastAsia="仿宋" w:cs="仿宋"/>
          <w:color w:val="auto"/>
          <w:sz w:val="21"/>
          <w:szCs w:val="21"/>
          <w:highlight w:val="none"/>
        </w:rPr>
        <w:t xml:space="preserve">，其他要求详见采购文件。</w:t>
      </w:r>
      <w:r/>
    </w:p>
    <w:p>
      <w:pPr>
        <w:pStyle w:val="952"/>
        <w:ind w:firstLine="420"/>
        <w:spacing w:before="0" w:beforeAutospacing="0" w:after="0" w:afterAutospacing="0"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eastAsia="zh-CN" w:bidi="ar"/>
        </w:rPr>
        <w:t xml:space="preserve">具备施工条件后的180个工作日内完成全部工作。</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922"/>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8"/>
          <w:rFonts w:hint="eastAsia" w:ascii="仿宋" w:hAnsi="仿宋" w:eastAsia="仿宋" w:cs="仿宋"/>
          <w:b/>
          <w:bCs/>
          <w:color w:val="auto"/>
          <w:sz w:val="21"/>
          <w:szCs w:val="21"/>
          <w:highlight w:val="none"/>
        </w:rPr>
        <w:t xml:space="preserve">二、申请人的资格要求</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1.具有独立承担民事责任的能力（必须提供法人或者其他组织的营业执照等证明文件，自然人的身份证明）；</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2.具有良好的商业信誉和健全的财务会计制度提供参加本次政府采购活动前的财务状况报告或者银行出具的资信证明</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仿宋" w:hAnsi="仿宋" w:eastAsia="仿宋" w:cs="仿宋"/>
          <w:color w:val="auto"/>
          <w:sz w:val="21"/>
          <w:szCs w:val="21"/>
          <w:highlight w:val="none"/>
          <w:lang w:val="en-US" w:eastAsia="zh-CN" w:bidi="ar-SA"/>
        </w:rPr>
      </w:pPr>
      <w:r/>
      <w:bookmarkStart w:id="30" w:name="_GoBack"/>
      <w:r/>
      <w:bookmarkEnd w:id="30"/>
      <w:r>
        <w:rPr>
          <w:rFonts w:hint="eastAsia" w:ascii="仿宋" w:hAnsi="仿宋" w:eastAsia="仿宋" w:cs="仿宋"/>
          <w:color w:val="auto"/>
          <w:sz w:val="21"/>
          <w:szCs w:val="21"/>
          <w:highlight w:val="none"/>
          <w:lang w:val="en-US" w:eastAsia="zh-CN" w:bidi="ar-SA"/>
        </w:rPr>
        <w:t xml:space="preserve">4.具有履行合同所必需的设备和专业技术能力 </w:t>
      </w:r>
      <w:r/>
    </w:p>
    <w:p>
      <w:pPr>
        <w:ind w:firstLine="480"/>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（1）本项目要求拟投入的项目组技术人员合计不少于13人，其中项目负责人1人，技术负责人1名，现场施工负责人1名，其他技术人员不少于10人。（提供投标单位为以上相关人员缴纳的社保证明）       </w:t>
      </w:r>
      <w:r/>
    </w:p>
    <w:p>
      <w:pPr>
        <w:ind w:firstLine="480"/>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投标单位具有履行合同所必需的设备，其中至少包含：X射线荧光光谱仪（XRF）现场快速检测设备、光离子化检测仪（PID）现场快速检测设备。航拍无人飞机、精确定位设备（RTK）。（自有的提供购买发票，租赁的提供租赁合同及设备租赁发票）。</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pStyle w:val="952"/>
        <w:ind w:firstLine="422"/>
        <w:spacing w:before="0" w:beforeAutospacing="0" w:after="0" w:afterAutospacing="0" w:line="288" w:lineRule="auto"/>
        <w:rPr>
          <w:rFonts w:ascii="仿宋" w:hAnsi="仿宋" w:eastAsia="仿宋" w:cs="仿宋"/>
          <w:b/>
          <w:bCs/>
          <w:color w:val="auto"/>
          <w:sz w:val="21"/>
          <w:szCs w:val="21"/>
          <w:highlight w:val="none"/>
        </w:rPr>
      </w:pPr>
      <w:r>
        <w:rPr>
          <w:rStyle w:val="958"/>
          <w:rFonts w:hint="eastAsia" w:ascii="仿宋" w:hAnsi="仿宋" w:eastAsia="仿宋" w:cs="仿宋"/>
          <w:color w:val="auto"/>
          <w:sz w:val="21"/>
          <w:szCs w:val="21"/>
          <w:highlight w:val="none"/>
          <w:lang w:val="en-US" w:eastAsia="zh-CN"/>
        </w:rPr>
        <w:t xml:space="preserve">1</w:t>
      </w:r>
      <w:r>
        <w:rPr>
          <w:rStyle w:val="958"/>
          <w:rFonts w:hint="eastAsia" w:ascii="仿宋" w:hAnsi="仿宋" w:eastAsia="仿宋" w:cs="仿宋"/>
          <w:color w:val="auto"/>
          <w:sz w:val="21"/>
          <w:szCs w:val="21"/>
          <w:highlight w:val="none"/>
        </w:rPr>
        <w:t xml:space="preserve">.</w:t>
      </w:r>
      <w:r>
        <w:rPr>
          <w:rFonts w:hint="eastAsia" w:ascii="仿宋" w:hAnsi="仿宋" w:eastAsia="仿宋" w:cs="仿宋"/>
          <w:b/>
          <w:bCs/>
          <w:color w:val="auto"/>
          <w:sz w:val="21"/>
          <w:szCs w:val="21"/>
          <w:highlight w:val="none"/>
        </w:rPr>
        <w:t xml:space="preserve"> 本项目属于专门面向中小企业采购的项目</w:t>
      </w:r>
      <w:r/>
    </w:p>
    <w:p>
      <w:pPr>
        <w:pStyle w:val="952"/>
        <w:ind w:firstLine="420"/>
        <w:spacing w:before="0" w:beforeAutospacing="0" w:after="0" w:afterAutospacing="0" w:line="288"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（1）本项目属于专门面向中小企业采购的项目，投标人应为中小微企业，必须提供《中小企业声明函》，小微企业不享受价格扣除优惠。 </w:t>
      </w:r>
      <w:r/>
    </w:p>
    <w:p>
      <w:pPr>
        <w:pStyle w:val="952"/>
        <w:ind w:firstLine="420"/>
        <w:spacing w:before="0" w:beforeAutospacing="0" w:after="0" w:afterAutospacing="0" w:line="288"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（2）提供《残疾人福利性单位声明函》或出具由省级以上监狱管理局、戒毒管理局（含新疆生产建设兵团）出具的属于监狱企业的证明文件的视同小微企业。</w:t>
      </w:r>
      <w:r/>
    </w:p>
    <w:p>
      <w:pPr>
        <w:pStyle w:val="922"/>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8"/>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w:t>
      </w:r>
      <w:r>
        <w:rPr>
          <w:rFonts w:hint="eastAsia" w:ascii="仿宋" w:hAnsi="仿宋" w:eastAsia="仿宋" w:cs="仿宋"/>
          <w:color w:val="auto"/>
          <w:sz w:val="21"/>
          <w:szCs w:val="21"/>
          <w:highlight w:val="none"/>
          <w:lang w:eastAsia="zh-CN" w:bidi="ar"/>
        </w:rPr>
        <w:t xml:space="preserve">2024年09月19日</w:t>
      </w:r>
      <w:r>
        <w:rPr>
          <w:rFonts w:hint="eastAsia" w:ascii="仿宋" w:hAnsi="仿宋" w:eastAsia="仿宋" w:cs="仿宋"/>
          <w:color w:val="auto"/>
          <w:sz w:val="21"/>
          <w:szCs w:val="21"/>
          <w:highlight w:val="none"/>
          <w:lang w:bidi="ar"/>
        </w:rPr>
        <w:t xml:space="preserve">-</w:t>
      </w:r>
      <w:r>
        <w:rPr>
          <w:rFonts w:hint="eastAsia" w:ascii="仿宋" w:hAnsi="仿宋" w:eastAsia="仿宋" w:cs="仿宋"/>
          <w:color w:val="auto"/>
          <w:sz w:val="21"/>
          <w:szCs w:val="21"/>
          <w:highlight w:val="none"/>
          <w:lang w:eastAsia="zh-CN" w:bidi="ar"/>
        </w:rPr>
        <w:t xml:space="preserve"> 2024年09月29日</w:t>
      </w:r>
      <w:r>
        <w:rPr>
          <w:rFonts w:hint="eastAsia" w:ascii="仿宋" w:hAnsi="仿宋" w:eastAsia="仿宋" w:cs="仿宋"/>
          <w:color w:val="auto"/>
          <w:sz w:val="21"/>
          <w:szCs w:val="21"/>
          <w:highlight w:val="none"/>
          <w:lang w:bidi="ar"/>
        </w:rPr>
        <w:t xml:space="preserve"> ，每天上午00:00-12:00,下午12:00-23:59 （北京时间，法定节假日除外）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922"/>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958"/>
          <w:rFonts w:hint="eastAsia" w:ascii="仿宋" w:hAnsi="仿宋" w:eastAsia="仿宋" w:cs="仿宋"/>
          <w:b/>
          <w:bCs/>
          <w:color w:val="auto"/>
          <w:sz w:val="21"/>
          <w:szCs w:val="21"/>
          <w:highlight w:val="none"/>
        </w:rPr>
        <w:t xml:space="preserve">四、提交投标文件截止时间、开标时间和地点</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2024年10月18日09点30分</w:t>
      </w:r>
      <w:r>
        <w:rPr>
          <w:rFonts w:hint="eastAsia" w:ascii="仿宋" w:hAnsi="仿宋" w:eastAsia="仿宋" w:cs="仿宋"/>
          <w:color w:val="auto"/>
          <w:sz w:val="21"/>
          <w:szCs w:val="21"/>
          <w:highlight w:val="none"/>
        </w:rPr>
        <w:t xml:space="preserve"> （北京时间）</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922"/>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8"/>
          <w:rFonts w:hint="eastAsia" w:ascii="仿宋" w:hAnsi="仿宋" w:eastAsia="仿宋" w:cs="仿宋"/>
          <w:b/>
          <w:bCs/>
          <w:color w:val="auto"/>
          <w:sz w:val="21"/>
          <w:szCs w:val="21"/>
          <w:highlight w:val="none"/>
        </w:rPr>
        <w:t xml:space="preserve">五、公告期限</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22"/>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8"/>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958"/>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958"/>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958"/>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958"/>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958"/>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958"/>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958"/>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958"/>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958"/>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ascii="仿宋" w:hAnsi="仿宋" w:eastAsia="仿宋" w:cs="仿宋"/>
          <w:color w:val="auto"/>
          <w:sz w:val="21"/>
          <w:szCs w:val="21"/>
          <w:highlight w:val="none"/>
        </w:rPr>
      </w:pPr>
      <w:r>
        <w:rPr>
          <w:rStyle w:val="958"/>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958"/>
          <w:rFonts w:hint="eastAsia" w:ascii="仿宋" w:hAnsi="仿宋" w:eastAsia="仿宋" w:cs="仿宋"/>
          <w:color w:val="auto"/>
          <w:sz w:val="21"/>
          <w:szCs w:val="21"/>
          <w:highlight w:val="none"/>
          <w:lang w:bidi="ar"/>
        </w:rPr>
        <w:t xml:space="preserve">。</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8、</w:t>
      </w:r>
      <w:r>
        <w:rPr>
          <w:rStyle w:val="958"/>
          <w:rFonts w:hint="eastAsia" w:ascii="仿宋" w:hAnsi="仿宋" w:eastAsia="仿宋" w:cs="仿宋"/>
          <w:color w:val="auto"/>
          <w:sz w:val="21"/>
          <w:szCs w:val="21"/>
          <w:highlight w:val="none"/>
          <w:lang w:bidi="ar"/>
        </w:rPr>
        <w:t xml:space="preserve">中标服务费：</w:t>
      </w:r>
      <w:r>
        <w:rPr>
          <w:rFonts w:hint="eastAsia" w:ascii="仿宋" w:hAnsi="仿宋" w:eastAsia="仿宋" w:cs="仿宋"/>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帐户：苏州泰至鑫项目管理有限公司</w:t>
      </w:r>
      <w:r/>
    </w:p>
    <w:p>
      <w:pPr>
        <w:pStyle w:val="952"/>
        <w:ind w:firstLine="420"/>
        <w:jc w:val="both"/>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开户行：中国建设银行股份有限公司太仓陆渡支行</w:t>
      </w:r>
      <w:r/>
    </w:p>
    <w:p>
      <w:pPr>
        <w:pStyle w:val="952"/>
        <w:ind w:firstLine="420"/>
        <w:jc w:val="both"/>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账户：3225 0199 7348 0000 0598</w:t>
      </w:r>
      <w:r/>
    </w:p>
    <w:p>
      <w:pPr>
        <w:ind w:firstLine="420"/>
        <w:jc w:val="both"/>
        <w:spacing w:line="360" w:lineRule="auto"/>
        <w:shd w:val="clear" w:color="auto" w:fill="ffffff"/>
        <w:rPr>
          <w:b w:val="0"/>
          <w:bCs w:val="0"/>
          <w:color w:val="auto"/>
          <w:sz w:val="21"/>
          <w:szCs w:val="21"/>
          <w:highlight w:val="none"/>
        </w:rPr>
      </w:pPr>
      <w:r>
        <w:rPr>
          <w:rStyle w:val="958"/>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shd w:val="clear" w:color="auto" w:fill="ffffff"/>
          <w:lang w:bidi="ar"/>
        </w:rPr>
        <w:t xml:space="preserve">政府采购履约资金扶持政策  </w:t>
      </w:r>
      <w:r/>
    </w:p>
    <w:p>
      <w:pPr>
        <w:pStyle w:val="922"/>
        <w:numPr>
          <w:ilvl w:val="1"/>
          <w:numId w:val="0"/>
        </w:numPr>
        <w:ind w:firstLine="420"/>
        <w:keepLines w:val="0"/>
        <w:keepNext w:val="0"/>
        <w:spacing w:before="0" w:after="0" w:line="360" w:lineRule="auto"/>
        <w:rPr>
          <w:rStyle w:val="958"/>
          <w:rFonts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pStyle w:val="922"/>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8"/>
          <w:rFonts w:hint="eastAsia" w:ascii="仿宋" w:hAnsi="仿宋" w:eastAsia="仿宋" w:cs="仿宋"/>
          <w:b/>
          <w:bCs/>
          <w:color w:val="auto"/>
          <w:sz w:val="21"/>
          <w:szCs w:val="21"/>
          <w:highlight w:val="none"/>
        </w:rPr>
        <w:t xml:space="preserve">七、对本次招标提出询问，请按以下方式联系</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太仓市沙溪镇人民政府</w:t>
      </w:r>
      <w:r>
        <w:rPr>
          <w:rFonts w:hint="eastAsia" w:ascii="仿宋" w:hAnsi="仿宋" w:eastAsia="仿宋" w:cs="仿宋"/>
          <w:color w:val="auto"/>
          <w:sz w:val="21"/>
          <w:szCs w:val="21"/>
          <w:highlight w:val="none"/>
        </w:rPr>
        <w:t xml:space="preserve"> </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苏州市太仓市沙溪镇仁溪路88号</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罗成 </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15906222324</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单位地址：太仓市娄东街道上海东路333号1002室</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顾孙英 联系电话：13145086180</w:t>
      </w:r>
      <w:r/>
    </w:p>
    <w:p>
      <w:pPr>
        <w:ind w:firstLine="422"/>
        <w:jc w:val="both"/>
        <w:spacing w:line="360" w:lineRule="auto"/>
        <w:rPr>
          <w:rFonts w:ascii="仿宋" w:hAnsi="仿宋" w:eastAsia="仿宋" w:cs="仿宋"/>
          <w:color w:val="auto"/>
          <w:sz w:val="21"/>
          <w:szCs w:val="21"/>
          <w:highlight w:val="none"/>
        </w:rPr>
      </w:pPr>
      <w:r>
        <w:rPr>
          <w:rStyle w:val="958"/>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苏州泰至鑫项目管理有限公司</w:t>
      </w:r>
      <w:r/>
    </w:p>
    <w:p>
      <w:pPr>
        <w:ind w:firstLine="420"/>
        <w:jc w:val="right"/>
        <w:spacing w:line="360" w:lineRule="auto"/>
        <w:shd w:val="clear" w:color="auto" w:fill="ffffff"/>
        <w:rPr>
          <w:rFonts w:hint="eastAsia" w:ascii="宋体" w:hAnsi="宋体" w:eastAsia="宋体" w:cs="宋体"/>
          <w:color w:val="auto"/>
          <w:sz w:val="21"/>
          <w:szCs w:val="21"/>
          <w:highlight w:val="none"/>
          <w:lang w:eastAsia="zh-CN"/>
        </w:rPr>
      </w:pPr>
      <w:r>
        <w:rPr>
          <w:rFonts w:hint="eastAsia" w:ascii="仿宋" w:hAnsi="仿宋" w:eastAsia="仿宋" w:cs="仿宋"/>
          <w:color w:val="auto"/>
          <w:sz w:val="21"/>
          <w:szCs w:val="21"/>
          <w:highlight w:val="none"/>
          <w:shd w:val="clear" w:color="auto" w:fill="ffffff"/>
          <w:lang w:eastAsia="zh-CN" w:bidi="ar"/>
        </w:rPr>
        <w:t xml:space="preserve">2024年09月19日</w:t>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widowControl w:val="off"/>
        <w:rPr>
          <w:rStyle w:val="965"/>
          <w:rFonts w:ascii="宋体" w:hAnsi="宋体" w:eastAsia="宋体" w:cs="宋体"/>
          <w:color w:val="auto"/>
          <w:sz w:val="32"/>
          <w:szCs w:val="32"/>
          <w:highlight w:val="none"/>
        </w:rPr>
      </w:pPr>
      <w:r/>
      <w:bookmarkStart w:id="2" w:name="_Toc15584"/>
      <w:r/>
      <w:r/>
    </w:p>
    <w:p>
      <w:pPr>
        <w:jc w:val="center"/>
        <w:widowControl w:val="off"/>
        <w:rPr>
          <w:rStyle w:val="965"/>
          <w:rFonts w:ascii="宋体" w:hAnsi="宋体" w:eastAsia="宋体" w:cs="宋体"/>
          <w:color w:val="auto"/>
          <w:sz w:val="32"/>
          <w:szCs w:val="32"/>
          <w:highlight w:val="none"/>
        </w:rPr>
      </w:pPr>
      <w:r>
        <w:rPr>
          <w:rStyle w:val="965"/>
          <w:rFonts w:hint="eastAsia" w:ascii="宋体" w:hAnsi="宋体" w:eastAsia="宋体" w:cs="宋体"/>
          <w:color w:val="auto"/>
          <w:sz w:val="32"/>
          <w:szCs w:val="32"/>
          <w:highlight w:val="none"/>
        </w:rPr>
        <w:t xml:space="preserve">第二章 投标人须知</w:t>
      </w:r>
      <w:bookmarkEnd w:id="2"/>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13.1投标书一（报价部分）：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13.1.1 开标一览表（详见投标文件格式，用于唱标）；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13.1.2投标报价明细表</w:t>
      </w:r>
      <w:r/>
    </w:p>
    <w:p>
      <w:pP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 投标书二：</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13.2.1.1关于资格文件的声明函（详见投标文件格式）；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13.2.1.2投标人营业执照或独立法人证书副本或三证合一营业执照扫描件；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13.2.1.3投标人参加本次政府采购活动前的财务状况报告或者银行出具的资信证明；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13.2.1.4投标人根据项目需求提供履行合同所必需的设备和专业技术能力的证明材料；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13.2.1.5投标人参加本次政府采购活动前半年（至少一个月）依法缴纳税收和社会保障资金的证明材料；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13.2.1.6投标人参加政府采购活动前三年在经营活动中没有重大违法记录的书面申明（详见投标文件格式）；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13.2.1.7投标人证明其符合招标文件规定的投标人特定资格条件的证书、证明和文件材料；（如有）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13.2.1.8投标人基本情况表（详见投标文件格式）；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13.2.1.9投标人法定代表人身份证扫描件；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13.2.1.10投标人法定代表人授权委托书原件（如有授权）（详见投标文件格式）；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13.2.1.11投标人授权代理人身份证扫描件（如有授权）；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13.2.1.12中小企业声明函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13.2.1.13残疾人福利性单位声明函（如有）；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13.2.1.14其他可以证明投标人资信、资质和货物、服务质量的证书、文件、推荐信等资料；（如有）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13.2.2技术及商务部分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13.2.2.1服务要求偏离表（详见投标文件格式）；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13.2.2.3相关业绩一览表及相关证明材料（详见投标文件格式）；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13.2.2.4相关证书一览表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13.2.2.5投入本项目技术（服务）人员一览表及相关证明材料（详见投标文件格式）；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13.2.2.6项目的技术及服务方案等；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13.2.2.7招标文件及评分标准中要求提供的其他相关材料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13.2.2.8其他需投标人对本次投标的详细说明（投标人视各自的情况自行编制）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keepLines w:val="0"/>
        <w:keepNext w:val="0"/>
        <w:pageBreakBefore w:val="0"/>
        <w:spacing w:line="360" w:lineRule="auto"/>
        <w:widowControl/>
        <w:tabs>
          <w:tab w:val="left" w:pos="420" w:leader="none"/>
          <w:tab w:val="left" w:pos="540" w:leader="none"/>
        </w:tabs>
        <w:rPr>
          <w:rFonts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rPr>
        <w:t xml:space="preserve">投标总报价应</w:t>
      </w:r>
      <w:r>
        <w:rPr>
          <w:rFonts w:hint="eastAsia" w:ascii="宋体" w:hAnsi="宋体" w:eastAsia="宋体" w:cs="宋体"/>
          <w:color w:val="auto"/>
          <w:sz w:val="21"/>
          <w:szCs w:val="21"/>
          <w:highlight w:val="none"/>
        </w:rPr>
        <w:t xml:space="preserve">包括完成本项工作所需的一切费用，</w:t>
      </w:r>
      <w:r>
        <w:rPr>
          <w:rFonts w:hint="eastAsia" w:ascii="宋体" w:hAnsi="宋体" w:cs="宋体"/>
          <w:color w:val="auto"/>
          <w:sz w:val="21"/>
          <w:szCs w:val="21"/>
          <w:highlight w:val="none"/>
          <w:lang w:eastAsia="zh-CN"/>
        </w:rPr>
        <w:t xml:space="preserve">投标报价包含完成本项目全部服务内</w:t>
      </w:r>
      <w:r>
        <w:rPr>
          <w:rFonts w:hint="eastAsia" w:ascii="宋体" w:hAnsi="宋体" w:cs="宋体"/>
          <w:color w:val="auto"/>
          <w:sz w:val="21"/>
          <w:szCs w:val="21"/>
          <w:highlight w:val="none"/>
          <w:lang w:eastAsia="zh-CN"/>
        </w:rPr>
        <w:t xml:space="preserve">容所需的人工费、详细调查方案编制费、现场采样费、样品检测分析费、详细调查报告编制费、风险评估报告编制费、管控或修复方案设计费、专家评审费、差旅食宿费、文印费、资料费、通讯、工器具、设备、加班费、管理费、保险、材料、劳保、专利技术、代理服务费等全部费用以及投标单位企业利润、税金和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24.7</w:t>
      </w:r>
      <w:r>
        <w:rPr>
          <w:rFonts w:hint="eastAsia" w:ascii="宋体" w:hAnsi="宋体" w:cs="宋体"/>
          <w:b/>
          <w:bCs/>
          <w:color w:val="auto"/>
          <w:sz w:val="21"/>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auto"/>
          <w:sz w:val="21"/>
          <w:szCs w:val="21"/>
          <w:highlight w:val="none"/>
          <w:lang w:val="zh-CN"/>
        </w:rPr>
        <w:t xml:space="preserve">。</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33.1中标人应按前附表中的约定交纳中标服务费。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33.2中标人如果未按规定缴纳中标服务费，代理机构保留诉讼的权利。</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965"/>
          <w:rFonts w:hint="eastAsia" w:ascii="宋体" w:hAnsi="宋体" w:eastAsia="宋体" w:cs="宋体"/>
          <w:color w:val="auto"/>
          <w:sz w:val="32"/>
          <w:szCs w:val="32"/>
          <w:highlight w:val="none"/>
        </w:rPr>
      </w:pPr>
      <w:r/>
      <w:bookmarkStart w:id="4" w:name="_Toc28477"/>
      <w:r>
        <w:rPr>
          <w:rStyle w:val="965"/>
          <w:rFonts w:ascii="宋体" w:hAnsi="宋体" w:eastAsia="宋体" w:cs="宋体"/>
          <w:color w:val="auto"/>
          <w:sz w:val="32"/>
          <w:szCs w:val="32"/>
          <w:highlight w:val="none"/>
        </w:rPr>
        <w:br w:type="page" w:clear="all"/>
      </w:r>
      <w:r/>
    </w:p>
    <w:p>
      <w:pPr>
        <w:pStyle w:val="964"/>
        <w:jc w:val="center"/>
        <w:rPr>
          <w:color w:val="auto"/>
          <w:highlight w:val="none"/>
        </w:rPr>
      </w:pPr>
      <w:r>
        <w:rPr>
          <w:rStyle w:val="965"/>
          <w:rFonts w:hint="eastAsia" w:ascii="宋体" w:hAnsi="宋体" w:eastAsia="宋体" w:cs="宋体"/>
          <w:color w:val="auto"/>
          <w:sz w:val="32"/>
          <w:szCs w:val="32"/>
          <w:highlight w:val="none"/>
        </w:rPr>
        <w:t xml:space="preserve">第三章 </w:t>
      </w:r>
      <w:bookmarkEnd w:id="4"/>
      <w:r>
        <w:rPr>
          <w:rStyle w:val="965"/>
          <w:rFonts w:hint="eastAsia" w:ascii="宋体" w:hAnsi="宋体" w:eastAsia="宋体" w:cs="宋体"/>
          <w:color w:val="auto"/>
          <w:sz w:val="32"/>
          <w:szCs w:val="32"/>
          <w:highlight w:val="none"/>
        </w:rPr>
        <w:t xml:space="preserve">项目需求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太仓市沙溪镇人民政府</w:t>
      </w:r>
      <w:r>
        <w:rPr>
          <w:rFonts w:hint="eastAsia" w:ascii="宋体" w:hAnsi="宋体" w:cs="宋体"/>
          <w:color w:val="auto"/>
          <w:sz w:val="21"/>
          <w:szCs w:val="21"/>
          <w:highlight w:val="none"/>
        </w:rPr>
        <w:t xml:space="preserve">之委托，苏州泰至鑫项目管理有限公司作为招标代理机构，对其拟采购的</w:t>
      </w:r>
      <w:r>
        <w:rPr>
          <w:rFonts w:hint="eastAsia" w:ascii="宋体" w:hAnsi="宋体" w:cs="宋体"/>
          <w:color w:val="auto"/>
          <w:sz w:val="21"/>
          <w:szCs w:val="21"/>
          <w:highlight w:val="none"/>
          <w:lang w:eastAsia="zh-CN"/>
        </w:rPr>
        <w:t xml:space="preserve">原太仓市红旗涂装地块土壤污染状况详情调查、风险评估及管控或修复方案设计项目</w:t>
      </w:r>
      <w:r>
        <w:rPr>
          <w:rFonts w:hint="eastAsia" w:ascii="宋体" w:hAnsi="宋体" w:cs="宋体"/>
          <w:color w:val="auto"/>
          <w:sz w:val="21"/>
          <w:szCs w:val="21"/>
          <w:highlight w:val="none"/>
        </w:rPr>
        <w:t xml:space="preserve">进行国内公开招标。欢迎符合资格条件的供应商前来报名参加投标。</w:t>
      </w:r>
      <w:r/>
    </w:p>
    <w:p>
      <w:pPr>
        <w:pStyle w:val="936"/>
        <w:ind w:firstLine="420"/>
        <w:rPr>
          <w:color w:val="auto"/>
          <w:highlight w:val="none"/>
        </w:rPr>
      </w:pPr>
      <w:r>
        <w:rPr>
          <w:rFonts w:hint="eastAsia" w:ascii="宋体" w:hAnsi="宋体" w:cs="宋体"/>
          <w:color w:val="auto"/>
          <w:sz w:val="21"/>
          <w:szCs w:val="21"/>
          <w:highlight w:val="none"/>
        </w:rPr>
        <w:t xml:space="preserve">一、项目概况</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JSZC-320585-SZTZ-G2024-0027</w:t>
      </w:r>
      <w:r/>
    </w:p>
    <w:p>
      <w:pPr>
        <w:ind w:firstLine="422"/>
        <w:spacing w:line="360" w:lineRule="auto"/>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原太仓市红旗涂装地块土壤污染状况详情调查、风险评估及管控或修复方案设计项目</w:t>
      </w:r>
      <w:r/>
    </w:p>
    <w:p>
      <w:pPr>
        <w:ind w:firstLine="422"/>
        <w:spacing w:line="360" w:lineRule="auto"/>
        <w:tabs>
          <w:tab w:val="left" w:pos="3600" w:leader="none"/>
        </w:tabs>
        <w:rPr>
          <w:rFonts w:ascii="宋体" w:hAnsi="宋体" w:cs="宋体"/>
          <w:color w:val="auto"/>
          <w:sz w:val="21"/>
          <w:szCs w:val="21"/>
          <w:highlight w:val="none"/>
          <w:lang w:val="zh-CN"/>
        </w:rPr>
      </w:pP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合同履行期限：</w:t>
      </w:r>
      <w:r>
        <w:rPr>
          <w:rFonts w:hint="eastAsia" w:ascii="宋体" w:hAnsi="宋体" w:cs="宋体"/>
          <w:color w:val="auto"/>
          <w:sz w:val="21"/>
          <w:szCs w:val="21"/>
          <w:highlight w:val="none"/>
          <w:lang w:val="zh-CN"/>
        </w:rPr>
        <w:t xml:space="preserve">具备施工条件后的180个工作日内完成全部工作。</w:t>
      </w:r>
      <w:r/>
    </w:p>
    <w:p>
      <w:pPr>
        <w:ind w:firstLine="422"/>
        <w:spacing w:line="360" w:lineRule="auto"/>
        <w:tabs>
          <w:tab w:val="left" w:pos="3600" w:leader="none"/>
        </w:tabs>
        <w:rPr>
          <w:rFonts w:ascii="仿宋" w:hAnsi="仿宋" w:eastAsia="仿宋" w:cs="仿宋"/>
          <w:color w:val="auto"/>
          <w:sz w:val="21"/>
          <w:szCs w:val="21"/>
          <w:highlight w:val="none"/>
        </w:rPr>
      </w:pPr>
      <w:r>
        <w:rPr>
          <w:rFonts w:hint="eastAsia" w:ascii="宋体" w:hAnsi="宋体" w:cs="宋体"/>
          <w:b/>
          <w:bCs/>
          <w:color w:val="auto"/>
          <w:sz w:val="21"/>
          <w:szCs w:val="21"/>
          <w:highlight w:val="none"/>
          <w:shd w:val="clear" w:color="auto" w:fill="ffffff"/>
          <w:lang w:bidi="ar"/>
        </w:rPr>
        <w:t xml:space="preserve">4、预算金额：</w:t>
      </w:r>
      <w:r>
        <w:rPr>
          <w:rFonts w:hint="eastAsia" w:ascii="仿宋" w:hAnsi="仿宋" w:eastAsia="仿宋" w:cs="仿宋"/>
          <w:color w:val="auto"/>
          <w:sz w:val="21"/>
          <w:szCs w:val="21"/>
          <w:highlight w:val="none"/>
          <w:lang w:val="en-US" w:eastAsia="zh-CN"/>
        </w:rPr>
        <w:t xml:space="preserve">76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00000万元 </w:t>
      </w:r>
      <w:r/>
    </w:p>
    <w:p>
      <w:pPr>
        <w:ind w:firstLine="422"/>
        <w:spacing w:line="360" w:lineRule="auto"/>
        <w:tabs>
          <w:tab w:val="left" w:pos="3600" w:leader="none"/>
        </w:tabs>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5、最高限价：</w:t>
      </w:r>
      <w:r>
        <w:rPr>
          <w:rFonts w:hint="eastAsia" w:ascii="仿宋" w:hAnsi="仿宋" w:eastAsia="仿宋" w:cs="仿宋"/>
          <w:color w:val="auto"/>
          <w:sz w:val="21"/>
          <w:szCs w:val="21"/>
          <w:highlight w:val="none"/>
          <w:lang w:val="en-US" w:eastAsia="zh-CN"/>
        </w:rPr>
        <w:t xml:space="preserve">76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00000万元</w:t>
      </w:r>
      <w:r/>
    </w:p>
    <w:p>
      <w:pPr>
        <w:ind w:firstLine="422"/>
        <w:spacing w:line="360" w:lineRule="auto"/>
        <w:tabs>
          <w:tab w:val="left" w:pos="3600" w:leader="none"/>
        </w:tabs>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、服务地点：</w:t>
      </w:r>
      <w:r>
        <w:rPr>
          <w:rFonts w:hint="eastAsia" w:ascii="宋体" w:hAnsi="宋体" w:cs="宋体"/>
          <w:color w:val="auto"/>
          <w:sz w:val="21"/>
          <w:szCs w:val="21"/>
          <w:highlight w:val="none"/>
        </w:rPr>
        <w:t xml:space="preserve">采购方指定</w:t>
      </w:r>
      <w:r/>
    </w:p>
    <w:p>
      <w:pPr>
        <w:ind w:firstLine="422"/>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zh-CN"/>
        </w:rPr>
        <w:t xml:space="preserve">采购需求：</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5" w:name="_Toc25002"/>
      <w:r>
        <w:rPr>
          <w:rFonts w:hint="eastAsia" w:ascii="宋体" w:hAnsi="宋体" w:eastAsia="宋体" w:cs="宋体"/>
          <w:b/>
          <w:bCs/>
          <w:color w:val="auto"/>
          <w:sz w:val="21"/>
          <w:szCs w:val="21"/>
          <w:highlight w:val="none"/>
        </w:rPr>
        <w:t xml:space="preserve">（一）项目背景</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太仓市红旗涂装有限公司地块位于太仓市沙溪镇涂松村，2024年4月已完成土壤污染状况调查（初步调查）并备案，经调查确认地块内土壤及地下水存在污染超标情况，需现行相关法律、规范开展进一步详细调查、风险评估，确认污染范围、体量、修复目标，并基于地块后续规划设计风险管控或修复技术方案，为地块的后续环境管理提供科学依据。</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（二）服务内容</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1、服务工作内容构成</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1.1开展地块土壤污染状况调查（详细调查），主要工作内容包括：</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地块已有土壤污染状况调查（初步调查）工作基础上，开展补充资料收集、现场踏勘和人员访谈，了解项目实施背景、地块利用历史和现状，对本地块及周边地块进行污染识别，对地块前期调查工作进行分析。</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（2）根据国家及我省土壤污染状况调查相关技术规范要求，合理确定本次详细调查土壤和地下水采样点位、钻探和建井深度，以及检测因子和对应评价标准。</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（3）根据土壤污染状况调查质量控制相关技术规范要求，对地块土壤及地下水进行采样、样品保存流转和实验室分析等环节进行全流程质量控制。</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（4）按照《建设用地土壤污染状况调查技术导则》（HJ 25.1-2019）、《建设用地土壤污染风险管控和修复监测技术导则》（HJ 25.2-2019）等相关技术导则要求，根据本次土壤污染状况调查（详细调查）结果，结合地块前期初步调查成果，编制地块土壤污染状况调查报告，明确地块土壤和地下水超标污染物种类、污染程度、污染空间分布，确定地块污染深度和范围。</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1.2开展地块土壤污染风险评估，主要工作内容包括：</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建设用地土壤污染风险评估技术导则》（HJ25.3-2019）等相关技术导则要求，根据地块土壤污染状况调查结果（初步调查及详细调查），结合地块规划利用方式，开展地块土壤污染风险评估，编制地块土壤污染风险评估报告，包括地块污染识别、确定地块暴露情景、计算土壤和地下水中污染物的致癌风险或危害指数、判断污染物的人体健康风险是否可接受，提出土壤和地下水风险控制值，明确超出风险控制值的污染物种类、污染范围。</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1.3开展风险管控或修复方案设计，主要工作内容包括：</w:t>
      </w:r>
      <w:r/>
    </w:p>
    <w:p>
      <w:pPr>
        <w:ind w:firstLine="420"/>
        <w:jc w:val="left"/>
        <w:keepLines w:val="0"/>
        <w:keepNext w:val="0"/>
        <w:pageBreakBefore w:val="0"/>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基于前期调查及风险评估成果，结合地块后续规划用途、资金准确情况、工期要求、技术路径适宜性等综合分析，设计风险管控或修复技术方案，为地块后续的环境管理提供科学依据。</w:t>
      </w:r>
      <w:r/>
    </w:p>
    <w:p>
      <w:pPr>
        <w:pStyle w:val="949"/>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（三）项目实施依据</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1、遵循的国家相关法律、法规、政策（包括但不限于）</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（1）《中华人民共和国环境保护法》，2015年1月1日起施行。</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（2）《中华人民共和国土壤环境防治法》，2019年1月1日起施行。</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（3）《中华人民共和国固体废物环境环境防治法》，2020年4月29日修订。</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（4）《中华人民共和国水环境防治法》，2018年1月1日起施行。</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（5）《土壤环境防治行动计划的通知》（国发〔2016〕31号）。</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（6）《水环境防治行动计划的通知》（国发〔2015〕17号）。</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（7）《工矿用地土壤环境管理办法》（试行）（环保部第3号令）。</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（8）《环境地块土壤环境管理办法（试行）》（环保部第42号令）。</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（9）《江苏省土壤环境防治工作方案》（苏政发〔2016〕169号）。</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2、遵循的相关标准、规范和技术导则 （包括但不限于）</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（1）《建设用地土壤环境状况调查技术导则》（HJ 25.1-2019）。</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（2）《建设用地土壤环境风险管控和修复监测技术导则》（H J25.2-2019）。</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（3）《建设用地土壤环境风险评估技术导则》（HJ 25.3-2019）。</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（4）《建设用地土壤修复技术导则》（HJ 25.4-2019）。</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（5）《土壤环境监测技术规范》（HJ/T 166-2004）。</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（6）《地下水环境监测技术规范》（HJ 164-2020）。</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（7）《土壤环境质量建设用地土壤环境风险管控标准（试行）》（GB 36600-2018）。</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（8）《地下水质量标准》（GB/T 14848-2017）。</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（9）《地块土壤和地下水中挥发性有机物采样技术导则》（HJ 1019-2019）。</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（10）《地下水环境状况调查评价工作指南（试行）》（环办〔2014〕99号）。</w:t>
      </w:r>
      <w:r/>
    </w:p>
    <w:p>
      <w:pPr>
        <w:ind w:firstLine="420"/>
        <w:jc w:val="left"/>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（11）《建设用地土壤环境调查评估技术指南》（环境保护部公告，2017年第72号）。</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注：以上依据若相关部门已发布最新标准，按最新标准执行。</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（四）服务要求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供应商出具的调查报告均应附从业人员责任页，明确项目负责人，各分项工作承担者，从业单位应建立内部审核制度，明确报告的审核人、审定人，上述人员均需亲笔签字确认。另外中标供应商和检测单位的营业执照、资质证明等文件也应作为附件附在调查报告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供应商在调查期间应加强对方案编制环节、样品采集、制备、保存、流转和分析等环节的管理，上述环节中如出现违反国家法律法规、违反行业规定，或者弄虚作假，采购单位会对中标供应商予以警告直至不再对其进行委托，并保留追究造成采购单位损失的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供应商自行采样，也可选择有能力的采样单位，但无论自行采样或选定的采样单位必须具有以下条件：必须具有Geoprobe或类似Geoprobe的土壤及地下水采样专业设备1台以上（含1台）并采用该类设备进行土壤样品采集、地下水监测井建设。</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供应商应加强对场地调查资料的保管，并按采购单位的要求进行项目公示、上传国家相关管理系统等，及时提供资料调用、审核等需求；并应配合采购单位完成调查评估报告的评审申请和后续审核备案等工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供应商应切实履行保密义务，未经采购单位许可不得向第三方提供本项目的相关技术资料和数据。采购结束后，投标供应商应退还采购单位在采购过程中提供的所有相关资料。未经采购单位允许，中标供应商不得擅自将履行合同过程中所获得的关于甲方以及所调查项目的一切相关技术资料和数据对外公开，不允许在采购单位未许可的条件下发表与本合同相关的论文、看法、著作等。因中标供应商责任造成相关技术资料和数据外泄所引起的一切后果由中标供应商承担。</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（五）项目组能力要求：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1、投标人拟投入的项目组团队应具备土壤污染状况调查工作经验，团队人员不少于</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rPr>
        <w:t xml:space="preserve">其中项目负责人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技术负责人1名，现场施工负责人1名，其他技术人员不少于10人。（提供投标单位为以上相关人员缴纳的社保证明），</w:t>
      </w:r>
      <w:r>
        <w:rPr>
          <w:rFonts w:hint="eastAsia" w:ascii="宋体" w:hAnsi="宋体" w:eastAsia="宋体" w:cs="宋体"/>
          <w:color w:val="auto"/>
          <w:sz w:val="21"/>
          <w:szCs w:val="21"/>
          <w:highlight w:val="none"/>
        </w:rPr>
        <w:t xml:space="preserve">成员配备应科学合理，具有环境相关专业背景，职称和学历层次高，满足项目实施管理和技术方面的需求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投标人须承担过土壤污染状况调查评估等相关工作经验。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2、本项目要求投标单位</w:t>
      </w:r>
      <w:r>
        <w:rPr>
          <w:rFonts w:hint="eastAsia" w:ascii="宋体" w:hAnsi="宋体" w:eastAsia="宋体" w:cs="宋体"/>
          <w:color w:val="auto"/>
          <w:sz w:val="21"/>
          <w:szCs w:val="21"/>
          <w:highlight w:val="none"/>
        </w:rPr>
        <w:t xml:space="preserve">具有履行合同所必需的设备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能够满足项目工作要求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其中至少包含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X射线荧光光谱仪（XRF）现场快速检测设备</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光离子化检测仪（PID）现场快速检测设备。航拍无人飞机</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精确定位设备（RTK）</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自有的提供购买发票，租赁的提供租赁合同及设备租赁发票</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tabs>
          <w:tab w:val="left" w:pos="420" w:leader="none"/>
        </w:tabs>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注：以上人员数量及设备要求为实质性条款，不满足的为无效标。</w:t>
      </w:r>
      <w:r/>
    </w:p>
    <w:p>
      <w:pPr>
        <w:ind w:firstLine="422"/>
        <w:keepLines w:val="0"/>
        <w:keepNext w:val="0"/>
        <w:pageBreakBefore w:val="0"/>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七、付款方式：</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编制的管控或修复技术方案通过专家评审后，</w:t>
      </w:r>
      <w:r>
        <w:rPr>
          <w:rFonts w:hint="eastAsia" w:ascii="宋体" w:hAnsi="宋体" w:cs="宋体"/>
          <w:color w:val="auto"/>
          <w:sz w:val="21"/>
          <w:szCs w:val="21"/>
          <w:highlight w:val="none"/>
          <w:lang w:val="en-US" w:eastAsia="zh-CN"/>
        </w:rPr>
        <w:t xml:space="preserve">一次性付清全部合同金额</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注：付款前，中标人应提供符合采购人要求的同等金额的合法有效发票。否则，采购人有权顺延付款时间，且不承担任何违约或赔偿责任。</w:t>
      </w:r>
      <w:r/>
    </w:p>
    <w:p>
      <w:pPr>
        <w:ind w:firstLine="422"/>
        <w:keepLines w:val="0"/>
        <w:keepNext w:val="0"/>
        <w:pageBreakBefore w:val="0"/>
        <w:spacing w:line="360" w:lineRule="auto"/>
        <w:widowControl/>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八、其他说明：</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单位应经常对员工进行岗位职责和安全教育，加强岗位责任考核。因中标供应商管理不善，造成工作范围内的设施、设备等损坏的，由直接负责人赔偿，若直接负责人因故无法赔偿的，采购单位有权要求中标供应商负责赔偿损失，情节严重的可终止合同甚至诉诸法律。</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2、验收标准：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2.1服务期限内递交的成果内容必须符合招标文件的有关要求和国家有关标准。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2.2技术依据：为保证本项目实施的科学性、规范性和准确性，技术操作、服务需要严格遵照国家有关法律、法规、规章制度以及国家和行业颁布的相关技术标准和规范。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2.3项目结案要求：项目需根据管理要求通过专家评审并修改完善，项目结束后服务商须向采购单位提供项目满足国家规范要求的报告及附件等全部数据资料，包括纸质版（加盖公章）2套和电子版。</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3、中标供应商工作人员在岗履行职责期间（包括上下班途中），发生自身的人身伤害、伤亡，均由中标供应商负责处理并承担经济和道义上的责任，采购单位不承担任何责任。</w:t>
      </w:r>
      <w:r/>
    </w:p>
    <w:p>
      <w:pPr>
        <w:ind w:firstLine="422"/>
        <w:keepLines w:val="0"/>
        <w:keepNext w:val="0"/>
        <w:pageBreakBefore w:val="0"/>
        <w:spacing w:line="360" w:lineRule="auto"/>
        <w:widowControl/>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九、综合说明：</w:t>
      </w:r>
      <w:r/>
    </w:p>
    <w:p>
      <w:pPr>
        <w:ind w:firstLine="420"/>
        <w:keepLines w:val="0"/>
        <w:keepNext w:val="0"/>
        <w:pageBreakBefore w:val="0"/>
        <w:spacing w:line="360" w:lineRule="auto"/>
        <w:widowControl/>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1、投标人按照招标文件的要求提交投标文件，并对所提供的全部资料的真实性承担法律责任。</w:t>
      </w:r>
      <w:r/>
    </w:p>
    <w:p>
      <w:pPr>
        <w:ind w:firstLine="420"/>
        <w:keepLines w:val="0"/>
        <w:keepNext w:val="0"/>
        <w:pageBreakBefore w:val="0"/>
        <w:spacing w:line="360" w:lineRule="auto"/>
        <w:widowControl/>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报价要求：</w:t>
      </w:r>
      <w:r>
        <w:rPr>
          <w:rFonts w:hint="eastAsia" w:ascii="宋体" w:hAnsi="宋体" w:eastAsia="宋体" w:cs="宋体"/>
          <w:color w:val="auto"/>
          <w:sz w:val="21"/>
          <w:szCs w:val="21"/>
          <w:highlight w:val="none"/>
        </w:rPr>
        <w:t xml:space="preserve">本项目按固定</w:t>
      </w:r>
      <w:r>
        <w:rPr>
          <w:rFonts w:hint="eastAsia" w:ascii="宋体" w:hAnsi="宋体" w:eastAsia="宋体" w:cs="宋体"/>
          <w:color w:val="auto"/>
          <w:sz w:val="21"/>
          <w:szCs w:val="21"/>
          <w:highlight w:val="none"/>
          <w:lang w:val="en-US" w:eastAsia="zh-CN"/>
        </w:rPr>
        <w:t xml:space="preserve">总价报价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投标报价包含完成本项目全部服务内</w:t>
      </w:r>
      <w:r>
        <w:rPr>
          <w:rFonts w:hint="eastAsia" w:ascii="宋体" w:hAnsi="宋体" w:eastAsia="宋体" w:cs="宋体"/>
          <w:color w:val="auto"/>
          <w:sz w:val="21"/>
          <w:szCs w:val="21"/>
          <w:highlight w:val="none"/>
        </w:rPr>
        <w:t xml:space="preserve">容所需的人工费、详细调查方案编制费、现场采样费、样品检测分析费、详细调查报告编制费、风险评估报告编制费、管控或修复方案设计费、专家评审费、差旅食宿费、文印费、资料费、通讯、工器具、设备、加班费、管理费、保险、材料、劳保、专利技术、代理服务费等全部费用以及投标单位企业利润、税金和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keepLines w:val="0"/>
        <w:keepNext w:val="0"/>
        <w:pageBreakBefore w:val="0"/>
        <w:spacing w:line="360" w:lineRule="auto"/>
        <w:widowControl/>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3、中标单位将根据招标文件、投标文件的相关约定，承担合同责任，履行合同义务。</w:t>
      </w:r>
      <w:r/>
    </w:p>
    <w:p>
      <w:pPr>
        <w:ind w:firstLine="420"/>
        <w:keepLines w:val="0"/>
        <w:keepNext w:val="0"/>
        <w:pageBreakBefore w:val="0"/>
        <w:spacing w:line="360" w:lineRule="auto"/>
        <w:widowControl/>
        <w:tabs>
          <w:tab w:val="left" w:pos="420" w:leader="none"/>
          <w:tab w:val="left" w:pos="540" w:leader="none"/>
        </w:tabs>
        <w:rPr>
          <w:rStyle w:val="965"/>
          <w:rFonts w:hint="eastAsia" w:ascii="宋体" w:hAnsi="宋体" w:eastAsia="宋体" w:cs="宋体"/>
          <w:color w:val="auto"/>
          <w:sz w:val="32"/>
          <w:szCs w:val="32"/>
          <w:highlight w:val="none"/>
          <w:lang w:eastAsia="zh-CN"/>
        </w:rPr>
      </w:pPr>
      <w:r>
        <w:rPr>
          <w:rFonts w:hint="eastAsia" w:ascii="宋体" w:hAnsi="宋体" w:cs="宋体"/>
          <w:color w:val="auto"/>
          <w:sz w:val="21"/>
          <w:szCs w:val="21"/>
          <w:highlight w:val="none"/>
          <w:lang w:val="en-US" w:eastAsia="zh-CN"/>
        </w:rPr>
        <w:t xml:space="preserve">4、为保证本项目顺利实施，投标单位因针对本项目编制项目实施方案，方案内容包括但不限于：</w:t>
      </w:r>
      <w:r>
        <w:rPr>
          <w:rFonts w:hint="eastAsia" w:ascii="宋体" w:hAnsi="宋体" w:eastAsia="宋体" w:cs="宋体"/>
          <w:bCs/>
          <w:color w:val="auto"/>
          <w:sz w:val="21"/>
          <w:szCs w:val="21"/>
          <w:highlight w:val="none"/>
          <w14:ligatures w14:val="none"/>
        </w:rPr>
        <w:t xml:space="preserve">项目实施技术方案</w:t>
      </w:r>
      <w:r>
        <w:rPr>
          <w:rFonts w:hint="eastAsia" w:ascii="宋体" w:hAnsi="宋体" w:cs="宋体"/>
          <w:bCs/>
          <w:color w:val="auto"/>
          <w:sz w:val="21"/>
          <w:szCs w:val="21"/>
          <w:highlight w:val="none"/>
          <w:lang w:eastAsia="zh-CN"/>
          <w14:ligatures w14:val="none"/>
        </w:rPr>
        <w:t xml:space="preserve">、</w:t>
      </w:r>
      <w:r>
        <w:rPr>
          <w:rFonts w:hint="eastAsia" w:ascii="宋体" w:hAnsi="宋体" w:eastAsia="宋体" w:cs="宋体"/>
          <w:bCs/>
          <w:color w:val="auto"/>
          <w:sz w:val="21"/>
          <w:szCs w:val="21"/>
          <w:highlight w:val="none"/>
          <w14:ligatures w14:val="none"/>
        </w:rPr>
        <w:t xml:space="preserve">项目实施服务方案</w:t>
      </w:r>
      <w:r>
        <w:rPr>
          <w:rFonts w:hint="eastAsia" w:ascii="宋体" w:hAnsi="宋体" w:cs="宋体"/>
          <w:bCs/>
          <w:color w:val="auto"/>
          <w:sz w:val="21"/>
          <w:szCs w:val="21"/>
          <w:highlight w:val="none"/>
          <w:lang w:eastAsia="zh-CN"/>
          <w14:ligatures w14:val="none"/>
        </w:rPr>
        <w:t xml:space="preserve">、</w:t>
      </w:r>
      <w:r>
        <w:rPr>
          <w:rFonts w:hint="eastAsia" w:ascii="宋体" w:hAnsi="宋体" w:eastAsia="宋体" w:cs="宋体"/>
          <w:bCs/>
          <w:color w:val="auto"/>
          <w:sz w:val="21"/>
          <w:szCs w:val="21"/>
          <w:highlight w:val="none"/>
          <w14:ligatures w14:val="none"/>
        </w:rPr>
        <w:t xml:space="preserve">项目实施应急处置方案</w:t>
      </w:r>
      <w:r>
        <w:rPr>
          <w:rFonts w:hint="eastAsia" w:ascii="宋体" w:hAnsi="宋体" w:cs="宋体"/>
          <w:bCs/>
          <w:color w:val="auto"/>
          <w:sz w:val="21"/>
          <w:szCs w:val="21"/>
          <w:highlight w:val="none"/>
          <w:lang w:eastAsia="zh-CN"/>
          <w14:ligatures w14:val="none"/>
        </w:rPr>
        <w:t xml:space="preserve">。</w:t>
      </w:r>
      <w:r/>
    </w:p>
    <w:p>
      <w:pPr>
        <w:jc w:val="both"/>
        <w:spacing w:line="400" w:lineRule="exact"/>
        <w:rPr>
          <w:rStyle w:val="96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400" w:lineRule="exact"/>
        <w:rPr>
          <w:rStyle w:val="96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5"/>
          <w:rFonts w:ascii="宋体" w:hAnsi="宋体" w:eastAsia="宋体" w:cs="宋体"/>
          <w:color w:val="auto"/>
          <w:sz w:val="32"/>
          <w:szCs w:val="32"/>
          <w:highlight w:val="none"/>
        </w:rPr>
      </w:pPr>
      <w:r>
        <w:rPr>
          <w:rStyle w:val="965"/>
          <w:rFonts w:hint="eastAsia" w:ascii="宋体" w:hAnsi="宋体" w:eastAsia="宋体" w:cs="宋体"/>
          <w:color w:val="auto"/>
          <w:sz w:val="32"/>
          <w:szCs w:val="32"/>
          <w:highlight w:val="none"/>
        </w:rPr>
        <w:t xml:space="preserve">第四章 投标文件格式</w:t>
      </w:r>
      <w:bookmarkEnd w:id="5"/>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ascii="宋体" w:hAnsi="宋体" w:cs="宋体"/>
          <w:b/>
          <w:bCs/>
          <w:color w:val="auto"/>
          <w:highlight w:val="none"/>
        </w:rPr>
      </w:pPr>
      <w:r>
        <w:rPr>
          <w:rFonts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23"/>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p>
    <w:p>
      <w:pPr>
        <w:pStyle w:val="982"/>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931"/>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cs="宋体"/>
                <w:color w:val="auto"/>
                <w:sz w:val="21"/>
                <w:szCs w:val="21"/>
                <w:highlight w:val="none"/>
              </w:rPr>
            </w:pPr>
            <w:r>
              <w:rPr>
                <w:rFonts w:hint="eastAsia"/>
                <w:color w:val="auto"/>
                <w:sz w:val="21"/>
                <w:szCs w:val="21"/>
                <w:highlight w:val="none"/>
              </w:rPr>
              <w:t xml:space="preserve">人民币大写：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元整（小写：￥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w:t>
            </w:r>
            <w:r/>
          </w:p>
        </w:tc>
      </w:tr>
    </w:tbl>
    <w:p>
      <w:pPr>
        <w:ind w:right="0" w:firstLine="420"/>
        <w:keepLines w:val="0"/>
        <w:keepNext w:val="0"/>
        <w:pageBreakBefore w:val="0"/>
        <w:spacing w:line="360" w:lineRule="auto"/>
        <w:tabs>
          <w:tab w:val="left" w:pos="420" w:leader="none"/>
          <w:tab w:val="left" w:pos="540" w:leader="none"/>
        </w:tabs>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投标报价一次报定</w:t>
      </w:r>
      <w:r>
        <w:rPr>
          <w:rFonts w:hint="eastAsia" w:ascii="宋体" w:hAnsi="宋体" w:eastAsia="宋体" w:cs="宋体"/>
          <w:color w:val="auto"/>
          <w:sz w:val="21"/>
          <w:szCs w:val="21"/>
          <w:highlight w:val="none"/>
        </w:rPr>
        <w:t xml:space="preserve">应包括完成本项工作所需的一切费用，</w:t>
      </w:r>
      <w:r>
        <w:rPr>
          <w:rFonts w:hint="eastAsia" w:ascii="宋体" w:hAnsi="宋体" w:cs="宋体"/>
          <w:color w:val="auto"/>
          <w:sz w:val="21"/>
          <w:szCs w:val="21"/>
          <w:highlight w:val="none"/>
          <w:lang w:eastAsia="zh-CN"/>
        </w:rPr>
        <w:t xml:space="preserve">投标报价包含完成本项目全部服务内</w:t>
      </w:r>
      <w:r>
        <w:rPr>
          <w:rFonts w:hint="eastAsia" w:ascii="宋体" w:hAnsi="宋体" w:cs="宋体"/>
          <w:color w:val="auto"/>
          <w:sz w:val="21"/>
          <w:szCs w:val="21"/>
          <w:highlight w:val="none"/>
          <w:lang w:eastAsia="zh-CN"/>
        </w:rPr>
        <w:t xml:space="preserve">容所需的人工费、详细调查方案编制费、现场采样费、样品检测分析费、详细调查报告编制费、风险评估报告编制费、管控或修复方案设计费、专家评审费、差旅食宿费、文印费、资料费、通讯、工器具、设备、加班费、管理费、保险、材料、劳保、专利技术、代理服务费等全部费用以及投标单位企业利润、税金和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1012"/>
        <w:rPr>
          <w:color w:val="auto"/>
          <w:szCs w:val="21"/>
          <w:highlight w:val="none"/>
          <w:lang w:val="zh-CN"/>
        </w:rPr>
      </w:pPr>
      <w:r>
        <w:rPr>
          <w:color w:val="auto"/>
          <w:szCs w:val="21"/>
          <w:highlight w:val="none"/>
          <w:lang w:val="zh-CN"/>
        </w:rPr>
      </w:r>
      <w:r/>
    </w:p>
    <w:p>
      <w:pPr>
        <w:ind w:firstLine="392"/>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993"/>
        <w:ind w:left="0"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932"/>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投标报价明细表</w:t>
      </w:r>
      <w:r/>
    </w:p>
    <w:p>
      <w:pPr>
        <w:pStyle w:val="932"/>
        <w:ind w:firstLine="251"/>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投标报价明细表</w:t>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931"/>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056"/>
        <w:gridCol w:w="1204"/>
        <w:gridCol w:w="1172"/>
        <w:gridCol w:w="1248"/>
        <w:gridCol w:w="1857"/>
        <w:gridCol w:w="980"/>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1857" w:type="dxa"/>
            <w:vAlign w:val="center"/>
            <w:textDirection w:val="lrTb"/>
            <w:noWrap w:val="false"/>
          </w:tcPr>
          <w:p>
            <w:pPr>
              <w:jc w:val="center"/>
              <w:rPr>
                <w:rFonts w:ascii="宋体" w:hAnsi="宋体" w:cs="宋体"/>
                <w:color w:val="auto"/>
                <w:sz w:val="21"/>
                <w:szCs w:val="21"/>
                <w:highlight w:val="none"/>
              </w:rPr>
            </w:pPr>
            <w:r>
              <w:rPr>
                <w:rFonts w:hint="eastAsia"/>
                <w:b/>
                <w:bCs/>
                <w:color w:val="auto"/>
                <w:sz w:val="21"/>
                <w:szCs w:val="21"/>
                <w:highlight w:val="none"/>
                <w:lang w:val="en-US" w:eastAsia="zh-CN"/>
              </w:rPr>
              <w:t xml:space="preserve">合</w:t>
            </w:r>
            <w:r>
              <w:rPr>
                <w:rFonts w:hint="eastAsia"/>
                <w:b/>
                <w:bCs/>
                <w:color w:val="auto"/>
                <w:sz w:val="21"/>
                <w:szCs w:val="21"/>
                <w:highlight w:val="none"/>
              </w:rPr>
              <w:t xml:space="preserve">价</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254" w:type="dxa"/>
            <w:vAlign w:val="center"/>
            <w:textDirection w:val="lrTb"/>
            <w:noWrap w:val="false"/>
          </w:tcPr>
          <w:p>
            <w:pPr>
              <w:ind w:firstLine="210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cs="宋体"/>
          <w:color w:val="auto"/>
          <w:sz w:val="21"/>
          <w:szCs w:val="21"/>
          <w:highlight w:val="none"/>
        </w:rPr>
      </w:pPr>
      <w:r>
        <w:rPr>
          <w:rFonts w:hint="eastAsia" w:cs="宋体"/>
          <w:color w:val="auto"/>
          <w:sz w:val="21"/>
          <w:szCs w:val="21"/>
          <w:highlight w:val="none"/>
        </w:rPr>
        <w:t xml:space="preserve">注：1、须按上表中的格式及要求报价；</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2、投标报价明细表总价须与开标一览表一致，否则以开标一览表报价为准。</w:t>
      </w:r>
      <w:r/>
    </w:p>
    <w:p>
      <w:pPr>
        <w:pStyle w:val="956"/>
        <w:ind w:firstLine="5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23"/>
        <w:numPr>
          <w:ilvl w:val="0"/>
          <w:numId w:val="0"/>
        </w:numPr>
        <w:ind w:left="403"/>
        <w:jc w:val="center"/>
        <w:spacing w:before="156" w:after="0" w:line="420" w:lineRule="exact"/>
        <w:rPr>
          <w:color w:val="auto"/>
          <w:sz w:val="44"/>
          <w:szCs w:val="44"/>
          <w:highlight w:val="none"/>
          <w:lang w:val="zh-CN"/>
        </w:rPr>
      </w:pPr>
      <w:r>
        <w:rPr>
          <w:color w:val="auto"/>
          <w:sz w:val="44"/>
          <w:szCs w:val="44"/>
          <w:highlight w:val="none"/>
          <w:lang w:val="zh-CN"/>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pStyle w:val="936"/>
        <w:numPr>
          <w:ilvl w:val="0"/>
          <w:numId w:val="4"/>
        </w:numPr>
        <w:jc w:val="center"/>
        <w:rPr>
          <w:b/>
          <w:color w:val="auto"/>
          <w:sz w:val="44"/>
          <w:szCs w:val="44"/>
          <w:highlight w:val="none"/>
        </w:rPr>
      </w:pPr>
      <w:r>
        <w:rPr>
          <w:rFonts w:hint="eastAsia"/>
          <w:b/>
          <w:color w:val="auto"/>
          <w:sz w:val="44"/>
          <w:szCs w:val="44"/>
          <w:highlight w:val="none"/>
        </w:rPr>
        <w:t xml:space="preserve">资格、技术、商务部分</w:t>
      </w:r>
      <w:r/>
    </w:p>
    <w:p>
      <w:pPr>
        <w:pStyle w:val="936"/>
        <w:jc w:val="both"/>
        <w:rPr>
          <w:b/>
          <w:color w:val="auto"/>
          <w:sz w:val="44"/>
          <w:szCs w:val="44"/>
          <w:highlight w:val="none"/>
        </w:rPr>
      </w:pPr>
      <w:r>
        <w:rPr>
          <w:b/>
          <w:color w:val="auto"/>
          <w:sz w:val="44"/>
          <w:szCs w:val="44"/>
          <w:highlight w:val="none"/>
        </w:rPr>
      </w:r>
      <w:r/>
    </w:p>
    <w:p>
      <w:pPr>
        <w:pStyle w:val="933"/>
        <w:numPr>
          <w:ilvl w:val="0"/>
          <w:numId w:val="5"/>
        </w:num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33"/>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33"/>
        <w:ind w:firstLine="0"/>
        <w:rPr>
          <w:rFonts w:ascii="宋体" w:hAnsi="宋体" w:eastAsia="宋体" w:cs="宋体"/>
          <w:b/>
          <w:color w:val="auto"/>
          <w:highlight w:val="none"/>
        </w:rPr>
      </w:pPr>
      <w:r>
        <w:rPr>
          <w:rFonts w:ascii="宋体" w:hAnsi="宋体" w:eastAsia="宋体" w:cs="宋体"/>
          <w:b/>
          <w:color w:val="auto"/>
          <w:highlight w:val="none"/>
        </w:rPr>
      </w:r>
      <w:r/>
    </w:p>
    <w:p>
      <w:pPr>
        <w:pStyle w:val="933"/>
        <w:ind w:firstLine="0"/>
        <w:rPr>
          <w:rFonts w:ascii="宋体" w:hAnsi="宋体" w:eastAsia="宋体" w:cs="宋体"/>
          <w:color w:val="auto"/>
          <w:highlight w:val="none"/>
        </w:rPr>
      </w:pPr>
      <w:r>
        <w:rPr>
          <w:rFonts w:ascii="宋体" w:hAnsi="宋体" w:eastAsia="宋体" w:cs="宋体"/>
          <w:color w:val="auto"/>
          <w:highlight w:val="none"/>
        </w:rPr>
      </w:r>
      <w:r/>
    </w:p>
    <w:p>
      <w:pPr>
        <w:pStyle w:val="933"/>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33"/>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33"/>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82"/>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苏州泰至鑫项目管理有限公司</w:t>
      </w:r>
      <w:r>
        <w:rPr>
          <w:rFonts w:hint="eastAsia" w:hAnsi="宋体" w:eastAsia="宋体" w:cs="宋体"/>
          <w:b/>
          <w:bCs/>
          <w:color w:val="auto"/>
          <w:sz w:val="21"/>
          <w:szCs w:val="21"/>
          <w:highlight w:val="none"/>
        </w:rPr>
        <w:t xml:space="preserve">：</w:t>
      </w:r>
      <w:r/>
    </w:p>
    <w:p>
      <w:pPr>
        <w:pStyle w:val="933"/>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投标人营业执照或独立法人证书副本或三证合一营业执照扫描件；</w:t>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982"/>
        <w:jc w:val="center"/>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b/>
          <w:bCs/>
          <w:color w:val="auto"/>
          <w:szCs w:val="21"/>
          <w:highlight w:val="none"/>
        </w:rPr>
      </w:pPr>
      <w:r>
        <w:rPr>
          <w:b/>
          <w:bCs/>
          <w:color w:val="auto"/>
          <w:szCs w:val="21"/>
          <w:highlight w:val="none"/>
        </w:rPr>
      </w:r>
      <w:r/>
    </w:p>
    <w:p>
      <w:pPr>
        <w:pStyle w:val="982"/>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Cs w:val="21"/>
          <w:highlight w:val="none"/>
        </w:rPr>
      </w:pPr>
      <w:r>
        <w:rPr>
          <w:b/>
          <w:bCs/>
          <w:color w:val="auto"/>
          <w:szCs w:val="21"/>
          <w:highlight w:val="none"/>
        </w:rPr>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投标人基本情况表</w:t>
      </w:r>
      <w:r/>
    </w:p>
    <w:p>
      <w:pPr>
        <w:pStyle w:val="933"/>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33"/>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93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713"/>
        <w:gridCol w:w="1804"/>
        <w:gridCol w:w="1518"/>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13"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322"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13"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322" w:type="dxa"/>
            <w:vAlign w:val="center"/>
            <w:textDirection w:val="lrTb"/>
            <w:noWrap w:val="false"/>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890"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518"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713"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322"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713"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322"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2023年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2023年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713"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322"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713"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322"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890"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890"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890"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89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89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890"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890"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890"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bookmarkStart w:id="6" w:name="_Toc24626"/>
      <w:r/>
      <w:bookmarkStart w:id="7" w:name="_Toc29896"/>
      <w:r/>
      <w:bookmarkStart w:id="8" w:name="_Toc17310"/>
      <w:r/>
      <w:bookmarkStart w:id="9" w:name="_Toc14425"/>
      <w:r/>
      <w:bookmarkStart w:id="10" w:name="_Toc9742"/>
      <w:r/>
      <w:bookmarkStart w:id="11" w:name="_Toc20811"/>
      <w:r/>
      <w:bookmarkStart w:id="12" w:name="_Toc5717"/>
      <w:r/>
      <w:bookmarkStart w:id="13" w:name="_Toc18702"/>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bookmarkStart w:id="14" w:name="_Toc11973"/>
      <w:r/>
      <w:bookmarkStart w:id="15" w:name="_Toc25556"/>
      <w:r/>
      <w:bookmarkStart w:id="16" w:name="_Toc4786"/>
      <w:r/>
      <w:bookmarkStart w:id="17" w:name="_Toc11337"/>
      <w:r/>
      <w:bookmarkStart w:id="18" w:name="_Toc6794"/>
      <w:r/>
      <w:bookmarkStart w:id="19" w:name="_Toc25055"/>
      <w:r/>
      <w:bookmarkStart w:id="20" w:name="_Toc30046"/>
      <w:r/>
      <w:bookmarkStart w:id="21" w:name="_Toc18588"/>
      <w:r/>
      <w:bookmarkStart w:id="22" w:name="_Toc7351"/>
      <w:r>
        <w:rPr>
          <w:rFonts w:hint="eastAsia" w:ascii="宋体" w:hAnsi="宋体" w:cs="宋体"/>
          <w:b/>
          <w:color w:val="auto"/>
          <w:sz w:val="21"/>
          <w:szCs w:val="21"/>
          <w:highlight w:val="none"/>
        </w:rPr>
        <w:t xml:space="preserve">附：法定代表人身份扫描件件。</w:t>
      </w:r>
      <w:bookmarkEnd w:id="14"/>
      <w:r/>
      <w:bookmarkEnd w:id="15"/>
      <w:r/>
      <w:bookmarkEnd w:id="16"/>
      <w:r/>
      <w:bookmarkEnd w:id="17"/>
      <w:r/>
      <w:bookmarkEnd w:id="18"/>
      <w:r/>
      <w:bookmarkEnd w:id="19"/>
      <w:r/>
      <w:bookmarkEnd w:id="20"/>
      <w:r/>
      <w:bookmarkEnd w:id="21"/>
      <w:r/>
      <w:bookmarkEnd w:id="22"/>
      <w:r/>
      <w:r/>
    </w:p>
    <w:p>
      <w:pPr>
        <w:pStyle w:val="933"/>
        <w:ind w:firstLine="0"/>
        <w:spacing w:line="360" w:lineRule="auto"/>
        <w:rPr>
          <w:rFonts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933"/>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3"/>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3"/>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3"/>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3"/>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附：代理人身份扫描件件</w:t>
      </w:r>
      <w:r/>
    </w:p>
    <w:p>
      <w:pPr>
        <w:pStyle w:val="923"/>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pStyle w:val="923"/>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中小企业声明函</w:t>
      </w:r>
      <w:r/>
    </w:p>
    <w:p>
      <w:pP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990"/>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36"/>
        <w:ind w:right="355" w:firstLine="640"/>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18"/>
        <w:numPr>
          <w:ilvl w:val="0"/>
          <w:numId w:val="6"/>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18"/>
        <w:numPr>
          <w:ilvl w:val="0"/>
          <w:numId w:val="6"/>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36"/>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36"/>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36"/>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1、本项目属于专门面向中小企业采购的项目，必须提供</w:t>
      </w:r>
      <w:r>
        <w:rPr>
          <w:rFonts w:hint="eastAsia" w:ascii="宋体" w:hAnsi="宋体" w:cs="宋体"/>
          <w:b/>
          <w:bCs/>
          <w:color w:val="auto"/>
          <w:sz w:val="21"/>
          <w:szCs w:val="21"/>
          <w:highlight w:val="none"/>
        </w:rPr>
        <w:t xml:space="preserve">符合要求的</w:t>
      </w:r>
      <w:r>
        <w:rPr>
          <w:rFonts w:hint="eastAsia" w:ascii="宋体" w:hAnsi="宋体" w:cs="宋体"/>
          <w:b/>
          <w:bCs/>
          <w:color w:val="auto"/>
          <w:sz w:val="21"/>
          <w:szCs w:val="21"/>
          <w:highlight w:val="none"/>
          <w:lang w:val="zh-CN"/>
        </w:rPr>
        <w:t xml:space="preserve">中小企业声明函，</w:t>
      </w:r>
      <w:r>
        <w:rPr>
          <w:rFonts w:hint="eastAsia" w:ascii="宋体" w:hAnsi="宋体" w:cs="宋体"/>
          <w:b/>
          <w:bCs/>
          <w:color w:val="auto"/>
          <w:sz w:val="21"/>
          <w:szCs w:val="21"/>
          <w:highlight w:val="none"/>
        </w:rPr>
        <w:t xml:space="preserve">否则投标无效。</w:t>
      </w:r>
      <w:r>
        <w:rPr>
          <w:rFonts w:hint="eastAsia" w:ascii="宋体" w:hAnsi="宋体" w:cs="宋体"/>
          <w:b/>
          <w:bCs/>
          <w:color w:val="auto"/>
          <w:sz w:val="21"/>
          <w:szCs w:val="21"/>
          <w:highlight w:val="none"/>
          <w:lang w:val="zh-CN"/>
        </w:rPr>
        <w:t xml:space="preserve">中小企业划分标准详见“工信部联企业〔2011〕300号通知”。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09"/>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投标人：（盖章）</w:t>
      </w:r>
      <w:r/>
    </w:p>
    <w:p>
      <w:pPr>
        <w:pStyle w:val="1009"/>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09"/>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53"/>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53"/>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52"/>
        <w:spacing w:before="0" w:beforeAutospacing="0" w:after="0" w:afterAutospacing="0" w:line="360" w:lineRule="auto"/>
        <w:rPr>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933"/>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偏离表</w:t>
      </w:r>
      <w:r/>
    </w:p>
    <w:p>
      <w:pPr>
        <w:pStyle w:val="933"/>
        <w:rPr>
          <w:rFonts w:ascii="宋体" w:hAnsi="宋体" w:eastAsia="宋体"/>
          <w:b/>
          <w:bCs/>
          <w:color w:val="auto"/>
          <w:szCs w:val="24"/>
          <w:highlight w:val="none"/>
        </w:rPr>
      </w:pPr>
      <w:r>
        <w:rPr>
          <w:rFonts w:hint="eastAsia"/>
          <w:b/>
          <w:bCs/>
          <w:color w:val="auto"/>
          <w:szCs w:val="21"/>
          <w:highlight w:val="none"/>
        </w:rPr>
        <w:t xml:space="preserve">                  </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（1）服务要求偏离表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683" w:type="dxa"/>
            <w:vAlign w:val="center"/>
            <w:textDirection w:val="lrTb"/>
            <w:noWrap w:val="false"/>
          </w:tcPr>
          <w:p>
            <w:pPr>
              <w:pStyle w:val="933"/>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933"/>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93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933"/>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683"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683"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683"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683"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683"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683"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683"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3"/>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color w:val="auto"/>
          <w:spacing w:val="20"/>
          <w:sz w:val="21"/>
          <w:szCs w:val="21"/>
          <w:highlight w:val="none"/>
        </w:rPr>
        <w:t xml:space="preserve">商务条款偏离表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931"/>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32"/>
        <w:gridCol w:w="1547"/>
        <w:gridCol w:w="3000"/>
        <w:gridCol w:w="2819"/>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报价要求</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w:t>
            </w:r>
            <w:r/>
          </w:p>
        </w:tc>
        <w:tc>
          <w:tcPr>
            <w:tcBorders>
              <w:top w:val="single" w:color="auto" w:sz="4"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服务地点</w:t>
            </w:r>
            <w:r/>
          </w:p>
        </w:tc>
        <w:tc>
          <w:tcPr>
            <w:tcBorders>
              <w:top w:val="single" w:color="auto" w:sz="4"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格式13：相关证书一览表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320"/>
        <w:gridCol w:w="2575"/>
        <w:gridCol w:w="1479"/>
        <w:gridCol w:w="1337"/>
        <w:gridCol w:w="1823"/>
      </w:tblGrid>
      <w:tr>
        <w:trPr>
          <w:cantSplit/>
          <w:jc w:val="center"/>
          <w:trHeight w:val="740"/>
        </w:trPr>
        <w:tc>
          <w:tcPr>
            <w:tcW w:w="1320"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575"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479"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337"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ascii="宋体" w:hAnsi="宋体" w:cs="宋体"/>
          <w:color w:val="auto"/>
          <w:highlight w:val="none"/>
        </w:rPr>
      </w:pPr>
      <w:r>
        <w:rPr>
          <w:rFonts w:ascii="宋体" w:hAnsi="宋体" w:cs="宋体"/>
          <w:color w:val="auto"/>
          <w:highlight w:val="none"/>
        </w:rPr>
      </w:r>
      <w:r/>
    </w:p>
    <w:p>
      <w:pPr>
        <w:pStyle w:val="933"/>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格式14：</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2369"/>
        <w:gridCol w:w="2025"/>
        <w:gridCol w:w="2453"/>
        <w:gridCol w:w="1049"/>
      </w:tblGrid>
      <w:tr>
        <w:trPr>
          <w:cantSplit/>
          <w:jc w:val="center"/>
          <w:trHeight w:val="740"/>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369"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2025"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合同签订时间</w:t>
            </w:r>
            <w:r/>
          </w:p>
        </w:tc>
        <w:tc>
          <w:tcPr>
            <w:tcW w:w="2453"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049"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36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025"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453"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04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36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025"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453"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04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36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025"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453"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04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36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025"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453"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04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36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025"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2453"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049"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33"/>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格式15：投入本项目技术（服务）人员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pStyle w:val="936"/>
        <w:rPr>
          <w:color w:val="auto"/>
          <w:highlight w:val="none"/>
        </w:rPr>
      </w:pPr>
      <w:r>
        <w:rPr>
          <w:color w:val="auto"/>
          <w:highlight w:val="none"/>
        </w:rPr>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相关证书</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职称</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009"/>
        <w:ind w:firstLine="492"/>
        <w:spacing w:line="360" w:lineRule="auto"/>
        <w:rPr>
          <w:rFonts w:hAnsi="宋体" w:cs="宋体"/>
          <w:color w:val="auto"/>
          <w:sz w:val="21"/>
          <w:szCs w:val="21"/>
          <w:highlight w:val="none"/>
          <w:u w:val="single"/>
        </w:rPr>
      </w:pPr>
      <w:r>
        <w:rPr>
          <w:rFonts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pStyle w:val="1009"/>
        <w:ind w:firstLine="525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格式16：服务方案及其他招标文件要求自行编写格式</w:t>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Style w:val="965"/>
          <w:rFonts w:hint="eastAsia" w:ascii="宋体" w:hAnsi="宋体" w:eastAsia="宋体" w:cs="宋体"/>
          <w:color w:val="auto"/>
          <w:sz w:val="32"/>
          <w:szCs w:val="32"/>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bookmarkStart w:id="24" w:name="_Toc19345"/>
      <w:r/>
      <w:r/>
    </w:p>
    <w:p>
      <w:pPr>
        <w:jc w:val="center"/>
        <w:spacing w:line="360" w:lineRule="auto"/>
        <w:rPr>
          <w:rStyle w:val="965"/>
          <w:rFonts w:ascii="宋体" w:hAnsi="宋体" w:eastAsia="宋体" w:cs="宋体"/>
          <w:color w:val="auto"/>
          <w:sz w:val="32"/>
          <w:szCs w:val="32"/>
          <w:highlight w:val="none"/>
        </w:rPr>
      </w:pPr>
      <w:r>
        <w:rPr>
          <w:rStyle w:val="965"/>
          <w:rFonts w:hint="eastAsia" w:ascii="宋体" w:hAnsi="宋体" w:eastAsia="宋体" w:cs="宋体"/>
          <w:color w:val="auto"/>
          <w:sz w:val="32"/>
          <w:szCs w:val="32"/>
          <w:highlight w:val="none"/>
        </w:rPr>
        <w:t xml:space="preserve">第五章 评标办法及评分标准</w:t>
      </w:r>
      <w:bookmarkEnd w:id="24"/>
      <w:r/>
      <w:r/>
    </w:p>
    <w:p>
      <w:pPr>
        <w:pStyle w:val="990"/>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990"/>
        <w:numPr>
          <w:ilvl w:val="0"/>
          <w:numId w:val="7"/>
        </w:numPr>
        <w:ind w:left="0"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7"/>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7"/>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7"/>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 协议供货目录</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采购清单中的设备如属协议供货中规定的目录内产品将参照苏州市政府采购共享江苏省省级最新一期协议目录产品，同时还须满足协议供货承诺书中所作的承诺。投标人所响应产品型号</w:t>
      </w:r>
      <w:r>
        <w:rPr>
          <w:rFonts w:hint="eastAsia" w:ascii="宋体" w:hAnsi="宋体" w:cs="宋体"/>
          <w:b/>
          <w:bCs/>
          <w:color w:val="auto"/>
          <w:sz w:val="21"/>
          <w:szCs w:val="21"/>
          <w:highlight w:val="none"/>
          <w:lang w:bidi="ar"/>
        </w:rPr>
        <w:t xml:space="preserve">必须</w:t>
      </w:r>
      <w:r>
        <w:rPr>
          <w:rFonts w:hint="eastAsia" w:ascii="宋体" w:hAnsi="宋体" w:cs="宋体"/>
          <w:color w:val="auto"/>
          <w:sz w:val="21"/>
          <w:szCs w:val="21"/>
          <w:highlight w:val="none"/>
          <w:lang w:bidi="ar"/>
        </w:rPr>
        <w:t xml:space="preserve">为协议供货目录中有的品牌型号，</w:t>
      </w:r>
      <w:r>
        <w:rPr>
          <w:rFonts w:hint="eastAsia" w:ascii="宋体" w:hAnsi="宋体" w:cs="宋体"/>
          <w:b/>
          <w:bCs/>
          <w:color w:val="auto"/>
          <w:sz w:val="21"/>
          <w:szCs w:val="21"/>
          <w:highlight w:val="none"/>
          <w:lang w:bidi="ar"/>
        </w:rPr>
        <w:t xml:space="preserve">且单台设备报价不得高于最高限价</w:t>
      </w:r>
      <w:r>
        <w:rPr>
          <w:rFonts w:hint="eastAsia" w:ascii="宋体" w:hAnsi="宋体" w:cs="宋体"/>
          <w:color w:val="auto"/>
          <w:sz w:val="21"/>
          <w:szCs w:val="21"/>
          <w:highlight w:val="none"/>
          <w:lang w:bidi="ar"/>
        </w:rPr>
        <w:t xml:space="preserve">，</w:t>
      </w:r>
      <w:r>
        <w:rPr>
          <w:rFonts w:hint="eastAsia" w:ascii="宋体" w:hAnsi="宋体" w:cs="宋体"/>
          <w:b/>
          <w:bCs/>
          <w:color w:val="auto"/>
          <w:sz w:val="21"/>
          <w:szCs w:val="21"/>
          <w:highlight w:val="none"/>
          <w:lang w:bidi="ar"/>
        </w:rPr>
        <w:t xml:space="preserve">否则视为未实质性响应</w:t>
      </w:r>
      <w:r>
        <w:rPr>
          <w:rFonts w:hint="eastAsia" w:ascii="宋体" w:hAnsi="宋体" w:cs="宋体"/>
          <w:color w:val="auto"/>
          <w:sz w:val="21"/>
          <w:szCs w:val="21"/>
          <w:highlight w:val="none"/>
          <w:lang w:bidi="ar"/>
        </w:rPr>
        <w:t xml:space="preserve">。投标人可提供相关产品信息的截图资料以便评审，清单截图资料以递交投标文件截止时已正式公布的最近一期信息为准。</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在最新一期协议供货目录发布时已经开展但尚未进入评审环节的政府采购活动，可同时执行最新一期和其上期协议供货目录。</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 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4.3. 小微企业的价格分评审</w:t>
      </w:r>
      <w:r/>
    </w:p>
    <w:p>
      <w:pPr>
        <w:pStyle w:val="952"/>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根据财政部《政府采购促进中小企业发展管理办法》（财库﹝2020﹞46号）及苏州市财政局《关于进一步做好政府采购政策贯彻执行工作的通知》（苏财购〔2017〕10号）文的规定：</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（1）本项目属于专门面向中小微企业</w:t>
      </w:r>
      <w:r>
        <w:rPr>
          <w:rFonts w:hint="eastAsia" w:ascii="宋体" w:hAnsi="宋体" w:cs="宋体"/>
          <w:b/>
          <w:bCs/>
          <w:color w:val="auto"/>
          <w:sz w:val="21"/>
          <w:szCs w:val="21"/>
          <w:highlight w:val="none"/>
          <w:lang w:val="en-US" w:eastAsia="zh-CN"/>
        </w:rPr>
        <w:t xml:space="preserve">采购的项目</w:t>
      </w:r>
      <w:r>
        <w:rPr>
          <w:rFonts w:hint="eastAsia" w:ascii="宋体" w:hAnsi="宋体" w:cs="宋体"/>
          <w:b/>
          <w:bCs/>
          <w:color w:val="auto"/>
          <w:sz w:val="21"/>
          <w:szCs w:val="21"/>
          <w:highlight w:val="none"/>
        </w:rPr>
        <w:t xml:space="preserve">，小微企业不享受价格扣除优惠。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（2）中小企业划分标准详见“工信部联企业〔2011〕300号通知”。</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（5）提供其他企业制造的货物或服务，须同时提供其他企业的小微企业证明材料（材料同上条）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（6）在货物采购项目中，供应商提供的货物既有小、微企业制造货物，也有中、大型企业制造货物的，不享受本办法规定的小、微企业价格扶持政策。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（8）符合中小企业划分标准的个体工商户，在政府采购活动中视同中小企业。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（9）中标、成交供应商为小微企业单位的，《中小企业声明函》应当随中标、成交结果同时公告，接受社会监督。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952"/>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4.4. 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952"/>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4.5. 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 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（2）查询渠道：</w:t>
      </w:r>
      <w:r>
        <w:rPr>
          <w:rFonts w:hint="eastAsia" w:ascii="宋体" w:hAnsi="宋体" w:cs="宋体"/>
          <w:color w:val="auto"/>
          <w:sz w:val="21"/>
          <w:szCs w:val="21"/>
          <w:highlight w:val="none"/>
          <w:lang w:eastAsia="zh-CN"/>
        </w:rPr>
        <w:t xml:space="preserve">通过“信用中国”网站、中国政府采购网等渠道查询相关主体信用记录。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价格</w:t>
      </w:r>
      <w:r>
        <w:rPr>
          <w:rFonts w:hint="eastAsia" w:ascii="宋体" w:hAnsi="宋体" w:eastAsia="宋体" w:cs="宋体"/>
          <w:b/>
          <w:color w:val="auto"/>
          <w:sz w:val="21"/>
          <w:szCs w:val="21"/>
          <w:highlight w:val="none"/>
          <w:lang w:val="en-US"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投标报价不超过采购预算价格的为有效投标报价。超出此范围的投标报价为无效投标报价。无效投标报价的投标文件不进行评审，也不得标；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在所有有效投标报价中选择报价最低的确定为基准报价；</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投标报价得分=（评标基准价/投标报价）*价格权值*100  （本次招标价格权值为</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Start w:id="25" w:name="_Hlk166577857"/>
      <w:r/>
      <w:r/>
    </w:p>
    <w:p>
      <w:pPr>
        <w:ind w:firstLine="48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（二）技术服务方案（38分）</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1、项目实施技术方案（20分）</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内容至少包括：</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1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①</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历史资料收集实施方案</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2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②</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现场踏勘实施方案</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3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③</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人员访谈实施方案</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4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④</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水文地质调查方案</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5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⑤</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详细调查布点及现场采样组织实施方案</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6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⑥</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详细调查土壤及地下水样品流转及分析检测实施方案</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7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⑦</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风险评估实施方案</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8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⑧</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管控或修复技术实施方案</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9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⑨</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质量控制及保障措施</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10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⑩</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环境调查安全保证措施。方案内容完善、完全针对本项目且符合本项目实际需求的得20分；每缺少一项内容，或内容有明显错误，或内容非专门针对本项目，或内容不能满足本项目实际需求的，每一项扣2分；不提供方案不得分。</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2、项目实施服务方案（10分）</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内容至少包括：</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1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①</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服务响应体系</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2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②</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服务响应时间及响应方式</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3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③</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售后服务体系</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4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④</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项目服务进度计划及保障措施</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5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⑤</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针对项目服务的各项承诺。方案内容完善、完全针对本项目且符合本项目实际需求的得</w:t>
      </w:r>
      <w:r>
        <w:rPr>
          <w:rFonts w:hint="eastAsia" w:ascii="宋体" w:hAnsi="宋体" w:eastAsia="宋体" w:cs="宋体"/>
          <w:bCs/>
          <w:color w:val="auto"/>
          <w:sz w:val="21"/>
          <w:szCs w:val="21"/>
          <w:highlight w:val="none"/>
          <w:lang w:val="en-US" w:eastAsia="zh-CN"/>
          <w14:ligatures w14:val="none"/>
        </w:rPr>
        <w:t xml:space="preserve">10</w:t>
      </w:r>
      <w:r>
        <w:rPr>
          <w:rFonts w:hint="eastAsia" w:ascii="宋体" w:hAnsi="宋体" w:eastAsia="宋体" w:cs="宋体"/>
          <w:bCs/>
          <w:color w:val="auto"/>
          <w:sz w:val="21"/>
          <w:szCs w:val="21"/>
          <w:highlight w:val="none"/>
          <w14:ligatures w14:val="none"/>
        </w:rPr>
        <w:t xml:space="preserve">分；每缺少一项内容，或内容有明显错误，或内容非专门针对本项目，或内容不能满足本项目实际需求的，每一项扣2分；不提供方案不得分。</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3、项目实施应急处置方案（8分）</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内容至少包括：</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1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①</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项目潜在紧急情况及突发事件分析</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2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②</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应急处置组织机构及职责</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3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③</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突发事件预警与信息报告</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4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④</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突发事件防范措施</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5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⑤</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突发事件相关应急预案</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6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⑥</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现场施工防护措施</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7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⑦</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工程防护安全管理</w:t>
      </w:r>
      <w:r>
        <w:rPr>
          <w:rFonts w:hint="eastAsia" w:ascii="宋体" w:hAnsi="宋体" w:eastAsia="宋体" w:cs="宋体"/>
          <w:bCs/>
          <w:color w:val="auto"/>
          <w:sz w:val="21"/>
          <w:szCs w:val="21"/>
          <w:highlight w:val="none"/>
          <w14:ligatures w14:val="none"/>
        </w:rPr>
        <w:fldChar w:fldCharType="begin"/>
      </w:r>
      <w:r>
        <w:rPr>
          <w:rFonts w:hint="eastAsia" w:ascii="宋体" w:hAnsi="宋体" w:eastAsia="宋体" w:cs="宋体"/>
          <w:bCs/>
          <w:color w:val="auto"/>
          <w:sz w:val="21"/>
          <w:szCs w:val="21"/>
          <w:highlight w:val="none"/>
          <w14:ligatures w14:val="none"/>
        </w:rPr>
        <w:instrText xml:space="preserve"> = 8 \* GB3 </w:instrText>
      </w:r>
      <w:r>
        <w:rPr>
          <w:rFonts w:hint="eastAsia" w:ascii="宋体" w:hAnsi="宋体" w:eastAsia="宋体" w:cs="宋体"/>
          <w:bCs/>
          <w:color w:val="auto"/>
          <w:sz w:val="21"/>
          <w:szCs w:val="21"/>
          <w:highlight w:val="none"/>
          <w14:ligatures w14:val="none"/>
        </w:rPr>
        <w:fldChar w:fldCharType="separate"/>
      </w:r>
      <w:r>
        <w:rPr>
          <w:rFonts w:hint="eastAsia" w:ascii="宋体" w:hAnsi="宋体" w:eastAsia="宋体" w:cs="宋体"/>
          <w:bCs/>
          <w:color w:val="auto"/>
          <w:sz w:val="21"/>
          <w:szCs w:val="21"/>
          <w:highlight w:val="none"/>
          <w14:ligatures w14:val="none"/>
        </w:rPr>
        <w:t xml:space="preserve">⑧</w:t>
      </w:r>
      <w:r>
        <w:rPr>
          <w:rFonts w:hint="eastAsia" w:ascii="宋体" w:hAnsi="宋体" w:eastAsia="宋体" w:cs="宋体"/>
          <w:bCs/>
          <w:color w:val="auto"/>
          <w:sz w:val="21"/>
          <w:szCs w:val="21"/>
          <w:highlight w:val="none"/>
          <w14:ligatures w14:val="none"/>
        </w:rPr>
        <w:fldChar w:fldCharType="end"/>
      </w:r>
      <w:r>
        <w:rPr>
          <w:rFonts w:hint="eastAsia" w:ascii="宋体" w:hAnsi="宋体" w:eastAsia="宋体" w:cs="宋体"/>
          <w:bCs/>
          <w:color w:val="auto"/>
          <w:sz w:val="21"/>
          <w:szCs w:val="21"/>
          <w:highlight w:val="none"/>
          <w14:ligatures w14:val="none"/>
        </w:rPr>
        <w:t xml:space="preserve">施工现场危险源管理。方案内容完善、完全针对本项目且符合本项目实际需求的得8分；每缺少一项内容，或内容有明显错误，或内容非专门针对本项目，或内容不能满足本项目实际需求的，每一项扣1分；不提供方案不得分。</w:t>
      </w:r>
      <w:r/>
    </w:p>
    <w:p>
      <w:pPr>
        <w:ind w:firstLine="480"/>
        <w:spacing w:line="360" w:lineRule="auto"/>
        <w:rPr>
          <w:rFonts w:hint="eastAsia" w:ascii="宋体" w:hAnsi="宋体" w:eastAsia="宋体" w:cs="宋体"/>
          <w:b/>
          <w:bCs/>
          <w:color w:val="auto"/>
          <w:sz w:val="21"/>
          <w:szCs w:val="21"/>
          <w:highlight w:val="none"/>
          <w14:ligatures w14:val="none"/>
        </w:rPr>
      </w:pPr>
      <w:r>
        <w:rPr>
          <w:rFonts w:hint="eastAsia" w:ascii="宋体" w:hAnsi="宋体" w:eastAsia="宋体" w:cs="宋体"/>
          <w:b/>
          <w:bCs/>
          <w:color w:val="auto"/>
          <w:sz w:val="21"/>
          <w:szCs w:val="21"/>
          <w:highlight w:val="none"/>
          <w14:ligatures w14:val="none"/>
        </w:rPr>
        <w:t xml:space="preserve">（三）针对本项目的人员配备（28分）</w:t>
      </w:r>
      <w:r/>
    </w:p>
    <w:p>
      <w:pPr>
        <w:ind w:firstLine="480"/>
        <w:spacing w:line="360" w:lineRule="auto"/>
        <w:rPr>
          <w:rFonts w:hint="eastAsia" w:ascii="宋体" w:hAnsi="宋体" w:eastAsia="宋体" w:cs="宋体"/>
          <w:b/>
          <w:bCs/>
          <w:color w:val="auto"/>
          <w:sz w:val="21"/>
          <w:szCs w:val="21"/>
          <w:highlight w:val="none"/>
          <w14:ligatures w14:val="none"/>
        </w:rPr>
      </w:pPr>
      <w:r>
        <w:rPr>
          <w:rFonts w:hint="eastAsia" w:ascii="宋体" w:hAnsi="宋体" w:eastAsia="宋体" w:cs="宋体"/>
          <w:b/>
          <w:bCs/>
          <w:color w:val="auto"/>
          <w:sz w:val="21"/>
          <w:szCs w:val="21"/>
          <w:highlight w:val="none"/>
          <w14:ligatures w14:val="none"/>
        </w:rPr>
        <w:t xml:space="preserve">1、项目负责人（6分）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①供应商为本项目拟配备的项目负责人（</w:t>
      </w:r>
      <w:r>
        <w:rPr>
          <w:rFonts w:hint="eastAsia" w:ascii="宋体" w:hAnsi="宋体" w:eastAsia="宋体" w:cs="宋体"/>
          <w:bCs/>
          <w:color w:val="auto"/>
          <w:sz w:val="21"/>
          <w:szCs w:val="21"/>
          <w:highlight w:val="none"/>
          <w14:ligatures w14:val="none"/>
        </w:rPr>
        <w:t xml:space="preserve">与技术负责人、</w:t>
      </w:r>
      <w:r>
        <w:rPr>
          <w:rFonts w:hint="eastAsia" w:ascii="宋体" w:hAnsi="宋体" w:eastAsia="宋体" w:cs="宋体"/>
          <w:color w:val="auto"/>
          <w:sz w:val="21"/>
          <w:szCs w:val="21"/>
          <w:highlight w:val="none"/>
          <w:lang w:val="en-US" w:eastAsia="zh-CN"/>
        </w:rPr>
        <w:t xml:space="preserve">现场施工负责人</w:t>
      </w:r>
      <w:r>
        <w:rPr>
          <w:rFonts w:hint="eastAsia" w:ascii="宋体" w:hAnsi="宋体" w:eastAsia="宋体" w:cs="宋体"/>
          <w:bCs/>
          <w:color w:val="auto"/>
          <w:sz w:val="21"/>
          <w:szCs w:val="21"/>
          <w:highlight w:val="none"/>
          <w14:ligatures w14:val="none"/>
        </w:rPr>
        <w:t xml:space="preserve">不能为同一人</w:t>
      </w:r>
      <w:r>
        <w:rPr>
          <w:rFonts w:hint="eastAsia" w:ascii="宋体" w:hAnsi="宋体" w:eastAsia="宋体" w:cs="宋体"/>
          <w:bCs/>
          <w:color w:val="auto"/>
          <w:sz w:val="21"/>
          <w:szCs w:val="21"/>
          <w:highlight w:val="none"/>
          <w14:ligatures w14:val="none"/>
        </w:rPr>
        <w:t xml:space="preserve">）具有环境、生态或化学相关类专业高级技术职称的得3分；具有环境、生态或化学相关类专业中级技术职称的得1分。本小项最高得3分。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②供应商为本项目拟配备的项目负责人（</w:t>
      </w:r>
      <w:r>
        <w:rPr>
          <w:rFonts w:hint="eastAsia" w:ascii="宋体" w:hAnsi="宋体" w:eastAsia="宋体" w:cs="宋体"/>
          <w:bCs/>
          <w:color w:val="auto"/>
          <w:sz w:val="21"/>
          <w:szCs w:val="21"/>
          <w:highlight w:val="none"/>
          <w14:ligatures w14:val="none"/>
        </w:rPr>
        <w:t xml:space="preserve">与技术负责人、</w:t>
      </w:r>
      <w:r>
        <w:rPr>
          <w:rFonts w:hint="eastAsia" w:ascii="宋体" w:hAnsi="宋体" w:eastAsia="宋体" w:cs="宋体"/>
          <w:color w:val="auto"/>
          <w:sz w:val="21"/>
          <w:szCs w:val="21"/>
          <w:highlight w:val="none"/>
          <w:lang w:val="en-US" w:eastAsia="zh-CN"/>
        </w:rPr>
        <w:t xml:space="preserve">现场施工负责人</w:t>
      </w:r>
      <w:r>
        <w:rPr>
          <w:rFonts w:hint="eastAsia" w:ascii="宋体" w:hAnsi="宋体" w:eastAsia="宋体" w:cs="宋体"/>
          <w:bCs/>
          <w:color w:val="auto"/>
          <w:sz w:val="21"/>
          <w:szCs w:val="21"/>
          <w:highlight w:val="none"/>
          <w14:ligatures w14:val="none"/>
        </w:rPr>
        <w:t xml:space="preserve">不能为同一人）</w:t>
      </w:r>
      <w:r>
        <w:rPr>
          <w:rFonts w:hint="eastAsia" w:ascii="宋体" w:hAnsi="宋体" w:eastAsia="宋体" w:cs="宋体"/>
          <w:bCs/>
          <w:color w:val="auto"/>
          <w:sz w:val="21"/>
          <w:szCs w:val="21"/>
          <w:highlight w:val="none"/>
          <w14:ligatures w14:val="none"/>
        </w:rPr>
        <w:t xml:space="preserve">具有环境、生态或化学相关类专业博士学历的得3分；具有环境、生态或化学相关类专业硕士学历的得1分；本小项最高得3分。</w:t>
      </w:r>
      <w:r/>
    </w:p>
    <w:p>
      <w:pPr>
        <w:ind w:firstLine="480"/>
        <w:spacing w:line="360" w:lineRule="auto"/>
        <w:rPr>
          <w:rFonts w:hint="eastAsia" w:ascii="宋体" w:hAnsi="宋体" w:eastAsia="宋体" w:cs="宋体"/>
          <w:b/>
          <w:bCs/>
          <w:color w:val="auto"/>
          <w:sz w:val="21"/>
          <w:szCs w:val="21"/>
          <w:highlight w:val="none"/>
          <w14:ligatures w14:val="none"/>
        </w:rPr>
      </w:pPr>
      <w:r>
        <w:rPr>
          <w:rFonts w:hint="eastAsia" w:ascii="宋体" w:hAnsi="宋体" w:eastAsia="宋体" w:cs="宋体"/>
          <w:b/>
          <w:bCs/>
          <w:color w:val="auto"/>
          <w:sz w:val="21"/>
          <w:szCs w:val="21"/>
          <w:highlight w:val="none"/>
          <w14:ligatures w14:val="none"/>
        </w:rPr>
        <w:t xml:space="preserve">2、技术负责人（6分）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①供应商为本项目拟配备的技术负责人（与项目负责人、</w:t>
      </w:r>
      <w:r>
        <w:rPr>
          <w:rFonts w:hint="eastAsia" w:ascii="宋体" w:hAnsi="宋体" w:eastAsia="宋体" w:cs="宋体"/>
          <w:color w:val="auto"/>
          <w:sz w:val="21"/>
          <w:szCs w:val="21"/>
          <w:highlight w:val="none"/>
          <w:lang w:val="en-US" w:eastAsia="zh-CN"/>
        </w:rPr>
        <w:t xml:space="preserve">现场施工负责人</w:t>
      </w:r>
      <w:r>
        <w:rPr>
          <w:rFonts w:hint="eastAsia" w:ascii="宋体" w:hAnsi="宋体" w:eastAsia="宋体" w:cs="宋体"/>
          <w:bCs/>
          <w:color w:val="auto"/>
          <w:sz w:val="21"/>
          <w:szCs w:val="21"/>
          <w:highlight w:val="none"/>
          <w14:ligatures w14:val="none"/>
        </w:rPr>
        <w:t xml:space="preserve">不能为同一人）具有环境、生态或化学相关类专业高级技术职称的得3分；具有环境、生态或化学相关类专业中级技术职称的得1分。本小项最高得3分。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②供应商为本项目拟配备的技术负责人（与项目负责人、</w:t>
      </w:r>
      <w:r>
        <w:rPr>
          <w:rFonts w:hint="eastAsia" w:ascii="仿宋" w:hAnsi="仿宋" w:eastAsia="仿宋" w:cs="仿宋"/>
          <w:color w:val="auto"/>
          <w:sz w:val="21"/>
          <w:szCs w:val="21"/>
          <w:highlight w:val="none"/>
          <w:lang w:val="en-US" w:eastAsia="zh-CN"/>
        </w:rPr>
        <w:t xml:space="preserve">现场施工负责人</w:t>
      </w:r>
      <w:r>
        <w:rPr>
          <w:rFonts w:hint="eastAsia" w:ascii="宋体" w:hAnsi="宋体" w:eastAsia="宋体" w:cs="宋体"/>
          <w:bCs/>
          <w:color w:val="auto"/>
          <w:sz w:val="21"/>
          <w:szCs w:val="21"/>
          <w:highlight w:val="none"/>
          <w14:ligatures w14:val="none"/>
        </w:rPr>
        <w:t xml:space="preserve">不能为同一人）具有环境、生态或化学相关类专业博士学历的得3分；具有环境、生态或化学相关类专业硕士学历的得1分；本小项最高得3分。</w:t>
      </w:r>
      <w:r/>
    </w:p>
    <w:p>
      <w:pPr>
        <w:ind w:firstLine="480"/>
        <w:spacing w:line="360" w:lineRule="auto"/>
        <w:rPr>
          <w:rFonts w:hint="eastAsia" w:ascii="宋体" w:hAnsi="宋体" w:eastAsia="宋体" w:cs="宋体"/>
          <w:b/>
          <w:bCs/>
          <w:color w:val="auto"/>
          <w:sz w:val="21"/>
          <w:szCs w:val="21"/>
          <w:highlight w:val="none"/>
          <w14:ligatures w14:val="none"/>
        </w:rPr>
      </w:pPr>
      <w:r>
        <w:rPr>
          <w:rFonts w:hint="eastAsia" w:ascii="宋体" w:hAnsi="宋体" w:eastAsia="宋体" w:cs="宋体"/>
          <w:b/>
          <w:bCs/>
          <w:color w:val="auto"/>
          <w:sz w:val="21"/>
          <w:szCs w:val="21"/>
          <w:highlight w:val="none"/>
          <w14:ligatures w14:val="none"/>
        </w:rPr>
        <w:t xml:space="preserve">3、</w:t>
      </w:r>
      <w:r>
        <w:rPr>
          <w:rFonts w:hint="eastAsia" w:ascii="宋体" w:hAnsi="宋体" w:eastAsia="宋体" w:cs="宋体"/>
          <w:b/>
          <w:bCs/>
          <w:color w:val="auto"/>
          <w:sz w:val="21"/>
          <w:szCs w:val="21"/>
          <w:highlight w:val="none"/>
          <w:lang w:val="en-US" w:eastAsia="zh-CN"/>
          <w14:ligatures w14:val="none"/>
        </w:rPr>
        <w:t xml:space="preserve">现场施工</w:t>
      </w:r>
      <w:r>
        <w:rPr>
          <w:rFonts w:hint="eastAsia" w:ascii="宋体" w:hAnsi="宋体" w:eastAsia="宋体" w:cs="宋体"/>
          <w:b/>
          <w:bCs/>
          <w:color w:val="auto"/>
          <w:sz w:val="21"/>
          <w:szCs w:val="21"/>
          <w:highlight w:val="none"/>
          <w14:ligatures w14:val="none"/>
        </w:rPr>
        <w:t xml:space="preserve">负责人（6分）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①供应商为本项目</w:t>
      </w:r>
      <w:r>
        <w:rPr>
          <w:rFonts w:hint="eastAsia" w:ascii="宋体" w:hAnsi="宋体" w:eastAsia="宋体" w:cs="宋体"/>
          <w:bCs/>
          <w:color w:val="auto"/>
          <w:sz w:val="21"/>
          <w:szCs w:val="21"/>
          <w:highlight w:val="none"/>
          <w14:ligatures w14:val="none"/>
        </w:rPr>
        <w:t xml:space="preserve">拟配备的</w:t>
      </w:r>
      <w:r>
        <w:rPr>
          <w:rFonts w:hint="eastAsia" w:ascii="宋体" w:hAnsi="宋体" w:eastAsia="宋体" w:cs="宋体"/>
          <w:bCs/>
          <w:color w:val="auto"/>
          <w:sz w:val="21"/>
          <w:szCs w:val="21"/>
          <w:highlight w:val="none"/>
          <w:lang w:val="en-US" w:eastAsia="zh-CN"/>
          <w14:ligatures w14:val="none"/>
        </w:rPr>
        <w:t xml:space="preserve">现场施工</w:t>
      </w:r>
      <w:r>
        <w:rPr>
          <w:rFonts w:hint="eastAsia" w:ascii="宋体" w:hAnsi="宋体" w:eastAsia="宋体" w:cs="宋体"/>
          <w:bCs/>
          <w:color w:val="auto"/>
          <w:sz w:val="21"/>
          <w:szCs w:val="21"/>
          <w:highlight w:val="none"/>
          <w14:ligatures w14:val="none"/>
        </w:rPr>
        <w:t xml:space="preserve">负责人（与项目负责</w:t>
      </w:r>
      <w:r>
        <w:rPr>
          <w:rFonts w:hint="eastAsia" w:ascii="宋体" w:hAnsi="宋体" w:eastAsia="宋体" w:cs="宋体"/>
          <w:bCs/>
          <w:color w:val="auto"/>
          <w:sz w:val="21"/>
          <w:szCs w:val="21"/>
          <w:highlight w:val="none"/>
          <w14:ligatures w14:val="none"/>
        </w:rPr>
        <w:t xml:space="preserve">人、技术负责人不能为同一人）具有环境、生态或化学相关类专业高级技术职称的得3分；具有环境、生态或化学相关类专业中级技术职称的得1分。本小项最高得3分。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②供应商为本项目拟配备的技术负责人（与项目负责人、技术负责人不能为同一人）具有环境、生态或化学相关类专业博士学历的得3分；具有环境、生态或化学相关类专业硕士学历的得1分；本小项最高得3分。</w:t>
      </w:r>
      <w:r/>
    </w:p>
    <w:p>
      <w:pPr>
        <w:ind w:firstLine="480"/>
        <w:spacing w:line="360" w:lineRule="auto"/>
        <w:rPr>
          <w:rFonts w:hint="eastAsia" w:ascii="宋体" w:hAnsi="宋体" w:eastAsia="宋体" w:cs="宋体"/>
          <w:b/>
          <w:bCs/>
          <w:color w:val="auto"/>
          <w:sz w:val="21"/>
          <w:szCs w:val="21"/>
          <w:highlight w:val="none"/>
          <w14:ligatures w14:val="none"/>
        </w:rPr>
      </w:pPr>
      <w:r>
        <w:rPr>
          <w:rFonts w:hint="eastAsia" w:ascii="宋体" w:hAnsi="宋体" w:eastAsia="宋体" w:cs="宋体"/>
          <w:b/>
          <w:bCs/>
          <w:color w:val="auto"/>
          <w:sz w:val="21"/>
          <w:szCs w:val="21"/>
          <w:highlight w:val="none"/>
          <w14:ligatures w14:val="none"/>
        </w:rPr>
        <w:t xml:space="preserve">4、项目组成员（10分）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拟组建的项目组成员需达到10人及以上，且成员中（除项目负责人</w:t>
      </w:r>
      <w:r>
        <w:rPr>
          <w:rFonts w:hint="eastAsia" w:ascii="宋体" w:hAnsi="宋体" w:cs="宋体"/>
          <w:bCs/>
          <w:color w:val="auto"/>
          <w:sz w:val="21"/>
          <w:szCs w:val="21"/>
          <w:highlight w:val="none"/>
          <w:lang w:eastAsia="zh-CN"/>
          <w14:ligatures w14:val="none"/>
        </w:rPr>
        <w:t xml:space="preserve">、</w:t>
      </w:r>
      <w:r>
        <w:rPr>
          <w:rFonts w:hint="eastAsia" w:ascii="宋体" w:hAnsi="宋体" w:eastAsia="宋体" w:cs="宋体"/>
          <w:b w:val="0"/>
          <w:bCs/>
          <w:color w:val="auto"/>
          <w:sz w:val="21"/>
          <w:szCs w:val="21"/>
          <w:highlight w:val="none"/>
          <w14:ligatures w14:val="none"/>
        </w:rPr>
        <w:t xml:space="preserve">技术负责人</w:t>
      </w:r>
      <w:r>
        <w:rPr>
          <w:rFonts w:hint="eastAsia" w:ascii="宋体" w:hAnsi="宋体" w:cs="宋体"/>
          <w:b w:val="0"/>
          <w:bCs/>
          <w:color w:val="auto"/>
          <w:sz w:val="21"/>
          <w:szCs w:val="21"/>
          <w:highlight w:val="none"/>
          <w:lang w:eastAsia="zh-CN"/>
          <w14:ligatures w14:val="none"/>
        </w:rPr>
        <w:t xml:space="preserve">、</w:t>
      </w:r>
      <w:r>
        <w:rPr>
          <w:rFonts w:hint="eastAsia" w:ascii="宋体" w:hAnsi="宋体" w:eastAsia="宋体" w:cs="宋体"/>
          <w:b w:val="0"/>
          <w:bCs/>
          <w:color w:val="auto"/>
          <w:sz w:val="21"/>
          <w:szCs w:val="21"/>
          <w:highlight w:val="none"/>
          <w:lang w:val="en-US" w:eastAsia="zh-CN"/>
          <w14:ligatures w14:val="none"/>
        </w:rPr>
        <w:t xml:space="preserve">现场施工</w:t>
      </w:r>
      <w:r>
        <w:rPr>
          <w:rFonts w:hint="eastAsia" w:ascii="宋体" w:hAnsi="宋体" w:eastAsia="宋体" w:cs="宋体"/>
          <w:b w:val="0"/>
          <w:bCs/>
          <w:color w:val="auto"/>
          <w:sz w:val="21"/>
          <w:szCs w:val="21"/>
          <w:highlight w:val="none"/>
          <w14:ligatures w14:val="none"/>
        </w:rPr>
        <w:t xml:space="preserve">负责人</w:t>
      </w:r>
      <w:r>
        <w:rPr>
          <w:rFonts w:hint="eastAsia" w:ascii="宋体" w:hAnsi="宋体" w:eastAsia="宋体" w:cs="宋体"/>
          <w:bCs/>
          <w:color w:val="auto"/>
          <w:sz w:val="21"/>
          <w:szCs w:val="21"/>
          <w:highlight w:val="none"/>
          <w14:ligatures w14:val="none"/>
        </w:rPr>
        <w:t xml:space="preserve">外）同时具有硕士及以上学位（专业需为环保、化学、生态或地质类）和中级及以上技术职称的，有1人得2分，以最高学历认定。本项最高得10分。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注：投标单位须提供上述(1)-（4)所有人员的证明材料</w:t>
      </w:r>
      <w:r>
        <w:rPr>
          <w:rFonts w:hint="eastAsia" w:ascii="宋体" w:hAnsi="宋体" w:eastAsia="宋体" w:cs="宋体"/>
          <w:bCs/>
          <w:color w:val="auto"/>
          <w:sz w:val="21"/>
          <w:szCs w:val="21"/>
          <w:highlight w:val="none"/>
          <w:lang w:val="en-US" w:eastAsia="zh-CN"/>
          <w14:ligatures w14:val="none"/>
        </w:rPr>
        <w:t xml:space="preserve">扫描件</w:t>
      </w:r>
      <w:r>
        <w:rPr>
          <w:rFonts w:hint="eastAsia" w:ascii="宋体" w:hAnsi="宋体" w:eastAsia="宋体" w:cs="宋体"/>
          <w:bCs/>
          <w:color w:val="auto"/>
          <w:sz w:val="21"/>
          <w:szCs w:val="21"/>
          <w:highlight w:val="none"/>
          <w14:ligatures w14:val="none"/>
        </w:rPr>
        <w:t xml:space="preserve">并加盖公章，包括</w:t>
      </w:r>
      <w:r>
        <w:rPr>
          <w:rFonts w:hint="eastAsia" w:ascii="宋体" w:hAnsi="宋体" w:eastAsia="宋体" w:cs="宋体"/>
          <w:bCs/>
          <w:color w:val="auto"/>
          <w:sz w:val="21"/>
          <w:szCs w:val="21"/>
          <w:highlight w:val="none"/>
          <w:lang w:val="en-US" w:eastAsia="zh-CN"/>
          <w14:ligatures w14:val="none"/>
        </w:rPr>
        <w:t xml:space="preserve">但不限于</w:t>
      </w:r>
      <w:r>
        <w:rPr>
          <w:rFonts w:hint="eastAsia" w:ascii="宋体" w:hAnsi="宋体" w:eastAsia="宋体" w:cs="宋体"/>
          <w:bCs/>
          <w:color w:val="auto"/>
          <w:sz w:val="21"/>
          <w:szCs w:val="21"/>
          <w:highlight w:val="none"/>
          <w14:ligatures w14:val="none"/>
        </w:rPr>
        <w:t xml:space="preserve">职称证书、学位证书等相关证明材料，及单位为其缴纳的近</w:t>
      </w:r>
      <w:r>
        <w:rPr>
          <w:rFonts w:ascii="宋体" w:hAnsi="宋体" w:eastAsia="宋体" w:cs="宋体"/>
          <w:bCs/>
          <w:color w:val="auto"/>
          <w:sz w:val="21"/>
          <w:szCs w:val="21"/>
          <w:highlight w:val="none"/>
          <w14:ligatures w14:val="none"/>
        </w:rPr>
        <w:t xml:space="preserve">3</w:t>
      </w:r>
      <w:r>
        <w:rPr>
          <w:rFonts w:hint="eastAsia" w:ascii="宋体" w:hAnsi="宋体" w:eastAsia="宋体" w:cs="宋体"/>
          <w:bCs/>
          <w:color w:val="auto"/>
          <w:sz w:val="21"/>
          <w:szCs w:val="21"/>
          <w:highlight w:val="none"/>
          <w14:ligatures w14:val="none"/>
        </w:rPr>
        <w:t xml:space="preserve">个月的社保证明，证明材料不全不得分。</w:t>
      </w:r>
      <w:r/>
    </w:p>
    <w:p>
      <w:pPr>
        <w:ind w:firstLine="480"/>
        <w:spacing w:line="360" w:lineRule="auto"/>
        <w:rPr>
          <w:rFonts w:hint="eastAsia" w:ascii="宋体" w:hAnsi="宋体" w:eastAsia="宋体" w:cs="宋体"/>
          <w:b/>
          <w:bCs/>
          <w:color w:val="auto"/>
          <w:sz w:val="21"/>
          <w:szCs w:val="21"/>
          <w:highlight w:val="none"/>
          <w14:ligatures w14:val="none"/>
        </w:rPr>
      </w:pPr>
      <w:r>
        <w:rPr>
          <w:rFonts w:hint="eastAsia" w:ascii="宋体" w:hAnsi="宋体" w:eastAsia="宋体" w:cs="宋体"/>
          <w:b/>
          <w:bCs/>
          <w:color w:val="auto"/>
          <w:sz w:val="21"/>
          <w:szCs w:val="21"/>
          <w:highlight w:val="none"/>
          <w14:ligatures w14:val="none"/>
        </w:rPr>
        <w:t xml:space="preserve">（四）具有和本项目相关的业绩经验（24分）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1、投标单位独立承担并完成过的类似土壤污染状况详细调查或风险评估项目的,有1项得2分,最高16分。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2、投标单位独立承担并完成过的类似污染地块风险管控或修复技术方案的,有1项得2分,最高8分。</w:t>
      </w:r>
      <w:r/>
    </w:p>
    <w:p>
      <w:pPr>
        <w:ind w:firstLine="480"/>
        <w:spacing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注:投标单位须分别提供以上各项的合同</w:t>
      </w:r>
      <w:r>
        <w:rPr>
          <w:rFonts w:hint="eastAsia" w:ascii="宋体" w:hAnsi="宋体" w:eastAsia="宋体" w:cs="宋体"/>
          <w:bCs/>
          <w:color w:val="auto"/>
          <w:sz w:val="21"/>
          <w:szCs w:val="21"/>
          <w:highlight w:val="none"/>
          <w:lang w:val="en-US" w:eastAsia="zh-CN"/>
          <w14:ligatures w14:val="none"/>
        </w:rPr>
        <w:t xml:space="preserve">扫描件</w:t>
      </w:r>
      <w:r>
        <w:rPr>
          <w:rFonts w:hint="eastAsia" w:ascii="宋体" w:hAnsi="宋体" w:eastAsia="宋体" w:cs="宋体"/>
          <w:bCs/>
          <w:color w:val="auto"/>
          <w:sz w:val="21"/>
          <w:szCs w:val="21"/>
          <w:highlight w:val="none"/>
          <w14:ligatures w14:val="none"/>
        </w:rPr>
        <w:t xml:space="preserve">并加盖公章,未提供证明材料或内容模糊不清的本项不得分。类似业绩为近五年业绩，时间从201</w:t>
      </w:r>
      <w:r>
        <w:rPr>
          <w:rFonts w:hint="eastAsia" w:ascii="宋体" w:hAnsi="宋体" w:eastAsia="宋体" w:cs="宋体"/>
          <w:bCs/>
          <w:color w:val="auto"/>
          <w:sz w:val="21"/>
          <w:szCs w:val="21"/>
          <w:highlight w:val="none"/>
          <w:lang w:val="en-US" w:eastAsia="zh-CN"/>
          <w14:ligatures w14:val="none"/>
        </w:rPr>
        <w:t xml:space="preserve">9</w:t>
      </w:r>
      <w:r>
        <w:rPr>
          <w:rFonts w:hint="eastAsia" w:ascii="宋体" w:hAnsi="宋体" w:eastAsia="宋体" w:cs="宋体"/>
          <w:bCs/>
          <w:color w:val="auto"/>
          <w:sz w:val="21"/>
          <w:szCs w:val="21"/>
          <w:highlight w:val="none"/>
          <w14:ligatures w14:val="none"/>
        </w:rPr>
        <w:t xml:space="preserve">年</w:t>
      </w:r>
      <w:r>
        <w:rPr>
          <w:rFonts w:hint="eastAsia" w:ascii="宋体" w:hAnsi="宋体" w:eastAsia="宋体" w:cs="宋体"/>
          <w:bCs/>
          <w:color w:val="auto"/>
          <w:sz w:val="21"/>
          <w:szCs w:val="21"/>
          <w:highlight w:val="none"/>
          <w:lang w:val="en-US" w:eastAsia="zh-CN"/>
          <w14:ligatures w14:val="none"/>
        </w:rPr>
        <w:t xml:space="preserve">09</w:t>
      </w:r>
      <w:r>
        <w:rPr>
          <w:rFonts w:hint="eastAsia" w:ascii="宋体" w:hAnsi="宋体" w:eastAsia="宋体" w:cs="宋体"/>
          <w:bCs/>
          <w:color w:val="auto"/>
          <w:sz w:val="21"/>
          <w:szCs w:val="21"/>
          <w:highlight w:val="none"/>
          <w14:ligatures w14:val="none"/>
        </w:rPr>
        <w:t xml:space="preserve">月</w:t>
      </w:r>
      <w:r>
        <w:rPr>
          <w:rFonts w:hint="eastAsia" w:ascii="宋体" w:hAnsi="宋体" w:eastAsia="宋体" w:cs="宋体"/>
          <w:bCs/>
          <w:color w:val="auto"/>
          <w:sz w:val="21"/>
          <w:szCs w:val="21"/>
          <w:highlight w:val="none"/>
          <w:lang w:val="en-US" w:eastAsia="zh-CN"/>
          <w14:ligatures w14:val="none"/>
        </w:rPr>
        <w:t xml:space="preserve">01</w:t>
      </w:r>
      <w:r>
        <w:rPr>
          <w:rFonts w:hint="eastAsia" w:ascii="宋体" w:hAnsi="宋体" w:eastAsia="宋体" w:cs="宋体"/>
          <w:bCs/>
          <w:color w:val="auto"/>
          <w:sz w:val="21"/>
          <w:szCs w:val="21"/>
          <w:highlight w:val="none"/>
          <w14:ligatures w14:val="none"/>
        </w:rPr>
        <w:t xml:space="preserve">日至今，以合同签订时间为准。</w:t>
      </w:r>
      <w:r/>
    </w:p>
    <w:p>
      <w:pPr>
        <w:pStyle w:val="990"/>
        <w:ind w:right="0" w:firstLine="42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bookmarkEnd w:id="25"/>
      <w:r/>
      <w:r/>
    </w:p>
    <w:p>
      <w:pPr>
        <w:pStyle w:val="990"/>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65"/>
          <w:rFonts w:ascii="宋体" w:hAnsi="宋体" w:eastAsia="宋体" w:cs="宋体"/>
          <w:color w:val="auto"/>
          <w:sz w:val="32"/>
          <w:szCs w:val="32"/>
          <w:highlight w:val="none"/>
        </w:rPr>
      </w:pPr>
      <w:r>
        <w:rPr>
          <w:rStyle w:val="965"/>
          <w:rFonts w:hint="eastAsia" w:ascii="宋体" w:hAnsi="宋体" w:eastAsia="宋体" w:cs="宋体"/>
          <w:color w:val="auto"/>
          <w:sz w:val="32"/>
          <w:szCs w:val="32"/>
          <w:highlight w:val="none"/>
        </w:rPr>
        <w:br w:type="page" w:clear="all"/>
      </w:r>
      <w:bookmarkStart w:id="26" w:name="_Toc31315"/>
      <w:r>
        <w:rPr>
          <w:rStyle w:val="965"/>
          <w:rFonts w:hint="eastAsia" w:ascii="宋体" w:hAnsi="宋体" w:eastAsia="宋体" w:cs="宋体"/>
          <w:color w:val="auto"/>
          <w:sz w:val="32"/>
          <w:szCs w:val="32"/>
          <w:highlight w:val="none"/>
        </w:rPr>
        <w:t xml:space="preserve">第六章 合同格式</w:t>
      </w:r>
      <w:bookmarkEnd w:id="26"/>
      <w:r/>
      <w:r/>
    </w:p>
    <w:p>
      <w:pPr>
        <w:spacing w:line="440" w:lineRule="exact"/>
        <w:rPr>
          <w:rFonts w:ascii="宋体" w:hAnsi="宋体" w:cs="宋体"/>
          <w:color w:val="auto"/>
          <w:highlight w:val="none"/>
        </w:rPr>
      </w:pPr>
      <w:r/>
      <w:bookmarkStart w:id="27" w:name="_Toc479449483"/>
      <w:r/>
      <w:bookmarkStart w:id="28" w:name="_Toc479449569"/>
      <w:r/>
      <w:bookmarkStart w:id="29" w:name="_Toc480191160"/>
      <w:r/>
      <w:bookmarkEnd w:id="27"/>
      <w:r/>
      <w:bookmarkEnd w:id="28"/>
      <w:r/>
      <w:bookmarkEnd w:id="29"/>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1276" w:leader="none"/>
        </w:tabs>
        <w:rPr>
          <w:rFonts w:ascii="宋体" w:hAnsi="宋体"/>
          <w:color w:val="auto"/>
          <w:sz w:val="28"/>
          <w:highlight w:val="none"/>
        </w:rPr>
      </w:pPr>
      <w:r>
        <w:rPr>
          <w:rFonts w:hint="eastAsia" w:ascii="宋体" w:hAnsi="宋体"/>
          <w:color w:val="auto"/>
          <w:sz w:val="28"/>
          <w:highlight w:val="none"/>
        </w:rPr>
        <w:t xml:space="preserve">采购包号：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ascii="宋体" w:hAnsi="宋体"/>
          <w:color w:val="auto"/>
          <w:szCs w:val="22"/>
          <w:highlight w:val="none"/>
        </w:rPr>
      </w:pPr>
      <w:r>
        <w:rPr>
          <w:rFonts w:ascii="宋体" w:hAnsi="宋体"/>
          <w:color w:val="auto"/>
          <w:szCs w:val="22"/>
          <w:highlight w:val="none"/>
        </w:rPr>
      </w:r>
      <w:r/>
    </w:p>
    <w:p>
      <w:pPr>
        <w:ind w:left="4340" w:hanging="2696"/>
        <w:jc w:val="center"/>
        <w:spacing w:line="700" w:lineRule="exact"/>
        <w:rPr>
          <w:rFonts w:ascii="宋体" w:hAnsi="宋体"/>
          <w:color w:val="auto"/>
          <w:szCs w:val="22"/>
          <w:highlight w:val="none"/>
        </w:rPr>
      </w:pPr>
      <w:r>
        <w:rPr>
          <w:rFonts w:ascii="宋体" w:hAnsi="宋体"/>
          <w:color w:val="auto"/>
          <w:szCs w:val="22"/>
          <w:highlight w:val="none"/>
        </w:rPr>
      </w:r>
      <w:r/>
    </w:p>
    <w:p>
      <w:pPr>
        <w:ind w:left="1440"/>
        <w:jc w:val="both"/>
        <w:spacing w:line="700" w:lineRule="exact"/>
        <w:rPr>
          <w:rFonts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ascii="宋体" w:hAnsi="宋体"/>
          <w:color w:val="auto"/>
          <w:szCs w:val="22"/>
          <w:highlight w:val="none"/>
        </w:rPr>
      </w:pPr>
      <w:r>
        <w:rPr>
          <w:rFonts w:ascii="宋体" w:hAnsi="宋体"/>
          <w:color w:val="auto"/>
          <w:szCs w:val="22"/>
          <w:highlight w:val="none"/>
        </w:rPr>
      </w:r>
      <w:r/>
    </w:p>
    <w:p>
      <w:pPr>
        <w:ind w:firstLine="480"/>
        <w:rPr>
          <w:rFonts w:ascii="宋体" w:hAnsi="宋体"/>
          <w:color w:val="auto"/>
          <w:szCs w:val="22"/>
          <w:highlight w:val="none"/>
          <w:u w:val="single"/>
        </w:rPr>
      </w:pPr>
      <w:r>
        <w:rPr>
          <w:rFonts w:ascii="宋体" w:hAnsi="宋体"/>
          <w:color w:val="auto"/>
          <w:szCs w:val="22"/>
          <w:highlight w:val="none"/>
          <w:u w:val="single"/>
        </w:rPr>
      </w:r>
      <w:r/>
    </w:p>
    <w:p>
      <w:pPr>
        <w:pStyle w:val="982"/>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项目名称：</w:t>
      </w:r>
      <w:r>
        <w:rPr>
          <w:rFonts w:hint="eastAsia" w:ascii="宋体" w:hAnsi="宋体" w:cs="宋体"/>
          <w:color w:val="auto"/>
          <w:sz w:val="21"/>
          <w:szCs w:val="21"/>
          <w:highlight w:val="none"/>
          <w:lang w:eastAsia="zh-CN"/>
        </w:rPr>
        <w:t xml:space="preserve">原太仓市红旗涂装地块土壤污染状况详情调查、风险评估及管控或修复方案设计项目</w:t>
      </w:r>
      <w:r/>
    </w:p>
    <w:tbl>
      <w:tblPr>
        <w:tblStyle w:val="93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c>
          <w:tcPr>
            <w:tcW w:w="5040" w:type="dxa"/>
            <w:vAlign w:val="top"/>
            <w:textDirection w:val="lrTb"/>
            <w:noWrap w:val="false"/>
          </w:tcPr>
          <w:p>
            <w:pPr>
              <w:ind w:left="0" w:firstLine="420"/>
              <w:keepLines w:val="0"/>
              <w:keepNext w:val="0"/>
              <w:pageBreakBefore w:val="0"/>
              <w:spacing w:line="360" w:lineRule="auto"/>
              <w:widowControl/>
              <w:tabs>
                <w:tab w:val="left" w:pos="6237" w:leader="none"/>
              </w:tabs>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甲方（买方）：</w:t>
            </w:r>
            <w:r>
              <w:rPr>
                <w:rFonts w:hint="eastAsia" w:ascii="宋体" w:hAnsi="宋体" w:eastAsia="宋体" w:cs="宋体"/>
                <w:bCs/>
                <w:color w:val="auto"/>
                <w:sz w:val="21"/>
                <w:szCs w:val="21"/>
                <w:highlight w:val="none"/>
                <w:lang w:eastAsia="zh-CN"/>
              </w:rPr>
              <w:t xml:space="preserve">太仓市沙溪镇人民政府</w:t>
            </w:r>
            <w:r/>
          </w:p>
        </w:tc>
        <w:tc>
          <w:tcPr>
            <w:tcW w:w="5040" w:type="dxa"/>
            <w:vAlign w:val="top"/>
            <w:textDirection w:val="lrTb"/>
            <w:noWrap w:val="false"/>
          </w:tcPr>
          <w:p>
            <w:pPr>
              <w:ind w:left="0" w:firstLine="420"/>
              <w:keepLines w:val="0"/>
              <w:keepNext w:val="0"/>
              <w:pageBreakBefore w:val="0"/>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ind w:left="0" w:firstLine="420"/>
              <w:keepLines w:val="0"/>
              <w:keepNext w:val="0"/>
              <w:pageBreakBefore w:val="0"/>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乙方（卖方）：</w:t>
            </w:r>
            <w:r/>
          </w:p>
        </w:tc>
        <w:tc>
          <w:tcPr>
            <w:tcW w:w="5040" w:type="dxa"/>
            <w:vAlign w:val="top"/>
            <w:textDirection w:val="lrTb"/>
            <w:noWrap w:val="false"/>
          </w:tcPr>
          <w:p>
            <w:pPr>
              <w:ind w:left="0" w:firstLine="420"/>
              <w:keepLines w:val="0"/>
              <w:keepNext w:val="0"/>
              <w:pageBreakBefore w:val="0"/>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ind w:left="0" w:firstLine="420"/>
              <w:keepLines w:val="0"/>
              <w:keepNext w:val="0"/>
              <w:pageBreakBefore w:val="0"/>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签订时间：</w:t>
            </w:r>
            <w:r/>
          </w:p>
        </w:tc>
        <w:tc>
          <w:tcPr>
            <w:tcW w:w="5040" w:type="dxa"/>
            <w:vAlign w:val="top"/>
            <w:textDirection w:val="lrTb"/>
            <w:noWrap w:val="false"/>
          </w:tcPr>
          <w:p>
            <w:pPr>
              <w:ind w:left="0" w:firstLine="420"/>
              <w:keepLines w:val="0"/>
              <w:keepNext w:val="0"/>
              <w:pageBreakBefore w:val="0"/>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签订地点：</w:t>
            </w:r>
            <w:r/>
          </w:p>
        </w:tc>
      </w:tr>
    </w:tbl>
    <w:p>
      <w:pPr>
        <w:ind w:left="0" w:firstLine="420"/>
        <w:keepLines w:val="0"/>
        <w:keepNext w:val="0"/>
        <w:pageBreakBefore w:val="0"/>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lang w:eastAsia="zh-CN"/>
        </w:rPr>
        <w:t xml:space="preserve">苏州泰至鑫项目管理有限公司</w:t>
      </w:r>
      <w:r>
        <w:rPr>
          <w:rFonts w:hint="eastAsia" w:ascii="宋体" w:hAnsi="宋体" w:eastAsia="宋体" w:cs="宋体"/>
          <w:color w:val="auto"/>
          <w:sz w:val="21"/>
          <w:szCs w:val="21"/>
          <w:highlight w:val="none"/>
        </w:rPr>
        <w:t xml:space="preserve">采购编号</w:t>
      </w:r>
      <w:r>
        <w:rPr>
          <w:rFonts w:hint="eastAsia" w:ascii="宋体" w:hAnsi="宋体" w:cs="宋体"/>
          <w:color w:val="auto"/>
          <w:sz w:val="21"/>
          <w:szCs w:val="21"/>
          <w:highlight w:val="none"/>
          <w:u w:val="single"/>
          <w:lang w:eastAsia="zh-CN"/>
        </w:rPr>
        <w:t xml:space="preserve">JSZC-320585-SZTZ-G2024-0027</w:t>
      </w:r>
      <w:r>
        <w:rPr>
          <w:rFonts w:hint="eastAsia" w:ascii="宋体" w:hAnsi="宋体" w:eastAsia="宋体" w:cs="宋体"/>
          <w:color w:val="auto"/>
          <w:sz w:val="21"/>
          <w:szCs w:val="21"/>
          <w:highlight w:val="none"/>
        </w:rPr>
        <w:t xml:space="preserve">号政府采购文件及中标单位的投标文件和中标通知书，</w:t>
      </w:r>
      <w:r>
        <w:rPr>
          <w:rFonts w:hint="eastAsia" w:ascii="宋体" w:hAnsi="宋体" w:eastAsia="宋体" w:cs="宋体"/>
          <w:color w:val="auto"/>
          <w:sz w:val="21"/>
          <w:szCs w:val="21"/>
          <w:highlight w:val="none"/>
        </w:rPr>
        <w:t xml:space="preserve">甲乙双方就甲方聘用乙方从事</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原太仓市红旗涂装地块土壤污染状况详情调查、风险评估及管控或修复方案设计项目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工作，签订本合同书。</w:t>
      </w:r>
      <w:r/>
    </w:p>
    <w:p>
      <w:pPr>
        <w:ind w:left="0" w:firstLine="422"/>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一、定义：</w:t>
      </w:r>
      <w:r/>
    </w:p>
    <w:p>
      <w:pPr>
        <w:ind w:left="0" w:firstLine="422"/>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以下术语有特定的含义：</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服务是指根据合同规定乙方应承担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等工作和合同中规定乙方应承担的其它义务。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合同价款是指根据中标单位的响应文件和合同规定，乙方在正确地履行合同义务后甲方应支付给乙方的价款。</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甲方是指合同中明确规定的实际购买和接受服务的单位。</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乙方是指合同中规定的提供服务的单位。</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keepLines w:val="0"/>
        <w:keepNext w:val="0"/>
        <w:pageBreakBefore w:val="0"/>
        <w:spacing w:line="360" w:lineRule="auto"/>
        <w:widowControl/>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二、合同价格：</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rPr>
        <w:t xml:space="preserve">总价为：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（大写）     </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single"/>
          <w:lang w:val="en-US" w:eastAsia="zh-CN"/>
        </w:rPr>
        <w:t xml:space="preserve">       （小写）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合同价格包含完成本项目全部服务内容所需的人工费、详细调查方案编制费、现场采样费、样品检测分析费、详细调查报告编制费、风险评估报告编制费、管控或修复技术方案设计费、专家评审费、差旅食宿费、文印费、资料费、通讯、工器具、设备、加班费、管理费、保险、材料、劳保、专利技术、代理服务费等全部费用以及投标单位企业利润、税金和政策性文件规定及合同包含的所有风险、责任等各项应有费用。同时，除非合同条款中另有规定，否则，在合同实施期间不因市场变化因素而变动，未经甲方书面确认，甲方不再另行支付其他任何费用。</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1.2根据现行税法对甲方征收的与本合同有关的一切税费均由甲方承担；根据现行税法对乙方征收的与本合同有关的一切税费均由乙方承担。</w:t>
      </w:r>
      <w:r/>
    </w:p>
    <w:p>
      <w:pPr>
        <w:pStyle w:val="1012"/>
        <w:ind w:left="0" w:firstLine="422"/>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三、服务内容及期限：</w:t>
      </w:r>
      <w:r/>
    </w:p>
    <w:p>
      <w:pPr>
        <w:pStyle w:val="1012"/>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甲方聘请乙方提供以下服务：【</w:t>
      </w:r>
      <w:r>
        <w:rPr>
          <w:rFonts w:hint="eastAsia" w:hAnsi="宋体" w:cs="宋体"/>
          <w:color w:val="auto"/>
          <w:sz w:val="21"/>
          <w:szCs w:val="21"/>
          <w:highlight w:val="none"/>
          <w:lang w:eastAsia="zh-CN"/>
        </w:rPr>
        <w:t xml:space="preserve">原太仓市红旗涂装地块土壤污染状况详情调查、风险评估及管控或修复方案设计项目</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3.1服务团队配备要求：详见招标文件和乙方承诺。乙方组织的人员在任何时间皆不因本合同或类似合同被视为与甲方存在劳动合同关系、劳务关系等。</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3.2服务要求：</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根据服务实施依据完成对项目地块开展土壤污染状况调查、风险评估、管控或修复方案设计，确保工作方法、过程、结论满足相关规范要求。其他要求详见招标文件。</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3.4服务期限：具备施工条件后180个工作日内完成。</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3.5服务地点：</w:t>
      </w:r>
      <w:r>
        <w:rPr>
          <w:rFonts w:hint="eastAsia" w:ascii="宋体" w:hAnsi="宋体" w:eastAsia="宋体" w:cs="宋体"/>
          <w:color w:val="auto"/>
          <w:sz w:val="21"/>
          <w:szCs w:val="21"/>
          <w:highlight w:val="none"/>
          <w:lang w:val="en-US" w:eastAsia="zh-CN"/>
        </w:rPr>
        <w:t xml:space="preserve">采购人指定</w:t>
      </w:r>
      <w:r>
        <w:rPr>
          <w:rFonts w:hint="eastAsia" w:ascii="宋体" w:hAnsi="宋体" w:eastAsia="宋体" w:cs="宋体"/>
          <w:color w:val="auto"/>
          <w:sz w:val="21"/>
          <w:szCs w:val="21"/>
          <w:highlight w:val="none"/>
        </w:rPr>
        <w:t xml:space="preserve">。</w:t>
      </w:r>
      <w:r/>
    </w:p>
    <w:p>
      <w:pPr>
        <w:ind w:left="0" w:firstLine="422"/>
        <w:keepLines w:val="0"/>
        <w:keepNext w:val="0"/>
        <w:pageBreakBefore w:val="0"/>
        <w:spacing w:line="360" w:lineRule="auto"/>
        <w:widowControl/>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四、合同价格支付：</w:t>
      </w:r>
      <w:r/>
    </w:p>
    <w:p>
      <w:pPr>
        <w:ind w:left="0" w:firstLine="420"/>
        <w:keepLines w:val="0"/>
        <w:keepNext w:val="0"/>
        <w:pageBreakBefore w:val="0"/>
        <w:spacing w:line="360" w:lineRule="auto"/>
        <w:widowControl/>
        <w:tabs>
          <w:tab w:val="left" w:pos="567" w:leader="none"/>
        </w:tabs>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4.1项目付款方式：乙方编制的管控或修复技术方案通过专家评审后</w:t>
      </w:r>
      <w:r>
        <w:rPr>
          <w:rFonts w:hint="eastAsia" w:ascii="宋体" w:hAnsi="宋体" w:cs="宋体"/>
          <w:color w:val="auto"/>
          <w:sz w:val="21"/>
          <w:szCs w:val="21"/>
          <w:highlight w:val="none"/>
          <w:lang w:val="en-US" w:eastAsia="zh-CN"/>
        </w:rPr>
        <w:t xml:space="preserve">一次性付清全部合同金额。</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乙方要求付款应提供以下资料：</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（1）合格的正规发票。</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各阶段</w:t>
      </w:r>
      <w:r>
        <w:rPr>
          <w:rFonts w:hint="eastAsia" w:ascii="宋体" w:hAnsi="宋体" w:eastAsia="宋体" w:cs="宋体"/>
          <w:color w:val="auto"/>
          <w:sz w:val="21"/>
          <w:szCs w:val="21"/>
          <w:highlight w:val="none"/>
        </w:rPr>
        <w:t xml:space="preserve">成果报告。</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）其他（如有）。</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4.3支付方式：转账。</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4.4政府采购合同履行中，甲方需追加与合同标的物相同的服务的，在不改变合同其他条款的前提下，采购人可以与供应商签订补充合同，但所有补充合同的采购金额不得超过原合同采购金额的百分之十。</w:t>
      </w:r>
      <w:r/>
    </w:p>
    <w:p>
      <w:pPr>
        <w:ind w:left="0" w:firstLine="422"/>
        <w:jc w:val="left"/>
        <w:keepLines w:val="0"/>
        <w:keepNext w:val="0"/>
        <w:pageBreakBefore w:val="0"/>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、权利与义务：</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乙方须按照</w:t>
      </w:r>
      <w:r>
        <w:rPr>
          <w:rFonts w:hint="eastAsia" w:ascii="宋体" w:hAnsi="宋体" w:eastAsia="宋体" w:cs="宋体"/>
          <w:color w:val="auto"/>
          <w:sz w:val="21"/>
          <w:szCs w:val="21"/>
          <w:highlight w:val="none"/>
        </w:rPr>
        <w:t xml:space="preserve">招标文件</w:t>
      </w:r>
      <w:r>
        <w:rPr>
          <w:rFonts w:hint="eastAsia" w:ascii="宋体" w:hAnsi="宋体" w:eastAsia="宋体" w:cs="宋体"/>
          <w:color w:val="auto"/>
          <w:sz w:val="21"/>
          <w:szCs w:val="21"/>
          <w:highlight w:val="none"/>
          <w:lang w:val="zh-CN"/>
        </w:rPr>
        <w:t xml:space="preserve">要求实施项目，履行承诺，保证质量。</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甲方</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本合同约定方式拨付乙方项目经费，乙方须向甲方提供正规收款票据。</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乙方在项目实施周期内接受甲方委托的第三方监管和评估，并向第三方提交监管和评估所需的所有项目信息和资料。</w:t>
      </w:r>
      <w:r/>
    </w:p>
    <w:p>
      <w:pPr>
        <w:ind w:left="0" w:firstLine="420"/>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p>
    <w:p>
      <w:pPr>
        <w:ind w:lef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rPr>
        <w:t xml:space="preserve">验收标准：</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.1服务期限内递交的成果内容必须符合招标文件的有关要求和国家有关标准。</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.2技术依据：为保证本项目实施的科学性、规范性和准确性，技术操作、服务需要严格遵照国家有关法律、法规、规章制度以及国家和行业颁布的相关技术标准和规范。</w:t>
      </w:r>
      <w:r/>
    </w:p>
    <w:p>
      <w:pPr>
        <w:numPr>
          <w:ilvl w:val="0"/>
          <w:numId w:val="0"/>
        </w:numPr>
        <w:ind w:left="0"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项目结案要求：</w:t>
      </w:r>
      <w:r/>
    </w:p>
    <w:p>
      <w:pPr>
        <w:numPr>
          <w:ilvl w:val="0"/>
          <w:numId w:val="0"/>
        </w:numPr>
        <w:ind w:left="0" w:firstLine="420"/>
        <w:jc w:val="left"/>
        <w:keepLines w:val="0"/>
        <w:keepNext w:val="0"/>
        <w:pageBreakBefore w:val="0"/>
        <w:spacing w:line="36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rPr>
        <w:t xml:space="preserve">项目需根据管理要求通过专家评审并修改完善，项目结束后</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须向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位提供项目满足国家规范要求的报告及附件等全部数据资料，包括纸质版（加盖公章）2套和电子版。</w:t>
      </w:r>
      <w:r/>
    </w:p>
    <w:p>
      <w:pPr>
        <w:ind w:lef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八、违约责任：</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8.1甲方违约责任</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（1）在合同生效后，甲方无正当理由擅自解除本合同的，应向乙方偿付3000元的违约金，违约金不足以补偿损失的，乙方有权要求甲方补足。</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（2）如因甲方原因，造成乙方未完成规定管理目标或直接造成乙方经济损失的，甲方应给予乙方相应补偿；乙方有权要求甲方限期整改，并有权终止协议。</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8.2乙方违约责任</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（1）乙方不能履行合同从而影响甲方按期实施的，甲方有权解除合同，乙方向甲方偿付3000元的违约金，违约金不足以补偿损失的甲方有权要求乙方补足。</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（2）乙方应制定相关的应急与安全保障措施，在服务过程中如发生安全等相关事件，责任由乙方承担。</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按照甲方要求如期完成调查报告的出具，如因乙方自身原因迟延提供的，每逾期一天，应按照该单项委托费用的万分之二支付违约金，逾期超过10日的，甲方有权另行委托其他第三方完成，由此造成的损失概由乙方自行承担，相关费用甲方不予结算。</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乙方编制的调查报告存在问题造成未通过专家评审或政府主管部门不认可的，甲方有权要求乙方限期整改，整改后仍未通过专家评审或政府主管部门不认可的，甲方有权终止合同，该项调查报告费用不予结算。</w:t>
      </w:r>
      <w:r/>
    </w:p>
    <w:p>
      <w:pPr>
        <w:ind w:lef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九、合同的生效及其他：</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9.1合同生效</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本合同经招标代理机构加盖骑缝章，甲乙双方法定代表人或授权代表签字并加盖公章后生效，生效后经政府采购监管部门备案。</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9.2其他 </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在执行过程中出现的未尽事宜，双方在不违背本合同和招标文件的原则下协商解决，协商结果以书面形式盖章记录在案，作为本合同的附件，与本合同具有同等效力，但需向政府采购管理处和招标代理机构备存。</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（2）合同附件：本合同附件、招标文件、乙方的投标文件和乙方在开标过程中所作的承诺以及中标通知书均作本合同的组成部分，与本合同具有同等的法律效力。</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（3）合同份数：合同份数：本合同一式</w:t>
      </w:r>
      <w:r>
        <w:rPr>
          <w:rFonts w:hint="eastAsia" w:ascii="宋体" w:hAnsi="宋体" w:eastAsia="宋体" w:cs="宋体"/>
          <w:color w:val="auto"/>
          <w:sz w:val="21"/>
          <w:szCs w:val="21"/>
          <w:highlight w:val="none"/>
          <w:lang w:val="en-US" w:eastAsia="zh-CN"/>
        </w:rPr>
        <w:t xml:space="preserve">伍</w:t>
      </w:r>
      <w:r>
        <w:rPr>
          <w:rFonts w:hint="eastAsia" w:ascii="宋体" w:hAnsi="宋体" w:eastAsia="宋体" w:cs="宋体"/>
          <w:color w:val="auto"/>
          <w:sz w:val="21"/>
          <w:szCs w:val="21"/>
          <w:highlight w:val="none"/>
        </w:rPr>
        <w:t xml:space="preserve">份，甲乙双方各执两份，采购代理机构一份</w:t>
      </w:r>
      <w:r>
        <w:rPr>
          <w:rFonts w:hint="eastAsia" w:ascii="宋体" w:hAnsi="宋体" w:eastAsia="宋体" w:cs="宋体"/>
          <w:color w:val="auto"/>
          <w:sz w:val="21"/>
          <w:szCs w:val="21"/>
          <w:highlight w:val="none"/>
          <w:lang w:eastAsia="zh-CN"/>
        </w:rPr>
        <w:t xml:space="preserve">。</w:t>
      </w:r>
      <w:r/>
    </w:p>
    <w:p>
      <w:pPr>
        <w:ind w:lef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十、合同的解除和转让：</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10.1甲方和乙方协商一致，可以解除合同。</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10.2有下列情形之一，合同一方可以解除合同：</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10.3有权解除合同的一方，应当在违约事实或不可抗力发生之后三十天内书面通知对方提出解除合同，合同在书面通知到达对方时解除。</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合同的部分和全部都不得转让。违反此约定的，甲方有权立即终止本合同，同时乙方按照合同总金额的20%承担相应违约金责任，违约金不足以补偿损失的，甲方有权要求乙方补足，包括但不限于调查费用、公证费用、诉讼费、律师费等费用。</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left="0" w:firstLine="422"/>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十一、不可抗力：</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11.1因不可抗力不能履行合同的，根据不可抗力的影响，部分或者全部免除责任。但合同一方延迟履行后发生不可抗力的，不能免除责任。</w:t>
      </w:r>
      <w:r/>
    </w:p>
    <w:p>
      <w:pPr>
        <w:ind w:lef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11.2合同一方因不可抗力不能履行合同的，应当及时通知对方，以减轻可能给对方造成的损失，并应当在合理期限内提供证明。</w:t>
      </w:r>
      <w:r/>
    </w:p>
    <w:p>
      <w:pPr>
        <w:ind w:lef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十二、争议处理：</w:t>
      </w:r>
      <w:r/>
    </w:p>
    <w:p>
      <w:pPr>
        <w:ind w:left="0"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双方因履行本协议产生纠纷的，应友好协商解决。协商不成的，任何一方均有权向甲方所在地有管辖权的人民法院提起诉讼。</w:t>
      </w:r>
      <w:r/>
    </w:p>
    <w:p>
      <w:pPr>
        <w:ind w:lef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十三、未尽事宜：</w:t>
      </w:r>
      <w:r/>
    </w:p>
    <w:p>
      <w:pPr>
        <w:pStyle w:val="1012"/>
        <w:ind w:left="0" w:firstLine="420"/>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未尽事宜应按照《中华人民共和国民法典》、《中华人民共和国政府采购法》等相关法律法规之规定解释。</w:t>
      </w:r>
      <w:r/>
    </w:p>
    <w:tbl>
      <w:tblPr>
        <w:tblStyle w:val="931"/>
        <w:tblpPr w:horzAnchor="page" w:tblpX="1257" w:vertAnchor="text" w:tblpY="466" w:leftFromText="180" w:topFromText="0" w:rightFromText="180" w:bottomFromText="0"/>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93"/>
        <w:gridCol w:w="4678"/>
      </w:tblGrid>
      <w:tr>
        <w:trPr>
          <w:trHeight w:val="4412"/>
        </w:trPr>
        <w:tc>
          <w:tcPr>
            <w:tcW w:w="4993" w:type="dxa"/>
            <w:vAlign w:val="center"/>
            <w:textDirection w:val="lrTb"/>
            <w:noWrap w:val="false"/>
          </w:tcPr>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甲方（盖章）：</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rPr>
              <w:t xml:space="preserve">经办人：</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rPr>
              <w:t xml:space="preserve">签署日期：</w:t>
            </w:r>
            <w:r/>
          </w:p>
        </w:tc>
        <w:tc>
          <w:tcPr>
            <w:tcW w:w="4678" w:type="dxa"/>
            <w:vAlign w:val="center"/>
            <w:textDirection w:val="lrTb"/>
            <w:noWrap w:val="false"/>
          </w:tcPr>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乙方（盖章）：</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rPr>
              <w:t xml:space="preserve">经办人：</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签署日期：</w:t>
            </w:r>
            <w:r/>
          </w:p>
        </w:tc>
      </w:tr>
    </w:tbl>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备案方</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全文完</w:t>
      </w:r>
      <w:r>
        <w:rPr>
          <w:rFonts w:hint="eastAsia" w:ascii="宋体" w:hAnsi="宋体" w:cs="宋体"/>
          <w:color w:val="auto"/>
          <w:sz w:val="21"/>
          <w:szCs w:val="21"/>
          <w:highlight w:val="none"/>
          <w:lang w:eastAsia="zh-CN"/>
        </w:rPr>
        <w:t xml:space="preserve">）</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21"/>
        <w:ind w:firstLine="0"/>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59"/>
      </w:rPr>
      <w:framePr w:wrap="around" w:vAnchor="text" w:hAnchor="margin" w:xAlign="center" w:y="2"/>
    </w:pPr>
    <w:r>
      <w:fldChar w:fldCharType="begin"/>
    </w:r>
    <w:r>
      <w:rPr>
        <w:rStyle w:val="959"/>
      </w:rPr>
      <w:instrText xml:space="preserve">PAGE  </w:instrText>
    </w:r>
    <w:r>
      <w:fldChar w:fldCharType="separate"/>
    </w:r>
    <w:r>
      <w:rPr>
        <w:rStyle w:val="959"/>
      </w:rPr>
      <w:t xml:space="preserve">0</w:t>
    </w:r>
    <w:r>
      <w:fldChar w:fldCharType="end"/>
    </w:r>
    <w:r/>
  </w:p>
  <w:p>
    <w:pPr>
      <w:pStyle w:val="94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instrText xml:space="preserve">PAGE   \* MERGEFORMAT</w:instrText>
    </w:r>
    <w:r>
      <w:fldChar w:fldCharType="separate"/>
    </w:r>
    <w:r>
      <w:rPr>
        <w:lang w:val="zh-CN"/>
      </w:rPr>
      <w:t xml:space="preserve">47</w:t>
    </w:r>
    <w:r>
      <w:fldChar w:fldCharType="end"/>
    </w:r>
    <w:r/>
  </w:p>
  <w:p>
    <w:pPr>
      <w:pStyle w:val="9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instrText xml:space="preserve">PAGE   \* MERGEFORMAT</w:instrText>
    </w:r>
    <w:r>
      <w:fldChar w:fldCharType="separate"/>
    </w:r>
    <w:r>
      <w:rPr>
        <w:lang w:val="zh-CN"/>
      </w:rPr>
      <w:t xml:space="preserve">1</w:t>
    </w:r>
    <w:r>
      <w:fldChar w:fldCharType="end"/>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招标编号： </w:t>
    </w:r>
    <w:r>
      <w:rPr>
        <w:rFonts w:hint="eastAsia"/>
        <w:lang w:eastAsia="zh-CN"/>
      </w:rPr>
      <w:t xml:space="preserve">JSZC-320585-SZTZ-G2024-0027</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JSZC-320585-SZTZ-G2024-0027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921"/>
      <w:isLgl w:val="false"/>
      <w:suff w:val="nothing"/>
      <w:lvlText w:val="%1、"/>
      <w:lvlJc w:val="left"/>
      <w:pPr>
        <w:ind w:left="0" w:firstLine="0"/>
      </w:pPr>
      <w:rPr>
        <w:rFonts w:hint="eastAsia"/>
      </w:rPr>
    </w:lvl>
    <w:lvl w:ilvl="1">
      <w:start w:val="1"/>
      <w:numFmt w:val="chineseCounting"/>
      <w:pStyle w:val="922"/>
      <w:isLgl w:val="false"/>
      <w:suff w:val="nothing"/>
      <w:lvlText w:val="（%2）"/>
      <w:lvlJc w:val="left"/>
      <w:pPr>
        <w:ind w:left="0" w:firstLine="0"/>
      </w:pPr>
      <w:rPr>
        <w:rFonts w:hint="eastAsia"/>
      </w:rPr>
    </w:lvl>
    <w:lvl w:ilvl="2">
      <w:start w:val="1"/>
      <w:numFmt w:val="decimal"/>
      <w:pStyle w:val="923"/>
      <w:isLgl w:val="false"/>
      <w:suff w:val="nothing"/>
      <w:lvlText w:val="%3．"/>
      <w:lvlJc w:val="left"/>
      <w:pPr>
        <w:ind w:left="0" w:firstLine="400"/>
      </w:pPr>
      <w:rPr>
        <w:rFonts w:hint="eastAsia"/>
      </w:rPr>
    </w:lvl>
    <w:lvl w:ilvl="3">
      <w:start w:val="1"/>
      <w:numFmt w:val="decimal"/>
      <w:pStyle w:val="924"/>
      <w:isLgl w:val="false"/>
      <w:suff w:val="nothing"/>
      <w:lvlText w:val="（%4）"/>
      <w:lvlJc w:val="left"/>
      <w:pPr>
        <w:ind w:left="0" w:firstLine="402"/>
      </w:pPr>
      <w:rPr>
        <w:rFonts w:hint="eastAsia"/>
      </w:rPr>
    </w:lvl>
    <w:lvl w:ilvl="4">
      <w:start w:val="1"/>
      <w:numFmt w:val="decimalEnclosedCircleChinese"/>
      <w:pStyle w:val="925"/>
      <w:isLgl w:val="false"/>
      <w:suff w:val="nothing"/>
      <w:lvlText w:val="%5"/>
      <w:lvlJc w:val="left"/>
      <w:pPr>
        <w:ind w:left="0" w:firstLine="402"/>
      </w:pPr>
      <w:rPr>
        <w:rFonts w:hint="eastAsia"/>
      </w:rPr>
    </w:lvl>
    <w:lvl w:ilvl="5">
      <w:start w:val="1"/>
      <w:numFmt w:val="decimal"/>
      <w:pStyle w:val="926"/>
      <w:isLgl w:val="false"/>
      <w:suff w:val="nothing"/>
      <w:lvlText w:val="%6）"/>
      <w:lvlJc w:val="left"/>
      <w:pPr>
        <w:ind w:left="0" w:firstLine="402"/>
      </w:pPr>
      <w:rPr>
        <w:rFonts w:hint="eastAsia"/>
      </w:rPr>
    </w:lvl>
    <w:lvl w:ilvl="6">
      <w:start w:val="1"/>
      <w:numFmt w:val="lowerLetter"/>
      <w:pStyle w:val="927"/>
      <w:isLgl w:val="false"/>
      <w:suff w:val="nothing"/>
      <w:lvlText w:val="%7．"/>
      <w:lvlJc w:val="left"/>
      <w:pPr>
        <w:ind w:left="0" w:firstLine="402"/>
      </w:pPr>
      <w:rPr>
        <w:rFonts w:hint="eastAsia"/>
      </w:rPr>
    </w:lvl>
    <w:lvl w:ilvl="7">
      <w:start w:val="1"/>
      <w:numFmt w:val="lowerLetter"/>
      <w:pStyle w:val="928"/>
      <w:isLgl w:val="false"/>
      <w:suff w:val="nothing"/>
      <w:lvlText w:val="%8）"/>
      <w:lvlJc w:val="left"/>
      <w:pPr>
        <w:ind w:left="0" w:firstLine="402"/>
      </w:pPr>
      <w:rPr>
        <w:rFonts w:hint="eastAsia"/>
      </w:rPr>
    </w:lvl>
    <w:lvl w:ilvl="8">
      <w:start w:val="1"/>
      <w:numFmt w:val="lowerRoman"/>
      <w:pStyle w:val="929"/>
      <w:isLgl w:val="false"/>
      <w:suff w:val="nothing"/>
      <w:lvlText w:val="%9 "/>
      <w:lvlJc w:val="left"/>
      <w:pPr>
        <w:ind w:left="0" w:firstLine="402"/>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pStyle w:val="1019"/>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5">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999"/>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4"/>
  </w:num>
  <w:num w:numId="4">
    <w:abstractNumId w:val="1"/>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30"/>
    <w:link w:val="921"/>
    <w:uiPriority w:val="9"/>
    <w:rPr>
      <w:rFonts w:ascii="Arial" w:hAnsi="Arial" w:eastAsia="Arial" w:cs="Arial"/>
      <w:sz w:val="40"/>
      <w:szCs w:val="40"/>
    </w:rPr>
  </w:style>
  <w:style w:type="character" w:styleId="762">
    <w:name w:val="Heading 2 Char"/>
    <w:basedOn w:val="930"/>
    <w:link w:val="922"/>
    <w:uiPriority w:val="9"/>
    <w:rPr>
      <w:rFonts w:ascii="Arial" w:hAnsi="Arial" w:eastAsia="Arial" w:cs="Arial"/>
      <w:sz w:val="34"/>
    </w:rPr>
  </w:style>
  <w:style w:type="character" w:styleId="763">
    <w:name w:val="Heading 3 Char"/>
    <w:basedOn w:val="930"/>
    <w:link w:val="923"/>
    <w:uiPriority w:val="9"/>
    <w:rPr>
      <w:rFonts w:ascii="Arial" w:hAnsi="Arial" w:eastAsia="Arial" w:cs="Arial"/>
      <w:sz w:val="30"/>
      <w:szCs w:val="30"/>
    </w:rPr>
  </w:style>
  <w:style w:type="character" w:styleId="764">
    <w:name w:val="Heading 4 Char"/>
    <w:basedOn w:val="930"/>
    <w:link w:val="924"/>
    <w:uiPriority w:val="9"/>
    <w:rPr>
      <w:rFonts w:ascii="Arial" w:hAnsi="Arial" w:eastAsia="Arial" w:cs="Arial"/>
      <w:b/>
      <w:bCs/>
      <w:sz w:val="26"/>
      <w:szCs w:val="26"/>
    </w:rPr>
  </w:style>
  <w:style w:type="character" w:styleId="765">
    <w:name w:val="Heading 5 Char"/>
    <w:basedOn w:val="930"/>
    <w:link w:val="925"/>
    <w:uiPriority w:val="9"/>
    <w:rPr>
      <w:rFonts w:ascii="Arial" w:hAnsi="Arial" w:eastAsia="Arial" w:cs="Arial"/>
      <w:b/>
      <w:bCs/>
      <w:sz w:val="24"/>
      <w:szCs w:val="24"/>
    </w:rPr>
  </w:style>
  <w:style w:type="character" w:styleId="766">
    <w:name w:val="Heading 6 Char"/>
    <w:basedOn w:val="930"/>
    <w:link w:val="926"/>
    <w:uiPriority w:val="9"/>
    <w:rPr>
      <w:rFonts w:ascii="Arial" w:hAnsi="Arial" w:eastAsia="Arial" w:cs="Arial"/>
      <w:b/>
      <w:bCs/>
      <w:sz w:val="22"/>
      <w:szCs w:val="22"/>
    </w:rPr>
  </w:style>
  <w:style w:type="character" w:styleId="767">
    <w:name w:val="Heading 7 Char"/>
    <w:basedOn w:val="930"/>
    <w:link w:val="927"/>
    <w:uiPriority w:val="9"/>
    <w:rPr>
      <w:rFonts w:ascii="Arial" w:hAnsi="Arial" w:eastAsia="Arial" w:cs="Arial"/>
      <w:b/>
      <w:bCs/>
      <w:i/>
      <w:iCs/>
      <w:sz w:val="22"/>
      <w:szCs w:val="22"/>
    </w:rPr>
  </w:style>
  <w:style w:type="character" w:styleId="768">
    <w:name w:val="Heading 8 Char"/>
    <w:basedOn w:val="930"/>
    <w:link w:val="928"/>
    <w:uiPriority w:val="9"/>
    <w:rPr>
      <w:rFonts w:ascii="Arial" w:hAnsi="Arial" w:eastAsia="Arial" w:cs="Arial"/>
      <w:i/>
      <w:iCs/>
      <w:sz w:val="22"/>
      <w:szCs w:val="22"/>
    </w:rPr>
  </w:style>
  <w:style w:type="character" w:styleId="769">
    <w:name w:val="Heading 9 Char"/>
    <w:basedOn w:val="930"/>
    <w:link w:val="929"/>
    <w:uiPriority w:val="9"/>
    <w:rPr>
      <w:rFonts w:ascii="Arial" w:hAnsi="Arial" w:eastAsia="Arial" w:cs="Arial"/>
      <w:i/>
      <w:iCs/>
      <w:sz w:val="21"/>
      <w:szCs w:val="21"/>
    </w:rPr>
  </w:style>
  <w:style w:type="paragraph" w:styleId="770">
    <w:name w:val="List Paragraph"/>
    <w:basedOn w:val="920"/>
    <w:uiPriority w:val="34"/>
    <w:qFormat/>
    <w:pPr>
      <w:contextualSpacing/>
      <w:ind w:left="720"/>
    </w:pPr>
  </w:style>
  <w:style w:type="character" w:styleId="771">
    <w:name w:val="Title Char"/>
    <w:basedOn w:val="930"/>
    <w:link w:val="953"/>
    <w:uiPriority w:val="10"/>
    <w:rPr>
      <w:sz w:val="48"/>
      <w:szCs w:val="48"/>
    </w:rPr>
  </w:style>
  <w:style w:type="character" w:styleId="772">
    <w:name w:val="Subtitle Char"/>
    <w:basedOn w:val="930"/>
    <w:link w:val="947"/>
    <w:uiPriority w:val="11"/>
    <w:rPr>
      <w:sz w:val="24"/>
      <w:szCs w:val="24"/>
    </w:rPr>
  </w:style>
  <w:style w:type="paragraph" w:styleId="773">
    <w:name w:val="Quote"/>
    <w:basedOn w:val="920"/>
    <w:next w:val="920"/>
    <w:link w:val="774"/>
    <w:uiPriority w:val="29"/>
    <w:qFormat/>
    <w:pPr>
      <w:ind w:left="720" w:right="720"/>
    </w:pPr>
    <w:rPr>
      <w:i/>
    </w:rPr>
  </w:style>
  <w:style w:type="character" w:styleId="774">
    <w:name w:val="Quote Char"/>
    <w:link w:val="773"/>
    <w:uiPriority w:val="29"/>
    <w:rPr>
      <w:i/>
    </w:rPr>
  </w:style>
  <w:style w:type="paragraph" w:styleId="775">
    <w:name w:val="Intense Quote"/>
    <w:basedOn w:val="920"/>
    <w:next w:val="920"/>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30"/>
    <w:link w:val="944"/>
    <w:uiPriority w:val="99"/>
  </w:style>
  <w:style w:type="character" w:styleId="778">
    <w:name w:val="Footer Char"/>
    <w:basedOn w:val="930"/>
    <w:link w:val="942"/>
    <w:uiPriority w:val="99"/>
  </w:style>
  <w:style w:type="paragraph" w:styleId="779">
    <w:name w:val="Caption"/>
    <w:basedOn w:val="920"/>
    <w:next w:val="920"/>
    <w:uiPriority w:val="35"/>
    <w:semiHidden/>
    <w:unhideWhenUsed/>
    <w:qFormat/>
    <w:pPr>
      <w:spacing w:line="276" w:lineRule="auto"/>
    </w:pPr>
    <w:rPr>
      <w:b/>
      <w:bCs/>
      <w:color w:val="4f81bd" w:themeColor="accent1"/>
      <w:sz w:val="18"/>
      <w:szCs w:val="18"/>
    </w:rPr>
  </w:style>
  <w:style w:type="character" w:styleId="780">
    <w:name w:val="Caption Char"/>
    <w:basedOn w:val="779"/>
    <w:link w:val="942"/>
    <w:uiPriority w:val="99"/>
  </w:style>
  <w:style w:type="table" w:styleId="781">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6">
    <w:name w:val="footnote text"/>
    <w:basedOn w:val="920"/>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basedOn w:val="930"/>
    <w:uiPriority w:val="99"/>
    <w:unhideWhenUsed/>
    <w:rPr>
      <w:vertAlign w:val="superscript"/>
    </w:rPr>
  </w:style>
  <w:style w:type="paragraph" w:styleId="909">
    <w:name w:val="endnote text"/>
    <w:basedOn w:val="920"/>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basedOn w:val="930"/>
    <w:uiPriority w:val="99"/>
    <w:semiHidden/>
    <w:unhideWhenUsed/>
    <w:rPr>
      <w:vertAlign w:val="superscript"/>
    </w:rPr>
  </w:style>
  <w:style w:type="paragraph" w:styleId="912">
    <w:name w:val="toc 2"/>
    <w:basedOn w:val="920"/>
    <w:next w:val="920"/>
    <w:uiPriority w:val="39"/>
    <w:unhideWhenUsed/>
    <w:pPr>
      <w:ind w:left="283" w:right="0" w:firstLine="0"/>
      <w:spacing w:after="57"/>
    </w:pPr>
  </w:style>
  <w:style w:type="paragraph" w:styleId="913">
    <w:name w:val="toc 3"/>
    <w:basedOn w:val="920"/>
    <w:next w:val="920"/>
    <w:uiPriority w:val="39"/>
    <w:unhideWhenUsed/>
    <w:pPr>
      <w:ind w:left="567" w:right="0" w:firstLine="0"/>
      <w:spacing w:after="57"/>
    </w:pPr>
  </w:style>
  <w:style w:type="paragraph" w:styleId="914">
    <w:name w:val="toc 5"/>
    <w:basedOn w:val="920"/>
    <w:next w:val="920"/>
    <w:uiPriority w:val="39"/>
    <w:unhideWhenUsed/>
    <w:pPr>
      <w:ind w:left="1134"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32"/>
    <w:uiPriority w:val="0"/>
    <w:qFormat/>
    <w:rPr>
      <w:rFonts w:ascii="Times New Roman" w:hAnsi="Times New Roman" w:eastAsia="宋体" w:cs="Times New Roman"/>
      <w:sz w:val="24"/>
      <w:szCs w:val="24"/>
      <w:lang w:val="en-US" w:eastAsia="zh-CN" w:bidi="ar-SA"/>
    </w:rPr>
  </w:style>
  <w:style w:type="paragraph" w:styleId="921">
    <w:name w:val="Heading 1"/>
    <w:basedOn w:val="920"/>
    <w:next w:val="920"/>
    <w:link w:val="965"/>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922">
    <w:name w:val="Heading 2"/>
    <w:basedOn w:val="920"/>
    <w:next w:val="920"/>
    <w:link w:val="966"/>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23">
    <w:name w:val="Heading 3"/>
    <w:basedOn w:val="920"/>
    <w:next w:val="933"/>
    <w:uiPriority w:val="0"/>
    <w:qFormat/>
    <w:pPr>
      <w:numPr>
        <w:ilvl w:val="2"/>
        <w:numId w:val="1"/>
      </w:numPr>
      <w:keepLines/>
      <w:keepNext/>
      <w:spacing w:before="260" w:after="260" w:line="416" w:lineRule="auto"/>
      <w:outlineLvl w:val="2"/>
    </w:pPr>
    <w:rPr>
      <w:b/>
      <w:bCs/>
      <w:sz w:val="32"/>
      <w:szCs w:val="32"/>
    </w:rPr>
  </w:style>
  <w:style w:type="paragraph" w:styleId="924">
    <w:name w:val="Heading 4"/>
    <w:basedOn w:val="920"/>
    <w:next w:val="920"/>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25">
    <w:name w:val="Heading 5"/>
    <w:basedOn w:val="920"/>
    <w:next w:val="920"/>
    <w:uiPriority w:val="0"/>
    <w:qFormat/>
    <w:pPr>
      <w:numPr>
        <w:ilvl w:val="4"/>
        <w:numId w:val="1"/>
      </w:numPr>
      <w:keepLines/>
      <w:keepNext/>
      <w:spacing w:before="280" w:after="290" w:line="376" w:lineRule="auto"/>
      <w:outlineLvl w:val="4"/>
    </w:pPr>
    <w:rPr>
      <w:b/>
      <w:bCs/>
      <w:sz w:val="28"/>
      <w:szCs w:val="28"/>
    </w:rPr>
  </w:style>
  <w:style w:type="paragraph" w:styleId="926">
    <w:name w:val="Heading 6"/>
    <w:basedOn w:val="920"/>
    <w:next w:val="920"/>
    <w:uiPriority w:val="0"/>
    <w:qFormat/>
    <w:pPr>
      <w:numPr>
        <w:ilvl w:val="5"/>
        <w:numId w:val="1"/>
      </w:numPr>
      <w:keepLines/>
      <w:keepNext/>
      <w:spacing w:before="240" w:after="64" w:line="320" w:lineRule="auto"/>
      <w:outlineLvl w:val="5"/>
    </w:pPr>
    <w:rPr>
      <w:rFonts w:ascii="Arial" w:hAnsi="Arial" w:eastAsia="黑体"/>
      <w:b/>
      <w:bCs/>
    </w:rPr>
  </w:style>
  <w:style w:type="paragraph" w:styleId="927">
    <w:name w:val="Heading 7"/>
    <w:basedOn w:val="920"/>
    <w:next w:val="920"/>
    <w:uiPriority w:val="0"/>
    <w:qFormat/>
    <w:pPr>
      <w:numPr>
        <w:ilvl w:val="6"/>
        <w:numId w:val="1"/>
      </w:numPr>
      <w:jc w:val="center"/>
      <w:keepLines/>
      <w:keepNext/>
      <w:spacing w:before="30" w:after="10"/>
      <w:outlineLvl w:val="6"/>
    </w:pPr>
    <w:rPr>
      <w:rFonts w:eastAsia="黑体"/>
      <w:lang w:val="zh-CN"/>
    </w:rPr>
  </w:style>
  <w:style w:type="paragraph" w:styleId="928">
    <w:name w:val="Heading 8"/>
    <w:basedOn w:val="927"/>
    <w:next w:val="920"/>
    <w:uiPriority w:val="0"/>
    <w:qFormat/>
    <w:pPr>
      <w:numPr>
        <w:ilvl w:val="7"/>
      </w:numPr>
      <w:keepLines w:val="0"/>
      <w:keepNext w:val="0"/>
      <w:spacing w:before="10" w:after="30"/>
      <w:outlineLvl w:val="7"/>
    </w:pPr>
  </w:style>
  <w:style w:type="paragraph" w:styleId="929">
    <w:name w:val="Heading 9"/>
    <w:basedOn w:val="920"/>
    <w:next w:val="920"/>
    <w:uiPriority w:val="0"/>
    <w:qFormat/>
    <w:pPr>
      <w:numPr>
        <w:ilvl w:val="8"/>
        <w:numId w:val="1"/>
      </w:numPr>
      <w:keepLines/>
      <w:keepNext/>
      <w:spacing w:before="240" w:after="64" w:line="317" w:lineRule="auto"/>
      <w:outlineLvl w:val="8"/>
    </w:pPr>
    <w:rPr>
      <w:rFonts w:ascii="Arial" w:hAnsi="Arial" w:eastAsia="黑体"/>
      <w:sz w:val="21"/>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name w:val="Body Text Indent"/>
    <w:basedOn w:val="920"/>
    <w:next w:val="920"/>
    <w:uiPriority w:val="0"/>
    <w:qFormat/>
    <w:pPr>
      <w:ind w:right="-159" w:firstLine="246"/>
      <w:jc w:val="both"/>
      <w:spacing w:line="240" w:lineRule="atLeast"/>
      <w:widowControl w:val="off"/>
    </w:pPr>
    <w:rPr>
      <w:spacing w:val="20"/>
      <w:sz w:val="21"/>
    </w:rPr>
  </w:style>
  <w:style w:type="paragraph" w:styleId="933">
    <w:name w:val="Normal Indent"/>
    <w:basedOn w:val="920"/>
    <w:uiPriority w:val="0"/>
    <w:qFormat/>
    <w:pPr>
      <w:ind w:firstLine="420"/>
      <w:widowControl w:val="off"/>
    </w:pPr>
    <w:rPr>
      <w:rFonts w:eastAsia="楷体_GB2312"/>
      <w:szCs w:val="20"/>
    </w:rPr>
  </w:style>
  <w:style w:type="paragraph" w:styleId="934">
    <w:name w:val="Document Map"/>
    <w:basedOn w:val="920"/>
    <w:link w:val="967"/>
    <w:uiPriority w:val="0"/>
    <w:qFormat/>
    <w:pPr>
      <w:shd w:val="clear" w:color="auto" w:fill="000080"/>
    </w:pPr>
  </w:style>
  <w:style w:type="paragraph" w:styleId="935">
    <w:name w:val="annotation text"/>
    <w:basedOn w:val="920"/>
    <w:uiPriority w:val="0"/>
    <w:qFormat/>
  </w:style>
  <w:style w:type="paragraph" w:styleId="936">
    <w:name w:val="Body Text"/>
    <w:basedOn w:val="920"/>
    <w:uiPriority w:val="0"/>
    <w:qFormat/>
    <w:pPr>
      <w:spacing w:after="120"/>
    </w:pPr>
  </w:style>
  <w:style w:type="paragraph" w:styleId="937">
    <w:name w:val="Block Text"/>
    <w:basedOn w:val="920"/>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38">
    <w:name w:val="Plain Text"/>
    <w:basedOn w:val="920"/>
    <w:link w:val="968"/>
    <w:uiPriority w:val="0"/>
    <w:qFormat/>
    <w:rPr>
      <w:rFonts w:ascii="宋体" w:hAnsi="Courier New" w:eastAsia="楷体_GB2312"/>
      <w:sz w:val="26"/>
      <w:szCs w:val="20"/>
    </w:rPr>
  </w:style>
  <w:style w:type="paragraph" w:styleId="939">
    <w:name w:val="Date"/>
    <w:basedOn w:val="920"/>
    <w:next w:val="920"/>
    <w:link w:val="969"/>
    <w:uiPriority w:val="0"/>
    <w:qFormat/>
    <w:pPr>
      <w:ind w:left="100"/>
      <w:jc w:val="both"/>
      <w:widowControl w:val="off"/>
    </w:pPr>
    <w:rPr>
      <w:b/>
      <w:bCs/>
      <w:spacing w:val="20"/>
      <w:sz w:val="21"/>
    </w:rPr>
  </w:style>
  <w:style w:type="paragraph" w:styleId="940">
    <w:name w:val="Body Text Indent 2"/>
    <w:basedOn w:val="920"/>
    <w:uiPriority w:val="0"/>
    <w:qFormat/>
    <w:pPr>
      <w:ind w:firstLine="460"/>
      <w:spacing w:line="360" w:lineRule="auto"/>
    </w:pPr>
    <w:rPr>
      <w:spacing w:val="20"/>
      <w:sz w:val="21"/>
    </w:rPr>
  </w:style>
  <w:style w:type="paragraph" w:styleId="941">
    <w:name w:val="Balloon Text"/>
    <w:basedOn w:val="920"/>
    <w:uiPriority w:val="0"/>
    <w:qFormat/>
    <w:rPr>
      <w:sz w:val="18"/>
      <w:szCs w:val="18"/>
    </w:rPr>
  </w:style>
  <w:style w:type="paragraph" w:styleId="942">
    <w:name w:val="Footer"/>
    <w:basedOn w:val="920"/>
    <w:link w:val="970"/>
    <w:uiPriority w:val="99"/>
    <w:qFormat/>
    <w:pPr>
      <w:widowControl w:val="off"/>
      <w:tabs>
        <w:tab w:val="center" w:pos="4153" w:leader="none"/>
        <w:tab w:val="right" w:pos="8306" w:leader="none"/>
      </w:tabs>
    </w:pPr>
    <w:rPr>
      <w:sz w:val="18"/>
      <w:szCs w:val="18"/>
    </w:rPr>
  </w:style>
  <w:style w:type="paragraph" w:styleId="943">
    <w:name w:val="envelope return"/>
    <w:basedOn w:val="920"/>
    <w:uiPriority w:val="99"/>
    <w:unhideWhenUsed/>
    <w:qFormat/>
    <w:rPr>
      <w:rFonts w:ascii="Arial" w:hAnsi="Arial"/>
    </w:rPr>
  </w:style>
  <w:style w:type="paragraph" w:styleId="944">
    <w:name w:val="Header"/>
    <w:basedOn w:val="920"/>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45">
    <w:name w:val="toc 1"/>
    <w:basedOn w:val="920"/>
    <w:next w:val="920"/>
    <w:uiPriority w:val="0"/>
    <w:qFormat/>
    <w:pPr>
      <w:widowControl w:val="off"/>
    </w:pPr>
    <w:rPr>
      <w:rFonts w:eastAsia="楷体_GB2312"/>
      <w:szCs w:val="20"/>
    </w:rPr>
  </w:style>
  <w:style w:type="paragraph" w:styleId="946">
    <w:name w:val="toc 4"/>
    <w:basedOn w:val="920"/>
    <w:next w:val="920"/>
    <w:uiPriority w:val="39"/>
    <w:unhideWhenUsed/>
    <w:qFormat/>
    <w:pPr>
      <w:ind w:left="1260"/>
    </w:pPr>
  </w:style>
  <w:style w:type="paragraph" w:styleId="947">
    <w:name w:val="Subtitle"/>
    <w:basedOn w:val="920"/>
    <w:next w:val="920"/>
    <w:uiPriority w:val="0"/>
    <w:qFormat/>
    <w:pPr>
      <w:jc w:val="center"/>
      <w:spacing w:before="240" w:after="60" w:line="312" w:lineRule="auto"/>
      <w:outlineLvl w:val="1"/>
    </w:pPr>
    <w:rPr>
      <w:rFonts w:ascii="宋体" w:hAnsi="Courier New" w:eastAsia="楷体_GB2312"/>
      <w:sz w:val="26"/>
      <w:szCs w:val="20"/>
    </w:rPr>
  </w:style>
  <w:style w:type="paragraph" w:styleId="948">
    <w:name w:val="toc 6"/>
    <w:basedOn w:val="920"/>
    <w:next w:val="920"/>
    <w:uiPriority w:val="39"/>
    <w:unhideWhenUsed/>
    <w:qFormat/>
    <w:pPr>
      <w:ind w:left="1400" w:firstLine="3784"/>
      <w:spacing w:line="360" w:lineRule="auto"/>
      <w:widowControl/>
    </w:pPr>
    <w:rPr>
      <w:rFonts w:ascii="Times New Roman" w:hAnsi="Times New Roman"/>
      <w:sz w:val="20"/>
      <w:szCs w:val="20"/>
    </w:rPr>
  </w:style>
  <w:style w:type="paragraph" w:styleId="949">
    <w:name w:val="Body Text Indent 3"/>
    <w:basedOn w:val="920"/>
    <w:next w:val="948"/>
    <w:link w:val="971"/>
    <w:uiPriority w:val="0"/>
    <w:qFormat/>
    <w:pPr>
      <w:ind w:firstLine="480"/>
      <w:spacing w:line="300" w:lineRule="auto"/>
      <w:widowControl w:val="off"/>
    </w:pPr>
  </w:style>
  <w:style w:type="paragraph" w:styleId="950">
    <w:name w:val="Body Text 2"/>
    <w:basedOn w:val="920"/>
    <w:uiPriority w:val="0"/>
    <w:qFormat/>
    <w:pPr>
      <w:spacing w:after="120" w:line="480" w:lineRule="auto"/>
    </w:pPr>
  </w:style>
  <w:style w:type="paragraph" w:styleId="951">
    <w:name w:val="HTML Preformatted"/>
    <w:basedOn w:val="92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52">
    <w:name w:val="Normal (Web)"/>
    <w:basedOn w:val="920"/>
    <w:uiPriority w:val="0"/>
    <w:qFormat/>
    <w:pPr>
      <w:spacing w:before="100" w:beforeAutospacing="1" w:after="100" w:afterAutospacing="1"/>
    </w:pPr>
    <w:rPr>
      <w:rFonts w:ascii="宋体" w:hAnsi="宋体" w:cs="宋体"/>
    </w:rPr>
  </w:style>
  <w:style w:type="paragraph" w:styleId="953">
    <w:name w:val="Title"/>
    <w:basedOn w:val="920"/>
    <w:next w:val="920"/>
    <w:link w:val="972"/>
    <w:uiPriority w:val="0"/>
    <w:qFormat/>
    <w:pPr>
      <w:jc w:val="center"/>
      <w:spacing w:before="240" w:after="60"/>
      <w:outlineLvl w:val="0"/>
    </w:pPr>
    <w:rPr>
      <w:rFonts w:ascii="Cambria" w:hAnsi="Cambria"/>
      <w:b/>
      <w:bCs/>
      <w:sz w:val="32"/>
      <w:szCs w:val="32"/>
    </w:rPr>
  </w:style>
  <w:style w:type="paragraph" w:styleId="954">
    <w:name w:val="annotation subject"/>
    <w:basedOn w:val="935"/>
    <w:next w:val="935"/>
    <w:uiPriority w:val="0"/>
    <w:qFormat/>
    <w:rPr>
      <w:b/>
      <w:bCs/>
    </w:rPr>
  </w:style>
  <w:style w:type="paragraph" w:styleId="955">
    <w:name w:val="Body Text First Indent"/>
    <w:basedOn w:val="936"/>
    <w:uiPriority w:val="0"/>
    <w:qFormat/>
    <w:pPr>
      <w:ind w:firstLine="420"/>
      <w:tabs>
        <w:tab w:val="left" w:pos="5250" w:leader="none"/>
      </w:tabs>
    </w:pPr>
  </w:style>
  <w:style w:type="paragraph" w:styleId="956">
    <w:name w:val="Body Text First Indent 2"/>
    <w:basedOn w:val="932"/>
    <w:uiPriority w:val="99"/>
    <w:qFormat/>
    <w:pPr>
      <w:ind w:firstLine="420"/>
    </w:pPr>
  </w:style>
  <w:style w:type="table" w:styleId="957">
    <w:name w:val="Table Grid"/>
    <w:basedOn w:val="9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Strong"/>
    <w:uiPriority w:val="0"/>
    <w:qFormat/>
    <w:rPr>
      <w:b/>
      <w:bCs/>
    </w:rPr>
  </w:style>
  <w:style w:type="character" w:styleId="959">
    <w:name w:val="page number"/>
    <w:uiPriority w:val="0"/>
    <w:qFormat/>
  </w:style>
  <w:style w:type="character" w:styleId="960">
    <w:name w:val="FollowedHyperlink"/>
    <w:uiPriority w:val="0"/>
    <w:qFormat/>
    <w:rPr>
      <w:color w:val="333333"/>
      <w:u w:val="none"/>
    </w:rPr>
  </w:style>
  <w:style w:type="character" w:styleId="961">
    <w:name w:val="Hyperlink"/>
    <w:uiPriority w:val="0"/>
    <w:qFormat/>
    <w:rPr>
      <w:color w:val="333333"/>
      <w:u w:val="none"/>
    </w:rPr>
  </w:style>
  <w:style w:type="character" w:styleId="962">
    <w:name w:val="annotation reference"/>
    <w:uiPriority w:val="0"/>
    <w:qFormat/>
    <w:rPr>
      <w:sz w:val="21"/>
      <w:szCs w:val="21"/>
    </w:rPr>
  </w:style>
  <w:style w:type="paragraph" w:styleId="963" w:customStyle="1">
    <w:name w:val="样式1"/>
    <w:basedOn w:val="920"/>
    <w:uiPriority w:val="0"/>
    <w:qFormat/>
    <w:pPr>
      <w:jc w:val="center"/>
    </w:pPr>
  </w:style>
  <w:style w:type="paragraph" w:styleId="964" w:customStyle="1">
    <w:name w:val="正文1"/>
    <w:basedOn w:val="920"/>
    <w:next w:val="920"/>
    <w:uiPriority w:val="0"/>
    <w:qFormat/>
    <w:pPr>
      <w:ind w:firstLine="540"/>
    </w:pPr>
    <w:rPr>
      <w:szCs w:val="20"/>
    </w:rPr>
  </w:style>
  <w:style w:type="character" w:styleId="965" w:customStyle="1">
    <w:name w:val="标题 1 字符"/>
    <w:link w:val="921"/>
    <w:uiPriority w:val="0"/>
    <w:qFormat/>
    <w:rPr>
      <w:rFonts w:eastAsia="楷体_GB2312"/>
      <w:b/>
      <w:sz w:val="44"/>
      <w:szCs w:val="20"/>
    </w:rPr>
  </w:style>
  <w:style w:type="character" w:styleId="966" w:customStyle="1">
    <w:name w:val="标题 2 字符"/>
    <w:basedOn w:val="930"/>
    <w:link w:val="922"/>
    <w:uiPriority w:val="9"/>
    <w:qFormat/>
    <w:rPr>
      <w:rFonts w:ascii="Cambria" w:hAnsi="Cambria" w:eastAsia="宋体" w:cs="Times New Roman"/>
      <w:b/>
      <w:bCs/>
      <w:sz w:val="32"/>
      <w:szCs w:val="32"/>
    </w:rPr>
  </w:style>
  <w:style w:type="character" w:styleId="967" w:customStyle="1">
    <w:name w:val="文档结构图 字符"/>
    <w:link w:val="934"/>
    <w:uiPriority w:val="0"/>
    <w:qFormat/>
    <w:rPr>
      <w:sz w:val="24"/>
      <w:szCs w:val="24"/>
      <w:shd w:val="clear" w:color="auto" w:fill="000080"/>
    </w:rPr>
  </w:style>
  <w:style w:type="character" w:styleId="968" w:customStyle="1">
    <w:name w:val="纯文本 字符"/>
    <w:link w:val="938"/>
    <w:uiPriority w:val="0"/>
    <w:qFormat/>
    <w:rPr>
      <w:rFonts w:ascii="宋体" w:hAnsi="Courier New" w:eastAsia="楷体_GB2312"/>
      <w:sz w:val="26"/>
    </w:rPr>
  </w:style>
  <w:style w:type="character" w:styleId="969" w:customStyle="1">
    <w:name w:val="日期 字符"/>
    <w:link w:val="939"/>
    <w:uiPriority w:val="0"/>
    <w:qFormat/>
    <w:rPr>
      <w:b/>
      <w:bCs/>
      <w:spacing w:val="20"/>
      <w:sz w:val="21"/>
      <w:szCs w:val="24"/>
    </w:rPr>
  </w:style>
  <w:style w:type="character" w:styleId="970" w:customStyle="1">
    <w:name w:val="页脚 字符"/>
    <w:link w:val="942"/>
    <w:uiPriority w:val="99"/>
    <w:qFormat/>
    <w:rPr>
      <w:sz w:val="18"/>
      <w:szCs w:val="18"/>
    </w:rPr>
  </w:style>
  <w:style w:type="character" w:styleId="971" w:customStyle="1">
    <w:name w:val="正文文本缩进 3 字符"/>
    <w:link w:val="949"/>
    <w:uiPriority w:val="0"/>
    <w:qFormat/>
    <w:rPr>
      <w:sz w:val="24"/>
      <w:szCs w:val="24"/>
    </w:rPr>
  </w:style>
  <w:style w:type="character" w:styleId="972" w:customStyle="1">
    <w:name w:val="标题 字符"/>
    <w:link w:val="953"/>
    <w:uiPriority w:val="0"/>
    <w:qFormat/>
    <w:rPr>
      <w:rFonts w:ascii="Cambria" w:hAnsi="Cambria" w:cs="Times New Roman"/>
      <w:b/>
      <w:bCs/>
      <w:sz w:val="32"/>
      <w:szCs w:val="32"/>
    </w:rPr>
  </w:style>
  <w:style w:type="character" w:styleId="973" w:customStyle="1">
    <w:name w:val="font31"/>
    <w:basedOn w:val="930"/>
    <w:uiPriority w:val="0"/>
    <w:qFormat/>
    <w:rPr>
      <w:rFonts w:hint="eastAsia" w:ascii="宋体" w:hAnsi="宋体" w:eastAsia="宋体" w:cs="宋体"/>
      <w:color w:val="000000"/>
      <w:sz w:val="21"/>
      <w:szCs w:val="21"/>
      <w:u w:val="none"/>
    </w:rPr>
  </w:style>
  <w:style w:type="character" w:styleId="974" w:customStyle="1">
    <w:name w:val="无"/>
    <w:uiPriority w:val="0"/>
    <w:qFormat/>
  </w:style>
  <w:style w:type="character" w:styleId="975" w:customStyle="1">
    <w:name w:val="apple-converted-space"/>
    <w:uiPriority w:val="0"/>
    <w:qFormat/>
  </w:style>
  <w:style w:type="character" w:styleId="976" w:customStyle="1">
    <w:name w:val="font21"/>
    <w:basedOn w:val="930"/>
    <w:uiPriority w:val="0"/>
    <w:qFormat/>
    <w:rPr>
      <w:rFonts w:hint="eastAsia" w:ascii="宋体" w:hAnsi="宋体" w:eastAsia="宋体" w:cs="宋体"/>
      <w:color w:val="000000"/>
      <w:sz w:val="24"/>
      <w:szCs w:val="24"/>
      <w:u w:val="none"/>
    </w:rPr>
  </w:style>
  <w:style w:type="character" w:styleId="977" w:customStyle="1">
    <w:name w:val="NormalCharacter"/>
    <w:uiPriority w:val="0"/>
    <w:qFormat/>
  </w:style>
  <w:style w:type="character" w:styleId="978" w:customStyle="1">
    <w:name w:val="font11"/>
    <w:uiPriority w:val="0"/>
    <w:qFormat/>
    <w:rPr>
      <w:rFonts w:hint="eastAsia" w:ascii="宋体" w:hAnsi="宋体" w:eastAsia="宋体" w:cs="宋体"/>
      <w:color w:val="000000"/>
      <w:sz w:val="24"/>
      <w:szCs w:val="24"/>
      <w:u w:val="none"/>
    </w:rPr>
  </w:style>
  <w:style w:type="character" w:styleId="979" w:customStyle="1">
    <w:name w:val="font01"/>
    <w:uiPriority w:val="0"/>
    <w:qFormat/>
    <w:rPr>
      <w:rFonts w:hint="eastAsia" w:ascii="宋体" w:hAnsi="宋体" w:eastAsia="宋体" w:cs="宋体"/>
      <w:color w:val="000000"/>
      <w:sz w:val="24"/>
      <w:szCs w:val="24"/>
      <w:u w:val="none"/>
    </w:rPr>
  </w:style>
  <w:style w:type="character" w:styleId="980" w:customStyle="1">
    <w:name w:val="font51"/>
    <w:basedOn w:val="930"/>
    <w:uiPriority w:val="0"/>
    <w:qFormat/>
    <w:rPr>
      <w:rFonts w:hint="eastAsia" w:ascii="宋体" w:hAnsi="宋体" w:eastAsia="宋体" w:cs="宋体"/>
      <w:color w:val="000000"/>
      <w:sz w:val="24"/>
      <w:szCs w:val="24"/>
      <w:u w:val="none"/>
    </w:rPr>
  </w:style>
  <w:style w:type="character" w:styleId="981" w:customStyle="1">
    <w:name w:val="Plain Text Char"/>
    <w:link w:val="982"/>
    <w:uiPriority w:val="0"/>
    <w:qFormat/>
    <w:rPr>
      <w:rFonts w:ascii="宋体" w:hAnsi="Courier New" w:eastAsia="楷体_GB2312"/>
      <w:sz w:val="26"/>
    </w:rPr>
  </w:style>
  <w:style w:type="paragraph" w:styleId="982" w:customStyle="1">
    <w:name w:val="纯文本1"/>
    <w:basedOn w:val="920"/>
    <w:link w:val="981"/>
    <w:uiPriority w:val="0"/>
    <w:qFormat/>
    <w:pPr>
      <w:jc w:val="both"/>
      <w:widowControl w:val="off"/>
    </w:pPr>
    <w:rPr>
      <w:rFonts w:ascii="宋体" w:hAnsi="Courier New" w:eastAsia="楷体_GB2312"/>
      <w:sz w:val="26"/>
      <w:szCs w:val="20"/>
    </w:rPr>
  </w:style>
  <w:style w:type="character" w:styleId="983" w:customStyle="1">
    <w:name w:val="Andy_正文 Char"/>
    <w:link w:val="984"/>
    <w:uiPriority w:val="0"/>
    <w:qFormat/>
    <w:rPr>
      <w:rFonts w:ascii="Calibri" w:hAnsi="Calibri"/>
      <w:sz w:val="24"/>
      <w:szCs w:val="24"/>
    </w:rPr>
  </w:style>
  <w:style w:type="paragraph" w:styleId="984" w:customStyle="1">
    <w:name w:val="Andy_正文"/>
    <w:basedOn w:val="920"/>
    <w:link w:val="983"/>
    <w:uiPriority w:val="0"/>
    <w:qFormat/>
    <w:pPr>
      <w:ind w:firstLine="480"/>
      <w:jc w:val="both"/>
      <w:spacing w:line="360" w:lineRule="auto"/>
      <w:widowControl w:val="off"/>
    </w:pPr>
    <w:rPr>
      <w:rFonts w:ascii="Calibri" w:hAnsi="Calibri"/>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Char1"/>
    <w:basedOn w:val="920"/>
    <w:uiPriority w:val="0"/>
    <w:qFormat/>
    <w:pPr>
      <w:jc w:val="both"/>
      <w:widowControl w:val="off"/>
    </w:pPr>
    <w:rPr>
      <w:rFonts w:ascii="Tahoma" w:hAnsi="Tahoma"/>
      <w:szCs w:val="20"/>
    </w:rPr>
  </w:style>
  <w:style w:type="paragraph" w:styleId="987" w:customStyle="1">
    <w:name w:val="_Style 12"/>
    <w:basedOn w:val="934"/>
    <w:uiPriority w:val="0"/>
    <w:qFormat/>
    <w:pPr>
      <w:spacing w:line="360" w:lineRule="auto"/>
    </w:pPr>
  </w:style>
  <w:style w:type="paragraph" w:styleId="988" w:customStyle="1">
    <w:name w:val="Table Paragraph"/>
    <w:basedOn w:val="920"/>
    <w:uiPriority w:val="1"/>
    <w:qFormat/>
    <w:pPr>
      <w:widowControl w:val="off"/>
    </w:pPr>
    <w:rPr>
      <w:rFonts w:ascii="宋体" w:hAnsi="宋体" w:cs="宋体"/>
      <w:sz w:val="22"/>
      <w:szCs w:val="22"/>
      <w:lang w:val="zh-CN" w:bidi="zh-CN"/>
    </w:rPr>
  </w:style>
  <w:style w:type="paragraph" w:styleId="989" w:customStyle="1">
    <w:name w:val="_Style 25"/>
    <w:basedOn w:val="920"/>
    <w:uiPriority w:val="0"/>
    <w:qFormat/>
    <w:pPr>
      <w:spacing w:after="160" w:line="240" w:lineRule="exact"/>
    </w:pPr>
    <w:rPr>
      <w:szCs w:val="20"/>
    </w:rPr>
  </w:style>
  <w:style w:type="paragraph" w:styleId="990" w:customStyle="1">
    <w:name w:val="纯文本11"/>
    <w:basedOn w:val="920"/>
    <w:uiPriority w:val="0"/>
    <w:qFormat/>
    <w:pPr>
      <w:jc w:val="both"/>
      <w:widowControl w:val="off"/>
    </w:pPr>
    <w:rPr>
      <w:rFonts w:ascii="宋体" w:hAnsi="Courier New" w:eastAsia="楷体_GB2312"/>
      <w:sz w:val="28"/>
      <w:szCs w:val="20"/>
    </w:rPr>
  </w:style>
  <w:style w:type="paragraph" w:styleId="991"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992" w:customStyle="1">
    <w:name w:val="Char Char Char1 Char Char Char Char"/>
    <w:basedOn w:val="920"/>
    <w:uiPriority w:val="0"/>
    <w:qFormat/>
    <w:pPr>
      <w:spacing w:after="160" w:line="240" w:lineRule="exact"/>
    </w:pPr>
  </w:style>
  <w:style w:type="paragraph" w:styleId="993" w:customStyle="1">
    <w:name w:val="表正文"/>
    <w:basedOn w:val="920"/>
    <w:next w:val="932"/>
    <w:uiPriority w:val="0"/>
    <w:qFormat/>
    <w:pPr>
      <w:ind w:left="420"/>
      <w:spacing w:after="120"/>
    </w:pPr>
    <w:rPr>
      <w:sz w:val="21"/>
    </w:rPr>
  </w:style>
  <w:style w:type="paragraph" w:styleId="994" w:customStyle="1">
    <w:name w:val="Char Char Char Char Char Char Char Char Char Char"/>
    <w:basedOn w:val="920"/>
    <w:uiPriority w:val="0"/>
    <w:qFormat/>
    <w:pPr>
      <w:ind w:left="795" w:hanging="360"/>
      <w:jc w:val="both"/>
      <w:widowControl w:val="off"/>
      <w:tabs>
        <w:tab w:val="left" w:pos="795" w:leader="none"/>
      </w:tabs>
    </w:pPr>
  </w:style>
  <w:style w:type="paragraph" w:styleId="995" w:customStyle="1">
    <w:name w:val="Char1 Char Char Char"/>
    <w:basedOn w:val="920"/>
    <w:uiPriority w:val="0"/>
    <w:qFormat/>
    <w:pPr>
      <w:jc w:val="both"/>
      <w:widowControl w:val="off"/>
    </w:pPr>
    <w:rPr>
      <w:sz w:val="21"/>
    </w:rPr>
  </w:style>
  <w:style w:type="paragraph" w:styleId="99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97">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998"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99" w:customStyle="1">
    <w:name w:val="Andy_2级"/>
    <w:basedOn w:val="920"/>
    <w:uiPriority w:val="0"/>
    <w:qFormat/>
    <w:pPr>
      <w:numPr>
        <w:ilvl w:val="1"/>
        <w:numId w:val="2"/>
      </w:numPr>
      <w:ind w:left="0" w:firstLine="510"/>
      <w:spacing w:line="360" w:lineRule="auto"/>
    </w:pPr>
    <w:rPr>
      <w:rFonts w:ascii="Calibri" w:hAnsi="Calibri"/>
      <w:szCs w:val="20"/>
    </w:rPr>
  </w:style>
  <w:style w:type="paragraph" w:styleId="1000" w:customStyle="1">
    <w:name w:val="p16"/>
    <w:basedOn w:val="920"/>
    <w:uiPriority w:val="0"/>
    <w:qFormat/>
    <w:rPr>
      <w:rFonts w:ascii="宋体" w:hAnsi="宋体" w:cs="宋体"/>
      <w:sz w:val="26"/>
      <w:szCs w:val="26"/>
    </w:rPr>
  </w:style>
  <w:style w:type="paragraph" w:styleId="1001" w:customStyle="1">
    <w:name w:val="纯文本3"/>
    <w:basedOn w:val="920"/>
    <w:uiPriority w:val="0"/>
    <w:qFormat/>
    <w:rPr>
      <w:rFonts w:ascii="宋体" w:hAnsi="Courier New"/>
      <w:sz w:val="26"/>
    </w:rPr>
  </w:style>
  <w:style w:type="paragraph" w:styleId="1002" w:customStyle="1">
    <w:name w:val="Char Char Char"/>
    <w:basedOn w:val="920"/>
    <w:uiPriority w:val="0"/>
    <w:qFormat/>
    <w:pPr>
      <w:ind w:left="795" w:hanging="360"/>
      <w:jc w:val="both"/>
      <w:widowControl w:val="off"/>
      <w:tabs>
        <w:tab w:val="left" w:pos="795" w:leader="none"/>
      </w:tabs>
    </w:pPr>
  </w:style>
  <w:style w:type="paragraph" w:styleId="1003" w:customStyle="1">
    <w:name w:val="样式2"/>
    <w:basedOn w:val="963"/>
    <w:uiPriority w:val="0"/>
    <w:qFormat/>
    <w:rPr>
      <w:sz w:val="21"/>
    </w:rPr>
  </w:style>
  <w:style w:type="paragraph" w:styleId="1004" w:customStyle="1">
    <w:name w:val="f正文"/>
    <w:basedOn w:val="920"/>
    <w:uiPriority w:val="0"/>
    <w:qFormat/>
    <w:pPr>
      <w:ind w:firstLine="200"/>
    </w:pPr>
  </w:style>
  <w:style w:type="paragraph" w:styleId="1005" w:customStyle="1">
    <w:name w:val="_Style 3"/>
    <w:basedOn w:val="920"/>
    <w:uiPriority w:val="0"/>
    <w:qFormat/>
    <w:pPr>
      <w:ind w:left="795" w:hanging="360"/>
      <w:jc w:val="both"/>
      <w:widowControl w:val="off"/>
      <w:tabs>
        <w:tab w:val="left" w:pos="540" w:leader="none"/>
      </w:tabs>
    </w:pPr>
  </w:style>
  <w:style w:type="paragraph" w:styleId="1006" w:customStyle="1">
    <w:name w:val="Char Char Char Char Char Char Char Char Char1 Char"/>
    <w:basedOn w:val="934"/>
    <w:uiPriority w:val="0"/>
    <w:qFormat/>
    <w:pPr>
      <w:jc w:val="both"/>
      <w:spacing w:line="360" w:lineRule="auto"/>
      <w:widowControl w:val="off"/>
    </w:pPr>
    <w:rPr>
      <w:rFonts w:ascii="Tahoma" w:hAnsi="Tahoma"/>
    </w:rPr>
  </w:style>
  <w:style w:type="paragraph" w:styleId="1007" w:customStyle="1">
    <w:name w:val="纯文本5"/>
    <w:basedOn w:val="920"/>
    <w:uiPriority w:val="0"/>
    <w:qFormat/>
    <w:rPr>
      <w:rFonts w:ascii="宋体" w:hAnsi="Courier New" w:eastAsia="楷体_GB2312"/>
      <w:sz w:val="28"/>
      <w:szCs w:val="20"/>
    </w:rPr>
  </w:style>
  <w:style w:type="paragraph" w:styleId="1008" w:customStyle="1">
    <w:name w:val="p18"/>
    <w:basedOn w:val="920"/>
    <w:uiPriority w:val="0"/>
    <w:qFormat/>
    <w:pPr>
      <w:ind w:firstLine="420"/>
    </w:pPr>
  </w:style>
  <w:style w:type="paragraph" w:styleId="1009" w:customStyle="1">
    <w:name w:val="纯文本2"/>
    <w:basedOn w:val="920"/>
    <w:uiPriority w:val="0"/>
    <w:qFormat/>
    <w:rPr>
      <w:rFonts w:ascii="宋体" w:hAnsi="Courier New"/>
    </w:rPr>
  </w:style>
  <w:style w:type="paragraph" w:styleId="1010" w:customStyle="1">
    <w:name w:val="Char Char2"/>
    <w:basedOn w:val="934"/>
    <w:uiPriority w:val="0"/>
    <w:qFormat/>
    <w:pPr>
      <w:spacing w:line="360" w:lineRule="auto"/>
    </w:pPr>
  </w:style>
  <w:style w:type="paragraph" w:styleId="1011" w:customStyle="1">
    <w:name w:val="_Style 5"/>
    <w:basedOn w:val="920"/>
    <w:uiPriority w:val="0"/>
    <w:qFormat/>
    <w:pPr>
      <w:spacing w:after="160" w:line="240" w:lineRule="exact"/>
    </w:pPr>
    <w:rPr>
      <w:szCs w:val="20"/>
    </w:rPr>
  </w:style>
  <w:style w:type="paragraph" w:styleId="1012" w:customStyle="1">
    <w:name w:val="段"/>
    <w:next w:val="920"/>
    <w:uiPriority w:val="0"/>
    <w:qFormat/>
    <w:pPr>
      <w:ind w:firstLine="200"/>
      <w:jc w:val="both"/>
    </w:pPr>
    <w:rPr>
      <w:rFonts w:ascii="宋体" w:hAnsi="Times New Roman" w:eastAsia="宋体" w:cs="Times New Roman"/>
      <w:sz w:val="21"/>
      <w:szCs w:val="22"/>
      <w:lang w:val="en-US" w:eastAsia="zh-CN" w:bidi="ar-SA"/>
    </w:rPr>
  </w:style>
  <w:style w:type="paragraph" w:styleId="1013" w:customStyle="1">
    <w:name w:val="Char Char Char Char"/>
    <w:basedOn w:val="934"/>
    <w:uiPriority w:val="0"/>
    <w:qFormat/>
    <w:pPr>
      <w:jc w:val="both"/>
      <w:spacing w:line="360" w:lineRule="auto"/>
      <w:widowControl w:val="off"/>
    </w:pPr>
    <w:rPr>
      <w:szCs w:val="20"/>
    </w:rPr>
  </w:style>
  <w:style w:type="paragraph" w:styleId="1014" w:customStyle="1">
    <w:name w:val="p0"/>
    <w:basedOn w:val="920"/>
    <w:uiPriority w:val="0"/>
    <w:qFormat/>
  </w:style>
  <w:style w:type="paragraph" w:styleId="1015" w:customStyle="1">
    <w:name w:val="Char Char Char Char Char Char Char Char Char1 Char1"/>
    <w:basedOn w:val="934"/>
    <w:uiPriority w:val="0"/>
    <w:qFormat/>
    <w:pPr>
      <w:jc w:val="both"/>
      <w:spacing w:line="360" w:lineRule="auto"/>
      <w:widowControl w:val="off"/>
    </w:pPr>
    <w:rPr>
      <w:rFonts w:ascii="Tahoma" w:hAnsi="Tahoma"/>
    </w:rPr>
  </w:style>
  <w:style w:type="paragraph" w:styleId="1016" w:customStyle="1">
    <w:name w:val="列出段落1"/>
    <w:basedOn w:val="920"/>
    <w:uiPriority w:val="0"/>
    <w:qFormat/>
    <w:pPr>
      <w:ind w:firstLine="420"/>
    </w:pPr>
    <w:rPr>
      <w:rFonts w:ascii="Calibri" w:hAnsi="Calibri" w:cs="Calibri"/>
      <w:szCs w:val="22"/>
    </w:rPr>
  </w:style>
  <w:style w:type="paragraph" w:styleId="1017" w:customStyle="1">
    <w:name w:val="纯文本111"/>
    <w:basedOn w:val="920"/>
    <w:uiPriority w:val="0"/>
    <w:qFormat/>
    <w:rPr>
      <w:rFonts w:ascii="宋体" w:hAnsi="Courier New"/>
    </w:rPr>
  </w:style>
  <w:style w:type="paragraph" w:styleId="1018" w:customStyle="1">
    <w:name w:val="列表段落1"/>
    <w:basedOn w:val="920"/>
    <w:uiPriority w:val="0"/>
    <w:qFormat/>
    <w:pPr>
      <w:ind w:firstLine="420"/>
      <w:jc w:val="both"/>
      <w:widowControl w:val="off"/>
    </w:pPr>
    <w:rPr>
      <w:rFonts w:ascii="Calibri" w:hAnsi="Calibri"/>
      <w:sz w:val="21"/>
      <w:szCs w:val="22"/>
    </w:rPr>
  </w:style>
  <w:style w:type="paragraph" w:styleId="1019" w:customStyle="1">
    <w:name w:val="Char Char3"/>
    <w:basedOn w:val="920"/>
    <w:uiPriority w:val="0"/>
    <w:qFormat/>
    <w:pPr>
      <w:numPr>
        <w:ilvl w:val="0"/>
        <w:numId w:val="3"/>
      </w:numPr>
      <w:jc w:val="both"/>
      <w:widowControl w:val="off"/>
    </w:pPr>
  </w:style>
  <w:style w:type="paragraph" w:styleId="1020" w:customStyle="1">
    <w:name w:val="Char"/>
    <w:basedOn w:val="920"/>
    <w:uiPriority w:val="0"/>
    <w:qFormat/>
    <w:pPr>
      <w:jc w:val="both"/>
      <w:widowControl w:val="off"/>
    </w:pPr>
    <w:rPr>
      <w:rFonts w:ascii="Tahoma" w:hAnsi="Tahoma" w:cs="Tahoma"/>
    </w:rPr>
  </w:style>
  <w:style w:type="paragraph" w:styleId="1021" w:customStyle="1">
    <w:name w:val="01 章标"/>
    <w:basedOn w:val="920"/>
    <w:uiPriority w:val="0"/>
    <w:qFormat/>
    <w:pPr>
      <w:ind w:firstLine="883"/>
      <w:jc w:val="center"/>
      <w:outlineLvl w:val="0"/>
    </w:pPr>
    <w:rPr>
      <w:b/>
      <w:sz w:val="44"/>
      <w:szCs w:val="44"/>
    </w:rPr>
  </w:style>
  <w:style w:type="paragraph" w:styleId="1022" w:customStyle="1">
    <w:name w:val="首行缩进"/>
    <w:basedOn w:val="920"/>
    <w:uiPriority w:val="0"/>
    <w:qFormat/>
    <w:pPr>
      <w:ind w:firstLine="480"/>
    </w:pPr>
    <w:rPr>
      <w:rFonts w:eastAsia="楷体_GB2312"/>
      <w:sz w:val="26"/>
      <w:szCs w:val="20"/>
      <w:lang w:val="zh-CN"/>
    </w:rPr>
  </w:style>
  <w:style w:type="paragraph" w:styleId="1023" w:customStyle="1">
    <w:name w:val="Other|1"/>
    <w:basedOn w:val="920"/>
    <w:uiPriority w:val="0"/>
    <w:qFormat/>
    <w:pPr>
      <w:spacing w:line="306" w:lineRule="exact"/>
    </w:pPr>
    <w:rPr>
      <w:rFonts w:ascii="宋体" w:hAnsi="宋体" w:cs="宋体"/>
      <w:sz w:val="20"/>
      <w:szCs w:val="20"/>
      <w:lang w:val="zh-TW" w:eastAsia="zh-TW" w:bidi="zh-TW"/>
    </w:rPr>
  </w:style>
  <w:style w:type="paragraph" w:styleId="1024" w:customStyle="1">
    <w:name w:val="Plain Text1"/>
    <w:basedOn w:val="920"/>
    <w:uiPriority w:val="0"/>
    <w:qFormat/>
    <w:rPr>
      <w:rFonts w:hint="eastAsia" w:ascii="宋体" w:hAnsi="Courier New"/>
    </w:rPr>
  </w:style>
  <w:style w:type="paragraph" w:styleId="1025" w:customStyle="1">
    <w:name w:val="正文2"/>
    <w:basedOn w:val="920"/>
    <w:uiPriority w:val="0"/>
    <w:qFormat/>
    <w:pPr>
      <w:ind w:firstLine="200"/>
      <w:spacing w:after="160" w:line="360" w:lineRule="auto"/>
    </w:pPr>
    <w:rPr>
      <w:rFonts w:ascii="Verdana" w:hAnsi="Verdana" w:eastAsia="黑体"/>
      <w:sz w:val="21"/>
      <w:szCs w:val="20"/>
      <w:lang w:eastAsia="en-US"/>
    </w:rPr>
  </w:style>
  <w:style w:type="paragraph" w:styleId="1026" w:customStyle="1">
    <w:name w:val="图片格式"/>
    <w:basedOn w:val="920"/>
    <w:uiPriority w:val="0"/>
    <w:qFormat/>
    <w:pPr>
      <w:jc w:val="center"/>
      <w:tabs>
        <w:tab w:val="center" w:pos="4153" w:leader="none"/>
        <w:tab w:val="right" w:pos="8306" w:leader="none"/>
      </w:tabs>
    </w:pPr>
    <w:rPr>
      <w:rFonts w:cs="宋体"/>
      <w:szCs w:val="20"/>
    </w:rPr>
  </w:style>
  <w:style w:type="paragraph" w:styleId="1027" w:customStyle="1">
    <w:name w:val="p17"/>
    <w:basedOn w:val="920"/>
    <w:uiPriority w:val="0"/>
    <w:qFormat/>
    <w:pPr>
      <w:jc w:val="both"/>
    </w:pPr>
    <w:rPr>
      <w:rFonts w:ascii="宋体" w:hAnsi="宋体" w:cs="宋体"/>
      <w:sz w:val="26"/>
      <w:szCs w:val="26"/>
    </w:rPr>
  </w:style>
  <w:style w:type="paragraph" w:styleId="1028" w:customStyle="1">
    <w:name w:val="Char2"/>
    <w:basedOn w:val="934"/>
    <w:uiPriority w:val="0"/>
    <w:qFormat/>
    <w:pPr>
      <w:jc w:val="both"/>
      <w:spacing w:line="360" w:lineRule="auto"/>
      <w:widowControl w:val="off"/>
    </w:pPr>
    <w:rPr>
      <w:sz w:val="21"/>
    </w:rPr>
  </w:style>
  <w:style w:type="paragraph" w:styleId="1029" w:customStyle="1">
    <w:name w:val="无间隔1"/>
    <w:uiPriority w:val="1"/>
    <w:qFormat/>
    <w:rPr>
      <w:rFonts w:ascii="微软雅黑." w:hAnsi="微软雅黑." w:eastAsia="宋体" w:cs="Times New Roman"/>
      <w:sz w:val="22"/>
      <w:szCs w:val="22"/>
      <w:lang w:val="en-US" w:eastAsia="zh-CN" w:bidi="ar-SA"/>
    </w:rPr>
  </w:style>
  <w:style w:type="paragraph" w:styleId="1030" w:customStyle="1">
    <w:name w:val="方案正文"/>
    <w:basedOn w:val="920"/>
    <w:uiPriority w:val="0"/>
    <w:qFormat/>
    <w:pPr>
      <w:spacing w:line="440" w:lineRule="atLeast"/>
    </w:pPr>
  </w:style>
  <w:style w:type="paragraph" w:styleId="1031" w:customStyle="1">
    <w:name w:val="*正文"/>
    <w:basedOn w:val="920"/>
    <w:uiPriority w:val="0"/>
    <w:qFormat/>
    <w:rPr>
      <w:rFonts w:ascii="宋体" w:hAnsi="宋体"/>
      <w:lang w:val="zh-CN"/>
    </w:rPr>
  </w:style>
  <w:style w:type="paragraph" w:styleId="1032" w:customStyle="1">
    <w:name w:val="正文首行缩进 21"/>
    <w:basedOn w:val="932"/>
    <w:uiPriority w:val="99"/>
    <w:qFormat/>
    <w:pPr>
      <w:ind w:firstLine="420"/>
    </w:pPr>
  </w:style>
  <w:style w:type="paragraph" w:styleId="1033" w:customStyle="1">
    <w:name w:val="普通正文"/>
    <w:basedOn w:val="920"/>
    <w:uiPriority w:val="0"/>
    <w:qFormat/>
    <w:pPr>
      <w:ind w:firstLine="480"/>
      <w:spacing w:before="120" w:after="120" w:line="360" w:lineRule="auto"/>
    </w:pPr>
    <w:rPr>
      <w:rFonts w:ascii="Arial" w:hAnsi="Arial" w:cs="Arial"/>
    </w:rPr>
  </w:style>
  <w:style w:type="paragraph" w:styleId="1034" w:customStyle="1">
    <w:name w:val="_Style 7"/>
    <w:basedOn w:val="936"/>
    <w:next w:val="955"/>
    <w:uiPriority w:val="0"/>
    <w:qFormat/>
    <w:pPr>
      <w:ind w:firstLine="420"/>
    </w:pPr>
    <w:rPr>
      <w:rFonts w:ascii="Calibri" w:hAnsi="Calibri"/>
    </w:rPr>
  </w:style>
  <w:style w:type="paragraph" w:styleId="1035" w:customStyle="1">
    <w:name w:val="目录 51"/>
    <w:next w:val="920"/>
    <w:uiPriority w:val="0"/>
    <w:qFormat/>
    <w:pPr>
      <w:ind w:left="1275"/>
      <w:jc w:val="both"/>
    </w:pPr>
    <w:rPr>
      <w:rFonts w:ascii="Times New Roman" w:hAnsi="Times New Roman" w:eastAsia="宋体" w:cs="Times New Roman"/>
      <w:sz w:val="21"/>
      <w:lang w:val="en-US" w:eastAsia="zh-CN" w:bidi="ar-SA"/>
    </w:rPr>
  </w:style>
  <w:style w:type="paragraph" w:styleId="1036" w:customStyle="1">
    <w:name w:val="列表段落11"/>
    <w:basedOn w:val="920"/>
    <w:uiPriority w:val="34"/>
    <w:qFormat/>
    <w:pPr>
      <w:ind w:firstLine="420"/>
    </w:pPr>
  </w:style>
  <w:style w:type="paragraph" w:styleId="1037" w:customStyle="1">
    <w:name w:val="Plain Text"/>
    <w:basedOn w:val="920"/>
    <w:uiPriority w:val="0"/>
    <w:qFormat/>
    <w:pPr>
      <w:jc w:val="both"/>
      <w:widowControl w:val="off"/>
    </w:pPr>
    <w:rPr>
      <w:rFonts w:ascii="宋体" w:hAnsi="Courier New" w:eastAsia="楷体_GB2312"/>
      <w:sz w:val="26"/>
      <w:szCs w:val="20"/>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7</cp:revision>
  <dcterms:created xsi:type="dcterms:W3CDTF">2020-10-19T23:57:00Z</dcterms:created>
  <dcterms:modified xsi:type="dcterms:W3CDTF">2024-09-19T03:47:58Z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EFB7C0E790554E93A4E619E3B87C0E53_13</vt:lpwstr>
  </property>
</Properties>
</file>