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28"/>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48"/>
        <w:rPr>
          <w:color w:val="000000"/>
          <w:highlight w:val="none"/>
        </w:rPr>
        <w:outlineLvl w:val="9"/>
      </w:pPr>
      <w:r>
        <w:rPr>
          <w:color w:val="000000"/>
          <w:highlight w:val="none"/>
        </w:rPr>
      </w:r>
      <w:r/>
    </w:p>
    <w:p>
      <w:pPr>
        <w:pStyle w:val="1528"/>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48"/>
        <w:rPr>
          <w:color w:val="000000"/>
          <w:highlight w:val="none"/>
        </w:rPr>
        <w:outlineLvl w:val="9"/>
      </w:pPr>
      <w:r>
        <w:rPr>
          <w:color w:val="000000"/>
          <w:highlight w:val="none"/>
        </w:rPr>
      </w:r>
      <w:r/>
    </w:p>
    <w:p>
      <w:pPr>
        <w:pStyle w:val="1528"/>
        <w:jc w:val="center"/>
        <w:rPr>
          <w:b/>
          <w:color w:val="000000"/>
          <w:sz w:val="96"/>
          <w:szCs w:val="96"/>
          <w:highlight w:val="none"/>
        </w:rPr>
        <w:outlineLvl w:val="9"/>
      </w:pPr>
      <w:r>
        <w:rPr>
          <w:sz w:val="20"/>
          <w:szCs w:val="18"/>
        </w:rPr>
      </w:r>
      <w:bookmarkStart w:id="0" w:name="_Toc20707"/>
      <w:r>
        <w:rPr>
          <w:sz w:val="20"/>
          <w:szCs w:val="18"/>
        </w:rPr>
      </w:r>
      <w:bookmarkStart w:id="1" w:name="_Toc24222"/>
      <w:r>
        <w:rPr>
          <w:rFonts w:hint="eastAsia"/>
          <w:b/>
          <w:color w:val="000000"/>
          <w:sz w:val="96"/>
          <w:szCs w:val="96"/>
          <w:highlight w:val="none"/>
        </w:rPr>
        <w:t xml:space="preserve">锡山区</w:t>
      </w:r>
      <w:r>
        <w:rPr>
          <w:b/>
          <w:color w:val="000000"/>
          <w:sz w:val="96"/>
          <w:szCs w:val="96"/>
          <w:highlight w:val="none"/>
        </w:rPr>
        <w:t xml:space="preserve">政府采购</w:t>
      </w:r>
      <w:bookmarkEnd w:id="0"/>
      <w:r>
        <w:rPr>
          <w:sz w:val="20"/>
          <w:szCs w:val="18"/>
        </w:rPr>
      </w:r>
      <w:bookmarkEnd w:id="1"/>
      <w:r>
        <w:rPr>
          <w:sz w:val="20"/>
          <w:szCs w:val="18"/>
        </w:rPr>
      </w:r>
      <w:r/>
    </w:p>
    <w:p>
      <w:pPr>
        <w:pStyle w:val="1528"/>
        <w:rPr>
          <w:rFonts w:hint="eastAsia"/>
          <w:b/>
          <w:color w:val="000000"/>
          <w:sz w:val="28"/>
          <w:szCs w:val="28"/>
          <w:highlight w:val="none"/>
        </w:rPr>
        <w:outlineLvl w:val="9"/>
      </w:pPr>
      <w:r>
        <w:rPr>
          <w:rFonts w:hint="eastAsia"/>
          <w:b/>
          <w:color w:val="000000"/>
          <w:sz w:val="28"/>
          <w:szCs w:val="28"/>
          <w:highlight w:val="none"/>
        </w:rPr>
      </w:r>
      <w:r/>
    </w:p>
    <w:p>
      <w:pPr>
        <w:pStyle w:val="1560"/>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528"/>
        <w:rPr>
          <w:rFonts w:hint="eastAsia"/>
          <w:b/>
          <w:color w:val="000000"/>
          <w:sz w:val="28"/>
          <w:szCs w:val="28"/>
          <w:highlight w:val="none"/>
        </w:rPr>
        <w:outlineLvl w:val="9"/>
      </w:pPr>
      <w:r>
        <w:rPr>
          <w:rFonts w:hint="eastAsia"/>
          <w:b/>
          <w:color w:val="000000"/>
          <w:sz w:val="28"/>
          <w:szCs w:val="28"/>
          <w:highlight w:val="none"/>
        </w:rPr>
      </w:r>
      <w:r/>
    </w:p>
    <w:p>
      <w:pPr>
        <w:pStyle w:val="156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6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28"/>
        <w:jc w:val="center"/>
        <w:rPr>
          <w:b/>
          <w:color w:val="000000"/>
          <w:sz w:val="28"/>
          <w:szCs w:val="28"/>
          <w:highlight w:val="none"/>
        </w:rPr>
        <w:outlineLvl w:val="9"/>
      </w:pPr>
      <w:r/>
      <w:bookmarkStart w:id="2" w:name="_Toc8186"/>
      <w:r/>
      <w:bookmarkStart w:id="3" w:name="_Toc6267"/>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528"/>
        <w:rPr>
          <w:b w:val="0"/>
          <w:bCs/>
          <w:color w:val="000000"/>
          <w:sz w:val="28"/>
          <w:szCs w:val="28"/>
          <w:highlight w:val="none"/>
        </w:rPr>
        <w:outlineLvl w:val="9"/>
      </w:pPr>
      <w:r>
        <w:rPr>
          <w:b w:val="0"/>
          <w:bCs/>
          <w:color w:val="000000"/>
          <w:sz w:val="28"/>
          <w:szCs w:val="28"/>
          <w:highlight w:val="none"/>
        </w:rPr>
      </w:r>
      <w:r/>
    </w:p>
    <w:p>
      <w:pPr>
        <w:pStyle w:val="1536"/>
        <w:ind w:left="1260"/>
        <w:rPr>
          <w:b/>
          <w:color w:val="000000"/>
          <w:sz w:val="28"/>
          <w:szCs w:val="28"/>
          <w:highlight w:val="none"/>
        </w:rPr>
        <w:outlineLvl w:val="9"/>
      </w:pPr>
      <w:r>
        <w:rPr>
          <w:b/>
          <w:color w:val="000000"/>
          <w:sz w:val="28"/>
          <w:szCs w:val="28"/>
          <w:highlight w:val="none"/>
        </w:rPr>
      </w:r>
      <w:r/>
    </w:p>
    <w:p>
      <w:pPr>
        <w:pStyle w:val="1528"/>
        <w:rPr>
          <w:b/>
          <w:color w:val="000000"/>
          <w:sz w:val="28"/>
          <w:szCs w:val="28"/>
          <w:highlight w:val="none"/>
        </w:rPr>
        <w:outlineLvl w:val="9"/>
      </w:pPr>
      <w:r>
        <w:rPr>
          <w:b/>
          <w:color w:val="000000"/>
          <w:sz w:val="28"/>
          <w:szCs w:val="28"/>
          <w:highlight w:val="none"/>
        </w:rPr>
      </w:r>
      <w:r/>
    </w:p>
    <w:p>
      <w:pPr>
        <w:pStyle w:val="1528"/>
        <w:jc w:val="center"/>
        <w:rPr>
          <w:b/>
          <w:color w:val="000000"/>
          <w:sz w:val="28"/>
          <w:szCs w:val="28"/>
          <w:highlight w:val="none"/>
        </w:rPr>
        <w:outlineLvl w:val="9"/>
      </w:pPr>
      <w:r>
        <w:rPr>
          <w:b/>
          <w:color w:val="000000"/>
          <w:sz w:val="28"/>
          <w:szCs w:val="28"/>
          <w:highlight w:val="none"/>
        </w:rPr>
      </w:r>
      <w:r/>
    </w:p>
    <w:p>
      <w:pPr>
        <w:pStyle w:val="1528"/>
        <w:jc w:val="center"/>
        <w:rPr>
          <w:rFonts w:hint="eastAsia"/>
          <w:b/>
          <w:color w:val="000000"/>
          <w:sz w:val="28"/>
          <w:szCs w:val="28"/>
          <w:highlight w:val="none"/>
        </w:rPr>
        <w:outlineLvl w:val="9"/>
      </w:pPr>
      <w:r/>
      <w:bookmarkStart w:id="4" w:name="_Toc9350"/>
      <w:r/>
      <w:bookmarkStart w:id="5" w:name="_Toc607"/>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601"/>
        <w:ind w:firstLine="0"/>
        <w:rPr>
          <w:color w:val="000000"/>
          <w:highlight w:val="none"/>
        </w:rPr>
        <w:outlineLvl w:val="9"/>
      </w:pPr>
      <w:r>
        <w:rPr>
          <w:color w:val="000000"/>
          <w:highlight w:val="none"/>
        </w:rPr>
      </w:r>
      <w:r/>
    </w:p>
    <w:p>
      <w:pPr>
        <w:pStyle w:val="1601"/>
        <w:ind w:firstLine="0"/>
        <w:rPr>
          <w:color w:val="000000"/>
          <w:highlight w:val="none"/>
        </w:rPr>
        <w:outlineLvl w:val="9"/>
      </w:pPr>
      <w:r>
        <w:rPr>
          <w:color w:val="000000"/>
          <w:highlight w:val="none"/>
        </w:rPr>
      </w:r>
      <w:r/>
    </w:p>
    <w:p>
      <w:pPr>
        <w:pStyle w:val="1601"/>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528"/>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528"/>
        <w:spacing w:line="360" w:lineRule="auto"/>
        <w:rPr>
          <w:rFonts w:hint="eastAsia" w:ascii="宋体" w:hAnsi="宋体" w:eastAsia="宋体" w:cs="宋体"/>
          <w:color w:val="000000"/>
          <w:sz w:val="30"/>
          <w:szCs w:val="30"/>
          <w:highlight w:val="none"/>
          <w:lang w:eastAsia="zh-CN"/>
        </w:rPr>
        <w:outlineLvl w:val="9"/>
      </w:pPr>
      <w:r/>
      <w:bookmarkStart w:id="6" w:name="_Toc30450"/>
      <w:r/>
      <w:bookmarkStart w:id="7" w:name="_Toc158"/>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lang w:eastAsia="zh-CN"/>
        </w:rPr>
        <w:t xml:space="preserve">JSZC-320205-THGC-G2025-0013</w:t>
      </w:r>
      <w:r>
        <w:rPr>
          <w:rFonts w:hint="eastAsia" w:ascii="宋体" w:hAnsi="宋体" w:eastAsia="宋体" w:cs="宋体"/>
          <w:color w:val="000000"/>
          <w:sz w:val="30"/>
          <w:szCs w:val="30"/>
          <w:highlight w:val="none"/>
          <w:lang w:eastAsia="zh-CN"/>
        </w:rPr>
      </w:r>
      <w:r/>
    </w:p>
    <w:p>
      <w:pPr>
        <w:pStyle w:val="1528"/>
        <w:ind w:left="2100" w:hanging="2100"/>
        <w:keepLines w:val="0"/>
        <w:keepNext w:val="0"/>
        <w:pageBreakBefore w:val="0"/>
        <w:spacing w:line="360" w:lineRule="auto"/>
        <w:widowControl w:val="off"/>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厚桥街道绿化养护</w:t>
      </w:r>
      <w:r>
        <w:rPr>
          <w:rFonts w:hint="eastAsia" w:ascii="宋体" w:hAnsi="宋体" w:eastAsia="宋体" w:cs="Times New Roman"/>
          <w:b w:val="0"/>
          <w:bCs/>
          <w:color w:val="000000"/>
          <w:sz w:val="30"/>
          <w:szCs w:val="30"/>
          <w:highlight w:val="none"/>
          <w:lang w:val="en-US" w:eastAsia="zh-CN"/>
        </w:rPr>
        <w:t xml:space="preserve">项目</w:t>
      </w:r>
      <w:r>
        <w:rPr>
          <w:rFonts w:hint="eastAsia" w:ascii="宋体" w:hAnsi="宋体" w:eastAsia="宋体" w:cs="Times New Roman"/>
          <w:b w:val="0"/>
          <w:bCs/>
          <w:color w:val="000000"/>
          <w:sz w:val="30"/>
          <w:szCs w:val="30"/>
          <w:highlight w:val="none"/>
          <w:lang w:eastAsia="zh-CN"/>
        </w:rPr>
        <w:t xml:space="preserve">N标段</w:t>
      </w:r>
      <w:r>
        <w:rPr>
          <w:rFonts w:hint="eastAsia" w:ascii="宋体" w:hAnsi="宋体" w:eastAsia="宋体" w:cs="Times New Roman"/>
          <w:b w:val="0"/>
          <w:bCs/>
          <w:color w:val="000000"/>
          <w:sz w:val="30"/>
          <w:szCs w:val="30"/>
          <w:highlight w:val="none"/>
          <w:lang w:eastAsia="zh-CN"/>
        </w:rPr>
      </w:r>
      <w:r/>
    </w:p>
    <w:p>
      <w:pPr>
        <w:pStyle w:val="1528"/>
        <w:jc w:val="left"/>
        <w:spacing w:line="360" w:lineRule="auto"/>
        <w:rPr>
          <w:rFonts w:hint="eastAsia" w:ascii="宋体" w:hAnsi="宋体" w:cs="宋体"/>
          <w:color w:val="000000"/>
          <w:sz w:val="28"/>
          <w:szCs w:val="28"/>
          <w:highlight w:val="none"/>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人：无</w:t>
      </w:r>
      <w:r>
        <w:rPr>
          <w:rFonts w:hint="eastAsia" w:ascii="宋体" w:hAnsi="宋体" w:cs="宋体"/>
          <w:color w:val="000000"/>
          <w:sz w:val="28"/>
          <w:szCs w:val="28"/>
          <w:highlight w:val="none"/>
        </w:rPr>
        <w:t xml:space="preserve">锡市锡山区人民政府厚桥街道办事处</w:t>
      </w:r>
      <w:r>
        <w:rPr>
          <w:rFonts w:hint="eastAsia" w:ascii="宋体" w:hAnsi="宋体" w:cs="宋体"/>
          <w:color w:val="000000"/>
          <w:sz w:val="28"/>
          <w:szCs w:val="28"/>
          <w:highlight w:val="none"/>
        </w:rPr>
      </w:r>
      <w:r/>
    </w:p>
    <w:p>
      <w:pPr>
        <w:pStyle w:val="1528"/>
        <w:spacing w:line="360" w:lineRule="auto"/>
        <w:rPr>
          <w:rFonts w:hint="eastAsia" w:ascii="宋体" w:hAnsi="宋体" w:cs="宋体"/>
          <w:color w:val="000000"/>
          <w:sz w:val="28"/>
          <w:szCs w:val="28"/>
          <w:highlight w:val="none"/>
        </w:rPr>
        <w:outlineLvl w:val="9"/>
      </w:pPr>
      <w:r/>
      <w:bookmarkStart w:id="8" w:name="_Toc22627"/>
      <w:r/>
      <w:bookmarkStart w:id="9" w:name="_Toc12700"/>
      <w:r>
        <w:rPr>
          <w:rFonts w:hint="eastAsia" w:ascii="宋体" w:hAnsi="宋体" w:cs="宋体"/>
          <w:color w:val="000000"/>
          <w:sz w:val="28"/>
          <w:szCs w:val="28"/>
          <w:highlight w:val="none"/>
        </w:rPr>
        <w:t xml:space="preserve">采购代理机构：江苏通汇工程管理咨询有限公司</w:t>
      </w:r>
      <w:bookmarkEnd w:id="8"/>
      <w:r/>
      <w:bookmarkEnd w:id="9"/>
      <w:r>
        <w:rPr>
          <w:rFonts w:hint="eastAsia" w:ascii="宋体" w:hAnsi="宋体" w:cs="宋体"/>
          <w:color w:val="000000"/>
          <w:sz w:val="28"/>
          <w:szCs w:val="28"/>
          <w:highlight w:val="none"/>
        </w:rPr>
      </w:r>
      <w:r/>
    </w:p>
    <w:p>
      <w:pPr>
        <w:pStyle w:val="1528"/>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528"/>
        <w:jc w:val="center"/>
        <w:rPr>
          <w:rStyle w:val="1582"/>
          <w:rFonts w:eastAsia="黑体"/>
          <w:bCs/>
          <w:color w:val="000000"/>
          <w:sz w:val="48"/>
          <w:highlight w:val="none"/>
        </w:rPr>
        <w:outlineLvl w:val="9"/>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三</w:t>
      </w:r>
      <w:r>
        <w:rPr>
          <w:rFonts w:hint="eastAsia" w:ascii="黑体" w:hAnsi="华文中宋" w:eastAsia="黑体"/>
          <w:bCs/>
          <w:color w:val="000000"/>
          <w:sz w:val="32"/>
          <w:szCs w:val="32"/>
          <w:highlight w:val="none"/>
        </w:rPr>
        <w:t xml:space="preserve">月</w:t>
      </w:r>
      <w:r>
        <w:rPr>
          <w:rStyle w:val="1582"/>
          <w:rFonts w:eastAsia="黑体"/>
          <w:bCs/>
          <w:color w:val="000000"/>
          <w:sz w:val="48"/>
          <w:highlight w:val="none"/>
        </w:rPr>
      </w:r>
      <w:r/>
    </w:p>
    <w:p>
      <w:pPr>
        <w:pStyle w:val="1528"/>
        <w:jc w:val="center"/>
        <w:rPr>
          <w:rStyle w:val="1582"/>
          <w:rFonts w:hint="eastAsia" w:eastAsia="黑体"/>
          <w:bCs/>
          <w:color w:val="000000"/>
          <w:sz w:val="48"/>
          <w:highlight w:val="none"/>
        </w:rPr>
        <w:sectPr>
          <w:headerReference w:type="default" r:id="rId9"/>
          <w:headerReference w:type="first" r:id="rId10"/>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582"/>
          <w:rFonts w:hint="eastAsia" w:eastAsia="黑体"/>
          <w:bCs/>
          <w:color w:val="000000"/>
          <w:sz w:val="48"/>
          <w:highlight w:val="none"/>
        </w:rPr>
      </w:r>
      <w:r/>
    </w:p>
    <w:p>
      <w:pPr>
        <w:pStyle w:val="1560"/>
        <w:tabs>
          <w:tab w:val="center" w:pos="4153" w:leader="none"/>
          <w:tab w:val="right" w:pos="8306" w:leader="none"/>
        </w:tabs>
        <w:rPr>
          <w:rFonts w:hint="eastAsia"/>
          <w:color w:val="000000"/>
          <w:highlight w:val="none"/>
        </w:rPr>
      </w:pPr>
      <w:r>
        <w:rPr>
          <w:rFonts w:hint="eastAsia"/>
          <w:color w:val="000000"/>
          <w:highlight w:val="none"/>
        </w:rPr>
      </w:r>
      <w:r/>
    </w:p>
    <w:p>
      <w:pPr>
        <w:pStyle w:val="1562"/>
        <w:rPr>
          <w:rFonts w:hint="eastAsia"/>
          <w:color w:val="000000"/>
          <w:highlight w:val="none"/>
        </w:rPr>
        <w:outlineLvl w:val="9"/>
      </w:pPr>
      <w:r>
        <w:rPr>
          <w:rFonts w:hint="eastAsia"/>
          <w:color w:val="000000"/>
          <w:highlight w:val="none"/>
        </w:rPr>
      </w:r>
      <w:r/>
    </w:p>
    <w:p>
      <w:pPr>
        <w:pStyle w:val="1528"/>
        <w:jc w:val="center"/>
        <w:rPr>
          <w:rStyle w:val="1582"/>
          <w:rFonts w:hint="eastAsia" w:ascii="宋体" w:hAnsi="宋体" w:cs="宋体"/>
          <w:b/>
          <w:color w:val="000000"/>
          <w:sz w:val="44"/>
          <w:szCs w:val="44"/>
          <w:highlight w:val="none"/>
        </w:rPr>
        <w:outlineLvl w:val="9"/>
      </w:pPr>
      <w:r/>
      <w:bookmarkStart w:id="11" w:name="_Toc23032"/>
      <w:r/>
      <w:bookmarkStart w:id="12" w:name="_Toc32576"/>
      <w:r/>
      <w:bookmarkStart w:id="13" w:name="_Toc15618"/>
      <w:r>
        <w:rPr>
          <w:rStyle w:val="1582"/>
          <w:rFonts w:hint="eastAsia" w:ascii="宋体" w:hAnsi="宋体" w:cs="宋体"/>
          <w:b/>
          <w:color w:val="000000"/>
          <w:sz w:val="44"/>
          <w:szCs w:val="44"/>
          <w:highlight w:val="none"/>
        </w:rPr>
        <w:t xml:space="preserve">目     录</w:t>
      </w:r>
      <w:bookmarkEnd w:id="10"/>
      <w:r/>
      <w:bookmarkEnd w:id="11"/>
      <w:r/>
      <w:bookmarkEnd w:id="12"/>
      <w:r/>
      <w:bookmarkEnd w:id="13"/>
      <w:r>
        <w:rPr>
          <w:rStyle w:val="1582"/>
          <w:rFonts w:hint="eastAsia" w:ascii="宋体" w:hAnsi="宋体" w:cs="宋体"/>
          <w:b/>
          <w:color w:val="000000"/>
          <w:sz w:val="44"/>
          <w:szCs w:val="44"/>
          <w:highlight w:val="none"/>
        </w:rPr>
      </w:r>
      <w:r/>
    </w:p>
    <w:p>
      <w:pPr>
        <w:pStyle w:val="1528"/>
        <w:rPr>
          <w:color w:val="000000"/>
          <w:highlight w:val="none"/>
        </w:rPr>
      </w:pPr>
      <w:r>
        <w:rPr>
          <w:color w:val="000000"/>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35</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66"/>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36</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28"/>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528"/>
        <w:spacing w:line="720" w:lineRule="auto"/>
        <w:rPr>
          <w:rFonts w:ascii="宋体"/>
          <w:bCs/>
          <w:color w:val="000000"/>
          <w:sz w:val="28"/>
          <w:szCs w:val="28"/>
          <w:highlight w:val="none"/>
        </w:rPr>
      </w:pPr>
      <w:r>
        <w:rPr>
          <w:rFonts w:ascii="宋体"/>
          <w:bCs/>
          <w:color w:val="000000"/>
          <w:sz w:val="28"/>
          <w:szCs w:val="28"/>
          <w:highlight w:val="none"/>
        </w:rPr>
      </w:r>
      <w:r/>
    </w:p>
    <w:p>
      <w:pPr>
        <w:pStyle w:val="1528"/>
        <w:spacing w:line="720" w:lineRule="auto"/>
        <w:rPr>
          <w:rFonts w:ascii="宋体"/>
          <w:bCs/>
          <w:color w:val="000000"/>
          <w:sz w:val="30"/>
          <w:highlight w:val="none"/>
        </w:rPr>
      </w:pPr>
      <w:r>
        <w:rPr>
          <w:rFonts w:ascii="宋体"/>
          <w:bCs/>
          <w:color w:val="000000"/>
          <w:sz w:val="30"/>
          <w:highlight w:val="none"/>
        </w:rPr>
      </w:r>
      <w:r/>
    </w:p>
    <w:p>
      <w:pPr>
        <w:pStyle w:val="1528"/>
        <w:spacing w:line="480" w:lineRule="auto"/>
        <w:rPr>
          <w:rFonts w:ascii="宋体"/>
          <w:bCs/>
          <w:color w:val="000000"/>
          <w:sz w:val="30"/>
          <w:highlight w:val="none"/>
        </w:rPr>
      </w:pPr>
      <w:r>
        <w:rPr>
          <w:rFonts w:ascii="宋体"/>
          <w:bCs/>
          <w:color w:val="000000"/>
          <w:sz w:val="30"/>
          <w:highlight w:val="none"/>
        </w:rPr>
      </w:r>
      <w:r/>
    </w:p>
    <w:p>
      <w:pPr>
        <w:pStyle w:val="1528"/>
        <w:rPr>
          <w:rFonts w:ascii="宋体"/>
          <w:bCs/>
          <w:color w:val="000000"/>
          <w:sz w:val="28"/>
          <w:highlight w:val="none"/>
        </w:rPr>
      </w:pPr>
      <w:r>
        <w:rPr>
          <w:rFonts w:ascii="宋体"/>
          <w:bCs/>
          <w:color w:val="000000"/>
          <w:sz w:val="28"/>
          <w:highlight w:val="none"/>
        </w:rPr>
      </w:r>
      <w:r/>
    </w:p>
    <w:p>
      <w:pPr>
        <w:pStyle w:val="1528"/>
        <w:rPr>
          <w:rFonts w:ascii="宋体"/>
          <w:bCs/>
          <w:color w:val="000000"/>
          <w:sz w:val="32"/>
          <w:highlight w:val="none"/>
        </w:rPr>
      </w:pPr>
      <w:r>
        <w:rPr>
          <w:rFonts w:ascii="宋体"/>
          <w:bCs/>
          <w:color w:val="000000"/>
          <w:sz w:val="32"/>
          <w:highlight w:val="none"/>
        </w:rPr>
      </w:r>
      <w:r/>
    </w:p>
    <w:p>
      <w:pPr>
        <w:pStyle w:val="1528"/>
        <w:rPr>
          <w:rFonts w:ascii="宋体"/>
          <w:bCs/>
          <w:color w:val="000000"/>
          <w:sz w:val="32"/>
          <w:highlight w:val="none"/>
        </w:rPr>
      </w:pPr>
      <w:r>
        <w:rPr>
          <w:rFonts w:ascii="宋体"/>
          <w:bCs/>
          <w:color w:val="000000"/>
          <w:sz w:val="32"/>
          <w:highlight w:val="none"/>
        </w:rPr>
      </w:r>
      <w:r/>
    </w:p>
    <w:p>
      <w:pPr>
        <w:pStyle w:val="1528"/>
        <w:jc w:val="center"/>
        <w:spacing w:line="360" w:lineRule="auto"/>
        <w:rPr>
          <w:rFonts w:hint="eastAsia" w:ascii="宋体" w:hAnsi="宋体" w:cs="宋体"/>
          <w:b/>
          <w:color w:val="000000"/>
          <w:sz w:val="30"/>
          <w:szCs w:val="30"/>
          <w:highlight w:val="none"/>
        </w:rPr>
        <w:sectPr>
          <w:headerReference w:type="default" r:id="rId11"/>
          <w:footerReference w:type="default" r:id="rId18"/>
          <w:footerReference w:type="even"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0"/>
      </w:pPr>
      <w:r/>
      <w:bookmarkStart w:id="14" w:name="报价方须知前附表"/>
      <w:r/>
      <w:bookmarkEnd w:id="14"/>
      <w:r/>
      <w:bookmarkStart w:id="15" w:name="_Toc24814"/>
      <w:r>
        <w:rPr>
          <w:rFonts w:hint="eastAsia" w:ascii="宋体" w:hAnsi="宋体" w:cs="宋体"/>
          <w:b/>
          <w:color w:val="000000"/>
          <w:sz w:val="30"/>
          <w:szCs w:val="30"/>
          <w:highlight w:val="none"/>
        </w:rPr>
      </w:r>
      <w:r/>
    </w:p>
    <w:p>
      <w:pPr>
        <w:pStyle w:val="1528"/>
        <w:jc w:val="center"/>
        <w:spacing w:line="360" w:lineRule="auto"/>
        <w:rPr>
          <w:rFonts w:hint="eastAsia" w:ascii="Times New Roman" w:hAnsi="宋体" w:eastAsia="宋体" w:cs="宋体"/>
          <w:b/>
          <w:bCs/>
          <w:sz w:val="32"/>
          <w:szCs w:val="32"/>
          <w:highlight w:val="none"/>
        </w:rPr>
        <w:outlineLvl w:val="0"/>
      </w:pPr>
      <w:r/>
      <w:bookmarkStart w:id="16" w:name="_Toc13603"/>
      <w:r/>
      <w:bookmarkStart w:id="17" w:name="_Toc622"/>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w:t>
      </w:r>
      <w:r>
        <w:rPr>
          <w:rFonts w:hint="eastAsia" w:ascii="宋体" w:hAnsi="宋体" w:cs="宋体"/>
          <w:color w:val="000000"/>
          <w:sz w:val="24"/>
          <w:szCs w:val="24"/>
          <w:highlight w:val="none"/>
        </w:rPr>
        <w:t xml:space="preserve">无锡市锡山区人民政府厚桥街道办事处的委托，</w:t>
      </w:r>
      <w:r>
        <w:rPr>
          <w:rFonts w:hint="eastAsia" w:ascii="宋体" w:hAnsi="宋体" w:cs="宋体"/>
          <w:bCs/>
          <w:color w:val="000000"/>
          <w:sz w:val="24"/>
          <w:szCs w:val="24"/>
          <w:highlight w:val="none"/>
        </w:rPr>
        <w:t xml:space="preserve">对</w:t>
      </w:r>
      <w:r>
        <w:rPr>
          <w:rFonts w:hint="eastAsia" w:ascii="宋体" w:hAnsi="宋体" w:cs="宋体"/>
          <w:bCs/>
          <w:color w:val="000000"/>
          <w:sz w:val="24"/>
          <w:szCs w:val="24"/>
          <w:highlight w:val="none"/>
          <w:lang w:eastAsia="zh-CN"/>
        </w:rPr>
        <w:t xml:space="preserve">厚桥街道绿化养护项目N标段</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cs="宋体"/>
          <w:b/>
          <w:bCs w:val="0"/>
          <w:color w:val="000000"/>
          <w:sz w:val="24"/>
          <w:szCs w:val="24"/>
          <w:highlight w:val="none"/>
        </w:rPr>
        <w:outlineLvl w:val="1"/>
      </w:pPr>
      <w:r/>
      <w:bookmarkStart w:id="18" w:name="_Toc24863"/>
      <w:r/>
      <w:bookmarkStart w:id="19" w:name="_Toc23923"/>
      <w:r>
        <w:rPr>
          <w:rFonts w:hint="eastAsia" w:ascii="宋体" w:hAnsi="宋体" w:cs="宋体"/>
          <w:b/>
          <w:bCs w:val="0"/>
          <w:color w:val="000000"/>
          <w:sz w:val="24"/>
          <w:szCs w:val="24"/>
          <w:highlight w:val="none"/>
        </w:rPr>
        <w:t xml:space="preserve">（一）招标项目信息</w:t>
      </w:r>
      <w:r>
        <w:rPr>
          <w:rFonts w:hint="eastAsia" w:ascii="宋体" w:hAnsi="宋体" w:cs="宋体"/>
          <w:b/>
          <w:bCs w:val="0"/>
          <w:color w:val="000000"/>
          <w:sz w:val="24"/>
          <w:szCs w:val="24"/>
          <w:highlight w:val="none"/>
        </w:rPr>
      </w:r>
      <w:r/>
    </w:p>
    <w:p>
      <w:pPr>
        <w:pStyle w:val="1528"/>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厚桥街道绿化养护项目N标段</w:t>
      </w:r>
      <w:r>
        <w:rPr>
          <w:rFonts w:hint="eastAsia" w:ascii="宋体" w:hAnsi="宋体" w:eastAsia="宋体" w:cs="宋体"/>
          <w:bCs/>
          <w:color w:val="000000"/>
          <w:sz w:val="24"/>
          <w:szCs w:val="24"/>
          <w:highlight w:val="none"/>
          <w:lang w:eastAsia="zh-CN"/>
        </w:rPr>
      </w:r>
      <w:r/>
    </w:p>
    <w:p>
      <w:pPr>
        <w:pStyle w:val="1528"/>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eastAsia="zh-CN"/>
        </w:rPr>
        <w:t xml:space="preserve">JSZC-320205-THGC-G2025-0013</w:t>
      </w:r>
      <w:r>
        <w:rPr>
          <w:rFonts w:hint="eastAsia" w:ascii="宋体" w:hAnsi="宋体" w:eastAsia="宋体" w:cs="宋体"/>
          <w:bCs/>
          <w:color w:val="000000"/>
          <w:sz w:val="24"/>
          <w:szCs w:val="24"/>
          <w:highlight w:val="none"/>
          <w:lang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133.111888</w:t>
      </w:r>
      <w:r>
        <w:rPr>
          <w:rFonts w:hint="eastAsia" w:ascii="宋体" w:hAnsi="宋体" w:cs="宋体"/>
          <w:bCs/>
          <w:color w:val="000000"/>
          <w:sz w:val="24"/>
          <w:szCs w:val="24"/>
          <w:highlight w:val="none"/>
        </w:rPr>
        <w:t xml:space="preserve">万元，最高限价：</w:t>
      </w:r>
      <w:r>
        <w:rPr>
          <w:rFonts w:hint="eastAsia" w:ascii="宋体" w:hAnsi="宋体" w:cs="宋体"/>
          <w:bCs/>
          <w:color w:val="000000"/>
          <w:sz w:val="24"/>
          <w:szCs w:val="24"/>
          <w:highlight w:val="none"/>
          <w:lang w:val="en-US" w:eastAsia="zh-CN"/>
        </w:rPr>
        <w:t xml:space="preserve">133.111888</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rPr>
        <w:t xml:space="preserve">；投标报价不得超过最高限价，否则作无效响应文件处理。</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服务期：</w:t>
      </w:r>
      <w:r>
        <w:rPr>
          <w:rFonts w:hint="eastAsia" w:ascii="宋体" w:hAnsi="宋体" w:eastAsia="宋体" w:cs="宋体"/>
          <w:bCs/>
          <w:color w:val="000000"/>
          <w:sz w:val="24"/>
          <w:szCs w:val="24"/>
          <w:highlight w:val="none"/>
          <w:lang w:val="en-US" w:eastAsia="zh-CN" w:bidi="ar-SA"/>
        </w:rPr>
        <w:t xml:space="preserve">自合同生效之日起两年</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本项目标的所属行业：其他未列明行业。根据《关于印发中小企业划型标准规定的通知》工信部联企业〔2011〕300号规定，其他未列明行业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8、本项目是否专门面向</w:t>
      </w:r>
      <w:r>
        <w:rPr>
          <w:rFonts w:hint="eastAsia" w:eastAsia="宋体" w:cs="宋体"/>
          <w:b w:val="0"/>
          <w:bCs/>
          <w:color w:val="000000"/>
          <w:sz w:val="24"/>
          <w:szCs w:val="24"/>
          <w:highlight w:val="none"/>
          <w:lang w:val="en-US" w:eastAsia="zh-CN"/>
        </w:rPr>
        <w:t xml:space="preserve">小微</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3、落实政府采购政策需满足的资格要求：供应商为小微企业/监狱企业/残疾人福利企业；</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4、本项目的特定资格要求：</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请有意参加本项目投标的供应商按以下流程进行操作：</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（1）访问“无锡政府采购网”点击“江苏省政府采购（苏采云）平台”—“用户注册”按钮进入注册界面，也可以直接通过http://jszfcg.jsczt.cn/jszc/login?进入注册界面。</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（2）办理并领取CA和电子签章（办理地址：无锡市观山路市民中心12号楼2楼公共资源交易大厅9号10号窗口）。</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（3）“苏采云”系统供应商操作手册链接：</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（4）CA驱动下载链接（政务CA方正签章控件驱动）：</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http://cz.wuxi.gov.cn/ztzl/zfcg/zlxz/scy/index.shtml </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技术服务QQ：3071474382（服务时间：工作日9:00-17:00）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完成注册的供应商方可绑定CA，并使用CA登录苏采云平台，参与项目，上传投标文件，进行投标。</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如供应商未按上述要求操作，由此所产生的损失及风险由供应商自行承担。</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供应商可在财政部门指定媒体发布的公告附件中查看公开招标文件，如确定参加本次采购活</w:t>
      </w:r>
      <w:r>
        <w:rPr>
          <w:rFonts w:hint="eastAsia" w:ascii="宋体" w:hAnsi="宋体" w:cs="宋体"/>
          <w:bCs/>
          <w:color w:val="000000"/>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采购人、江苏通汇工程管理咨询有限公司将以电话咨询、邮箱（1915688621@qq.com）等方式开展线上不见面答疑服务。截止至202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17</w:t>
      </w:r>
      <w:r>
        <w:rPr>
          <w:rFonts w:hint="eastAsia" w:ascii="宋体" w:hAnsi="宋体" w:cs="宋体"/>
          <w:bCs/>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color w:val="000000"/>
          <w:sz w:val="24"/>
          <w:szCs w:val="24"/>
          <w:highlight w:val="none"/>
          <w:lang w:eastAsia="zh-CN"/>
        </w:rPr>
        <w:t xml:space="preserve">JSZC-320205-THGC-G2025-0013</w:t>
      </w:r>
      <w:r>
        <w:rPr>
          <w:rFonts w:hint="eastAsia" w:ascii="宋体" w:hAnsi="宋体" w:cs="宋体"/>
          <w:bCs/>
          <w:color w:val="000000"/>
          <w:sz w:val="24"/>
          <w:szCs w:val="24"/>
          <w:highlight w:val="none"/>
        </w:rPr>
        <w:t xml:space="preserve">项目需澄清问题”，并于答疑截止时间前邮箱（1915688621@qq.com）给项目联系人。若未在法定时间内提出澄清，由此造成的损失及风险由供应商自行承担。</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（六）现场踏勘</w:t>
      </w:r>
      <w:r>
        <w:rPr>
          <w:rFonts w:hint="eastAsia" w:ascii="宋体" w:hAnsi="宋体" w:eastAsia="宋体" w:cs="宋体"/>
          <w:b/>
          <w:bCs w:val="0"/>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（七）投标及开标、定标时间、地点</w:t>
      </w:r>
      <w:r>
        <w:rPr>
          <w:rFonts w:hint="eastAsia" w:ascii="宋体" w:hAnsi="宋体" w:eastAsia="宋体" w:cs="宋体"/>
          <w:b/>
          <w:bCs w:val="0"/>
          <w:color w:val="000000"/>
          <w:sz w:val="24"/>
          <w:szCs w:val="24"/>
          <w:highlight w:val="none"/>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:30，投标截止时间后的投标文件恕不接受。</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定标时间：评标结束</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定标地点：无锡市锡山区东亭迎宾南路21号二楼</w:t>
      </w:r>
      <w:r>
        <w:rPr>
          <w:rFonts w:hint="eastAsia" w:ascii="宋体" w:hAnsi="宋体" w:cs="宋体"/>
          <w:bCs/>
          <w:color w:val="000000"/>
          <w:sz w:val="24"/>
          <w:szCs w:val="24"/>
          <w:highlight w:val="none"/>
        </w:rPr>
      </w:r>
      <w:r/>
    </w:p>
    <w:p>
      <w:pPr>
        <w:pStyle w:val="1528"/>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（八）投标文件份数：</w:t>
      </w:r>
      <w:r>
        <w:rPr>
          <w:rFonts w:hint="eastAsia" w:ascii="宋体" w:hAnsi="宋体" w:eastAsia="宋体" w:cs="宋体"/>
          <w:b w:val="0"/>
          <w:bCs/>
          <w:color w:val="000000"/>
          <w:sz w:val="24"/>
          <w:szCs w:val="24"/>
          <w:highlight w:val="none"/>
          <w:lang w:val="en-US" w:eastAsia="zh-CN"/>
        </w:rPr>
        <w:t xml:space="preserve">请按规定上传电子响应文件，不接收纸质投标文件</w:t>
      </w:r>
      <w:r>
        <w:rPr>
          <w:rFonts w:hint="eastAsia" w:ascii="宋体" w:hAnsi="宋体" w:eastAsia="宋体" w:cs="宋体"/>
          <w:b w:val="0"/>
          <w:bCs/>
          <w:color w:val="000000"/>
          <w:sz w:val="24"/>
          <w:szCs w:val="24"/>
          <w:highlight w:val="none"/>
          <w:lang w:val="en-US" w:eastAsia="zh-CN"/>
        </w:rPr>
      </w:r>
      <w:r/>
    </w:p>
    <w:p>
      <w:pPr>
        <w:pStyle w:val="1528"/>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（九）投标有效期：</w:t>
      </w:r>
      <w:r>
        <w:rPr>
          <w:rFonts w:hint="eastAsia" w:ascii="宋体" w:hAnsi="宋体" w:eastAsia="宋体" w:cs="宋体"/>
          <w:b w:val="0"/>
          <w:bCs/>
          <w:color w:val="000000"/>
          <w:sz w:val="24"/>
          <w:szCs w:val="24"/>
          <w:highlight w:val="none"/>
          <w:lang w:val="en-US" w:eastAsia="zh-CN"/>
        </w:rPr>
        <w:t xml:space="preserve">开标之日起90天</w:t>
      </w:r>
      <w:r>
        <w:rPr>
          <w:rFonts w:hint="eastAsia" w:ascii="宋体" w:hAnsi="宋体" w:eastAsia="宋体" w:cs="宋体"/>
          <w:b w:val="0"/>
          <w:bCs/>
          <w:color w:val="000000"/>
          <w:sz w:val="24"/>
          <w:szCs w:val="24"/>
          <w:highlight w:val="none"/>
          <w:lang w:val="en-US" w:eastAsia="zh-CN"/>
        </w:rPr>
      </w:r>
      <w:r/>
    </w:p>
    <w:p>
      <w:pPr>
        <w:pStyle w:val="1528"/>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（十）采购方法</w:t>
      </w:r>
      <w:r>
        <w:rPr>
          <w:rFonts w:hint="eastAsia" w:ascii="宋体" w:hAnsi="宋体" w:eastAsia="宋体" w:cs="宋体"/>
          <w:b/>
          <w:bCs w:val="0"/>
          <w:color w:val="000000"/>
          <w:sz w:val="24"/>
          <w:szCs w:val="24"/>
          <w:highlight w:val="none"/>
          <w:lang w:val="en-US" w:eastAsia="zh-CN"/>
        </w:rPr>
      </w:r>
      <w:r/>
    </w:p>
    <w:p>
      <w:pPr>
        <w:pStyle w:val="1528"/>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lang w:val="en-US" w:eastAsia="zh-CN"/>
        </w:rPr>
      </w:r>
      <w:r/>
    </w:p>
    <w:p>
      <w:pPr>
        <w:pStyle w:val="1528"/>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（十一）其他</w:t>
      </w:r>
      <w:r>
        <w:rPr>
          <w:rFonts w:hint="eastAsia" w:ascii="宋体" w:hAnsi="宋体" w:eastAsia="宋体" w:cs="宋体"/>
          <w:b/>
          <w:bCs w:val="0"/>
          <w:color w:val="000000"/>
          <w:sz w:val="24"/>
          <w:szCs w:val="24"/>
          <w:highlight w:val="none"/>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采购人：无锡市锡山区人民政府厚桥街道办事处</w:t>
      </w:r>
      <w:r>
        <w:rPr>
          <w:rFonts w:hint="eastAsia" w:ascii="宋体" w:hAnsi="宋体" w:cs="宋体"/>
          <w:bCs/>
          <w:color w:val="000000"/>
          <w:sz w:val="24"/>
          <w:szCs w:val="24"/>
          <w:highlight w:val="none"/>
        </w:rPr>
      </w:r>
      <w:r/>
    </w:p>
    <w:p>
      <w:pPr>
        <w:pStyle w:val="1528"/>
        <w:ind w:firstLine="480"/>
        <w:spacing w:line="360" w:lineRule="auto"/>
        <w:rPr>
          <w:rFonts w:ascii="宋体" w:hAnsi="宋体" w:eastAsia="宋体" w:cs="宋体"/>
          <w:bCs/>
          <w:color w:val="000000"/>
          <w:sz w:val="24"/>
          <w:szCs w:val="24"/>
          <w:highlight w:val="yellow"/>
          <w:lang w:val="en-US" w:eastAsia="zh-CN"/>
        </w:rPr>
        <w:outlineLvl w:val="9"/>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陈潍坚</w:t>
      </w:r>
      <w:r>
        <w:rPr>
          <w:rFonts w:ascii="宋体" w:hAnsi="宋体" w:eastAsia="宋体" w:cs="宋体"/>
          <w:bCs/>
          <w:color w:val="000000"/>
          <w:sz w:val="24"/>
          <w:szCs w:val="24"/>
          <w:highlight w:val="yellow"/>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采购机构：江苏通汇工程管理咨询有限公司</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地址：无锡市锡山区万马广场59-102</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联系人：刘燕</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话：0510-88226300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邮</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编：214000</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eastAsia="宋体" w:cs="宋体"/>
          <w:bCs/>
          <w:color w:val="000000"/>
          <w:sz w:val="24"/>
          <w:szCs w:val="24"/>
          <w:highlight w:val="none"/>
          <w:lang w:val="en-US" w:eastAsia="zh-CN"/>
        </w:rPr>
        <w:sectPr>
          <w:footerReference w:type="default" r:id="rId21"/>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Cs/>
          <w:color w:val="000000"/>
          <w:sz w:val="24"/>
          <w:szCs w:val="24"/>
          <w:highlight w:val="none"/>
          <w:lang w:val="en-US" w:eastAsia="zh-CN"/>
        </w:rPr>
      </w:r>
      <w:r/>
    </w:p>
    <w:p>
      <w:pPr>
        <w:pStyle w:val="1528"/>
        <w:jc w:val="center"/>
        <w:spacing w:line="360" w:lineRule="auto"/>
        <w:rPr>
          <w:rFonts w:hint="eastAsia" w:ascii="Times New Roman" w:hAnsi="宋体" w:eastAsia="宋体" w:cs="宋体"/>
          <w:b/>
          <w:bCs/>
          <w:sz w:val="32"/>
          <w:szCs w:val="32"/>
          <w:highlight w:val="none"/>
        </w:rPr>
        <w:outlineLvl w:val="0"/>
      </w:pPr>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遵循原则：</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(二)招标文件：</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604"/>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(三)招标文件的解释：</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(四)招标文件的补充或修正：</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(五)投标文件的组成</w:t>
      </w:r>
      <w:r>
        <w:rPr>
          <w:rFonts w:hint="eastAsia" w:ascii="宋体" w:hAnsi="宋体" w:eastAsia="宋体" w:cs="宋体"/>
          <w:b/>
          <w:bCs w:val="0"/>
          <w:color w:val="000000"/>
          <w:sz w:val="24"/>
          <w:szCs w:val="24"/>
          <w:highlight w:val="none"/>
          <w:lang w:val="en-US" w:eastAsia="zh-CN"/>
        </w:rPr>
        <w:t xml:space="preserve">（相应内容上传至投标客户端）</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528"/>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中小企业声明函（必须提供，</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lang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cs="宋体"/>
          <w:bCs/>
          <w:sz w:val="24"/>
          <w:szCs w:val="24"/>
          <w:highlight w:val="none"/>
        </w:rPr>
        <w:t xml:space="preserve">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7．投标供应商情况表（格式见附件）</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主要人员配置表及项目负责人简历表（格式见附件）</w:t>
      </w:r>
      <w:r>
        <w:rPr>
          <w:rFonts w:hint="eastAsia" w:ascii="宋体" w:hAnsi="宋体" w:eastAsia="宋体" w:cs="宋体"/>
          <w:b/>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提供第三章项目需求和有关要求需提供的相关证明材料</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技术服务方案（详见评分标准）</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eastAsia="宋体" w:cs="宋体"/>
          <w:bCs/>
          <w:color w:val="000000"/>
          <w:sz w:val="24"/>
          <w:szCs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sz w:val="24"/>
          <w:szCs w:val="24"/>
          <w:highlight w:val="none"/>
          <w:lang w:eastAsia="zh-CN"/>
        </w:rPr>
        <w:t xml:space="preserve">或其他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(六)投标文件的制作：</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1.所有文件、往来函件均应使用简体中文（规格、型号辅助符号例外）。</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3.如无特别说明，供应商报价一律以人民币为投标结算货币，结算单位为“元”。</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4.投标文件格式部分，应由供应商按给定格式提供，不得更改。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5.供应商在制作电子投标文件时，请正确关联到对应页，在评审过程中，评审专家如因在相对应页面找不到该相关联的文件，由此产生的后果由供应商自行承担。</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6.投标费用自理。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(七)网上投标</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1.供应商应由其法定代表人或法定代表人授权代</w:t>
      </w:r>
      <w:r>
        <w:rPr>
          <w:rFonts w:hint="eastAsia" w:ascii="宋体" w:hAnsi="宋体" w:eastAsia="宋体" w:cs="宋体"/>
          <w:bCs/>
          <w:color w:val="000000"/>
          <w:sz w:val="24"/>
          <w:szCs w:val="24"/>
          <w:highlight w:val="none"/>
          <w:lang w:eastAsia="zh-CN"/>
        </w:rPr>
        <w:t xml:space="preserve">表人</w:t>
      </w:r>
      <w:r>
        <w:rPr>
          <w:rFonts w:hint="eastAsia" w:ascii="宋体" w:hAnsi="宋体" w:eastAsia="宋体" w:cs="宋体"/>
          <w:bCs/>
          <w:color w:val="000000"/>
          <w:sz w:val="24"/>
          <w:szCs w:val="24"/>
          <w:highlight w:val="none"/>
        </w:rPr>
        <w:t xml:space="preserve">在规定的网上投标时间内，凭CA数字证书登陆江苏省政府采购（苏采云）平台获取招标文件，在苏采云投标客户端制作投标文件（电子数据），并在投标截止时间之前上传投标文件。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2.供应商应对CA数字证书妥善保管，如被他人盗用投标，后果自负。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rPr>
          <w:rFonts w:hint="eastAsia" w:ascii="宋体" w:hAnsi="宋体" w:eastAsia="宋体" w:cs="宋体"/>
          <w:bCs/>
          <w:color w:val="000000"/>
          <w:sz w:val="24"/>
          <w:szCs w:val="24"/>
          <w:highlight w:val="none"/>
        </w:rPr>
      </w:r>
      <w:r/>
    </w:p>
    <w:p>
      <w:pPr>
        <w:pStyle w:val="1528"/>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rPr>
          <w:rFonts w:hint="eastAsia" w:ascii="宋体" w:hAnsi="宋体" w:eastAsia="宋体" w:cs="宋体"/>
          <w:b/>
          <w:bCs w:val="0"/>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(八)无效投标文件的确认：</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1.电子投标文件未按规定期限投标的；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7.被“信用中国”网站（www.creditchina.gov.cn）、中国政府采购网（www.ccgp.gov.cn）列入失信被执行人、重大税收违法案件当事人名单、政府采购严重违法失信行为记录名单的；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18.投标文件含有供应商不能接受的附加条件的；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24.暗标未按招标文件要求编制的；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25.法律法规和招标文件规定的其他无效情形。</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1" w:name="_Toc14884"/>
      <w:r>
        <w:rPr>
          <w:rFonts w:hint="eastAsia" w:ascii="宋体" w:hAnsi="宋体" w:eastAsia="宋体" w:cs="宋体"/>
          <w:bCs/>
          <w:color w:val="000000"/>
          <w:sz w:val="24"/>
          <w:szCs w:val="24"/>
          <w:highlight w:val="none"/>
          <w:lang w:val="en-US" w:eastAsia="zh-CN"/>
        </w:rPr>
        <w:t xml:space="preserve">(九)开标、评标：</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1．所有投标单位在招标文件规定的时间内解密各自投标文件。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3.投标文件的审查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eastAsia="宋体" w:cs="宋体"/>
          <w:bCs/>
          <w:color w:val="000000"/>
          <w:sz w:val="24"/>
          <w:szCs w:val="24"/>
          <w:highlight w:val="none"/>
          <w:lang w:eastAsia="zh-CN"/>
        </w:rPr>
        <w:t xml:space="preserve">）和</w:t>
      </w:r>
      <w:r>
        <w:rPr>
          <w:rFonts w:hint="eastAsia" w:ascii="宋体" w:hAnsi="宋体" w:eastAsia="宋体" w:cs="宋体"/>
          <w:bCs/>
          <w:color w:val="000000"/>
          <w:sz w:val="24"/>
          <w:szCs w:val="24"/>
          <w:highlight w:val="none"/>
        </w:rPr>
        <w:t xml:space="preserve">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579"/>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tc>
          <w:tcPr>
            <w:tcW w:w="923" w:type="dxa"/>
            <w:vAlign w:val="center"/>
            <w:textDirection w:val="lrTb"/>
            <w:noWrap w:val="false"/>
          </w:tcPr>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556" w:type="dxa"/>
            <w:vAlign w:val="center"/>
            <w:textDirection w:val="lrTb"/>
            <w:noWrap w:val="false"/>
          </w:tcPr>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ascii="宋体" w:hAnsi="宋体" w:eastAsia="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562"/>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981"/>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94"/>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
                <w:bCs/>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rPr>
            </w:r>
            <w:r/>
          </w:p>
        </w:tc>
      </w:tr>
      <w:tr>
        <w:trPr>
          <w:trHeight w:val="572"/>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29"/>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505"/>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vertAlign w:val="baseline"/>
              </w:rPr>
            </w:r>
            <w:r/>
          </w:p>
        </w:tc>
      </w:tr>
      <w:tr>
        <w:trPr>
          <w:trHeight w:val="1143"/>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ascii="宋体" w:hAnsi="宋体" w:eastAsia="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1338"/>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667"/>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2641"/>
        </w:trPr>
        <w:tc>
          <w:tcPr>
            <w:tcW w:w="923" w:type="dxa"/>
            <w:vAlign w:val="center"/>
            <w:textDirection w:val="lrTb"/>
            <w:noWrap w:val="false"/>
          </w:tcPr>
          <w:p>
            <w:pPr>
              <w:pStyle w:val="1528"/>
              <w:jc w:val="center"/>
              <w:rPr>
                <w:rFonts w:hint="eastAsia" w:ascii="宋体" w:hAnsi="宋体" w:eastAsia="宋体" w:cs="宋体"/>
                <w:bCs/>
                <w:color w:val="000000"/>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rPr>
                <w:rFonts w:hint="eastAsia" w:ascii="宋体" w:hAnsi="宋体" w:eastAsia="宋体" w:cs="宋体"/>
                <w:bCs/>
                <w:color w:val="000000"/>
                <w:sz w:val="24"/>
                <w:szCs w:val="24"/>
                <w:highlight w:val="none"/>
                <w:vertAlign w:val="baseline"/>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供应商为小微企业/监狱、戒毒企业/残疾人福利企业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小微企业须符合</w:t>
            </w:r>
            <w:r>
              <w:rPr>
                <w:rFonts w:hint="eastAsia" w:ascii="宋体" w:hAnsi="宋体" w:eastAsia="宋体" w:cs="宋体"/>
                <w:bCs/>
                <w:sz w:val="24"/>
                <w:szCs w:val="24"/>
                <w:highlight w:val="none"/>
                <w:lang w:val="en-US" w:eastAsia="zh-CN"/>
              </w:rPr>
              <w:t xml:space="preserve">中</w:t>
            </w:r>
            <w:r>
              <w:rPr>
                <w:rFonts w:hint="eastAsia" w:ascii="宋体" w:hAnsi="宋体" w:eastAsia="宋体" w:cs="宋体"/>
                <w:bCs/>
                <w:sz w:val="24"/>
                <w:szCs w:val="24"/>
                <w:highlight w:val="none"/>
              </w:rPr>
              <w:t xml:space="preserve">小微企业划分标准(《工信部联企业</w:t>
            </w:r>
            <w:r>
              <w:rPr>
                <w:rFonts w:hint="eastAsia" w:ascii="宋体" w:hAnsi="宋体" w:eastAsia="宋体" w:cs="宋体"/>
                <w:bCs/>
                <w:sz w:val="24"/>
                <w:szCs w:val="24"/>
                <w:highlight w:val="none"/>
                <w:lang w:eastAsia="zh-CN"/>
              </w:rPr>
              <w:t xml:space="preserve">〔2011〕300号</w:t>
            </w:r>
            <w:r>
              <w:rPr>
                <w:rFonts w:hint="eastAsia" w:ascii="宋体" w:hAnsi="宋体" w:eastAsia="宋体" w:cs="宋体"/>
                <w:bCs/>
                <w:sz w:val="24"/>
                <w:szCs w:val="24"/>
                <w:highlight w:val="none"/>
              </w:rPr>
              <w:t xml:space="preserve">》)规定，提供《中小企业声明函》，残疾人福利企业提供《残疾人福利性单位声明函》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格式详见</w:t>
            </w:r>
            <w:r>
              <w:rPr>
                <w:rFonts w:hint="eastAsia" w:ascii="宋体" w:hAnsi="宋体" w:eastAsia="宋体" w:cs="宋体"/>
                <w:bCs/>
                <w:sz w:val="24"/>
                <w:szCs w:val="24"/>
                <w:highlight w:val="none"/>
                <w:lang w:val="en-US" w:eastAsia="zh-CN"/>
              </w:rPr>
              <w:t xml:space="preserve">附件</w:t>
            </w:r>
            <w:r>
              <w:rPr>
                <w:rFonts w:hint="eastAsia" w:ascii="宋体" w:hAnsi="宋体" w:eastAsia="宋体" w:cs="宋体"/>
                <w:bCs/>
                <w:sz w:val="24"/>
                <w:szCs w:val="24"/>
                <w:highlight w:val="none"/>
              </w:rPr>
              <w:t xml:space="preserve">），监狱企业由省级以上监狱管理局、戒毒管理局出具的属于监狱企业的证明文件</w:t>
            </w:r>
            <w:r>
              <w:rPr>
                <w:rFonts w:hint="eastAsia" w:ascii="宋体" w:hAnsi="宋体" w:eastAsia="宋体" w:cs="宋体"/>
                <w:bCs/>
                <w:color w:val="000000"/>
                <w:sz w:val="24"/>
                <w:szCs w:val="24"/>
                <w:highlight w:val="none"/>
                <w:vertAlign w:val="baseline"/>
              </w:rPr>
            </w:r>
            <w:r/>
          </w:p>
        </w:tc>
      </w:tr>
      <w:tr>
        <w:trPr>
          <w:trHeight w:val="672"/>
        </w:trPr>
        <w:tc>
          <w:tcPr>
            <w:tcW w:w="923" w:type="dxa"/>
            <w:vAlign w:val="center"/>
            <w:textDirection w:val="lrTb"/>
            <w:noWrap w:val="false"/>
          </w:tcPr>
          <w:p>
            <w:pPr>
              <w:pStyle w:val="1528"/>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lang w:val="en-US" w:eastAsia="zh-CN"/>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ascii="宋体" w:hAnsi="宋体" w:eastAsia="宋体" w:cs="宋体"/>
                <w:bCs/>
                <w:color w:val="000000"/>
                <w:sz w:val="24"/>
                <w:szCs w:val="24"/>
                <w:highlight w:val="none"/>
                <w:vertAlign w:val="baseline"/>
                <w:lang w:val="en-US" w:eastAsia="zh-CN"/>
              </w:rPr>
            </w:pPr>
            <w:r>
              <w:rPr>
                <w:rFonts w:hint="eastAsia" w:ascii="宋体" w:hAnsi="宋体" w:eastAsia="宋体" w:cs="宋体"/>
                <w:bCs/>
                <w:color w:val="000000"/>
                <w:sz w:val="24"/>
                <w:szCs w:val="24"/>
                <w:highlight w:val="none"/>
                <w:vertAlign w:val="baseline"/>
                <w:lang w:val="en-US" w:eastAsia="zh-CN"/>
              </w:rPr>
              <w:t xml:space="preserve">/</w:t>
            </w:r>
            <w:r>
              <w:rPr>
                <w:rFonts w:ascii="宋体" w:hAnsi="宋体" w:eastAsia="宋体" w:cs="宋体"/>
                <w:bCs/>
                <w:color w:val="000000"/>
                <w:sz w:val="24"/>
                <w:szCs w:val="24"/>
                <w:highlight w:val="none"/>
                <w:vertAlign w:val="baseline"/>
                <w:lang w:val="en-US" w:eastAsia="zh-CN"/>
              </w:rPr>
            </w:r>
            <w:r/>
          </w:p>
        </w:tc>
      </w:tr>
      <w:tr>
        <w:trPr>
          <w:trHeight w:val="3038"/>
        </w:trPr>
        <w:tc>
          <w:tcPr>
            <w:tcW w:w="923" w:type="dxa"/>
            <w:vAlign w:val="center"/>
            <w:textDirection w:val="lrTb"/>
            <w:noWrap w:val="false"/>
          </w:tcPr>
          <w:p>
            <w:pPr>
              <w:pStyle w:val="1528"/>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rPr>
                <w:rFonts w:ascii="宋体" w:hAnsi="宋体" w:eastAsia="宋体"/>
                <w:sz w:val="24"/>
                <w:szCs w:val="24"/>
                <w:highlight w:val="none"/>
                <w:lang w:val="en-US" w:eastAsia="zh-CN"/>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560"/>
              <w:jc w:val="left"/>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654"/>
        </w:trPr>
        <w:tc>
          <w:tcPr>
            <w:tcW w:w="923" w:type="dxa"/>
            <w:vAlign w:val="center"/>
            <w:textDirection w:val="lrTb"/>
            <w:noWrap w:val="false"/>
          </w:tcPr>
          <w:p>
            <w:pPr>
              <w:pStyle w:val="1528"/>
              <w:jc w:val="center"/>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rPr>
                <w:rFonts w:ascii="宋体" w:hAnsi="宋体" w:eastAsia="宋体"/>
                <w:sz w:val="24"/>
                <w:szCs w:val="24"/>
                <w:highlight w:val="none"/>
                <w:lang w:val="en-US" w:eastAsia="zh-CN"/>
              </w:rPr>
            </w:r>
            <w:r/>
          </w:p>
        </w:tc>
        <w:tc>
          <w:tcPr>
            <w:tcW w:w="3645"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4911" w:type="dxa"/>
            <w:vAlign w:val="center"/>
            <w:textDirection w:val="lrTb"/>
            <w:noWrap w:val="false"/>
          </w:tcPr>
          <w:p>
            <w:pPr>
              <w:pStyle w:val="1528"/>
              <w:jc w:val="left"/>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rPr>
                <w:rFonts w:hint="eastAsia" w:ascii="宋体" w:hAnsi="宋体" w:eastAsia="宋体" w:cs="宋体"/>
                <w:bCs/>
                <w:color w:val="000000"/>
                <w:sz w:val="24"/>
                <w:szCs w:val="24"/>
                <w:highlight w:val="none"/>
                <w:vertAlign w:val="baseline"/>
              </w:rPr>
            </w:r>
            <w:r/>
          </w:p>
        </w:tc>
      </w:tr>
    </w:tbl>
    <w:p>
      <w:pPr>
        <w:pStyle w:val="1528"/>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528"/>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70"/>
        <w:gridCol w:w="5459"/>
      </w:tblGrid>
      <w:tr>
        <w:trPr>
          <w:trHeight w:val="456"/>
        </w:trPr>
        <w:tc>
          <w:tcPr>
            <w:tcW w:w="789" w:type="dxa"/>
            <w:vAlign w:val="center"/>
            <w:textDirection w:val="lrTb"/>
            <w:noWrap w:val="false"/>
          </w:tcPr>
          <w:p>
            <w:pPr>
              <w:pStyle w:val="1528"/>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70" w:type="dxa"/>
            <w:vAlign w:val="center"/>
            <w:textDirection w:val="lrTb"/>
            <w:noWrap w:val="false"/>
          </w:tcPr>
          <w:p>
            <w:pPr>
              <w:pStyle w:val="1528"/>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59" w:type="dxa"/>
            <w:vAlign w:val="center"/>
            <w:textDirection w:val="lrTb"/>
            <w:noWrap w:val="false"/>
          </w:tcPr>
          <w:p>
            <w:pPr>
              <w:pStyle w:val="1528"/>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59" w:type="dxa"/>
            <w:vAlign w:val="center"/>
            <w:textDirection w:val="lrTb"/>
            <w:noWrap w:val="false"/>
          </w:tcPr>
          <w:p>
            <w:pPr>
              <w:pStyle w:val="1528"/>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28"/>
              <w:jc w:val="left"/>
              <w:rPr>
                <w:rFonts w:hint="eastAsia" w:ascii="宋体" w:hAnsi="宋体" w:eastAsia="宋体" w:cs="Times New Roman"/>
                <w:sz w:val="24"/>
                <w:szCs w:val="24"/>
                <w:highlight w:val="none"/>
                <w:lang w:val="en-US" w:eastAsia="zh-CN" w:bidi="ar-SA"/>
              </w:rPr>
            </w:pPr>
            <w:r>
              <w:rPr>
                <w:rFonts w:hint="eastAsia" w:ascii="宋体" w:hAnsi="宋体"/>
                <w:sz w:val="24"/>
                <w:szCs w:val="24"/>
                <w:highlight w:val="none"/>
              </w:rPr>
              <w:t xml:space="preserve">本表无需上传，评审时以苏采云系统自带的开标一览表为准</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lang w:val="en-US" w:eastAsia="zh-CN"/>
              </w:rPr>
            </w:r>
            <w:r/>
          </w:p>
        </w:tc>
        <w:tc>
          <w:tcPr>
            <w:tcW w:w="2670" w:type="dxa"/>
            <w:vAlign w:val="center"/>
            <w:textDirection w:val="lrTb"/>
            <w:noWrap w:val="false"/>
          </w:tcPr>
          <w:p>
            <w:pPr>
              <w:pStyle w:val="1528"/>
              <w:jc w:val="center"/>
              <w:rPr>
                <w:rFonts w:hint="eastAsia" w:ascii="宋体" w:hAnsi="宋体" w:cs="宋体"/>
                <w:bCs/>
                <w:sz w:val="24"/>
                <w:szCs w:val="24"/>
                <w:highlight w:val="none"/>
              </w:rPr>
            </w:pP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cs="宋体"/>
                <w:bCs/>
                <w:sz w:val="24"/>
                <w:szCs w:val="24"/>
                <w:highlight w:val="none"/>
              </w:rPr>
            </w:r>
            <w:r/>
          </w:p>
        </w:tc>
        <w:tc>
          <w:tcPr>
            <w:tcW w:w="5459" w:type="dxa"/>
            <w:vAlign w:val="center"/>
            <w:textDirection w:val="lrTb"/>
            <w:noWrap w:val="false"/>
          </w:tcPr>
          <w:p>
            <w:pPr>
              <w:pStyle w:val="1528"/>
              <w:jc w:val="left"/>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sz w:val="24"/>
                <w:szCs w:val="24"/>
                <w:highlight w:val="none"/>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28"/>
              <w:jc w:val="lef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28"/>
              <w:jc w:val="left"/>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ascii="宋体" w:hAnsi="宋体" w:cs="宋体"/>
                <w:bCs/>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rPr>
              <w:t xml:space="preserve">投标供应商情况表</w:t>
            </w:r>
            <w:r>
              <w:rPr>
                <w:rFonts w:ascii="宋体" w:hAnsi="宋体" w:cs="宋体"/>
                <w:bCs/>
                <w:sz w:val="24"/>
                <w:szCs w:val="24"/>
                <w:highlight w:val="none"/>
                <w:lang w:val="en-US" w:eastAsia="zh-CN" w:bidi="ar-SA"/>
              </w:rPr>
            </w:r>
            <w:r/>
          </w:p>
        </w:tc>
        <w:tc>
          <w:tcPr>
            <w:tcW w:w="5459" w:type="dxa"/>
            <w:vAlign w:val="center"/>
            <w:textDirection w:val="lrTb"/>
            <w:noWrap w:val="false"/>
          </w:tcPr>
          <w:p>
            <w:pPr>
              <w:pStyle w:val="1528"/>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主要人员配置表</w:t>
            </w:r>
            <w:r>
              <w:rPr>
                <w:rFonts w:hint="eastAsia" w:ascii="宋体" w:hAnsi="宋体" w:eastAsia="宋体" w:cs="Times New Roman"/>
                <w:bCs/>
                <w:color w:val="000000"/>
                <w:sz w:val="24"/>
                <w:szCs w:val="24"/>
                <w:highlight w:val="none"/>
              </w:rPr>
              <w:t xml:space="preserve">及项目</w:t>
            </w:r>
            <w:r>
              <w:rPr>
                <w:rFonts w:hint="eastAsia" w:ascii="宋体" w:hAnsi="宋体" w:eastAsia="宋体" w:cs="Times New Roman"/>
                <w:bCs/>
                <w:color w:val="000000"/>
                <w:sz w:val="24"/>
                <w:szCs w:val="24"/>
                <w:highlight w:val="none"/>
                <w:lang w:val="en-US" w:eastAsia="zh-CN"/>
              </w:rPr>
              <w:t xml:space="preserve">负责人</w:t>
            </w:r>
            <w:r>
              <w:rPr>
                <w:rFonts w:hint="eastAsia" w:ascii="宋体" w:hAnsi="宋体" w:eastAsia="宋体" w:cs="Times New Roman"/>
                <w:bCs/>
                <w:color w:val="000000"/>
                <w:sz w:val="24"/>
                <w:szCs w:val="24"/>
                <w:highlight w:val="none"/>
              </w:rPr>
              <w:t xml:space="preserve">简历表</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28"/>
              <w:jc w:val="left"/>
              <w:spacing w:line="440" w:lineRule="exact"/>
              <w:tabs>
                <w:tab w:val="left" w:pos="480" w:leader="none"/>
              </w:tabs>
              <w:rPr>
                <w:rFonts w:ascii="宋体" w:hAnsi="宋体" w:eastAsia="宋体"/>
                <w:sz w:val="24"/>
                <w:szCs w:val="24"/>
                <w:highlight w:val="none"/>
                <w:lang w:val="en-US" w:eastAsia="zh-CN" w:bidi="ar-SA"/>
              </w:rPr>
              <w:outlineLvl w:val="0"/>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528"/>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sz w:val="24"/>
                <w:szCs w:val="24"/>
                <w:highlight w:val="none"/>
                <w:lang w:val="en-US" w:eastAsia="zh-CN"/>
              </w:rPr>
            </w:r>
            <w:r/>
          </w:p>
        </w:tc>
        <w:tc>
          <w:tcPr>
            <w:tcW w:w="5459" w:type="dxa"/>
            <w:vAlign w:val="center"/>
            <w:textDirection w:val="lrTb"/>
            <w:noWrap w:val="false"/>
          </w:tcPr>
          <w:p>
            <w:pPr>
              <w:pStyle w:val="1528"/>
              <w:jc w:val="left"/>
              <w:spacing w:line="440" w:lineRule="exact"/>
              <w:tabs>
                <w:tab w:val="left" w:pos="480" w:leader="none"/>
              </w:tabs>
              <w:rPr>
                <w:rFonts w:hint="eastAsia" w:ascii="宋体" w:hAnsi="宋体" w:eastAsia="宋体"/>
                <w:sz w:val="24"/>
                <w:szCs w:val="24"/>
                <w:highlight w:val="none"/>
                <w:lang w:val="en-US" w:eastAsia="zh-CN"/>
              </w:rPr>
              <w:outlineLvl w:val="0"/>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sz w:val="24"/>
                <w:szCs w:val="24"/>
                <w:highlight w:val="none"/>
                <w:lang w:val="en-US" w:eastAsia="zh-CN"/>
              </w:rPr>
            </w:r>
            <w:r/>
          </w:p>
        </w:tc>
      </w:tr>
      <w:tr>
        <w:trPr>
          <w:trHeight w:val="646"/>
        </w:trPr>
        <w:tc>
          <w:tcPr>
            <w:tcW w:w="789" w:type="dxa"/>
            <w:vAlign w:val="center"/>
            <w:textDirection w:val="lrTb"/>
            <w:noWrap w:val="false"/>
          </w:tcPr>
          <w:p>
            <w:pPr>
              <w:pStyle w:val="1528"/>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9</w:t>
            </w:r>
            <w:r>
              <w:rPr>
                <w:rFonts w:hint="eastAsia" w:ascii="宋体" w:hAnsi="宋体" w:eastAsia="宋体"/>
                <w:sz w:val="24"/>
                <w:szCs w:val="24"/>
                <w:highlight w:val="none"/>
                <w:lang w:val="en-US" w:eastAsia="zh-CN" w:bidi="ar-SA"/>
              </w:rPr>
            </w:r>
            <w:r/>
          </w:p>
        </w:tc>
        <w:tc>
          <w:tcPr>
            <w:tcW w:w="2670" w:type="dxa"/>
            <w:vAlign w:val="center"/>
            <w:textDirection w:val="lrTb"/>
            <w:noWrap w:val="false"/>
          </w:tcPr>
          <w:p>
            <w:pPr>
              <w:pStyle w:val="1528"/>
              <w:jc w:val="center"/>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59" w:type="dxa"/>
            <w:vAlign w:val="center"/>
            <w:textDirection w:val="lrTb"/>
            <w:noWrap w:val="false"/>
          </w:tcPr>
          <w:p>
            <w:pPr>
              <w:pStyle w:val="1528"/>
              <w:jc w:val="left"/>
              <w:spacing w:line="440" w:lineRule="exact"/>
              <w:tabs>
                <w:tab w:val="left" w:pos="480" w:leader="none"/>
              </w:tabs>
              <w:rPr>
                <w:rFonts w:hint="eastAsia" w:ascii="宋体" w:hAnsi="宋体" w:eastAsia="宋体"/>
                <w:sz w:val="24"/>
                <w:szCs w:val="24"/>
                <w:highlight w:val="none"/>
                <w:lang w:val="en-US" w:eastAsia="zh-CN" w:bidi="ar-SA"/>
              </w:rPr>
              <w:outlineLvl w:val="0"/>
            </w:pPr>
            <w:r>
              <w:rPr>
                <w:rFonts w:hint="eastAsia" w:ascii="宋体" w:hAnsi="宋体" w:eastAsia="宋体" w:cs="宋体"/>
                <w:b w:val="0"/>
                <w:bCs/>
                <w:color w:val="000000"/>
                <w:sz w:val="24"/>
                <w:szCs w:val="24"/>
                <w:highlight w:val="none"/>
                <w:lang w:val="en-US" w:eastAsia="zh-CN"/>
              </w:rPr>
              <w:t xml:space="preserve">不存在供应商须知第八条中的情形</w:t>
            </w:r>
            <w:r>
              <w:rPr>
                <w:rFonts w:hint="eastAsia" w:ascii="宋体" w:hAnsi="宋体" w:eastAsia="宋体"/>
                <w:sz w:val="24"/>
                <w:szCs w:val="24"/>
                <w:highlight w:val="none"/>
                <w:lang w:val="en-US" w:eastAsia="zh-CN" w:bidi="ar-SA"/>
              </w:rPr>
            </w:r>
            <w:r/>
          </w:p>
        </w:tc>
      </w:tr>
    </w:tbl>
    <w:p>
      <w:pPr>
        <w:pStyle w:val="1528"/>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投标人通过初审的，方可进入比较与评价程序。</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(十)定标：</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1．评标委员会根据招标文件规</w:t>
      </w:r>
      <w:r>
        <w:rPr>
          <w:rFonts w:hint="eastAsia" w:ascii="宋体" w:hAnsi="宋体" w:eastAsia="宋体" w:cs="宋体"/>
          <w:bCs/>
          <w:color w:val="000000"/>
          <w:sz w:val="24"/>
          <w:szCs w:val="24"/>
          <w:highlight w:val="none"/>
        </w:rPr>
        <w:t xml:space="preserve">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财政部门指定的政府采购信息发布媒体上发布中标结果公告。江苏通汇工程管理咨询有限公司和评标委员会对未中标原因不作解释。</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w:t>
      </w:r>
      <w:r>
        <w:rPr>
          <w:rFonts w:hint="eastAsia" w:ascii="宋体" w:hAnsi="宋体" w:eastAsia="宋体" w:cs="宋体"/>
          <w:bCs/>
          <w:color w:val="000000"/>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(十一)废标的确认：</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(十二)中标无效的确认：</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2" w:name="_Toc32174"/>
      <w:r/>
      <w:bookmarkStart w:id="23" w:name="_Toc21337"/>
      <w:r>
        <w:rPr>
          <w:rFonts w:hint="eastAsia" w:ascii="宋体" w:hAnsi="宋体" w:eastAsia="宋体" w:cs="宋体"/>
          <w:bCs/>
          <w:color w:val="000000"/>
          <w:sz w:val="24"/>
          <w:szCs w:val="24"/>
          <w:highlight w:val="none"/>
          <w:lang w:val="en-US" w:eastAsia="zh-CN"/>
        </w:rPr>
        <w:t xml:space="preserve">(十三)签订、履行合同：</w:t>
      </w:r>
      <w:bookmarkEnd w:id="22"/>
      <w:r/>
      <w:bookmarkEnd w:id="23"/>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000000"/>
          <w:sz w:val="24"/>
          <w:szCs w:val="24"/>
          <w:highlight w:val="none"/>
          <w:lang w:eastAsia="zh-CN"/>
        </w:rPr>
        <w:t xml:space="preserve">做</w:t>
      </w:r>
      <w:r>
        <w:rPr>
          <w:rFonts w:hint="eastAsia" w:ascii="宋体" w:hAnsi="宋体" w:eastAsia="宋体" w:cs="宋体"/>
          <w:bCs/>
          <w:color w:val="000000"/>
          <w:sz w:val="24"/>
          <w:szCs w:val="24"/>
          <w:highlight w:val="none"/>
        </w:rPr>
        <w:t xml:space="preserve">任何修改。</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2．江苏通汇工程管理咨询有限公司监督合同的履行。中标方非因不可抗力未履行招、投标文件和合同规定的义务，一经查实，采购人将根据具体情况提请政府采购管理部门作出相应处理。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bookmarkStart w:id="24" w:name="_Toc28715"/>
      <w:r/>
      <w:bookmarkStart w:id="25" w:name="_Toc598"/>
      <w:r>
        <w:rPr>
          <w:rFonts w:hint="eastAsia" w:ascii="宋体" w:hAnsi="宋体" w:eastAsia="宋体" w:cs="宋体"/>
          <w:bCs/>
          <w:color w:val="000000"/>
          <w:sz w:val="24"/>
          <w:szCs w:val="24"/>
          <w:highlight w:val="none"/>
          <w:lang w:val="en-US" w:eastAsia="zh-CN"/>
        </w:rPr>
        <w:t xml:space="preserve">(十四)注意事项：</w:t>
      </w:r>
      <w:bookmarkEnd w:id="24"/>
      <w:r/>
      <w:bookmarkEnd w:id="25"/>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(十五)质疑处理：</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提出质疑，上述应知其权益受到损害之日，是指：</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2.2对采购过程提出质疑的，为各采购程序环节结束之日；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、采购人将只对供应商第一次质疑作出答复。</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提出，由</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负责答复。</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不接受未填写快递运单的快件）。</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联系人、联系方式、通信地址见招标文件第一章。</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5.1内容不符合《政府采购质疑和投诉办法》第十二条规定的质疑。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5.2超出政府采购法定期限的质疑。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5.3以传真、电子邮件等方式递交的非原件形式的质疑。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5.4未参加投标活动的供应商或在投标活动中自身权益未受到损害的供应商所提出的质疑。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(十六)服务（包含与服务相关的货物）的追加：</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宋体"/>
          <w:bCs/>
          <w:color w:val="000000"/>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(十七)代理服务费：</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本项目代理费由采购人支付。采购代理服务费采用差额定率累进计费方式，收费标准为：100万元以下费率为1.5%，100万元-500万元以内费率为0.8%，按以上规定的80%计取，以中标价作为计算基数。</w:t>
      </w:r>
      <w:r>
        <w:rPr>
          <w:rFonts w:hint="eastAsia" w:ascii="宋体" w:hAnsi="宋体" w:eastAsia="宋体" w:cs="宋体"/>
          <w:color w:val="000000"/>
          <w:sz w:val="24"/>
          <w:szCs w:val="24"/>
          <w:highlight w:val="none"/>
          <w:lang w:eastAsia="zh-CN"/>
        </w:rPr>
      </w:r>
      <w:r/>
    </w:p>
    <w:p>
      <w:pPr>
        <w:pStyle w:val="1528"/>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Cs/>
          <w:color w:val="000000"/>
          <w:sz w:val="24"/>
          <w:szCs w:val="24"/>
          <w:highlight w:val="none"/>
          <w:lang w:val="en-US" w:eastAsia="zh-CN"/>
        </w:rPr>
        <w:t xml:space="preserve">(十八)其他：</w:t>
      </w:r>
      <w:r>
        <w:rPr>
          <w:rFonts w:hint="eastAsia" w:ascii="宋体" w:hAnsi="宋体" w:eastAsia="宋体" w:cs="宋体"/>
          <w:bCs/>
          <w:color w:val="000000"/>
          <w:sz w:val="24"/>
          <w:szCs w:val="24"/>
          <w:highlight w:val="none"/>
          <w:lang w:val="en-US" w:eastAsia="zh-CN"/>
        </w:rPr>
      </w:r>
      <w:r/>
    </w:p>
    <w:p>
      <w:pPr>
        <w:pStyle w:val="1528"/>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采购文件的条款必须认真审阅，投标人应自行检查采购文件页数是否齐全。若有遗漏、重复或不清楚，需立刻通知采购人予以更正；凡属对条款的误解所造成的投标价格失误，由投标人负责。</w:t>
      </w:r>
      <w:r>
        <w:rPr>
          <w:rFonts w:hint="eastAsia" w:ascii="宋体" w:hAnsi="宋体" w:eastAsia="宋体" w:cs="宋体"/>
          <w:color w:val="000000"/>
          <w:sz w:val="24"/>
          <w:szCs w:val="24"/>
          <w:highlight w:val="none"/>
        </w:rPr>
      </w:r>
      <w:r/>
    </w:p>
    <w:p>
      <w:pPr>
        <w:pStyle w:val="1528"/>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48"/>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528"/>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erReference w:type="default" r:id="rId22"/>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528"/>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sz w:val="32"/>
          <w:szCs w:val="32"/>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bookmarkStart w:id="28" w:name="_Toc26"/>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lang w:eastAsia="zh-CN"/>
        </w:rPr>
        <w:t xml:space="preserve">：厚桥街道绿化养护项目N标段；</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项目地点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无锡市锡山区厚桥街道</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项目概况</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本项目为</w:t>
      </w:r>
      <w:r>
        <w:rPr>
          <w:rFonts w:hint="eastAsia" w:ascii="宋体" w:hAnsi="宋体" w:eastAsia="宋体" w:cs="宋体"/>
          <w:bCs/>
          <w:sz w:val="24"/>
          <w:szCs w:val="24"/>
          <w:highlight w:val="none"/>
          <w:lang w:eastAsia="zh-CN"/>
        </w:rPr>
        <w:t xml:space="preserve">厚桥街道绿化养护项目N标段</w:t>
      </w:r>
      <w:r>
        <w:rPr>
          <w:rFonts w:hint="eastAsia" w:ascii="宋体" w:hAnsi="宋体" w:eastAsia="宋体" w:cs="宋体"/>
          <w:bCs/>
          <w:sz w:val="24"/>
          <w:szCs w:val="24"/>
          <w:highlight w:val="none"/>
        </w:rPr>
        <w:t xml:space="preserve">，绿化养护面积约</w:t>
      </w:r>
      <w:r>
        <w:rPr>
          <w:rFonts w:hint="eastAsia" w:ascii="宋体" w:hAnsi="宋体" w:eastAsia="宋体" w:cs="宋体"/>
          <w:bCs/>
          <w:sz w:val="24"/>
          <w:szCs w:val="24"/>
          <w:highlight w:val="none"/>
          <w:lang w:val="en-US" w:eastAsia="zh-CN"/>
        </w:rPr>
        <w:t xml:space="preserve">2412</w:t>
      </w:r>
      <w:r>
        <w:rPr>
          <w:rFonts w:hint="eastAsia" w:ascii="宋体" w:hAnsi="宋体" w:eastAsia="宋体" w:cs="宋体"/>
          <w:bCs/>
          <w:sz w:val="24"/>
          <w:szCs w:val="24"/>
          <w:highlight w:val="none"/>
        </w:rPr>
        <w:t xml:space="preserve">平方米，具体养护清单详见附件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养护主要内容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花卉种类：四季草花一年更换4次，</w:t>
      </w:r>
      <w:r>
        <w:rPr>
          <w:rFonts w:hint="eastAsia" w:ascii="宋体" w:hAnsi="宋体" w:eastAsia="宋体" w:cs="宋体"/>
          <w:bCs/>
          <w:sz w:val="24"/>
          <w:szCs w:val="24"/>
          <w:highlight w:val="none"/>
          <w:lang w:val="en-US" w:eastAsia="zh-CN"/>
        </w:rPr>
        <w:t xml:space="preserve">由</w:t>
      </w:r>
      <w:r>
        <w:rPr>
          <w:rFonts w:hint="eastAsia" w:ascii="宋体" w:hAnsi="宋体" w:eastAsia="宋体" w:cs="宋体"/>
          <w:bCs/>
          <w:sz w:val="24"/>
          <w:szCs w:val="24"/>
          <w:highlight w:val="none"/>
        </w:rPr>
        <w:t xml:space="preserve">建设方看样</w:t>
      </w:r>
      <w:r>
        <w:rPr>
          <w:rFonts w:hint="eastAsia" w:ascii="宋体" w:hAnsi="宋体" w:eastAsia="宋体" w:cs="宋体"/>
          <w:bCs/>
          <w:sz w:val="24"/>
          <w:szCs w:val="24"/>
          <w:highlight w:val="none"/>
          <w:lang w:eastAsia="zh-CN"/>
        </w:rPr>
        <w:t xml:space="preserve">订货；</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单位面积株数：64株/m</w:t>
      </w:r>
      <w:r>
        <w:rPr>
          <w:rFonts w:hint="eastAsia" w:ascii="宋体" w:hAnsi="宋体" w:eastAsia="宋体" w:cs="宋体"/>
          <w:bCs/>
          <w:sz w:val="24"/>
          <w:szCs w:val="24"/>
          <w:highlight w:val="none"/>
          <w:vertAlign w:val="superscript"/>
        </w:rPr>
        <w:t xml:space="preserve">2</w:t>
      </w:r>
      <w:r>
        <w:rPr>
          <w:rFonts w:hint="eastAsia" w:ascii="宋体" w:hAnsi="宋体" w:eastAsia="宋体" w:cs="宋体"/>
          <w:bCs/>
          <w:sz w:val="24"/>
          <w:szCs w:val="24"/>
          <w:highlight w:val="none"/>
          <w:vertAlign w:val="baseli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）养护期：一级养护2年；</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服务质量要求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合格。养护标准详见养护清单，具体标准参照《江苏省城市园林绿化养护管理规范及分级标准的通知》（苏建园</w:t>
      </w:r>
      <w:r>
        <w:rPr>
          <w:rFonts w:hint="eastAsia" w:ascii="宋体" w:hAnsi="宋体" w:eastAsia="宋体" w:cs="宋体"/>
          <w:bCs/>
          <w:sz w:val="24"/>
          <w:szCs w:val="24"/>
          <w:highlight w:val="none"/>
          <w:lang w:eastAsia="zh-CN"/>
        </w:rPr>
        <w:t xml:space="preserve">〔2015〕383号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服务期</w:t>
      </w:r>
      <w:r>
        <w:rPr>
          <w:rFonts w:hint="eastAsia" w:ascii="宋体" w:hAnsi="宋体" w:eastAsia="宋体" w:cs="宋体"/>
          <w:bCs/>
          <w:sz w:val="24"/>
          <w:szCs w:val="24"/>
          <w:highlight w:val="none"/>
          <w:lang w:eastAsia="zh-CN"/>
        </w:rPr>
        <w:t xml:space="preserve">：自合同生效之日起两年；</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付款方式</w:t>
      </w:r>
      <w:r>
        <w:rPr>
          <w:rFonts w:hint="eastAsia" w:ascii="宋体" w:hAnsi="宋体" w:eastAsia="宋体" w:cs="宋体"/>
          <w:bCs/>
          <w:sz w:val="24"/>
          <w:szCs w:val="24"/>
          <w:highlight w:val="none"/>
          <w:lang w:eastAsia="zh-CN"/>
        </w:rPr>
        <w:t xml:space="preserve">：</w:t>
      </w:r>
      <w:r>
        <w:rPr>
          <w:rFonts w:hint="eastAsia" w:ascii="宋体" w:hAnsi="宋体" w:cs="宋体"/>
          <w:bCs/>
          <w:sz w:val="24"/>
          <w:szCs w:val="24"/>
          <w:highlight w:val="none"/>
          <w:lang w:eastAsia="zh-CN"/>
        </w:rPr>
        <w:t xml:space="preserve">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lang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每半年支付一次，合同期结束后按审计价付清余额。</w:t>
      </w:r>
      <w:r>
        <w:rPr>
          <w:rFonts w:hint="eastAsia" w:ascii="宋体" w:hAnsi="宋体" w:eastAsia="宋体" w:cs="宋体"/>
          <w:bCs/>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9、其他有关要求：</w:t>
      </w:r>
      <w:r>
        <w:rPr>
          <w:rFonts w:hint="eastAsia" w:ascii="宋体" w:hAnsi="宋体" w:eastAsia="宋体" w:cs="宋体"/>
          <w:sz w:val="24"/>
          <w:szCs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投标人应充分考虑项目承包期间劳务、相应的人身安全保险、赔偿及所需的全部费用，并计入总报价。除非合同中另有规定，投标人的投标报价包括不限于在承包期内服务需要的人员工资（符合《</w:t>
      </w:r>
      <w:r>
        <w:rPr>
          <w:rFonts w:hint="eastAsia" w:ascii="宋体" w:hAnsi="宋体" w:eastAsia="宋体" w:cs="宋体"/>
          <w:sz w:val="24"/>
          <w:szCs w:val="24"/>
          <w:highlight w:val="none"/>
          <w:lang w:eastAsia="zh-CN"/>
        </w:rPr>
        <w:t xml:space="preserve">中华人民共和国劳动法</w:t>
      </w:r>
      <w:r>
        <w:rPr>
          <w:rFonts w:hint="eastAsia" w:ascii="宋体" w:hAnsi="宋体" w:eastAsia="宋体" w:cs="宋体"/>
          <w:sz w:val="24"/>
          <w:szCs w:val="24"/>
          <w:highlight w:val="none"/>
        </w:rPr>
        <w:t xml:space="preserve">》）、社保、人员加班工资、高温费、意外伤害保险费、劳保用品、工具费、机械化作业车辆折旧费、保养、维修、油料费、车辆保险费以及在服务过程中发生的其他费用。报价中还包括管理费、各种税费及政策性文件规定及合同包含的所有风险、责任等各项应有费用。投标报价为最终报价，除非因特殊原因并经甲乙双方协商同意，投标人不得再要求追加任何费用。同时，除非合同条款中另有规定，否则，投标人所报价格在合同实施期间不因市场变化因素而变动。</w:t>
      </w:r>
      <w:r>
        <w:rPr>
          <w:rFonts w:hint="eastAsia" w:ascii="宋体" w:hAnsi="宋体" w:eastAsia="宋体" w:cs="宋体"/>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投标人报价为</w:t>
      </w:r>
      <w:r>
        <w:rPr>
          <w:rFonts w:hint="eastAsia" w:ascii="宋体" w:hAnsi="宋体" w:eastAsia="宋体" w:cs="宋体"/>
          <w:sz w:val="24"/>
          <w:szCs w:val="24"/>
          <w:highlight w:val="none"/>
          <w:lang w:val="en-US" w:eastAsia="zh-CN"/>
        </w:rPr>
        <w:t xml:space="preserve">二年</w:t>
      </w:r>
      <w:r>
        <w:rPr>
          <w:rFonts w:hint="eastAsia" w:ascii="宋体" w:hAnsi="宋体" w:eastAsia="宋体" w:cs="宋体"/>
          <w:sz w:val="24"/>
          <w:szCs w:val="24"/>
          <w:highlight w:val="none"/>
        </w:rPr>
        <w:t xml:space="preserve">养护期的总价格，故每年的合同价为</w:t>
      </w:r>
      <w:r>
        <w:rPr>
          <w:rFonts w:hint="eastAsia" w:ascii="宋体" w:hAnsi="宋体" w:eastAsia="宋体" w:cs="宋体"/>
          <w:sz w:val="24"/>
          <w:szCs w:val="24"/>
          <w:highlight w:val="none"/>
          <w:lang w:val="en-US" w:eastAsia="zh-CN"/>
        </w:rPr>
        <w:t xml:space="preserve">二年</w:t>
      </w:r>
      <w:r>
        <w:rPr>
          <w:rFonts w:hint="eastAsia" w:ascii="宋体" w:hAnsi="宋体" w:eastAsia="宋体" w:cs="宋体"/>
          <w:sz w:val="24"/>
          <w:szCs w:val="24"/>
          <w:highlight w:val="none"/>
        </w:rPr>
        <w:t xml:space="preserve">投标价平均除以</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后</w:t>
      </w:r>
      <w:r>
        <w:rPr>
          <w:rFonts w:hint="eastAsia" w:ascii="宋体" w:hAnsi="宋体" w:eastAsia="宋体" w:cs="宋体"/>
          <w:sz w:val="24"/>
          <w:szCs w:val="24"/>
          <w:highlight w:val="none"/>
        </w:rPr>
        <w:t xml:space="preserve">得出，投标人应充分考虑涨价因素，在合同执行中不再更改或调整价格。所有根据合同或其他原因，应由投标人支付的所有税收和</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费用，须根据投标时国家及有关部门规定的费用、招标文件中规定的不可竞争费用以及其他有关资料进行计算，并列入投标人呈报的总价金额中。本合同实施过程中，投标人由于投标人的失误的漏项，不允许再补列，也不承担任何经济责任。</w:t>
      </w:r>
      <w:r>
        <w:rPr>
          <w:rFonts w:hint="eastAsia" w:ascii="宋体" w:hAnsi="宋体" w:eastAsia="宋体" w:cs="宋体"/>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29" w:name="_Hlk46777619"/>
      <w:r/>
      <w:bookmarkStart w:id="30" w:name="_Hlk65591423"/>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投标书中需明确本项目的项目经理，投标人一旦中标，拟派驻现场的项目经理原则上不得更换，除特殊原因经招标人同意的之外，</w:t>
      </w:r>
      <w:r>
        <w:rPr>
          <w:rFonts w:hint="eastAsia" w:ascii="宋体" w:hAnsi="宋体" w:eastAsia="宋体" w:cs="宋体"/>
          <w:sz w:val="24"/>
          <w:szCs w:val="24"/>
          <w:highlight w:val="none"/>
        </w:rPr>
        <w:t xml:space="preserve">否则罚款5万元，经招标人同意后更换的项目经理须配备有足够的能力方可上岗</w:t>
      </w:r>
      <w:bookmarkEnd w:id="29"/>
      <w:r/>
      <w:bookmarkStart w:id="31" w:name="_Hlk530040798"/>
      <w:r>
        <w:rPr>
          <w:rFonts w:hint="eastAsia" w:ascii="宋体" w:hAnsi="宋体" w:eastAsia="宋体" w:cs="宋体"/>
          <w:sz w:val="24"/>
          <w:szCs w:val="24"/>
          <w:highlight w:val="none"/>
        </w:rPr>
        <w:t xml:space="preserve">。</w:t>
      </w:r>
      <w:bookmarkEnd w:id="31"/>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合同履行过程中中标单位现场实际到岗的人员数量不得少于投标文件中配置的数量，且未书面上报招标人同意的，发现一次按每少一人5000元/人/次进行处罚性扣款，在管理费中扣除，同时中标单位须在一周内补足至投标文件中配置的数量，考核办法和标准同时执行。</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lang w:eastAsia="zh-CN"/>
        </w:rPr>
        <w:t xml:space="preserve">）</w:t>
      </w:r>
      <w:r>
        <w:rPr>
          <w:rFonts w:hint="eastAsia" w:ascii="宋体" w:hAnsi="宋体" w:eastAsia="宋体" w:cs="宋体"/>
          <w:sz w:val="24"/>
          <w:szCs w:val="24"/>
          <w:highlight w:val="none"/>
        </w:rPr>
        <w:t xml:space="preserve">本项目中投标人的车辆及设备需按投标文件中配备的标准作为投标报价的测算依据，且用于合同的履行。</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各投标人须对项目进行现场踏勘，认识到现状与项目招标要求存在的差异，投标报价时充分考虑在1个月内将作业质量提升至项目招标要求所需成本。</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中标单位为全部人员购买人身意外伤害险，须报给采购人备案管理，年底根据实际上交情况做考核处理，如果没有达到要求比例的则相应扣除费用。</w:t>
      </w:r>
      <w:r>
        <w:rPr>
          <w:rFonts w:hint="eastAsia" w:ascii="宋体" w:hAnsi="宋体" w:eastAsia="宋体" w:cs="宋体"/>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采购人根据国家有关规定、招标文件、中标方的投标文件以及合同约定的内容和响应标准在中标后15天内进行现场核查。如中标方所配备的人员和车辆设备没有达到招标文件规定要求，导致项目无法正常运行，采购人有权取消其中标资格，一切损失由中标方负责。</w:t>
      </w:r>
      <w:bookmarkEnd w:id="30"/>
      <w:r>
        <w:rPr>
          <w:rFonts w:hint="eastAsia" w:ascii="宋体" w:hAnsi="宋体" w:eastAsia="宋体" w:cs="宋体"/>
          <w:bCs/>
          <w:sz w:val="24"/>
          <w:szCs w:val="24"/>
          <w:highlight w:val="none"/>
        </w:rPr>
      </w:r>
      <w:r/>
    </w:p>
    <w:p>
      <w:pPr>
        <w:pStyle w:val="1528"/>
        <w:ind w:firstLine="482"/>
        <w:spacing w:line="360" w:lineRule="auto"/>
        <w:tabs>
          <w:tab w:val="left" w:pos="840"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9</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rPr>
        <w:t xml:space="preserve">履约保证金：</w:t>
      </w:r>
      <w:r>
        <w:rPr>
          <w:rFonts w:hint="eastAsia" w:ascii="宋体" w:hAnsi="宋体" w:eastAsia="宋体" w:cs="宋体"/>
          <w:b/>
          <w:bCs w:val="0"/>
          <w:sz w:val="24"/>
          <w:szCs w:val="24"/>
          <w:highlight w:val="none"/>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收取履约保证金形式：</w:t>
      </w:r>
      <w:r>
        <w:rPr>
          <w:rFonts w:hint="eastAsia" w:ascii="宋体" w:hAnsi="宋体" w:eastAsia="宋体" w:cs="宋体"/>
          <w:b/>
          <w:bCs w:val="0"/>
          <w:color w:val="000000"/>
          <w:sz w:val="24"/>
          <w:szCs w:val="24"/>
          <w:u w:val="single"/>
          <w:lang w:val="en-US" w:eastAsia="zh-CN" w:bidi="ar-SA"/>
        </w:rPr>
        <w:t xml:space="preserve">以保函等非现金形式缴纳或提交</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收取履约保证金金额：</w:t>
      </w:r>
      <w:r>
        <w:rPr>
          <w:rFonts w:hint="eastAsia" w:ascii="宋体" w:hAnsi="宋体" w:eastAsia="宋体" w:cs="宋体"/>
          <w:b/>
          <w:bCs w:val="0"/>
          <w:color w:val="000000"/>
          <w:sz w:val="24"/>
          <w:szCs w:val="24"/>
          <w:u w:val="single"/>
          <w:lang w:val="en-US" w:eastAsia="zh-CN" w:bidi="ar-SA"/>
        </w:rPr>
        <w:t xml:space="preserve">合同价款的10%</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履约担保期限：</w:t>
      </w:r>
      <w:r>
        <w:rPr>
          <w:rFonts w:hint="eastAsia" w:ascii="宋体" w:hAnsi="宋体" w:eastAsia="宋体" w:cs="宋体"/>
          <w:b/>
          <w:bCs w:val="0"/>
          <w:color w:val="000000"/>
          <w:sz w:val="24"/>
          <w:szCs w:val="24"/>
          <w:highlight w:val="none"/>
          <w:u w:val="single"/>
        </w:rPr>
        <w:t xml:space="preserve">履约保证金将在服务完毕并考核合格后无息退回</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履约保证金的缴纳时间：</w:t>
      </w:r>
      <w:r>
        <w:rPr>
          <w:rFonts w:hint="eastAsia" w:ascii="宋体" w:hAnsi="宋体" w:eastAsia="宋体" w:cs="宋体"/>
          <w:b/>
          <w:bCs w:val="0"/>
          <w:color w:val="000000"/>
          <w:sz w:val="24"/>
          <w:szCs w:val="24"/>
          <w:u w:val="single"/>
          <w:lang w:val="en-US" w:eastAsia="zh-CN" w:bidi="ar-SA"/>
        </w:rPr>
        <w:t xml:space="preserve">乙方在签订合同后5个工作日内，向甲方提交履约保证金</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退付办法：</w:t>
      </w:r>
      <w:r>
        <w:rPr>
          <w:rFonts w:hint="eastAsia" w:ascii="宋体" w:hAnsi="宋体" w:eastAsia="宋体" w:cs="宋体"/>
          <w:b/>
          <w:bCs w:val="0"/>
          <w:color w:val="000000"/>
          <w:sz w:val="24"/>
          <w:szCs w:val="24"/>
          <w:u w:val="single"/>
          <w:lang w:val="en-US" w:eastAsia="zh-CN" w:bidi="ar-SA"/>
        </w:rPr>
        <w:t xml:space="preserve">与</w:t>
      </w:r>
      <w:r>
        <w:rPr>
          <w:rFonts w:hint="eastAsia" w:ascii="宋体" w:hAnsi="宋体" w:cs="宋体"/>
          <w:b/>
          <w:bCs w:val="0"/>
          <w:color w:val="000000"/>
          <w:sz w:val="24"/>
          <w:szCs w:val="24"/>
          <w:u w:val="single"/>
          <w:lang w:val="en-US" w:eastAsia="zh-CN" w:bidi="ar-SA"/>
        </w:rPr>
        <w:t xml:space="preserve">乙方</w:t>
      </w:r>
      <w:r>
        <w:rPr>
          <w:rFonts w:hint="eastAsia" w:ascii="宋体" w:hAnsi="宋体" w:eastAsia="宋体" w:cs="宋体"/>
          <w:b/>
          <w:bCs w:val="0"/>
          <w:color w:val="000000"/>
          <w:sz w:val="24"/>
          <w:szCs w:val="24"/>
          <w:u w:val="single"/>
          <w:lang w:val="en-US" w:eastAsia="zh-CN" w:bidi="ar-SA"/>
        </w:rPr>
        <w:t xml:space="preserve">提交履约保证金的方式相同</w:t>
      </w:r>
      <w:r>
        <w:rPr>
          <w:rFonts w:hint="eastAsia" w:ascii="宋体" w:hAnsi="宋体" w:eastAsia="宋体" w:cs="宋体"/>
          <w:b/>
          <w:bCs w:val="0"/>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履约保证金不予退还的情形：</w:t>
      </w:r>
      <w:r>
        <w:rPr>
          <w:rFonts w:hint="eastAsia" w:ascii="宋体" w:hAnsi="宋体" w:eastAsia="宋体" w:cs="宋体"/>
          <w:b/>
          <w:bCs w:val="0"/>
          <w:color w:val="000000"/>
          <w:sz w:val="24"/>
          <w:szCs w:val="24"/>
          <w:u w:val="single"/>
          <w:lang w:val="en-US" w:eastAsia="zh-CN" w:bidi="ar-SA"/>
        </w:rPr>
        <w:t xml:space="preserve">①由于中标方的原因不能履约的，②在履行合同期间发生重大安全事故，给采购人造成不良影响和严重经济损失的</w:t>
      </w:r>
      <w:r>
        <w:rPr>
          <w:rFonts w:hint="eastAsia" w:ascii="宋体" w:hAnsi="宋体" w:eastAsia="宋体" w:cs="宋体"/>
          <w:b/>
          <w:bCs w:val="0"/>
          <w:color w:val="000000"/>
          <w:sz w:val="24"/>
          <w:szCs w:val="24"/>
          <w:lang w:val="en-US" w:eastAsia="zh-CN" w:bidi="ar-SA"/>
        </w:rPr>
      </w:r>
      <w:r/>
    </w:p>
    <w:p>
      <w:pPr>
        <w:pStyle w:val="1528"/>
        <w:ind w:firstLine="723"/>
        <w:spacing w:line="360" w:lineRule="auto"/>
        <w:tabs>
          <w:tab w:val="left" w:pos="840" w:leader="none"/>
          <w:tab w:val="left" w:pos="1155" w:leader="none"/>
        </w:tabs>
        <w:rPr>
          <w:rFonts w:hint="eastAsia" w:ascii="宋体" w:hAnsi="宋体" w:eastAsia="宋体" w:cs="宋体"/>
          <w:b/>
          <w:bCs w:val="0"/>
          <w:color w:val="000000"/>
          <w:sz w:val="24"/>
          <w:szCs w:val="24"/>
          <w:u w:val="single"/>
          <w:lang w:val="en-US" w:eastAsia="zh-CN" w:bidi="ar-SA"/>
        </w:rPr>
      </w:pPr>
      <w:r>
        <w:rPr>
          <w:rFonts w:hint="eastAsia" w:ascii="宋体" w:hAnsi="宋体" w:eastAsia="宋体" w:cs="宋体"/>
          <w:b/>
          <w:bCs w:val="0"/>
          <w:color w:val="000000"/>
          <w:sz w:val="24"/>
          <w:szCs w:val="24"/>
          <w:lang w:val="en-US" w:eastAsia="zh-CN" w:bidi="ar-SA"/>
        </w:rPr>
        <w:t xml:space="preserve">逾期退还履约保证金的违约责任：</w:t>
      </w:r>
      <w:r>
        <w:rPr>
          <w:rFonts w:hint="eastAsia" w:ascii="宋体" w:hAnsi="宋体" w:eastAsia="宋体" w:cs="宋体"/>
          <w:b/>
          <w:bCs w:val="0"/>
          <w:color w:val="000000"/>
          <w:sz w:val="24"/>
          <w:szCs w:val="24"/>
          <w:u w:val="single"/>
          <w:lang w:val="en-US" w:eastAsia="zh-CN" w:bidi="ar-SA"/>
        </w:rPr>
        <w:t xml:space="preserve">承担履约保证金金额千分之二/天的违约</w:t>
      </w:r>
      <w:r>
        <w:rPr>
          <w:rFonts w:hint="eastAsia" w:ascii="宋体" w:hAnsi="宋体" w:eastAsia="宋体" w:cs="宋体"/>
          <w:b/>
          <w:bCs w:val="0"/>
          <w:color w:val="000000"/>
          <w:sz w:val="24"/>
          <w:szCs w:val="24"/>
          <w:u w:val="single"/>
          <w:lang w:val="en-US" w:eastAsia="zh-CN" w:bidi="ar-SA"/>
        </w:rPr>
      </w:r>
      <w:r/>
    </w:p>
    <w:p>
      <w:pPr>
        <w:pStyle w:val="1585"/>
        <w:rPr>
          <w:rFonts w:hint="eastAsia" w:eastAsia="宋体"/>
          <w:lang w:eastAsia="zh-CN"/>
        </w:rPr>
      </w:pPr>
      <w:r>
        <w:rPr>
          <w:rFonts w:hint="eastAsia" w:eastAsia="宋体"/>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eastAsia="zh-CN"/>
        </w:rPr>
      </w:r>
      <w:r/>
    </w:p>
    <w:p>
      <w:pPr>
        <w:pStyle w:val="1528"/>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rPr>
      </w:r>
      <w:r/>
    </w:p>
    <w:p>
      <w:pPr>
        <w:pStyle w:val="1528"/>
        <w:ind w:firstLine="482"/>
        <w:jc w:val="center"/>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人员最低配置要求清单</w:t>
      </w:r>
      <w:r>
        <w:rPr>
          <w:rFonts w:hint="eastAsia" w:ascii="宋体" w:hAnsi="宋体" w:eastAsia="宋体" w:cs="宋体"/>
          <w:b/>
          <w:bCs/>
          <w:sz w:val="24"/>
          <w:szCs w:val="24"/>
          <w:highlight w:val="none"/>
        </w:rPr>
      </w:r>
      <w:r/>
    </w:p>
    <w:tbl>
      <w:tblPr>
        <w:tblStyle w:val="1579"/>
        <w:tblW w:w="4953" w:type="pct"/>
        <w:jc w:val="center"/>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1"/>
        <w:gridCol w:w="1180"/>
        <w:gridCol w:w="1271"/>
        <w:gridCol w:w="1499"/>
        <w:gridCol w:w="1499"/>
        <w:gridCol w:w="1499"/>
        <w:gridCol w:w="1511"/>
      </w:tblGrid>
      <w:tr>
        <w:trPr>
          <w:trHeight w:val="891"/>
        </w:trPr>
        <w:tc>
          <w:tcPr>
            <w:tcW w:w="816" w:type="dxa"/>
            <w:vAlign w:val="center"/>
            <w:vMerge w:val="restart"/>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项目名称</w:t>
            </w:r>
            <w:r>
              <w:rPr>
                <w:rFonts w:hint="eastAsia" w:ascii="宋体" w:hAnsi="宋体" w:eastAsia="宋体" w:cs="宋体"/>
                <w:b/>
                <w:bCs/>
                <w:sz w:val="24"/>
                <w:szCs w:val="24"/>
                <w:highlight w:val="none"/>
              </w:rPr>
            </w:r>
            <w:r/>
          </w:p>
        </w:tc>
        <w:tc>
          <w:tcPr>
            <w:tcW w:w="583" w:type="dxa"/>
            <w:vAlign w:val="center"/>
            <w:vMerge w:val="restart"/>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养护等级</w:t>
            </w:r>
            <w:r>
              <w:rPr>
                <w:rFonts w:hint="eastAsia" w:ascii="宋体" w:hAnsi="宋体" w:eastAsia="宋体" w:cs="宋体"/>
                <w:b/>
                <w:bCs/>
                <w:sz w:val="24"/>
                <w:szCs w:val="24"/>
                <w:highlight w:val="none"/>
              </w:rPr>
            </w:r>
            <w:r/>
          </w:p>
        </w:tc>
        <w:tc>
          <w:tcPr>
            <w:tcW w:w="628" w:type="dxa"/>
            <w:vAlign w:val="center"/>
            <w:vMerge w:val="restart"/>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绿化面积</w:t>
            </w:r>
            <w:r>
              <w:rPr>
                <w:rFonts w:hint="eastAsia" w:ascii="宋体" w:hAnsi="宋体" w:eastAsia="宋体" w:cs="宋体"/>
                <w:b/>
                <w:bCs/>
                <w:sz w:val="24"/>
                <w:szCs w:val="24"/>
                <w:highlight w:val="none"/>
              </w:rPr>
            </w:r>
            <w:r/>
          </w:p>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rPr>
            </w:r>
            <w:r/>
          </w:p>
        </w:tc>
        <w:tc>
          <w:tcPr>
            <w:gridSpan w:val="4"/>
            <w:tcW w:w="6008" w:type="dxa"/>
            <w:vAlign w:val="center"/>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作业人员配置要求</w:t>
            </w:r>
            <w:r>
              <w:rPr>
                <w:rFonts w:hint="eastAsia" w:ascii="宋体" w:hAnsi="宋体" w:eastAsia="宋体" w:cs="宋体"/>
                <w:b/>
                <w:bCs/>
                <w:sz w:val="24"/>
                <w:szCs w:val="24"/>
                <w:highlight w:val="none"/>
              </w:rPr>
            </w:r>
            <w:r/>
          </w:p>
        </w:tc>
      </w:tr>
      <w:tr>
        <w:trPr>
          <w:trHeight w:val="844"/>
        </w:trPr>
        <w:tc>
          <w:tcPr>
            <w:tcW w:w="816" w:type="dxa"/>
            <w:vAlign w:val="center"/>
            <w:vMerge w:val="continue"/>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583" w:type="dxa"/>
            <w:vAlign w:val="center"/>
            <w:vMerge w:val="continue"/>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628" w:type="dxa"/>
            <w:vAlign w:val="center"/>
            <w:vMerge w:val="continue"/>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r>
            <w:r/>
          </w:p>
        </w:tc>
        <w:tc>
          <w:tcPr>
            <w:tcW w:w="741" w:type="dxa"/>
            <w:vAlign w:val="center"/>
            <w:textDirection w:val="lrTb"/>
            <w:noWrap w:val="false"/>
          </w:tcPr>
          <w:p>
            <w:pPr>
              <w:pStyle w:val="1536"/>
              <w:ind w:left="0" w:right="0" w:firstLine="0"/>
              <w:jc w:val="center"/>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项目负责人</w:t>
            </w:r>
            <w:r>
              <w:rPr>
                <w:rFonts w:hint="eastAsia" w:ascii="宋体" w:hAnsi="宋体" w:eastAsia="宋体" w:cs="宋体"/>
                <w:b/>
                <w:bCs/>
                <w:sz w:val="24"/>
                <w:szCs w:val="24"/>
                <w:highlight w:val="none"/>
                <w:lang w:val="en-US" w:eastAsia="zh-CN"/>
              </w:rPr>
            </w:r>
            <w:r/>
          </w:p>
        </w:tc>
        <w:tc>
          <w:tcPr>
            <w:tcW w:w="741" w:type="dxa"/>
            <w:vAlign w:val="center"/>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普通作业工人总数</w:t>
            </w:r>
            <w:r>
              <w:rPr>
                <w:rFonts w:hint="eastAsia" w:ascii="宋体" w:hAnsi="宋体" w:eastAsia="宋体" w:cs="宋体"/>
                <w:b/>
                <w:bCs/>
                <w:sz w:val="24"/>
                <w:szCs w:val="24"/>
                <w:highlight w:val="none"/>
              </w:rPr>
            </w:r>
            <w:r/>
          </w:p>
        </w:tc>
        <w:tc>
          <w:tcPr>
            <w:tcW w:w="741" w:type="dxa"/>
            <w:vAlign w:val="center"/>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中级技工</w:t>
            </w:r>
            <w:r>
              <w:rPr>
                <w:rFonts w:hint="eastAsia" w:ascii="宋体" w:hAnsi="宋体" w:eastAsia="宋体" w:cs="宋体"/>
                <w:b/>
                <w:bCs/>
                <w:sz w:val="24"/>
                <w:szCs w:val="24"/>
                <w:highlight w:val="none"/>
              </w:rPr>
            </w:r>
            <w:r/>
          </w:p>
        </w:tc>
        <w:tc>
          <w:tcPr>
            <w:tcW w:w="747" w:type="dxa"/>
            <w:vAlign w:val="center"/>
            <w:textDirection w:val="lrTb"/>
            <w:noWrap w:val="false"/>
          </w:tcPr>
          <w:p>
            <w:pPr>
              <w:pStyle w:val="1536"/>
              <w:ind w:left="0" w:right="0" w:firstLine="0"/>
              <w:jc w:val="center"/>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高级技工及以上</w:t>
            </w:r>
            <w:r>
              <w:rPr>
                <w:rFonts w:hint="eastAsia" w:ascii="宋体" w:hAnsi="宋体" w:eastAsia="宋体" w:cs="宋体"/>
                <w:b/>
                <w:bCs/>
                <w:sz w:val="24"/>
                <w:szCs w:val="24"/>
                <w:highlight w:val="none"/>
              </w:rPr>
            </w:r>
            <w:r/>
          </w:p>
        </w:tc>
      </w:tr>
      <w:tr>
        <w:trPr>
          <w:trHeight w:val="1083"/>
        </w:trPr>
        <w:tc>
          <w:tcPr>
            <w:tcW w:w="816" w:type="dxa"/>
            <w:vAlign w:val="center"/>
            <w:textDirection w:val="lrTb"/>
            <w:noWrap w:val="false"/>
          </w:tcPr>
          <w:p>
            <w:pPr>
              <w:pStyle w:val="1536"/>
              <w:ind w:left="0" w:right="0" w:firstLine="0"/>
              <w:jc w:val="center"/>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eastAsia="zh-CN"/>
              </w:rPr>
              <w:t xml:space="preserve">厚桥街道绿化养护项目N标段</w:t>
            </w:r>
            <w:r>
              <w:rPr>
                <w:rFonts w:hint="eastAsia" w:ascii="宋体" w:hAnsi="宋体" w:eastAsia="宋体" w:cs="宋体"/>
                <w:sz w:val="24"/>
                <w:szCs w:val="24"/>
                <w:highlight w:val="none"/>
                <w:lang w:eastAsia="zh-CN"/>
              </w:rPr>
            </w:r>
            <w:r/>
          </w:p>
        </w:tc>
        <w:tc>
          <w:tcPr>
            <w:tcW w:w="583" w:type="dxa"/>
            <w:vAlign w:val="center"/>
            <w:textDirection w:val="lrTb"/>
            <w:noWrap w:val="false"/>
          </w:tcPr>
          <w:p>
            <w:pPr>
              <w:pStyle w:val="1536"/>
              <w:ind w:left="0" w:right="0" w:firstLine="0"/>
              <w:jc w:val="center"/>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级</w:t>
            </w:r>
            <w:r>
              <w:rPr>
                <w:rFonts w:hint="eastAsia" w:ascii="宋体" w:hAnsi="宋体" w:eastAsia="宋体" w:cs="宋体"/>
                <w:sz w:val="24"/>
                <w:szCs w:val="24"/>
                <w:highlight w:val="none"/>
              </w:rPr>
            </w:r>
            <w:r/>
          </w:p>
        </w:tc>
        <w:tc>
          <w:tcPr>
            <w:tcW w:w="628" w:type="dxa"/>
            <w:vAlign w:val="center"/>
            <w:textDirection w:val="lrTb"/>
            <w:noWrap w:val="false"/>
          </w:tcPr>
          <w:p>
            <w:pPr>
              <w:pStyle w:val="1536"/>
              <w:ind w:left="0" w:right="0" w:firstLine="0"/>
              <w:jc w:val="center"/>
              <w:rPr>
                <w:rFonts w:ascii="宋体" w:hAnsi="宋体" w:eastAsia="宋体" w:cs="宋体"/>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2412</w:t>
            </w:r>
            <w:r>
              <w:rPr>
                <w:rFonts w:ascii="宋体" w:hAnsi="宋体" w:eastAsia="宋体" w:cs="宋体"/>
                <w:sz w:val="24"/>
                <w:szCs w:val="24"/>
                <w:highlight w:val="none"/>
                <w:lang w:val="en-US" w:eastAsia="zh-CN"/>
              </w:rPr>
            </w:r>
            <w:r/>
          </w:p>
        </w:tc>
        <w:tc>
          <w:tcPr>
            <w:tcW w:w="741" w:type="dxa"/>
            <w:vAlign w:val="center"/>
            <w:textDirection w:val="lrTb"/>
            <w:noWrap w:val="false"/>
          </w:tcPr>
          <w:p>
            <w:pPr>
              <w:pStyle w:val="1536"/>
              <w:ind w:left="0" w:right="0" w:firstLine="0"/>
              <w:jc w:val="center"/>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c>
          <w:tcPr>
            <w:tcW w:w="741" w:type="dxa"/>
            <w:vAlign w:val="center"/>
            <w:textDirection w:val="lrTb"/>
            <w:noWrap w:val="false"/>
          </w:tcPr>
          <w:p>
            <w:pPr>
              <w:pStyle w:val="1536"/>
              <w:ind w:left="0" w:right="0" w:firstLine="0"/>
              <w:jc w:val="center"/>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lang w:val="en-US" w:eastAsia="zh-CN"/>
              </w:rPr>
            </w:r>
            <w:r/>
          </w:p>
        </w:tc>
        <w:tc>
          <w:tcPr>
            <w:tcW w:w="741" w:type="dxa"/>
            <w:vAlign w:val="center"/>
            <w:textDirection w:val="lrTb"/>
            <w:noWrap w:val="false"/>
          </w:tcPr>
          <w:p>
            <w:pPr>
              <w:pStyle w:val="1536"/>
              <w:ind w:left="0" w:right="0" w:firstLine="0"/>
              <w:jc w:val="center"/>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r>
            <w:r/>
          </w:p>
        </w:tc>
        <w:tc>
          <w:tcPr>
            <w:tcW w:w="747" w:type="dxa"/>
            <w:vAlign w:val="center"/>
            <w:textDirection w:val="lrTb"/>
            <w:noWrap w:val="false"/>
          </w:tcPr>
          <w:p>
            <w:pPr>
              <w:pStyle w:val="1536"/>
              <w:ind w:left="0" w:right="0" w:firstLine="0"/>
              <w:jc w:val="center"/>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lang w:eastAsia="zh-CN"/>
              </w:rPr>
            </w:r>
            <w:r/>
          </w:p>
        </w:tc>
      </w:tr>
    </w:tbl>
    <w:p>
      <w:pPr>
        <w:pStyle w:val="1528"/>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说明：</w:t>
      </w:r>
      <w:r>
        <w:rPr>
          <w:rFonts w:hint="eastAsia" w:ascii="宋体" w:hAnsi="宋体" w:eastAsia="宋体" w:cs="宋体"/>
          <w:b/>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作业人员配置要求：</w:t>
      </w:r>
      <w:r>
        <w:rPr>
          <w:rFonts w:hint="eastAsia" w:ascii="宋体" w:hAnsi="宋体" w:eastAsia="宋体" w:cs="宋体"/>
          <w:b/>
          <w:bCs/>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cs="宋体"/>
          <w:sz w:val="24"/>
          <w:szCs w:val="24"/>
          <w:highlight w:val="none"/>
          <w:lang w:val="en-US" w:eastAsia="zh-CN"/>
        </w:rPr>
        <w:t xml:space="preserve">一级养护：每10万平方米配置中级技工及以上1名，每2万平方米绿地配绿化普通作业工人1名；</w:t>
      </w:r>
      <w:r>
        <w:rPr>
          <w:rFonts w:hint="eastAsia" w:ascii="宋体" w:hAnsi="宋体" w:eastAsia="宋体" w:cs="宋体"/>
          <w:sz w:val="24"/>
          <w:szCs w:val="24"/>
          <w:highlight w:val="none"/>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528"/>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注意</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5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项目负责人需提供园林绿化相关专业中级及以上职称扫描件上传至投标文件并电子签章（园林绿化相关专业职称证书是指：与园林绿化工程规划、设计、施工及养护管理相关的专业，包括园林（含园林规划设计、园林植物、风景园林、园林绿化等）、园艺、城市规划、景观、植物（含植保、森保等）的职称证书），同时需提供由供应商近三个月中任意一个月（不含开标当月）为项目负责人缴纳社保的缴费证明（需提供带有清晰二维码的官网扫描件）扫描件上传至投标文件并电子签章，</w:t>
      </w:r>
      <w:r>
        <w:rPr>
          <w:rFonts w:hint="eastAsia" w:ascii="宋体" w:hAnsi="宋体" w:eastAsia="宋体" w:cs="宋体"/>
          <w:b/>
          <w:bCs/>
          <w:color w:val="000000"/>
          <w:sz w:val="24"/>
          <w:szCs w:val="24"/>
          <w:highlight w:val="none"/>
        </w:rPr>
        <w:t xml:space="preserve">若未</w:t>
      </w:r>
      <w:r>
        <w:rPr>
          <w:rFonts w:hint="eastAsia" w:ascii="宋体" w:hAnsi="宋体" w:eastAsia="宋体" w:cs="宋体"/>
          <w:b/>
          <w:bCs/>
          <w:color w:val="000000"/>
          <w:sz w:val="24"/>
          <w:szCs w:val="24"/>
          <w:highlight w:val="none"/>
          <w:lang w:val="en-US" w:eastAsia="zh-CN"/>
        </w:rPr>
        <w:t xml:space="preserve">提供相关材料</w:t>
      </w:r>
      <w:r>
        <w:rPr>
          <w:rFonts w:hint="eastAsia" w:ascii="宋体" w:hAnsi="宋体" w:eastAsia="宋体" w:cs="宋体"/>
          <w:b/>
          <w:bCs/>
          <w:color w:val="000000"/>
          <w:sz w:val="24"/>
          <w:szCs w:val="24"/>
          <w:highlight w:val="none"/>
        </w:rPr>
        <w:t xml:space="preserve">的，作无效投标文件处理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15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技能工人一人一证，其中技能人员和作业工人不得重复。投标人需对此项的最低配置人数要求作出承诺（格式自拟，</w:t>
      </w:r>
      <w:r>
        <w:rPr>
          <w:rFonts w:hint="eastAsia" w:ascii="宋体" w:hAnsi="宋体" w:eastAsia="宋体" w:cs="宋体"/>
          <w:b/>
          <w:bCs w:val="0"/>
          <w:color w:val="000000"/>
          <w:sz w:val="24"/>
          <w:szCs w:val="24"/>
          <w:highlight w:val="none"/>
          <w:lang w:val="en-US" w:eastAsia="zh-CN"/>
        </w:rPr>
        <w:t xml:space="preserve">上传至投标文件并电子签章</w:t>
      </w:r>
      <w:r>
        <w:rPr>
          <w:rFonts w:hint="eastAsia" w:ascii="宋体" w:hAnsi="宋体" w:eastAsia="宋体" w:cs="宋体"/>
          <w:b/>
          <w:bCs/>
          <w:color w:val="000000"/>
          <w:sz w:val="24"/>
          <w:szCs w:val="24"/>
          <w:highlight w:val="none"/>
        </w:rPr>
        <w:t xml:space="preserve">），并承诺中标后提供上述所有人员名单，在进场作业前必须全部集中至采购人指定现场核查，若低于上述标准或未作出承诺的，作无效投标文件处理。</w:t>
      </w:r>
      <w:r>
        <w:rPr>
          <w:rFonts w:hint="eastAsia" w:ascii="宋体" w:hAnsi="宋体" w:eastAsia="宋体" w:cs="宋体"/>
          <w:b/>
          <w:bCs/>
          <w:color w:val="000000"/>
          <w:sz w:val="24"/>
          <w:szCs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val="en-US" w:eastAsia="zh-CN"/>
        </w:rPr>
      </w:r>
      <w:r/>
    </w:p>
    <w:p>
      <w:pPr>
        <w:pStyle w:val="1528"/>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528"/>
        <w:ind w:firstLine="482"/>
        <w:jc w:val="center"/>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设备最低配置要求清单</w:t>
      </w:r>
      <w:r>
        <w:rPr>
          <w:rFonts w:hint="eastAsia" w:ascii="宋体" w:hAnsi="宋体" w:eastAsia="宋体" w:cs="宋体"/>
          <w:b/>
          <w:bCs/>
          <w:sz w:val="24"/>
          <w:szCs w:val="24"/>
          <w:highlight w:val="none"/>
        </w:rPr>
      </w:r>
      <w:r/>
    </w:p>
    <w:tbl>
      <w:tblPr>
        <w:tblW w:w="91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8321"/>
      </w:tblGrid>
      <w:tr>
        <w:trPr>
          <w:trHeight w:val="654"/>
        </w:trPr>
        <w:tc>
          <w:tcPr>
            <w:tcW w:w="814" w:type="dxa"/>
            <w:vAlign w:val="center"/>
            <w:textDirection w:val="lrTb"/>
            <w:noWrap w:val="false"/>
          </w:tcPr>
          <w:p>
            <w:pPr>
              <w:pStyle w:val="1528"/>
              <w:jc w:val="center"/>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8321" w:type="dxa"/>
            <w:vAlign w:val="center"/>
            <w:textDirection w:val="lrTb"/>
            <w:noWrap w:val="false"/>
          </w:tcPr>
          <w:p>
            <w:pPr>
              <w:pStyle w:val="1528"/>
              <w:jc w:val="center"/>
              <w:widowControl/>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设备名称</w:t>
            </w:r>
            <w:r>
              <w:rPr>
                <w:rFonts w:hint="eastAsia" w:ascii="宋体" w:hAnsi="宋体" w:eastAsia="宋体" w:cs="宋体"/>
                <w:b/>
                <w:bCs/>
                <w:color w:val="000000"/>
                <w:sz w:val="24"/>
                <w:szCs w:val="24"/>
                <w:highlight w:val="none"/>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8321" w:type="dxa"/>
            <w:vAlign w:val="center"/>
            <w:textDirection w:val="lrTb"/>
            <w:noWrap w:val="false"/>
          </w:tcPr>
          <w:p>
            <w:pPr>
              <w:pStyle w:val="1528"/>
              <w:jc w:val="left"/>
              <w:widowControl/>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辆标准制式水车（核定载质量≥6吨）</w:t>
            </w:r>
            <w:r>
              <w:rPr>
                <w:rFonts w:hint="eastAsia" w:ascii="宋体" w:hAnsi="宋体" w:eastAsia="宋体" w:cs="宋体"/>
                <w:sz w:val="24"/>
                <w:szCs w:val="24"/>
                <w:highlight w:val="none"/>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p>
        </w:tc>
        <w:tc>
          <w:tcPr>
            <w:tcW w:w="8321" w:type="dxa"/>
            <w:vAlign w:val="center"/>
            <w:textDirection w:val="lrTb"/>
            <w:noWrap w:val="false"/>
          </w:tcPr>
          <w:p>
            <w:pPr>
              <w:pStyle w:val="1528"/>
              <w:jc w:val="left"/>
              <w:widowControl/>
              <w:rPr>
                <w:rFonts w:hint="eastAsia" w:ascii="宋体" w:hAnsi="宋体" w:eastAsia="宋体" w:cs="宋体"/>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割灌机（1台）、绿篱机（1台）、草坪机（1台）、水泵（1台）、碎枝机或枝干粉碎机（1台）</w:t>
            </w:r>
            <w:r>
              <w:rPr>
                <w:rFonts w:hint="eastAsia" w:ascii="宋体" w:hAnsi="宋体" w:eastAsia="宋体" w:cs="宋体"/>
                <w:sz w:val="24"/>
                <w:szCs w:val="24"/>
                <w:highlight w:val="none"/>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eastAsia="zh-CN"/>
              </w:rPr>
            </w:r>
            <w:r/>
          </w:p>
        </w:tc>
        <w:tc>
          <w:tcPr>
            <w:tcW w:w="8321" w:type="dxa"/>
            <w:vAlign w:val="center"/>
            <w:textDirection w:val="lrTb"/>
            <w:noWrap w:val="false"/>
          </w:tcPr>
          <w:p>
            <w:pPr>
              <w:pStyle w:val="1528"/>
              <w:jc w:val="lef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1辆吊车（汽车起重机）（核定载质量或额定起重量≥8吨）</w:t>
            </w:r>
            <w:r>
              <w:rPr>
                <w:rFonts w:ascii="宋体" w:hAnsi="宋体" w:eastAsia="宋体" w:cs="宋体"/>
                <w:sz w:val="24"/>
                <w:szCs w:val="24"/>
                <w:highlight w:val="none"/>
                <w:lang w:val="en-US" w:eastAsia="zh-CN"/>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lang w:eastAsia="zh-CN" w:bidi="ar"/>
              </w:rPr>
              <w:outlineLvl w:val="9"/>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eastAsia="zh-CN" w:bidi="ar"/>
              </w:rPr>
            </w:r>
            <w:r/>
          </w:p>
        </w:tc>
        <w:tc>
          <w:tcPr>
            <w:tcW w:w="8321" w:type="dxa"/>
            <w:vAlign w:val="center"/>
            <w:textDirection w:val="lrTb"/>
            <w:noWrap w:val="false"/>
          </w:tcPr>
          <w:p>
            <w:pPr>
              <w:pStyle w:val="1528"/>
              <w:jc w:val="left"/>
              <w:widowControl/>
              <w:rPr>
                <w:rFonts w:hint="eastAsia" w:ascii="宋体" w:hAnsi="宋体" w:eastAsia="宋体" w:cs="宋体"/>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1辆运输车（核定载质量≥1.5吨，用于运输材料）</w:t>
            </w:r>
            <w:r>
              <w:rPr>
                <w:rFonts w:hint="eastAsia" w:ascii="宋体" w:hAnsi="宋体" w:eastAsia="宋体" w:cs="宋体"/>
                <w:sz w:val="24"/>
                <w:szCs w:val="24"/>
                <w:highlight w:val="none"/>
                <w:lang w:bidi="ar"/>
              </w:rPr>
            </w:r>
            <w:r/>
          </w:p>
        </w:tc>
      </w:tr>
      <w:tr>
        <w:trPr>
          <w:trHeight w:val="622"/>
        </w:trPr>
        <w:tc>
          <w:tcPr>
            <w:tcW w:w="814" w:type="dxa"/>
            <w:vAlign w:val="center"/>
            <w:textDirection w:val="lrTb"/>
            <w:noWrap w:val="false"/>
          </w:tcPr>
          <w:p>
            <w:pPr>
              <w:pStyle w:val="1528"/>
              <w:jc w:val="center"/>
              <w:widowControl/>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eastAsia="zh-CN"/>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1辆客车（7座及以上，用于接送养护工人及应急作业）</w:t>
            </w:r>
            <w:r>
              <w:rPr>
                <w:rFonts w:hint="eastAsia" w:ascii="宋体" w:hAnsi="宋体" w:eastAsia="宋体" w:cs="宋体"/>
                <w:color w:val="000000"/>
                <w:sz w:val="24"/>
                <w:szCs w:val="24"/>
                <w:highlight w:val="none"/>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6</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1辆多功能抑尘车（核定载质量≥4吨）</w:t>
            </w:r>
            <w:r>
              <w:rPr>
                <w:rFonts w:hint="eastAsia" w:ascii="宋体" w:hAnsi="宋体" w:eastAsia="宋体" w:cs="宋体"/>
                <w:color w:val="000000"/>
                <w:sz w:val="24"/>
                <w:szCs w:val="24"/>
                <w:highlight w:val="none"/>
                <w:lang w:bidi="ar"/>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7</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val="en-US" w:eastAsia="zh-CN" w:bidi="ar"/>
              </w:rPr>
              <w:outlineLvl w:val="9"/>
            </w:pPr>
            <w:r>
              <w:rPr>
                <w:rFonts w:hint="eastAsia" w:ascii="宋体" w:hAnsi="宋体" w:eastAsia="宋体" w:cs="宋体"/>
                <w:b w:val="0"/>
                <w:bCs w:val="0"/>
                <w:color w:val="000000"/>
                <w:sz w:val="24"/>
                <w:szCs w:val="24"/>
                <w:highlight w:val="none"/>
                <w:lang w:val="en-US" w:eastAsia="zh-CN"/>
              </w:rPr>
              <w:t xml:space="preserve">1辆高空作业车</w:t>
            </w:r>
            <w:r>
              <w:rPr>
                <w:rFonts w:hint="eastAsia" w:ascii="宋体" w:hAnsi="宋体" w:eastAsia="宋体" w:cs="宋体"/>
                <w:color w:val="000000"/>
                <w:sz w:val="24"/>
                <w:szCs w:val="24"/>
                <w:highlight w:val="none"/>
                <w:lang w:val="en-US" w:eastAsia="zh-CN" w:bidi="ar"/>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8</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1辆绿篱修剪车</w:t>
            </w:r>
            <w:r>
              <w:rPr>
                <w:rFonts w:hint="eastAsia" w:ascii="宋体" w:hAnsi="宋体" w:eastAsia="宋体" w:cs="宋体"/>
                <w:color w:val="000000"/>
                <w:sz w:val="24"/>
                <w:szCs w:val="24"/>
                <w:highlight w:val="none"/>
                <w:lang w:bidi="ar"/>
              </w:rPr>
            </w:r>
            <w:r/>
          </w:p>
        </w:tc>
      </w:tr>
      <w:tr>
        <w:trPr>
          <w:trHeight w:val="622"/>
        </w:trPr>
        <w:tc>
          <w:tcPr>
            <w:tcW w:w="814" w:type="dxa"/>
            <w:vAlign w:val="center"/>
            <w:textDirection w:val="lrTb"/>
            <w:noWrap w:val="false"/>
          </w:tcPr>
          <w:p>
            <w:pPr>
              <w:pStyle w:val="1528"/>
              <w:jc w:val="center"/>
              <w:widowControl/>
              <w:rPr>
                <w:rFonts w:ascii="宋体" w:hAnsi="宋体" w:cs="宋体"/>
                <w:color w:val="000000"/>
                <w:sz w:val="24"/>
                <w:szCs w:val="24"/>
                <w:highlight w:val="none"/>
                <w:lang w:val="en-US" w:eastAsia="zh-CN" w:bidi="ar"/>
              </w:rPr>
              <w:outlineLvl w:val="9"/>
            </w:pPr>
            <w:r>
              <w:rPr>
                <w:rFonts w:hint="eastAsia" w:ascii="宋体" w:hAnsi="宋体" w:cs="宋体"/>
                <w:color w:val="000000"/>
                <w:sz w:val="24"/>
                <w:szCs w:val="24"/>
                <w:highlight w:val="none"/>
                <w:lang w:val="en-US" w:eastAsia="zh-CN" w:bidi="ar"/>
              </w:rPr>
              <w:t xml:space="preserve">9</w:t>
            </w:r>
            <w:r>
              <w:rPr>
                <w:rFonts w:ascii="宋体" w:hAnsi="宋体" w:cs="宋体"/>
                <w:color w:val="000000"/>
                <w:sz w:val="24"/>
                <w:szCs w:val="24"/>
                <w:highlight w:val="none"/>
                <w:lang w:val="en-US" w:eastAsia="zh-CN" w:bidi="ar"/>
              </w:rPr>
            </w:r>
            <w:r/>
          </w:p>
        </w:tc>
        <w:tc>
          <w:tcPr>
            <w:tcW w:w="8321" w:type="dxa"/>
            <w:vAlign w:val="center"/>
            <w:textDirection w:val="lrTb"/>
            <w:noWrap w:val="false"/>
          </w:tcPr>
          <w:p>
            <w:pPr>
              <w:pStyle w:val="1528"/>
              <w:jc w:val="left"/>
              <w:widowControl/>
              <w:rPr>
                <w:rFonts w:hint="eastAsia" w:ascii="宋体" w:hAnsi="宋体" w:eastAsia="宋体" w:cs="宋体"/>
                <w:color w:val="000000"/>
                <w:sz w:val="24"/>
                <w:szCs w:val="24"/>
                <w:highlight w:val="none"/>
                <w:lang w:bidi="ar"/>
              </w:rPr>
              <w:outlineLvl w:val="9"/>
            </w:pPr>
            <w:r>
              <w:rPr>
                <w:rFonts w:hint="eastAsia" w:ascii="宋体" w:hAnsi="宋体" w:eastAsia="宋体" w:cs="宋体"/>
                <w:b w:val="0"/>
                <w:bCs w:val="0"/>
                <w:color w:val="000000"/>
                <w:sz w:val="24"/>
                <w:szCs w:val="24"/>
                <w:highlight w:val="none"/>
                <w:lang w:val="en-US" w:eastAsia="zh-CN"/>
              </w:rPr>
              <w:t xml:space="preserve">1辆枝叶粉碎车</w:t>
            </w:r>
            <w:r>
              <w:rPr>
                <w:rFonts w:hint="eastAsia" w:ascii="宋体" w:hAnsi="宋体" w:eastAsia="宋体" w:cs="宋体"/>
                <w:color w:val="000000"/>
                <w:sz w:val="24"/>
                <w:szCs w:val="24"/>
                <w:highlight w:val="none"/>
                <w:lang w:bidi="ar"/>
              </w:rPr>
            </w:r>
            <w:r/>
          </w:p>
        </w:tc>
      </w:tr>
    </w:tbl>
    <w:p>
      <w:pPr>
        <w:pStyle w:val="1528"/>
        <w:ind w:firstLine="482"/>
        <w:spacing w:line="360" w:lineRule="auto"/>
        <w:rPr>
          <w:rFonts w:hint="eastAsia"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备注：</w:t>
      </w:r>
      <w:r>
        <w:rPr>
          <w:rFonts w:hint="eastAsia" w:ascii="宋体" w:hAnsi="宋体" w:eastAsia="宋体" w:cs="宋体"/>
          <w:b/>
          <w:bCs/>
          <w:sz w:val="24"/>
          <w:szCs w:val="24"/>
          <w:highlight w:val="none"/>
        </w:rPr>
        <w:t xml:space="preserve">在完全满足采购需求的基础上，若采购需求中，明确要求提供相关证明材料的，必须按要求提供，未提供的视为负偏离，作为无效投标文件处理。未明确提供相关证明材料的，由投标人根据自身情况提供材料。</w:t>
      </w:r>
      <w:r>
        <w:rPr>
          <w:rFonts w:hint="eastAsia" w:ascii="宋体" w:hAnsi="宋体" w:eastAsia="宋体" w:cs="宋体"/>
          <w:b/>
          <w:bCs/>
          <w:sz w:val="24"/>
          <w:szCs w:val="24"/>
          <w:highlight w:val="none"/>
        </w:rPr>
      </w:r>
      <w:r/>
    </w:p>
    <w:p>
      <w:pPr>
        <w:pStyle w:val="1528"/>
        <w:ind w:firstLine="482"/>
        <w:jc w:val="left"/>
        <w:keepLines w:val="0"/>
        <w:keepNext w:val="0"/>
        <w:pageBreakBefore w:val="0"/>
        <w:spacing w:line="360" w:lineRule="auto"/>
        <w:widowControl w:val="off"/>
        <w:rPr>
          <w:rFonts w:ascii="宋体" w:hAnsi="宋体" w:eastAsia="宋体" w:cs="宋体"/>
          <w:sz w:val="24"/>
          <w:szCs w:val="24"/>
          <w:highlight w:val="none"/>
          <w:lang w:val="en-US" w:eastAsia="zh-CN"/>
        </w:rPr>
        <w:outlineLvl w:val="9"/>
      </w:pPr>
      <w:r>
        <w:rPr>
          <w:rFonts w:hint="eastAsia" w:ascii="宋体" w:hAnsi="宋体" w:eastAsia="宋体" w:cs="宋体"/>
          <w:b/>
          <w:sz w:val="24"/>
          <w:szCs w:val="24"/>
          <w:highlight w:val="none"/>
        </w:rPr>
        <w:t xml:space="preserve">以上所有</w:t>
      </w:r>
      <w:r>
        <w:rPr>
          <w:rFonts w:hint="eastAsia" w:ascii="宋体" w:hAnsi="宋体" w:eastAsia="宋体" w:cs="宋体"/>
          <w:b/>
          <w:sz w:val="24"/>
          <w:szCs w:val="24"/>
          <w:highlight w:val="none"/>
          <w:lang w:val="en-US" w:eastAsia="zh-CN"/>
        </w:rPr>
        <w:t xml:space="preserve">车辆及设备</w:t>
      </w:r>
      <w:r>
        <w:rPr>
          <w:rFonts w:hint="eastAsia" w:ascii="宋体" w:hAnsi="宋体" w:eastAsia="宋体" w:cs="宋体"/>
          <w:b/>
          <w:sz w:val="24"/>
          <w:szCs w:val="24"/>
          <w:highlight w:val="none"/>
        </w:rPr>
        <w:t xml:space="preserve">都须符合项目要求和有关说明中对车辆的配置要求及其他相关要求，在</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拟投入的机械设备表</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格式自拟</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中列明；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扫描件上传至投标文件并电子签章</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或提供承诺书（格式自拟，承诺中标之后20天内提供以上所有机械设备配置至采购人指定现场核查，达到可规范使用状态方可验收通过</w:t>
      </w:r>
      <w:r>
        <w:rPr>
          <w:rFonts w:hint="eastAsia" w:ascii="宋体" w:hAnsi="宋体" w:eastAsia="宋体" w:cs="宋体"/>
          <w:b/>
          <w:bCs/>
          <w:color w:val="000000"/>
          <w:sz w:val="24"/>
          <w:szCs w:val="24"/>
          <w:highlight w:val="none"/>
        </w:rPr>
        <w:t xml:space="preserve">，包括但不限于车辆设备的通行、作业</w:t>
      </w:r>
      <w:r>
        <w:rPr>
          <w:rFonts w:hint="eastAsia" w:ascii="宋体" w:hAnsi="宋体" w:eastAsia="宋体" w:cs="宋体"/>
          <w:b/>
          <w:sz w:val="24"/>
          <w:szCs w:val="24"/>
          <w:highlight w:val="none"/>
          <w:lang w:val="en-US" w:eastAsia="zh-CN"/>
        </w:rPr>
        <w:t xml:space="preserve">），未按要求提供的作无效投标文件处理。</w:t>
      </w:r>
      <w:r>
        <w:rPr>
          <w:rFonts w:ascii="宋体" w:hAnsi="宋体" w:eastAsia="宋体" w:cs="宋体"/>
          <w:sz w:val="24"/>
          <w:szCs w:val="24"/>
          <w:highlight w:val="none"/>
          <w:lang w:val="en-US" w:eastAsia="zh-CN"/>
        </w:rPr>
      </w:r>
      <w:r/>
    </w:p>
    <w:p>
      <w:pPr>
        <w:pStyle w:val="1528"/>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如中标方所配备的作业车辆没有达到招标文件规定要求，导致项目无法正常运行，采购人有权取消其中标资格，一切损失由中标单位负责。</w:t>
      </w:r>
      <w:r>
        <w:rPr>
          <w:rFonts w:hint="eastAsia" w:ascii="宋体" w:hAnsi="宋体" w:eastAsia="宋体" w:cs="宋体"/>
          <w:b/>
          <w:bCs/>
          <w:color w:val="000000"/>
          <w:sz w:val="24"/>
          <w:szCs w:val="24"/>
          <w:highlight w:val="none"/>
        </w:rPr>
      </w:r>
      <w:r/>
    </w:p>
    <w:p>
      <w:pPr>
        <w:pStyle w:val="1528"/>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val="en-US" w:eastAsia="zh-CN"/>
        </w:rPr>
      </w:r>
      <w:r/>
    </w:p>
    <w:p>
      <w:pPr>
        <w:pStyle w:val="1528"/>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bl>
      <w:tblPr>
        <w:tblW w:w="99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6525"/>
        <w:gridCol w:w="1080"/>
        <w:gridCol w:w="1080"/>
      </w:tblGrid>
      <w:tr>
        <w:trPr>
          <w:trHeight w:val="270"/>
        </w:trPr>
        <w:tc>
          <w:tcPr>
            <w:tcW w:w="1255" w:type="dxa"/>
            <w:vAlign w:val="center"/>
            <w:vMerge w:val="restart"/>
            <w:textDirection w:val="lrTb"/>
            <w:noWrap w:val="false"/>
          </w:tcPr>
          <w:p>
            <w:pPr>
              <w:pStyle w:val="1528"/>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rPr>
                <w:rFonts w:ascii="黑体" w:hAnsi="宋体" w:eastAsia="黑体" w:cs="黑体"/>
                <w:i w:val="0"/>
                <w:iCs w:val="0"/>
                <w:color w:val="000000"/>
                <w:sz w:val="21"/>
                <w:szCs w:val="21"/>
                <w:u w:val="none"/>
              </w:rPr>
            </w:r>
            <w:r/>
          </w:p>
        </w:tc>
        <w:tc>
          <w:tcPr>
            <w:tcW w:w="6525"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rPr>
                <w:rFonts w:hint="eastAsia" w:ascii="黑体" w:hAnsi="宋体" w:eastAsia="黑体" w:cs="黑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rPr>
                <w:rFonts w:hint="eastAsia" w:ascii="黑体" w:hAnsi="宋体" w:eastAsia="黑体" w:cs="黑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面积</w:t>
            </w:r>
            <w:r>
              <w:rPr>
                <w:rFonts w:hint="eastAsia" w:ascii="黑体" w:hAnsi="宋体" w:eastAsia="黑体" w:cs="黑体"/>
                <w:i w:val="0"/>
                <w:iCs w:val="0"/>
                <w:color w:val="000000"/>
                <w:sz w:val="21"/>
                <w:szCs w:val="21"/>
                <w:u w:val="none"/>
              </w:rPr>
            </w:r>
            <w:r/>
          </w:p>
        </w:tc>
      </w:tr>
      <w:tr>
        <w:trPr>
          <w:trHeight w:val="357"/>
        </w:trPr>
        <w:tc>
          <w:tcPr>
            <w:gridSpan w:val="4"/>
            <w:tcW w:w="9940" w:type="dxa"/>
            <w:vAlign w:val="center"/>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长吉路（1200</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25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652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r>
      <w:tr>
        <w:trPr>
          <w:trHeight w:val="380"/>
        </w:trPr>
        <w:tc>
          <w:tcPr>
            <w:gridSpan w:val="4"/>
            <w:tcW w:w="9940" w:type="dxa"/>
            <w:vAlign w:val="center"/>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宛山湖东路（宛山湖东路-大成路T路口中分带、导流岛100</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25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652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r>
      <w:tr>
        <w:trPr>
          <w:trHeight w:val="380"/>
        </w:trPr>
        <w:tc>
          <w:tcPr>
            <w:gridSpan w:val="4"/>
            <w:tcW w:w="9940" w:type="dxa"/>
            <w:vAlign w:val="center"/>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宛山湖西路（宛山湖西路-联福路中分带、宛山湖西路-大成路中分带、宛山湖西路-厚惠路中分带，252</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25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652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r>
      <w:tr>
        <w:trPr>
          <w:trHeight w:val="380"/>
        </w:trPr>
        <w:tc>
          <w:tcPr>
            <w:gridSpan w:val="4"/>
            <w:tcW w:w="9940" w:type="dxa"/>
            <w:vAlign w:val="center"/>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联福路（联福路-胶阳路（东南角，44</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25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652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r>
      <w:tr>
        <w:trPr>
          <w:trHeight w:val="616"/>
        </w:trPr>
        <w:tc>
          <w:tcPr>
            <w:gridSpan w:val="4"/>
            <w:tcW w:w="9940" w:type="dxa"/>
            <w:vAlign w:val="center"/>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锡山大道（联福路-联太路两侧、联福路-联太路中分带、联太路-厚裕路两侧 、联太路-厚裕路中分带、厚裕路-西前头两侧、厚裕路-西前头中分带、西前头-宛山湖西路两侧、西前头-宛山湖西路中分带，615</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25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652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18"/>
                <w:szCs w:val="18"/>
                <w:u w:val="none"/>
              </w:rPr>
            </w:r>
            <w:r/>
          </w:p>
        </w:tc>
        <w:tc>
          <w:tcPr>
            <w:tcW w:w="1080"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rPr>
                <w:rFonts w:hint="eastAsia" w:ascii="宋体" w:hAnsi="宋体" w:eastAsia="宋体" w:cs="宋体"/>
                <w:i w:val="0"/>
                <w:iCs w:val="0"/>
                <w:color w:val="000000"/>
                <w:sz w:val="21"/>
                <w:szCs w:val="21"/>
                <w:u w:val="none"/>
              </w:rPr>
            </w:r>
            <w:r/>
          </w:p>
        </w:tc>
      </w:tr>
      <w:tr>
        <w:trPr>
          <w:trHeight w:val="380"/>
        </w:trPr>
        <w:tc>
          <w:tcPr>
            <w:gridSpan w:val="4"/>
            <w:tcW w:w="9940" w:type="dxa"/>
            <w:vAlign w:val="center"/>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联福路（大成路-九里河，201</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25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6525"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80"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r>
    </w:tbl>
    <w:p>
      <w:pPr>
        <w:pStyle w:val="1585"/>
        <w:ind w:left="0" w:firstLine="0"/>
        <w:rPr>
          <w:rFonts w:hint="eastAsia"/>
          <w:lang w:eastAsia="zh-CN"/>
        </w:rPr>
      </w:pPr>
      <w:r>
        <w:rPr>
          <w:rFonts w:hint="eastAsia"/>
          <w:lang w:eastAsia="zh-CN"/>
        </w:rPr>
      </w:r>
      <w:r/>
    </w:p>
    <w:p>
      <w:pPr>
        <w:pStyle w:val="1528"/>
        <w:rPr>
          <w:rFonts w:hint="eastAsia"/>
          <w:lang w:eastAsia="zh-CN"/>
        </w:rPr>
      </w:pPr>
      <w:r>
        <w:rPr>
          <w:rFonts w:hint="eastAsia"/>
          <w:lang w:eastAsia="zh-CN"/>
        </w:rPr>
      </w:r>
      <w:r/>
    </w:p>
    <w:p>
      <w:pPr>
        <w:pStyle w:val="1528"/>
        <w:rPr>
          <w:rFonts w:hint="eastAsia"/>
          <w:lang w:eastAsia="zh-CN"/>
        </w:rPr>
      </w:pPr>
      <w:r>
        <w:rPr>
          <w:rFonts w:hint="eastAsia"/>
          <w:lang w:eastAsia="zh-CN"/>
        </w:rPr>
      </w:r>
      <w:r/>
    </w:p>
    <w:p>
      <w:pPr>
        <w:pStyle w:val="1528"/>
        <w:rPr>
          <w:rFonts w:hint="eastAsia"/>
          <w:lang w:eastAsia="zh-CN"/>
        </w:rPr>
      </w:pPr>
      <w:r>
        <w:rPr>
          <w:rFonts w:hint="eastAsia"/>
          <w:lang w:eastAsia="zh-CN"/>
        </w:rPr>
      </w:r>
      <w:r/>
    </w:p>
    <w:p>
      <w:pPr>
        <w:pStyle w:val="1528"/>
        <w:rPr>
          <w:rFonts w:hint="eastAsia"/>
          <w:lang w:eastAsia="zh-CN"/>
        </w:rPr>
      </w:pPr>
      <w:r>
        <w:rPr>
          <w:rFonts w:hint="eastAsia"/>
          <w:lang w:eastAsia="zh-CN"/>
        </w:rPr>
      </w:r>
      <w:r/>
    </w:p>
    <w:p>
      <w:pPr>
        <w:pStyle w:val="1528"/>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sz w:val="24"/>
          <w:szCs w:val="24"/>
          <w:highlight w:val="none"/>
          <w:lang w:eastAsia="zh-CN"/>
        </w:rPr>
      </w:r>
      <w:r/>
    </w:p>
    <w:p>
      <w:pPr>
        <w:pStyle w:val="1528"/>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lang w:val="en-US" w:eastAsia="zh-CN"/>
        </w:rPr>
        <w:t xml:space="preserve">附：</w:t>
      </w:r>
      <w:r>
        <w:rPr>
          <w:rFonts w:hint="eastAsia" w:ascii="宋体" w:hAnsi="宋体"/>
          <w:b/>
          <w:color w:val="000000"/>
          <w:sz w:val="30"/>
          <w:szCs w:val="30"/>
          <w:highlight w:val="none"/>
        </w:rPr>
        <w:t xml:space="preserve">政府采购政策（包括但不限于下列具体政策要求）</w:t>
      </w:r>
      <w:r>
        <w:rPr>
          <w:rFonts w:hint="eastAsia" w:ascii="宋体" w:hAnsi="宋体"/>
          <w:b/>
          <w:bCs/>
          <w:color w:val="000000"/>
          <w:sz w:val="30"/>
          <w:szCs w:val="30"/>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528"/>
        <w:ind w:firstLine="480"/>
        <w:spacing w:line="360" w:lineRule="auto"/>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528"/>
        <w:contextualSpacing/>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r>
        <w:rPr>
          <w:rFonts w:ascii="宋体" w:hAnsi="宋体" w:eastAsia="宋体" w:cs="宋体"/>
          <w:bCs/>
          <w:color w:val="000000"/>
          <w:sz w:val="24"/>
          <w:szCs w:val="24"/>
          <w:highlight w:val="none"/>
          <w:lang w:val="en-US" w:eastAsia="zh-CN" w:bidi="ar-SA"/>
        </w:rPr>
      </w:r>
      <w:r/>
      <w:r>
        <w:rPr>
          <w:rFonts w:hint="eastAsia" w:ascii="宋体" w:hAnsi="宋体" w:eastAsia="宋体" w:cs="宋体"/>
          <w:color w:val="000000"/>
          <w:sz w:val="24"/>
          <w:szCs w:val="24"/>
          <w:highlight w:val="none"/>
        </w:rPr>
      </w:r>
    </w:p>
    <w:p>
      <w:pPr>
        <w:pStyle w:val="1548"/>
        <w:ind w:firstLine="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eastAsia="宋体" w:cs="宋体"/>
          <w:bCs/>
          <w:color w:val="000000"/>
          <w:sz w:val="24"/>
          <w:szCs w:val="24"/>
          <w:highlight w:val="none"/>
          <w:lang w:val="en-US" w:eastAsia="zh-CN" w:bidi="ar-SA"/>
        </w:rPr>
      </w:r>
      <w:r/>
    </w:p>
    <w:p>
      <w:pPr>
        <w:pStyle w:val="1528"/>
        <w:jc w:val="center"/>
        <w:spacing w:line="360" w:lineRule="auto"/>
        <w:rPr>
          <w:rFonts w:hint="eastAsia" w:ascii="Times New Roman" w:hAnsi="宋体" w:eastAsia="宋体" w:cs="宋体"/>
          <w:b/>
          <w:bCs/>
          <w:sz w:val="32"/>
          <w:szCs w:val="32"/>
          <w:highlight w:val="none"/>
          <w:lang w:val="en-US" w:eastAsia="zh-CN"/>
        </w:rPr>
        <w:outlineLvl w:val="0"/>
      </w:pPr>
      <w:r/>
      <w:bookmarkEnd w:id="28"/>
      <w:r/>
      <w:bookmarkStart w:id="32" w:name="_Toc12214"/>
      <w:r/>
      <w:bookmarkStart w:id="33" w:name="_Toc21985"/>
      <w:r/>
      <w:bookmarkStart w:id="34" w:name="_Toc4709"/>
      <w:r/>
      <w:bookmarkStart w:id="35" w:name="_Toc17918"/>
      <w:r>
        <w:rPr>
          <w:rFonts w:hint="eastAsia" w:ascii="Times New Roman" w:hAnsi="宋体" w:eastAsia="宋体" w:cs="宋体"/>
          <w:b/>
          <w:bCs/>
          <w:sz w:val="32"/>
          <w:szCs w:val="32"/>
          <w:highlight w:val="none"/>
          <w:lang w:val="en-US" w:eastAsia="zh-CN"/>
        </w:rPr>
        <w:t xml:space="preserve">四、合同书（格式文本）</w:t>
      </w:r>
      <w:bookmarkEnd w:id="32"/>
      <w:r/>
      <w:bookmarkEnd w:id="33"/>
      <w:r>
        <w:rPr>
          <w:rFonts w:hint="eastAsia" w:ascii="Times New Roman" w:hAnsi="宋体" w:eastAsia="宋体" w:cs="宋体"/>
          <w:b/>
          <w:bCs/>
          <w:sz w:val="32"/>
          <w:szCs w:val="32"/>
          <w:highlight w:val="none"/>
          <w:lang w:val="en-US" w:eastAsia="zh-CN"/>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一、采购项目编号：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三</w:t>
      </w:r>
      <w:r>
        <w:rPr>
          <w:rFonts w:hint="eastAsia" w:ascii="宋体" w:hAnsi="宋体" w:eastAsia="宋体" w:cs="Times New Roman"/>
          <w:b w:val="0"/>
          <w:bCs/>
          <w:color w:val="000000"/>
          <w:sz w:val="24"/>
          <w:szCs w:val="24"/>
          <w:highlight w:val="none"/>
          <w:u w:val="none"/>
        </w:rPr>
        <w:t xml:space="preserve">、采购内容：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四</w:t>
      </w:r>
      <w:r>
        <w:rPr>
          <w:rFonts w:hint="eastAsia" w:ascii="宋体" w:hAnsi="宋体" w:eastAsia="宋体" w:cs="Times New Roman"/>
          <w:b w:val="0"/>
          <w:bCs/>
          <w:color w:val="000000"/>
          <w:sz w:val="24"/>
          <w:szCs w:val="24"/>
          <w:highlight w:val="none"/>
          <w:u w:val="none"/>
        </w:rPr>
        <w:t xml:space="preserve">、中标总金额：人民币（大写）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五</w:t>
      </w:r>
      <w:r>
        <w:rPr>
          <w:rFonts w:hint="eastAsia" w:ascii="宋体" w:hAnsi="宋体" w:eastAsia="宋体" w:cs="Times New Roman"/>
          <w:b w:val="0"/>
          <w:bCs/>
          <w:color w:val="000000"/>
          <w:sz w:val="24"/>
          <w:szCs w:val="24"/>
          <w:highlight w:val="none"/>
          <w:u w:val="none"/>
        </w:rPr>
        <w:t xml:space="preserve">、质量和服务要求及验收标准：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六</w:t>
      </w:r>
      <w:r>
        <w:rPr>
          <w:rFonts w:hint="eastAsia" w:ascii="宋体" w:hAnsi="宋体" w:eastAsia="宋体" w:cs="Times New Roman"/>
          <w:b w:val="0"/>
          <w:bCs/>
          <w:color w:val="000000"/>
          <w:sz w:val="24"/>
          <w:szCs w:val="24"/>
          <w:highlight w:val="none"/>
          <w:u w:val="none"/>
        </w:rPr>
        <w:t xml:space="preserve">、服务期限：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七</w:t>
      </w:r>
      <w:r>
        <w:rPr>
          <w:rFonts w:hint="eastAsia" w:ascii="宋体" w:hAnsi="宋体" w:eastAsia="宋体" w:cs="Times New Roman"/>
          <w:b w:val="0"/>
          <w:bCs/>
          <w:color w:val="000000"/>
          <w:sz w:val="24"/>
          <w:szCs w:val="24"/>
          <w:highlight w:val="none"/>
          <w:u w:val="none"/>
        </w:rPr>
        <w:t xml:space="preserve">、服务地点和方式：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八</w:t>
      </w:r>
      <w:r>
        <w:rPr>
          <w:rFonts w:hint="eastAsia" w:ascii="宋体" w:hAnsi="宋体" w:eastAsia="宋体" w:cs="Times New Roman"/>
          <w:b w:val="0"/>
          <w:bCs/>
          <w:color w:val="000000"/>
          <w:sz w:val="24"/>
          <w:szCs w:val="24"/>
          <w:highlight w:val="none"/>
          <w:u w:val="none"/>
        </w:rPr>
        <w:t xml:space="preserve">、货款支付步骤和办法：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九</w:t>
      </w:r>
      <w:r>
        <w:rPr>
          <w:rFonts w:hint="eastAsia" w:ascii="宋体" w:hAnsi="宋体" w:eastAsia="宋体" w:cs="Times New Roman"/>
          <w:b w:val="0"/>
          <w:bCs/>
          <w:color w:val="000000"/>
          <w:sz w:val="24"/>
          <w:szCs w:val="24"/>
          <w:highlight w:val="none"/>
          <w:u w:val="none"/>
        </w:rPr>
        <w:t xml:space="preserve">、违约责任：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lang w:val="en-US" w:eastAsia="zh-CN"/>
        </w:rPr>
        <w:t xml:space="preserve">十</w:t>
      </w:r>
      <w:r>
        <w:rPr>
          <w:rFonts w:hint="eastAsia" w:ascii="宋体" w:hAnsi="宋体" w:eastAsia="宋体" w:cs="Times New Roman"/>
          <w:b w:val="0"/>
          <w:bCs/>
          <w:color w:val="000000"/>
          <w:sz w:val="24"/>
          <w:szCs w:val="24"/>
          <w:highlight w:val="none"/>
          <w:u w:val="none"/>
        </w:rPr>
        <w:t xml:space="preserve">、解决争议的方式：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val="en-US" w:eastAsia="zh-CN"/>
        </w:rPr>
        <w:t xml:space="preserve">一</w:t>
      </w:r>
      <w:r>
        <w:rPr>
          <w:rFonts w:hint="eastAsia" w:ascii="宋体" w:hAnsi="宋体" w:eastAsia="宋体" w:cs="Times New Roman"/>
          <w:b w:val="0"/>
          <w:bCs/>
          <w:color w:val="000000"/>
          <w:sz w:val="24"/>
          <w:szCs w:val="24"/>
          <w:highlight w:val="none"/>
          <w:u w:val="none"/>
        </w:rPr>
        <w:t xml:space="preserve">、</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w:t>
      </w:r>
      <w:r>
        <w:rPr>
          <w:rFonts w:hint="eastAsia" w:hAnsi="宋体" w:cs="宋体"/>
          <w:bCs/>
          <w:sz w:val="24"/>
          <w:highlight w:val="none"/>
          <w:lang w:val="en-US" w:eastAsia="zh-CN"/>
        </w:rPr>
        <w:t xml:space="preserve">二</w:t>
      </w:r>
      <w:r>
        <w:rPr>
          <w:rFonts w:hint="eastAsia" w:hAnsi="宋体" w:cs="宋体"/>
          <w:bCs/>
          <w:sz w:val="24"/>
          <w:highlight w:val="none"/>
        </w:rPr>
        <w:t xml:space="preserve">、合同不可分割部分：</w:t>
      </w:r>
      <w:r>
        <w:rPr>
          <w:rFonts w:hint="eastAsia" w:hAnsi="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w:t>
      </w:r>
      <w:r>
        <w:rPr>
          <w:rFonts w:hint="eastAsia" w:ascii="Times New Roman" w:hAnsi="宋体" w:eastAsia="宋体" w:cs="宋体"/>
          <w:bCs/>
          <w:sz w:val="24"/>
          <w:highlight w:val="none"/>
          <w:lang w:eastAsia="zh-CN"/>
        </w:rPr>
        <w:t xml:space="preserve">其他</w:t>
      </w:r>
      <w:r>
        <w:rPr>
          <w:rFonts w:hint="eastAsia" w:ascii="Times New Roman" w:hAnsi="宋体" w:eastAsia="宋体" w:cs="宋体"/>
          <w:bCs/>
          <w:sz w:val="24"/>
          <w:highlight w:val="none"/>
        </w:rPr>
        <w:t xml:space="preserve">有关承诺、声明、书面澄清等均为合同不可分割的部分，与主合同具有同等法律效力。</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三</w:t>
      </w:r>
      <w:r>
        <w:rPr>
          <w:rFonts w:hint="eastAsia" w:ascii="Times New Roman" w:hAnsi="宋体" w:eastAsia="宋体" w:cs="宋体"/>
          <w:bCs/>
          <w:sz w:val="24"/>
          <w:highlight w:val="none"/>
        </w:rPr>
        <w:t xml:space="preserve">、合同备案：</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四</w:t>
      </w:r>
      <w:r>
        <w:rPr>
          <w:rFonts w:hint="eastAsia" w:ascii="Times New Roman" w:hAnsi="宋体" w:eastAsia="宋体" w:cs="宋体"/>
          <w:bCs/>
          <w:sz w:val="24"/>
          <w:highlight w:val="none"/>
        </w:rPr>
        <w:t xml:space="preserve">、合同生效：</w:t>
      </w:r>
      <w:r>
        <w:rPr>
          <w:rFonts w:hint="eastAsia" w:ascii="Times New Roman" w:hAnsi="宋体" w:eastAsia="宋体" w:cs="宋体"/>
          <w:bCs/>
          <w:sz w:val="24"/>
          <w:highlight w:val="none"/>
        </w:rPr>
      </w:r>
      <w:r/>
    </w:p>
    <w:p>
      <w:pPr>
        <w:pStyle w:val="1528"/>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528"/>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528"/>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528"/>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528"/>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528"/>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528"/>
        <w:jc w:val="center"/>
        <w:spacing w:line="360" w:lineRule="auto"/>
        <w:rPr>
          <w:rFonts w:hint="eastAsia" w:ascii="Times New Roman" w:hAnsi="宋体" w:eastAsia="宋体" w:cs="宋体"/>
          <w:b/>
          <w:bCs/>
          <w:sz w:val="32"/>
          <w:szCs w:val="32"/>
          <w:highlight w:val="none"/>
          <w:lang w:val="de-DE" w:eastAsia="zh-CN"/>
        </w:rPr>
        <w:outlineLvl w:val="0"/>
      </w:pPr>
      <w:r/>
      <w:bookmarkStart w:id="36" w:name="_Toc5730"/>
      <w:r>
        <w:rPr>
          <w:rFonts w:hint="eastAsia" w:ascii="Times New Roman" w:hAnsi="宋体" w:eastAsia="宋体" w:cs="宋体"/>
          <w:b/>
          <w:bCs/>
          <w:sz w:val="32"/>
          <w:szCs w:val="32"/>
          <w:highlight w:val="none"/>
          <w:lang w:val="en-US" w:eastAsia="zh-CN"/>
        </w:rPr>
        <w:t xml:space="preserve">合同条款（格式）</w:t>
      </w:r>
      <w:r>
        <w:rPr>
          <w:rFonts w:hint="eastAsia" w:ascii="Times New Roman" w:hAnsi="宋体" w:eastAsia="宋体" w:cs="宋体"/>
          <w:b/>
          <w:bCs/>
          <w:sz w:val="32"/>
          <w:szCs w:val="32"/>
          <w:highlight w:val="none"/>
          <w:lang w:val="de-DE" w:eastAsia="zh-CN"/>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 甲方代表</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甲方指派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为派驻现场代表，全面负责日常养护作业的管理工作。</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2 乙方代表</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2.1 乙方指派</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为绿地养护项目负责人，具体负责本养护标段作业工作，并用书面材料报甲方备案。</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2.2 项目负责人等有关人员必须按时参加由甲方召开的养护例会和各种必须参加的会议。</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2.3 乙方如需更换项目负责人，应至少提前5天以书面形式通知甲方，并征得甲方同意。后任继续行使合同文件约定的前任的职权，履行前任的义务。</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2.4 甲方可以与乙方协商，建议更换其认为不称职的项目负责人。如乙方指派的现场负责人不能胜任目前工作，甲方有权要求进行更换，乙方必须无条件服从。</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3 甲方的权利和义务</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3.1 负责向乙方提供中标绿地的有关资料。</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3.2 组织召开养护作业技术交底会。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3.3 负责乙方的日常养护作业的管理和检查(定期检查和抽查相结合)。每月底对乙方作出下月度养护工作计划布置和对当</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度养护工作进行考核(全年考核</w:t>
      </w: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次)，考核按有关养护工作考核标准结合甲方养护工作计划要求综合进行，合同期满综合考核考评。</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3.4 甲方每月对乙方的养护质量进行检查考核，按本合同有关条款，支付相应养护经费。</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3.5 如遇突发事件，协调乙方在作业过程中与其他管理部门的关系。</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甲方对于乙方因台风、雪灾等突发事件，需及时处理的绿化抢险工作发生的费用，按照《无锡市城区绿化抢险救灾资金使用管理办法》给予适当资金补贴。</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3.7 在合同期内，因国家需要征用、改造、临时占用绿地等需要调整乙方管护绿化地段和管护等级时，乙方应服从大局，退出原养护地段，或相应减少养护范围及经费。由此造成的经济损失，甲方不负赔偿责任。</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甲方对乙方因养护管理不当，受到上级领导点名批评、媒体曝光、群众举报的，视情况扣除一定的养护经费，其中上级领导点名批评每次扣3000-5000元，情节严重的扣5000-10000元；媒体曝光后经查实的，每次扣3000-5000元；群众举报经查实的，每次扣1000-3000元。</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3.9甲方应</w:t>
      </w:r>
      <w:r>
        <w:rPr>
          <w:rFonts w:hint="eastAsia" w:ascii="宋体" w:hAnsi="宋体" w:eastAsia="宋体" w:cs="宋体"/>
          <w:sz w:val="24"/>
          <w:highlight w:val="none"/>
          <w:lang w:eastAsia="zh-CN"/>
        </w:rPr>
        <w:t xml:space="preserve">做</w:t>
      </w:r>
      <w:r>
        <w:rPr>
          <w:rFonts w:hint="eastAsia" w:ascii="宋体" w:hAnsi="宋体" w:eastAsia="宋体" w:cs="宋体"/>
          <w:sz w:val="24"/>
          <w:highlight w:val="none"/>
        </w:rPr>
        <w:t xml:space="preserve">的其他工作，双方在补充条款内约定。</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4 乙方工作</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 根据甲方养护工作计划，乙方承担日常养护内容有：</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 w:val="0"/>
          <w:bCs w:val="0"/>
          <w:sz w:val="24"/>
          <w:highlight w:val="none"/>
          <w:u w:val="none"/>
        </w:rPr>
        <w:outlineLvl w:val="9"/>
      </w:pPr>
      <w:r>
        <w:rPr>
          <w:rFonts w:hint="eastAsia" w:ascii="宋体" w:hAnsi="宋体" w:eastAsia="宋体" w:cs="宋体"/>
          <w:b w:val="0"/>
          <w:bCs w:val="0"/>
          <w:sz w:val="24"/>
          <w:highlight w:val="none"/>
          <w:u w:val="none"/>
        </w:rPr>
        <w:t xml:space="preserve">（1）花卉种类：四季草花一年更换4次，</w:t>
      </w:r>
      <w:r>
        <w:rPr>
          <w:rFonts w:hint="eastAsia" w:ascii="宋体" w:hAnsi="宋体" w:eastAsia="宋体" w:cs="宋体"/>
          <w:b w:val="0"/>
          <w:bCs w:val="0"/>
          <w:sz w:val="24"/>
          <w:highlight w:val="none"/>
          <w:u w:val="none"/>
          <w:lang w:eastAsia="zh-CN"/>
        </w:rPr>
        <w:t xml:space="preserve">由建设方看样订货</w:t>
      </w:r>
      <w:r>
        <w:rPr>
          <w:rFonts w:hint="eastAsia" w:ascii="宋体" w:hAnsi="宋体" w:eastAsia="宋体" w:cs="宋体"/>
          <w:b w:val="0"/>
          <w:bCs w:val="0"/>
          <w:sz w:val="24"/>
          <w:highlight w:val="none"/>
          <w:u w:val="none"/>
        </w:rPr>
        <w:t xml:space="preserve">；</w:t>
      </w:r>
      <w:r>
        <w:rPr>
          <w:rFonts w:hint="eastAsia" w:ascii="宋体" w:hAnsi="宋体" w:eastAsia="宋体" w:cs="宋体"/>
          <w:b w:val="0"/>
          <w:bCs w:val="0"/>
          <w:sz w:val="24"/>
          <w:highlight w:val="none"/>
          <w:u w:val="none"/>
        </w:rPr>
      </w:r>
      <w:r/>
    </w:p>
    <w:p>
      <w:pPr>
        <w:pStyle w:val="1528"/>
        <w:ind w:firstLine="480"/>
        <w:jc w:val="left"/>
        <w:keepLines w:val="0"/>
        <w:keepNext w:val="0"/>
        <w:pageBreakBefore w:val="0"/>
        <w:spacing w:line="360" w:lineRule="auto"/>
        <w:widowControl w:val="off"/>
        <w:rPr>
          <w:rFonts w:hint="eastAsia" w:ascii="宋体" w:hAnsi="宋体" w:eastAsia="宋体" w:cs="宋体"/>
          <w:b w:val="0"/>
          <w:bCs w:val="0"/>
          <w:sz w:val="24"/>
          <w:highlight w:val="none"/>
          <w:u w:val="none"/>
        </w:rPr>
        <w:outlineLvl w:val="9"/>
      </w:pPr>
      <w:r>
        <w:rPr>
          <w:rFonts w:hint="eastAsia" w:ascii="宋体" w:hAnsi="宋体" w:eastAsia="宋体" w:cs="宋体"/>
          <w:b w:val="0"/>
          <w:bCs w:val="0"/>
          <w:sz w:val="24"/>
          <w:highlight w:val="none"/>
          <w:u w:val="none"/>
        </w:rPr>
        <w:t xml:space="preserve">（2）单位面积株数：64株/m2；</w:t>
      </w:r>
      <w:r>
        <w:rPr>
          <w:rFonts w:hint="eastAsia" w:ascii="宋体" w:hAnsi="宋体" w:eastAsia="宋体" w:cs="宋体"/>
          <w:b w:val="0"/>
          <w:bCs w:val="0"/>
          <w:sz w:val="24"/>
          <w:highlight w:val="none"/>
          <w:u w:val="none"/>
        </w:rPr>
      </w:r>
      <w:r/>
    </w:p>
    <w:p>
      <w:pPr>
        <w:pStyle w:val="1528"/>
        <w:ind w:firstLine="480"/>
        <w:jc w:val="left"/>
        <w:keepLines w:val="0"/>
        <w:keepNext w:val="0"/>
        <w:pageBreakBefore w:val="0"/>
        <w:spacing w:line="360" w:lineRule="auto"/>
        <w:widowControl w:val="off"/>
        <w:rPr>
          <w:rFonts w:hint="eastAsia" w:ascii="宋体" w:hAnsi="宋体" w:eastAsia="宋体" w:cs="宋体"/>
          <w:b w:val="0"/>
          <w:bCs w:val="0"/>
          <w:sz w:val="24"/>
          <w:highlight w:val="none"/>
          <w:u w:val="none"/>
        </w:rPr>
        <w:outlineLvl w:val="9"/>
      </w:pPr>
      <w:r>
        <w:rPr>
          <w:rFonts w:hint="eastAsia" w:ascii="宋体" w:hAnsi="宋体" w:eastAsia="宋体" w:cs="宋体"/>
          <w:b w:val="0"/>
          <w:bCs w:val="0"/>
          <w:sz w:val="24"/>
          <w:highlight w:val="none"/>
          <w:u w:val="none"/>
        </w:rPr>
        <w:t xml:space="preserve">（3）养护期：一级养护2年；</w:t>
      </w:r>
      <w:r>
        <w:rPr>
          <w:rFonts w:hint="eastAsia" w:ascii="宋体" w:hAnsi="宋体" w:eastAsia="宋体" w:cs="宋体"/>
          <w:b w:val="0"/>
          <w:bCs w:val="0"/>
          <w:sz w:val="24"/>
          <w:highlight w:val="none"/>
          <w:u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 做好详细的养护</w:t>
      </w:r>
      <w:r>
        <w:rPr>
          <w:rFonts w:hint="eastAsia" w:ascii="宋体" w:hAnsi="宋体" w:eastAsia="宋体" w:cs="宋体"/>
          <w:sz w:val="24"/>
          <w:highlight w:val="none"/>
          <w:lang w:eastAsia="zh-CN"/>
        </w:rPr>
        <w:t xml:space="preserve">台账</w:t>
      </w:r>
      <w:r>
        <w:rPr>
          <w:rFonts w:hint="eastAsia" w:ascii="宋体" w:hAnsi="宋体" w:eastAsia="宋体" w:cs="宋体"/>
          <w:sz w:val="24"/>
          <w:highlight w:val="none"/>
        </w:rPr>
        <w:t xml:space="preserve">，建立养护档案，并按时做好月、季、年度上报养护工作完成情况表，按甲方要求及时上报。</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4.3 应按甲方提出的对各种管理的要求落实各项措施，每个标段根据工作量确定至少3人的长期稳定的日常管理养护人员，并报甲方备案，如有变更，应及时上报变更情况。甲方应将检查管护人员日常落实情况纳入考核评分范畴。</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4.4 建立巡视报告制，每天有专人进行对绿化等设施的巡视，并做好每日巡视记录。如乙方承包管护绿地的绿化受到非法占用、损坏等，乙方须承担经济赔偿和相关责任。发现养护范围内公用设施等缺损，应在原位置设置明显的安全标志，及时与甲方联系，否则乙方将承担相应责任。甲方应对因巡视不到位导致绿地受损事实，给予乙方一定的经济处罚和扣分处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巡视中如发现绿化设施损坏，应在24小时内处理完毕，如发现人为造成的绿化设施损坏，必须在24小时内书面报告甲方和所在地监察部门。</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巡视中发现绿地内有违章搭建</w:t>
      </w:r>
      <w:r>
        <w:rPr>
          <w:rFonts w:hint="eastAsia" w:ascii="宋体" w:hAnsi="宋体" w:eastAsia="宋体" w:cs="宋体"/>
          <w:sz w:val="24"/>
          <w:highlight w:val="none"/>
          <w:lang w:eastAsia="zh-CN"/>
        </w:rPr>
        <w:t xml:space="preserve">及其他</w:t>
      </w:r>
      <w:r>
        <w:rPr>
          <w:rFonts w:hint="eastAsia" w:ascii="宋体" w:hAnsi="宋体" w:eastAsia="宋体" w:cs="宋体"/>
          <w:sz w:val="24"/>
          <w:highlight w:val="none"/>
        </w:rPr>
        <w:t xml:space="preserve">破坏绿化等现象，必须当场予以制止，立即报告所在地的监察部门，协助做好有关工作，并将处理结果报告甲方。</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汛期和台风季节要加强人员值班，随时处理各种情况。</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及时解决来信、来访，并根据甲方要求及时处理。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4.6 按时按量完成甲方交办的110等</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突击性任务和指令性任务。</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4.8 加强法定节假日的正常养护工作。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4.9 乙方应服从所在地的绿化行政主管部门的行业管理。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4.10</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抽调必要的人员和设备、工具，作为抢险救灾的中坚力量，原则上负责各自养护标段范围内绿地的抢险救灾，但对局部性严重自然灾害，局抢险指挥中心可对各抢险队伍进行合理调配，以集中精力解决严重的灾情。</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应按照养护面积组织相应数量的抢险救灾队员，救灾人员要求身体健康、体力好、熟悉绿化业务的人员组成，老弱病残及女职工不得作为抢险救灾队员，抢险救灾队员应统一着装（工作服），夜间抢险作业必穿反光背心。</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乙方应储备应急所需的物资，种类包括支撑木棍、绳索、铁丝、竹梯、油锯、高空修剪机洒水车等抢险设备、器械和车辆，应急储备物资使用后要及时予以补充。</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乙方一旦发现有突发性绿化应急事件发生，都有及时上报的权利和责任，无论事件级别大小，都应在一小时内向甲方报告，先期处置过程要做好记录。</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积极参与各项应急抢险任务，所发生的各种费用，由乙方承担，本次养护合同期内不再另外增加该项费用（除本合同3.6条款外）。</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4.16 如有移伐树木、占用绿地等事项，乙方应及时无偿负责移伐树木、占用绿地后的绿地修复工作。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4.17 在承包期内承包人应服从发包人的安排，做好以下的服务工作：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因不可抗力造成的抢修保养工作；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防汛抗灾期间的汛前、汛期、汛后的各项工作；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养护相关的社会职能工作；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上级布置的突击性活动而发生的各项工作；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确保国定节假日的养护维修工作。</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4.18 乙方有偿或无偿承担防范、杀灭四害等有关规定的义务，所使用的肥料、农药等符合环保标准。</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4.19 乙方应</w:t>
      </w:r>
      <w:r>
        <w:rPr>
          <w:rFonts w:hint="eastAsia" w:ascii="宋体" w:hAnsi="宋体" w:eastAsia="宋体" w:cs="宋体"/>
          <w:sz w:val="24"/>
          <w:highlight w:val="none"/>
          <w:lang w:eastAsia="zh-CN"/>
        </w:rPr>
        <w:t xml:space="preserve">做</w:t>
      </w:r>
      <w:r>
        <w:rPr>
          <w:rFonts w:hint="eastAsia" w:ascii="宋体" w:hAnsi="宋体" w:eastAsia="宋体" w:cs="宋体"/>
          <w:sz w:val="24"/>
          <w:highlight w:val="none"/>
        </w:rPr>
        <w:t xml:space="preserve">的其他工作，双方在补充条款内约定。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4.20 由乙方招募、管理</w:t>
      </w:r>
      <w:r>
        <w:rPr>
          <w:rFonts w:hint="eastAsia" w:ascii="宋体" w:hAnsi="宋体" w:eastAsia="宋体" w:cs="宋体"/>
          <w:sz w:val="24"/>
          <w:highlight w:val="none"/>
          <w:lang w:eastAsia="zh-CN"/>
        </w:rPr>
        <w:t xml:space="preserve">的</w:t>
      </w:r>
      <w:r>
        <w:rPr>
          <w:rFonts w:hint="eastAsia" w:ascii="宋体" w:hAnsi="宋体" w:eastAsia="宋体" w:cs="宋体"/>
          <w:sz w:val="24"/>
          <w:highlight w:val="none"/>
        </w:rPr>
        <w:t xml:space="preserve">人员为乙方的员工，与乙方之间系劳动合同关系，工作人员的薪资、社保、加班费、疾病、生育、非因工死亡、工伤、在服务过程中的伤亡或</w:t>
      </w:r>
      <w:r>
        <w:rPr>
          <w:rFonts w:hint="eastAsia" w:ascii="宋体" w:hAnsi="宋体" w:eastAsia="宋体" w:cs="宋体"/>
          <w:sz w:val="24"/>
          <w:highlight w:val="none"/>
          <w:lang w:eastAsia="zh-CN"/>
        </w:rPr>
        <w:t xml:space="preserve">致</w:t>
      </w:r>
      <w:r>
        <w:rPr>
          <w:rFonts w:hint="eastAsia" w:ascii="宋体" w:hAnsi="宋体" w:eastAsia="宋体" w:cs="宋体"/>
          <w:sz w:val="24"/>
          <w:highlight w:val="none"/>
        </w:rPr>
        <w:t xml:space="preserve">他人损害等均由乙方自行负责处理并承担费用，甲方概不负责。</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4.21 超出常规养护范围的工作，需提前报甲方审批。中标地段原设施量清单中未纳入的周围相邻绿化(单位绿化或责任管护单位不明的绿化)，在该标段交接完毕后5日内书面提交具体位置及设施量清单，甲方核验纳入经费核算范围，未及时提出的，视作无偿义务养护。如有甲方提出的新增部分，已正式接管起支付费用，费用按照此次招标均价计算。</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5 进度计划</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5.1 乙方在本合同生效后15天内上报全年养护作业维修计划和该标段养护管理人员网络组成表，并结合季节特点和绿化状况，制定季度、月度养护计划、材料计划送交甲方，甲方在7天内予以确认。如甲方对该计划不满意的，乙方应负责予以修改直至甲方满意为止。</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6 质量标准</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养护维修质量标准参照补充条款约定的质量标准。因乙方原因养护质量达不到约定的质量标准，乙方承担违约责任。</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7 检查和考核</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7.1 乙方应认真按照补充条款中约定的质量标准进行养护，随时接受甲方的检查和考核，为检查和考核提供便利条件。</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7.2 对于养护质量不符合要求的，甲方先通知整改，乙方在两天内不整改的或整改效果不符合要求的，甲方有权委托第三方进行整改，整改费用将在乙方养护费中给予扣除，不足部分由乙方予以补足。</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在日常工作中甲方下达任务给乙方，乙方未在规定的期限内完成或完成不到位的，甲方有权视情况按比例扣除养护费。</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7.4 乙方养护期间的乔灌花草保存率低于要求的，必须在适合的季节及时补植同品种、同规格的苗木，并确保成活，补植费用由乙方承担。若乙方未按规定补植，甲方有权安排第三方进行种植，所发生的苗木费及补植费从乙方养护费中扣除。</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7.5</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甲方按照相关考核办法和规定中约定的考核奖惩办法进行考核。乙方连续</w:t>
      </w:r>
      <w:r>
        <w:rPr>
          <w:rFonts w:hint="eastAsia" w:ascii="宋体" w:hAnsi="宋体" w:cs="宋体"/>
          <w:sz w:val="24"/>
          <w:highlight w:val="none"/>
          <w:lang w:val="en-US" w:eastAsia="zh-CN"/>
        </w:rPr>
        <w:t xml:space="preserve">2个季度</w:t>
      </w:r>
      <w:r>
        <w:rPr>
          <w:rFonts w:hint="eastAsia" w:ascii="宋体" w:hAnsi="宋体" w:eastAsia="宋体" w:cs="宋体"/>
          <w:sz w:val="24"/>
          <w:highlight w:val="none"/>
        </w:rPr>
        <w:t xml:space="preserve">考核分低于合格分（</w:t>
      </w:r>
      <w:r>
        <w:rPr>
          <w:rFonts w:hint="eastAsia" w:ascii="宋体" w:hAnsi="宋体" w:cs="宋体"/>
          <w:sz w:val="24"/>
          <w:highlight w:val="none"/>
          <w:lang w:val="en-US" w:eastAsia="zh-CN"/>
        </w:rPr>
        <w:t xml:space="preserve">70</w:t>
      </w:r>
      <w:r>
        <w:rPr>
          <w:rFonts w:hint="eastAsia" w:ascii="宋体" w:hAnsi="宋体" w:eastAsia="宋体" w:cs="宋体"/>
          <w:sz w:val="24"/>
          <w:highlight w:val="none"/>
        </w:rPr>
        <w:t xml:space="preserve">分）的，甲方有权无条件单方面终止合同；在甲方组织的考核中，乙方经考核确实不能承担养护项目的，甲方有权无条件单方面终止合同。乙方</w:t>
      </w:r>
      <w:r>
        <w:rPr>
          <w:rFonts w:hint="eastAsia" w:ascii="宋体" w:hAnsi="宋体" w:eastAsia="宋体" w:cs="宋体"/>
          <w:sz w:val="24"/>
          <w:highlight w:val="none"/>
          <w:lang w:eastAsia="zh-CN"/>
        </w:rPr>
        <w:t xml:space="preserve">接到</w:t>
      </w:r>
      <w:r>
        <w:rPr>
          <w:rFonts w:hint="eastAsia" w:ascii="宋体" w:hAnsi="宋体" w:eastAsia="宋体" w:cs="宋体"/>
          <w:sz w:val="24"/>
          <w:highlight w:val="none"/>
        </w:rPr>
        <w:t xml:space="preserve">甲方通知后24小时内必须无条件清退出场，由此造成的经济损失由乙方承担，原已完成的工作量按实结算。</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7.6</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乙方退出管护，绿地交接按《关于加强环境绿化工程验收备案移交管理工作的实施意见》与下一接管单位办理绿地交接手续，绿地需在规定时间内按要求整改到位后交付，逾期整改不到位由接管方进行整改，所需费用由原养护单位支付。</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bookmarkStart w:id="37" w:name="_Hlk519783623"/>
      <w:r>
        <w:rPr>
          <w:rFonts w:hint="eastAsia" w:ascii="宋体" w:hAnsi="宋体" w:eastAsia="宋体" w:cs="宋体"/>
          <w:sz w:val="24"/>
          <w:highlight w:val="none"/>
        </w:rPr>
        <w:t xml:space="preserve">7.7</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合同期满后，养护乙方应提交完整的养护量清单，甲方将进行普查（如有），若普查的养护量与乙方提交的不符，未达到养护等级标准，甲方有权对乙方处以普查费用两倍的处罚。</w:t>
      </w:r>
      <w:bookmarkEnd w:id="37"/>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8 安全文明养护与检查</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8.1 乙方应做好养护作业管理区内的安全管理工作，并随时接受甲方或行业安全检查人员依法实施的监督检查，采取必要的安全防护措施，消除事故隐患。</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8.2 由于乙方管理不善，引起政府职能部门处罚和停工整改，或安全措施不力造成事故的，由乙方承担一切责任和损失。</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9 安全防护</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养护作业人员应做好各项安全防范措施，必须着装上岗操作，养护期间按规定做好安全标识，作业区放置安全警示标志。</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10 事故处理</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发生重大伤亡及其他安全事故，乙方应当先行通知甲方，并按有关规定立即上报相关部门。同时按有关部门要求处理，事故处理过程中发生的费用按政府有关部门要求处理由事故责任方承担。</w:t>
      </w:r>
      <w:r>
        <w:rPr>
          <w:rFonts w:hint="eastAsia" w:ascii="宋体" w:hAnsi="宋体" w:eastAsia="宋体" w:cs="宋体"/>
          <w:b w:val="0"/>
          <w:bCs w:val="0"/>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11</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 xml:space="preserve">合同价款</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11.1 合同价款由甲、乙双方依据中标通知书中的中标价格在协议书内约定。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11.2 乙方应向甲方提交月度养护作业统计报表。甲方可以按报表内容进行计量与考核，考核结果作为合同价款支付的依据。</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11.3 如实际养护作业量与清单有出入时，乙方按照补充条款约定的时间上报计划变更单，经甲方审核并报有关部门审定后方可在下月养护计划中调整。</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11.4 对乙方超出养护范围和因乙方原因造成返工的工作量，甲方不予计量。</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11.5 如因招标时间延后，导致招标合同期内标段绿地仍由原养护单位延续养护的，养护费按原合同每月均价按实结算。</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12</w:t>
      </w:r>
      <w:r>
        <w:rPr>
          <w:rFonts w:hint="eastAsia" w:ascii="宋体" w:hAnsi="宋体" w:eastAsia="宋体" w:cs="宋体"/>
          <w:b/>
          <w:bCs/>
          <w:sz w:val="24"/>
          <w:highlight w:val="none"/>
          <w:lang w:val="en-US" w:eastAsia="zh-CN"/>
        </w:rPr>
        <w:t xml:space="preserve"> </w:t>
      </w:r>
      <w:r>
        <w:rPr>
          <w:rFonts w:hint="eastAsia" w:ascii="宋体" w:hAnsi="宋体" w:eastAsia="宋体" w:cs="宋体"/>
          <w:b/>
          <w:bCs/>
          <w:sz w:val="24"/>
          <w:highlight w:val="none"/>
        </w:rPr>
        <w:t xml:space="preserve">付款方式</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eastAsia="zh-CN"/>
        </w:rPr>
        <w:t xml:space="preserve">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每半年支付一次，合同期结束后按审计价付清余额。</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13 违约</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13.1 甲方代表不能及时给出必要指令、确认、批准，不能按合同约定履行自己的各项义务</w:t>
      </w:r>
      <w:r>
        <w:rPr>
          <w:rFonts w:hint="eastAsia" w:ascii="宋体" w:hAnsi="宋体" w:eastAsia="宋体" w:cs="宋体"/>
          <w:sz w:val="24"/>
          <w:highlight w:val="none"/>
          <w:lang w:eastAsia="zh-CN"/>
        </w:rPr>
        <w:t xml:space="preserve">，以及</w:t>
      </w:r>
      <w:r>
        <w:rPr>
          <w:rFonts w:hint="eastAsia" w:ascii="宋体" w:hAnsi="宋体" w:eastAsia="宋体" w:cs="宋体"/>
          <w:sz w:val="24"/>
          <w:highlight w:val="none"/>
        </w:rPr>
        <w:t xml:space="preserve">发生</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使合同无法履行的行为，应承担违约责任(包括支付违约导致乙方增加经济支出和从应支付之日起计算的应支付款项的利息)，相应顺延养护期；按协议条款约定支付违约金和赔偿因违约给乙方造成的窝工等损失。</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13.2 乙方不能达到所承诺的养护质量和有关技术规范标准，乙方按协议条款支付违约金并赔偿因违约给甲方造成的损失。</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13.3 因一方违约使合同不能履行，另一方欲终止或解除全部合同，应提前10天通知违约方后，方可终止或解除合同，由违约方承担违约责任。</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13.4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甲方内部工作安排、计划调整等自身原因；</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中央、省、市、区级政策变动，以及规划、计划调整等外部原因；</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其他需方原因。</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本合同对合同变更、中止或终止合同有其他特殊约定的，按该特殊约定执行。</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14 履约保证金</w:t>
      </w:r>
      <w:r>
        <w:rPr>
          <w:rFonts w:hint="eastAsia" w:ascii="宋体" w:hAnsi="宋体" w:eastAsia="宋体" w:cs="宋体"/>
          <w:b/>
          <w:bCs/>
          <w:sz w:val="24"/>
          <w:highlight w:val="none"/>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收取履约保证金形式：</w:t>
      </w:r>
      <w:r>
        <w:rPr>
          <w:rFonts w:hint="eastAsia" w:ascii="宋体" w:hAnsi="宋体" w:eastAsia="宋体" w:cs="宋体"/>
          <w:b/>
          <w:bCs/>
          <w:color w:val="000000"/>
          <w:sz w:val="24"/>
          <w:szCs w:val="24"/>
          <w:u w:val="single"/>
          <w:lang w:val="en-US" w:eastAsia="zh-CN" w:bidi="ar-SA"/>
        </w:rPr>
        <w:t xml:space="preserve">以保函等非现金形式缴纳或提交</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收取履约保证金金额：</w:t>
      </w:r>
      <w:r>
        <w:rPr>
          <w:rFonts w:hint="eastAsia" w:ascii="宋体" w:hAnsi="宋体" w:eastAsia="宋体" w:cs="宋体"/>
          <w:b/>
          <w:bCs/>
          <w:color w:val="000000"/>
          <w:sz w:val="24"/>
          <w:szCs w:val="24"/>
          <w:u w:val="single"/>
          <w:lang w:val="en-US" w:eastAsia="zh-CN" w:bidi="ar-SA"/>
        </w:rPr>
        <w:t xml:space="preserve">合同价款的10%</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履约担保期限：</w:t>
      </w:r>
      <w:r>
        <w:rPr>
          <w:rFonts w:hint="eastAsia" w:ascii="宋体" w:hAnsi="宋体" w:eastAsia="宋体" w:cs="宋体"/>
          <w:b/>
          <w:bCs/>
          <w:color w:val="000000"/>
          <w:sz w:val="24"/>
          <w:szCs w:val="24"/>
          <w:highlight w:val="none"/>
          <w:u w:val="single"/>
        </w:rPr>
        <w:t xml:space="preserve">履约保证金将在服务完毕并考核合格后无息退回</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履约保证金的缴纳时间：</w:t>
      </w:r>
      <w:r>
        <w:rPr>
          <w:rFonts w:hint="eastAsia" w:ascii="宋体" w:hAnsi="宋体" w:eastAsia="宋体" w:cs="宋体"/>
          <w:b/>
          <w:bCs/>
          <w:color w:val="000000"/>
          <w:sz w:val="24"/>
          <w:szCs w:val="24"/>
          <w:u w:val="single"/>
          <w:lang w:val="en-US" w:eastAsia="zh-CN" w:bidi="ar-SA"/>
        </w:rPr>
        <w:t xml:space="preserve">乙方在签订合同后5个工作日内，向甲方提交履约保证金</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退付办法：</w:t>
      </w:r>
      <w:r>
        <w:rPr>
          <w:rFonts w:hint="eastAsia" w:ascii="宋体" w:hAnsi="宋体" w:eastAsia="宋体" w:cs="宋体"/>
          <w:b/>
          <w:bCs/>
          <w:color w:val="000000"/>
          <w:sz w:val="24"/>
          <w:szCs w:val="24"/>
          <w:u w:val="single"/>
          <w:lang w:val="en-US" w:eastAsia="zh-CN" w:bidi="ar-SA"/>
        </w:rPr>
        <w:t xml:space="preserve">与</w:t>
      </w:r>
      <w:r>
        <w:rPr>
          <w:rFonts w:hint="eastAsia" w:ascii="宋体" w:hAnsi="宋体" w:cs="宋体"/>
          <w:b/>
          <w:bCs/>
          <w:color w:val="000000"/>
          <w:sz w:val="24"/>
          <w:szCs w:val="24"/>
          <w:u w:val="single"/>
          <w:lang w:val="en-US" w:eastAsia="zh-CN" w:bidi="ar-SA"/>
        </w:rPr>
        <w:t xml:space="preserve">乙方</w:t>
      </w:r>
      <w:r>
        <w:rPr>
          <w:rFonts w:hint="eastAsia" w:ascii="宋体" w:hAnsi="宋体" w:eastAsia="宋体" w:cs="宋体"/>
          <w:b/>
          <w:bCs/>
          <w:color w:val="000000"/>
          <w:sz w:val="24"/>
          <w:szCs w:val="24"/>
          <w:u w:val="single"/>
          <w:lang w:val="en-US" w:eastAsia="zh-CN" w:bidi="ar-SA"/>
        </w:rPr>
        <w:t xml:space="preserve">提交履约保证金的方式相同</w:t>
      </w:r>
      <w:r>
        <w:rPr>
          <w:rFonts w:hint="eastAsia" w:ascii="宋体" w:hAnsi="宋体" w:eastAsia="宋体" w:cs="宋体"/>
          <w:b/>
          <w:bCs/>
          <w:color w:val="000000"/>
          <w:sz w:val="24"/>
          <w:szCs w:val="24"/>
          <w:lang w:val="en-US" w:eastAsia="zh-CN" w:bidi="ar-SA"/>
        </w:rPr>
      </w:r>
      <w:r/>
    </w:p>
    <w:p>
      <w:pPr>
        <w:pStyle w:val="1528"/>
        <w:ind w:firstLine="723"/>
        <w:jc w:val="left"/>
        <w:spacing w:line="360" w:lineRule="auto"/>
        <w:tabs>
          <w:tab w:val="center" w:pos="4153" w:leader="none"/>
          <w:tab w:val="right" w:pos="8306"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履约保证金不予退还的情形：</w:t>
      </w:r>
      <w:r>
        <w:rPr>
          <w:rFonts w:hint="eastAsia" w:ascii="宋体" w:hAnsi="宋体" w:eastAsia="宋体" w:cs="宋体"/>
          <w:b/>
          <w:bCs/>
          <w:color w:val="000000"/>
          <w:sz w:val="24"/>
          <w:szCs w:val="24"/>
          <w:u w:val="single"/>
          <w:lang w:val="en-US" w:eastAsia="zh-CN" w:bidi="ar-SA"/>
        </w:rPr>
        <w:t xml:space="preserve">①由于中标方的原因不能履约的，②在履行合同期间发生重大安全事故，给采购人造成不良影响和严重经济损失的</w:t>
      </w:r>
      <w:r>
        <w:rPr>
          <w:rFonts w:hint="eastAsia" w:ascii="宋体" w:hAnsi="宋体" w:eastAsia="宋体" w:cs="宋体"/>
          <w:b/>
          <w:bCs/>
          <w:color w:val="000000"/>
          <w:sz w:val="24"/>
          <w:szCs w:val="24"/>
          <w:lang w:val="en-US" w:eastAsia="zh-CN" w:bidi="ar-SA"/>
        </w:rPr>
      </w:r>
      <w:r/>
    </w:p>
    <w:p>
      <w:pPr>
        <w:pStyle w:val="1528"/>
        <w:ind w:firstLine="723"/>
        <w:spacing w:line="360" w:lineRule="auto"/>
        <w:tabs>
          <w:tab w:val="left" w:pos="840" w:leader="none"/>
          <w:tab w:val="left" w:pos="1155" w:leader="none"/>
        </w:tabs>
        <w:rPr>
          <w:rFonts w:hint="eastAsia" w:ascii="宋体" w:hAnsi="宋体" w:eastAsia="宋体" w:cs="宋体"/>
          <w:sz w:val="24"/>
          <w:highlight w:val="none"/>
        </w:rPr>
      </w:pPr>
      <w:r>
        <w:rPr>
          <w:rFonts w:hint="eastAsia" w:ascii="宋体" w:hAnsi="宋体" w:eastAsia="宋体" w:cs="宋体"/>
          <w:b/>
          <w:bCs/>
          <w:color w:val="000000"/>
          <w:sz w:val="24"/>
          <w:szCs w:val="24"/>
          <w:lang w:val="en-US" w:eastAsia="zh-CN" w:bidi="ar-SA"/>
        </w:rPr>
        <w:t xml:space="preserve">逾期退还履约保证金的违约责任：</w:t>
      </w:r>
      <w:r>
        <w:rPr>
          <w:rFonts w:hint="eastAsia" w:ascii="宋体" w:hAnsi="宋体" w:eastAsia="宋体" w:cs="宋体"/>
          <w:b/>
          <w:bCs/>
          <w:color w:val="000000"/>
          <w:sz w:val="24"/>
          <w:szCs w:val="24"/>
          <w:u w:val="single"/>
          <w:lang w:val="en-US" w:eastAsia="zh-CN" w:bidi="ar-SA"/>
        </w:rPr>
        <w:t xml:space="preserve">承担履约保证金金额千分之二/天的违约</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15</w:t>
      </w:r>
      <w:r>
        <w:rPr>
          <w:rFonts w:hint="eastAsia" w:ascii="宋体" w:hAnsi="宋体" w:cs="宋体"/>
          <w:b/>
          <w:bCs/>
          <w:sz w:val="24"/>
          <w:highlight w:val="none"/>
          <w:lang w:val="en-US" w:eastAsia="zh-CN"/>
        </w:rPr>
        <w:t xml:space="preserve"> </w:t>
      </w:r>
      <w:r>
        <w:rPr>
          <w:rFonts w:hint="eastAsia" w:ascii="宋体" w:hAnsi="宋体" w:eastAsia="宋体" w:cs="宋体"/>
          <w:b/>
          <w:bCs/>
          <w:sz w:val="24"/>
          <w:highlight w:val="none"/>
        </w:rPr>
        <w:t xml:space="preserve">争议</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15.1 甲乙双方因合同发生争议，可由甲乙双方协商、协商不成可向无锡市锡山区人民法院起诉。</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15.2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发生争议后，除出现以下情况的，双方都应继续履行合同，保持养护连续性：</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 合同确已无法履行；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 双方协议停止养护作业；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 仲裁机关要求停止养护作业；</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 法院要求停止养护作业。</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16 </w:t>
      </w:r>
      <w:r>
        <w:rPr>
          <w:rFonts w:hint="eastAsia" w:ascii="宋体" w:hAnsi="宋体" w:eastAsia="宋体" w:cs="宋体"/>
          <w:b/>
          <w:bCs/>
          <w:sz w:val="24"/>
          <w:highlight w:val="none"/>
        </w:rPr>
        <w:t xml:space="preserve">合同终止</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16.1 承包范围内的养护管理项目，乙方不得采取任何形式实施转包，凡违反此规定的，甲方将立即取消乙方的承包资格，终止或解除养护承包合同，由此产生的一切法律责任和经济损失由乙方承担。</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16.2 乙方连续</w:t>
      </w:r>
      <w:r>
        <w:rPr>
          <w:rFonts w:hint="eastAsia" w:ascii="宋体" w:hAnsi="宋体" w:cs="宋体"/>
          <w:sz w:val="24"/>
          <w:highlight w:val="none"/>
          <w:lang w:val="en-US" w:eastAsia="zh-CN"/>
        </w:rPr>
        <w:t xml:space="preserve">2个季度</w:t>
      </w:r>
      <w:r>
        <w:rPr>
          <w:rFonts w:hint="eastAsia" w:ascii="宋体" w:hAnsi="宋体" w:eastAsia="宋体" w:cs="宋体"/>
          <w:sz w:val="24"/>
          <w:highlight w:val="none"/>
        </w:rPr>
        <w:t xml:space="preserve">考核分低于合格分（</w:t>
      </w:r>
      <w:r>
        <w:rPr>
          <w:rFonts w:hint="eastAsia" w:ascii="宋体" w:hAnsi="宋体" w:cs="宋体"/>
          <w:sz w:val="24"/>
          <w:highlight w:val="none"/>
          <w:lang w:val="en-US" w:eastAsia="zh-CN"/>
        </w:rPr>
        <w:t xml:space="preserve">70</w:t>
      </w:r>
      <w:r>
        <w:rPr>
          <w:rFonts w:hint="eastAsia" w:ascii="宋体" w:hAnsi="宋体" w:eastAsia="宋体" w:cs="宋体"/>
          <w:sz w:val="24"/>
          <w:highlight w:val="none"/>
        </w:rPr>
        <w:t xml:space="preserve">分）的，甲方有权无条件单方面终止合同；在甲方组织的考核中，乙方经考核确实不能承担养护项目的，甲方有权无条件单方面终止合同。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甲方在乙方履行合同期间发现乙方投标文件中的内容有隐瞒、虚假、伪造等弄虚作假行为的，甲方有权终止或解除养护承包合同，由此产生的一切法律责任和经济损失由乙方承担。</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17 </w:t>
      </w:r>
      <w:r>
        <w:rPr>
          <w:rFonts w:hint="eastAsia" w:ascii="宋体" w:hAnsi="宋体" w:eastAsia="宋体" w:cs="宋体"/>
          <w:b/>
          <w:bCs/>
          <w:sz w:val="24"/>
          <w:highlight w:val="none"/>
        </w:rPr>
        <w:t xml:space="preserve">其他</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17.1 在本合同执行过程中如遇和国家政策、</w:t>
      </w:r>
      <w:r>
        <w:rPr>
          <w:rFonts w:hint="eastAsia" w:ascii="宋体" w:hAnsi="宋体" w:eastAsia="宋体" w:cs="宋体"/>
          <w:sz w:val="24"/>
          <w:highlight w:val="none"/>
          <w:lang w:eastAsia="zh-CN"/>
        </w:rPr>
        <w:t xml:space="preserve">地方性法规</w:t>
      </w:r>
      <w:r>
        <w:rPr>
          <w:rFonts w:hint="eastAsia" w:ascii="宋体" w:hAnsi="宋体" w:eastAsia="宋体" w:cs="宋体"/>
          <w:sz w:val="24"/>
          <w:highlight w:val="none"/>
        </w:rPr>
        <w:t xml:space="preserve">的有关规定不符时，按有关政策法规执行。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17.2 如遇自然灾害和不可抗力造成损失的，经双方协商解决。</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17.3 本合同如有未尽事宜，双方可通过协商补充协议解决。</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eastAsia="宋体" w:cs="宋体"/>
          <w:b/>
          <w:bCs/>
          <w:sz w:val="24"/>
          <w:highlight w:val="none"/>
        </w:rPr>
        <w:outlineLvl w:val="1"/>
      </w:pPr>
      <w:r>
        <w:rPr>
          <w:rFonts w:hint="eastAsia" w:ascii="宋体" w:hAnsi="宋体" w:cs="宋体"/>
          <w:b/>
          <w:bCs/>
          <w:sz w:val="24"/>
          <w:highlight w:val="none"/>
          <w:lang w:val="en-US" w:eastAsia="zh-CN"/>
        </w:rPr>
        <w:t xml:space="preserve">18 </w:t>
      </w:r>
      <w:r>
        <w:rPr>
          <w:rFonts w:hint="eastAsia" w:ascii="宋体" w:hAnsi="宋体" w:eastAsia="宋体" w:cs="宋体"/>
          <w:b/>
          <w:bCs/>
          <w:sz w:val="24"/>
          <w:highlight w:val="none"/>
        </w:rPr>
        <w:t xml:space="preserve">合同生效与终止</w:t>
      </w:r>
      <w:r>
        <w:rPr>
          <w:rFonts w:hint="eastAsia" w:ascii="宋体" w:hAnsi="宋体" w:eastAsia="宋体" w:cs="宋体"/>
          <w:b/>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双方合同以在合同协议书中约定的方式生效。双方履行合同全部义务，合同价款支付完毕后，本合同即告终止。</w:t>
      </w:r>
      <w:r>
        <w:rPr>
          <w:rFonts w:hint="eastAsia" w:ascii="宋体" w:hAnsi="宋体" w:eastAsia="宋体" w:cs="宋体"/>
          <w:sz w:val="24"/>
          <w:highlight w:val="none"/>
        </w:rPr>
      </w:r>
      <w:r/>
    </w:p>
    <w:p>
      <w:pPr>
        <w:pStyle w:val="1528"/>
        <w:ind w:firstLine="482"/>
        <w:jc w:val="left"/>
        <w:keepLines w:val="0"/>
        <w:keepNext w:val="0"/>
        <w:pageBreakBefore w:val="0"/>
        <w:spacing w:line="360" w:lineRule="auto"/>
        <w:widowControl w:val="off"/>
        <w:rPr>
          <w:rFonts w:hint="eastAsia" w:ascii="宋体" w:hAnsi="宋体" w:cs="宋体"/>
          <w:b/>
          <w:bCs/>
          <w:sz w:val="24"/>
          <w:highlight w:val="none"/>
          <w:lang w:val="en-US" w:eastAsia="zh-CN"/>
        </w:rPr>
        <w:outlineLvl w:val="1"/>
      </w:pPr>
      <w:r>
        <w:rPr>
          <w:rFonts w:hint="eastAsia" w:ascii="宋体" w:hAnsi="宋体" w:cs="宋体"/>
          <w:b/>
          <w:bCs/>
          <w:sz w:val="24"/>
          <w:highlight w:val="none"/>
          <w:lang w:val="en-US" w:eastAsia="zh-CN"/>
        </w:rPr>
        <w:t xml:space="preserve">19 合同份数与解释</w:t>
      </w:r>
      <w:r>
        <w:rPr>
          <w:rFonts w:hint="eastAsia" w:ascii="宋体" w:hAnsi="宋体" w:cs="宋体"/>
          <w:b/>
          <w:bCs/>
          <w:sz w:val="24"/>
          <w:highlight w:val="none"/>
          <w:lang w:val="en-US" w:eastAsia="zh-CN"/>
        </w:rPr>
      </w:r>
      <w:r/>
    </w:p>
    <w:p>
      <w:pPr>
        <w:pStyle w:val="1528"/>
        <w:ind w:firstLine="480"/>
        <w:jc w:val="left"/>
        <w:keepLines w:val="0"/>
        <w:keepNext w:val="0"/>
        <w:pageBreakBefore w:val="0"/>
        <w:spacing w:line="360" w:lineRule="auto"/>
        <w:widowControl w:val="off"/>
        <w:rPr>
          <w:rFonts w:hint="eastAsia" w:ascii="宋体" w:hAnsi="宋体" w:eastAsia="宋体" w:cs="宋体"/>
          <w:bCs/>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 </w:t>
      </w:r>
      <w:r>
        <w:rPr>
          <w:rFonts w:hint="eastAsia" w:ascii="宋体" w:hAnsi="宋体" w:eastAsia="宋体" w:cs="宋体"/>
          <w:bCs/>
          <w:sz w:val="24"/>
          <w:highlight w:val="none"/>
        </w:rPr>
        <w:t xml:space="preserve">合同一式</w:t>
      </w:r>
      <w:r>
        <w:rPr>
          <w:rFonts w:hint="eastAsia" w:ascii="宋体" w:hAnsi="宋体" w:cs="宋体"/>
          <w:bCs/>
          <w:sz w:val="24"/>
          <w:highlight w:val="none"/>
          <w:lang w:val="en-US" w:eastAsia="zh-CN"/>
        </w:rPr>
        <w:t xml:space="preserve">伍</w:t>
      </w:r>
      <w:r>
        <w:rPr>
          <w:rFonts w:hint="eastAsia" w:ascii="宋体" w:hAnsi="宋体" w:eastAsia="宋体" w:cs="宋体"/>
          <w:bCs/>
          <w:sz w:val="24"/>
          <w:highlight w:val="none"/>
        </w:rPr>
        <w:t xml:space="preserve">份，甲乙双方各执贰份，</w:t>
      </w:r>
      <w:r>
        <w:rPr>
          <w:rFonts w:hint="eastAsia" w:ascii="宋体" w:hAnsi="宋体" w:eastAsia="宋体" w:cs="宋体"/>
          <w:bCs/>
          <w:sz w:val="24"/>
          <w:highlight w:val="none"/>
          <w:lang w:eastAsia="zh-CN"/>
        </w:rPr>
        <w:t xml:space="preserve">江苏通汇工程管理咨询有限公司</w:t>
      </w:r>
      <w:r>
        <w:rPr>
          <w:rFonts w:hint="eastAsia" w:ascii="宋体" w:hAnsi="宋体" w:cs="宋体"/>
          <w:bCs/>
          <w:sz w:val="24"/>
          <w:highlight w:val="none"/>
          <w:lang w:val="en-US" w:eastAsia="zh-CN"/>
        </w:rPr>
        <w:t xml:space="preserve">壹</w:t>
      </w:r>
      <w:r>
        <w:rPr>
          <w:rFonts w:hint="eastAsia" w:ascii="宋体" w:hAnsi="宋体" w:eastAsia="宋体" w:cs="宋体"/>
          <w:bCs/>
          <w:sz w:val="24"/>
          <w:highlight w:val="none"/>
        </w:rPr>
        <w:t xml:space="preserve">份。</w:t>
      </w:r>
      <w:r>
        <w:rPr>
          <w:rFonts w:hint="eastAsia" w:ascii="宋体" w:hAnsi="宋体" w:eastAsia="宋体" w:cs="宋体"/>
          <w:bCs/>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签订后供需双方即直接产生权利与义务的关系，合同执行过程中出现的问题应按照合同约定、法律法规的规定办理，在合同履行过程中，双方如有争议，由招标代理机构协调解决。如协商不能解决，双方可向当地仲裁委员会申请仲裁，仲裁期间，除仲裁委员会要求停止履行合同或出现一方确实无法继续履行合同的情形外，本合同应继续履行。</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.3</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合同在执行过程中出现的未尽事宜，双方在不违背本合同和招标文件的原则下协商解决，协商结果以书面形式签订补充协议，且补充协议与本合同具有同等效力</w:t>
      </w:r>
      <w:r>
        <w:rPr>
          <w:rFonts w:hint="eastAsia" w:ascii="宋体" w:hAnsi="宋体" w:eastAsia="宋体" w:cs="宋体"/>
          <w:sz w:val="24"/>
          <w:highlight w:val="none"/>
        </w:rPr>
      </w:r>
      <w:r/>
    </w:p>
    <w:p>
      <w:pPr>
        <w:pStyle w:val="1528"/>
        <w:ind w:firstLine="480"/>
        <w:jc w:val="left"/>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9</w:t>
      </w:r>
      <w:r>
        <w:rPr>
          <w:rFonts w:hint="eastAsia" w:ascii="宋体" w:hAnsi="宋体" w:eastAsia="宋体" w:cs="宋体"/>
          <w:sz w:val="24"/>
          <w:highlight w:val="none"/>
        </w:rPr>
        <w:t xml:space="preserve">.4</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本合同的解释权在</w:t>
      </w:r>
      <w:r>
        <w:rPr>
          <w:rFonts w:hint="eastAsia" w:ascii="宋体" w:hAnsi="宋体" w:eastAsia="宋体" w:cs="宋体"/>
          <w:sz w:val="24"/>
          <w:highlight w:val="none"/>
          <w:lang w:eastAsia="zh-CN"/>
        </w:rPr>
        <w:t xml:space="preserve">无锡市锡山区人民政府厚桥街道办事处</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528"/>
        <w:ind w:firstLine="420"/>
        <w:jc w:val="center"/>
        <w:keepLines w:val="0"/>
        <w:keepNext w:val="0"/>
        <w:pageBreakBefore w:val="0"/>
        <w:spacing w:line="360" w:lineRule="auto"/>
        <w:widowControl w:val="off"/>
        <w:tabs>
          <w:tab w:val="left" w:pos="675" w:leader="none"/>
        </w:tabs>
        <w:rPr>
          <w:rFonts w:hint="eastAsia" w:ascii="宋体" w:hAnsi="宋体" w:eastAsia="宋体" w:cs="宋体"/>
          <w:highlight w:val="none"/>
        </w:rPr>
        <w:sectPr>
          <w:footnotePr/>
          <w:endnotePr/>
          <w:type w:val="nextPage"/>
          <w:pgSz w:w="11907" w:h="16840" w:orient="portrait"/>
          <w:pgMar w:top="1418" w:right="1006" w:bottom="1418" w:left="911" w:header="851" w:footer="992" w:gutter="0"/>
          <w:cols w:num="1" w:sep="0" w:space="1701" w:equalWidth="1"/>
          <w:docGrid w:linePitch="360"/>
        </w:sectPr>
        <w:outlineLvl w:val="9"/>
      </w:pPr>
      <w:r>
        <w:rPr>
          <w:rFonts w:hint="eastAsia" w:ascii="宋体" w:hAnsi="宋体" w:eastAsia="宋体" w:cs="宋体"/>
          <w:highlight w:val="none"/>
        </w:rPr>
      </w:r>
      <w:r/>
    </w:p>
    <w:p>
      <w:pPr>
        <w:pStyle w:val="1528"/>
        <w:jc w:val="center"/>
        <w:spacing w:line="360" w:lineRule="auto"/>
        <w:rPr>
          <w:rFonts w:hint="eastAsia" w:eastAsia="宋体"/>
          <w:b/>
          <w:bCs/>
          <w:sz w:val="28"/>
          <w:szCs w:val="28"/>
          <w:highlight w:val="none"/>
          <w:lang w:eastAsia="zh-CN"/>
        </w:rPr>
        <w:outlineLvl w:val="9"/>
      </w:pPr>
      <w:r>
        <w:rPr>
          <w:rFonts w:hint="eastAsia"/>
          <w:b/>
          <w:bCs/>
          <w:sz w:val="28"/>
          <w:szCs w:val="28"/>
          <w:highlight w:val="none"/>
          <w:lang w:eastAsia="zh-CN"/>
        </w:rPr>
        <w:t xml:space="preserve">厚桥街道绿化养护项目N标段</w:t>
      </w:r>
      <w:r>
        <w:rPr>
          <w:rFonts w:hint="eastAsia" w:eastAsia="宋体"/>
          <w:b/>
          <w:bCs/>
          <w:sz w:val="28"/>
          <w:szCs w:val="28"/>
          <w:highlight w:val="none"/>
          <w:lang w:eastAsia="zh-CN"/>
        </w:rPr>
      </w:r>
      <w:r/>
    </w:p>
    <w:p>
      <w:pPr>
        <w:pStyle w:val="1528"/>
        <w:jc w:val="center"/>
        <w:spacing w:line="360" w:lineRule="auto"/>
        <w:rPr>
          <w:b/>
          <w:bCs/>
          <w:sz w:val="28"/>
          <w:szCs w:val="28"/>
          <w:highlight w:val="none"/>
        </w:rPr>
        <w:outlineLvl w:val="9"/>
      </w:pPr>
      <w:r>
        <w:rPr>
          <w:rFonts w:hint="eastAsia"/>
          <w:b/>
          <w:bCs/>
          <w:sz w:val="28"/>
          <w:szCs w:val="28"/>
          <w:highlight w:val="none"/>
        </w:rPr>
        <w:t xml:space="preserve">考核办法</w:t>
      </w:r>
      <w:r>
        <w:rPr>
          <w:b/>
          <w:bCs/>
          <w:sz w:val="28"/>
          <w:szCs w:val="28"/>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为建立和完善绿化养护长效管理机制，巩固锡山区绿化建设成果，不断提高绿化养护管理水平，使锡山区公共绿地日常养护得到更加持久有效、合理规范的管理，根据《</w:t>
      </w:r>
      <w:r>
        <w:rPr>
          <w:rFonts w:hint="eastAsia" w:ascii="宋体" w:hAnsi="宋体" w:eastAsia="宋体" w:cs="宋体"/>
          <w:sz w:val="24"/>
          <w:highlight w:val="none"/>
          <w:lang w:eastAsia="zh-CN"/>
        </w:rPr>
        <w:t xml:space="preserve">无锡市城市绿化管理条例</w:t>
      </w:r>
      <w:r>
        <w:rPr>
          <w:rFonts w:hint="eastAsia" w:ascii="宋体" w:hAnsi="宋体" w:eastAsia="宋体" w:cs="宋体"/>
          <w:sz w:val="24"/>
          <w:highlight w:val="none"/>
        </w:rPr>
        <w:t xml:space="preserve">》及相关</w:t>
      </w:r>
      <w:r>
        <w:rPr>
          <w:rFonts w:hint="eastAsia" w:ascii="宋体" w:hAnsi="宋体" w:eastAsia="宋体" w:cs="宋体"/>
          <w:sz w:val="24"/>
          <w:highlight w:val="none"/>
          <w:lang w:eastAsia="zh-CN"/>
        </w:rPr>
        <w:t xml:space="preserve">法律法规</w:t>
      </w:r>
      <w:r>
        <w:rPr>
          <w:rFonts w:hint="eastAsia" w:ascii="宋体" w:hAnsi="宋体" w:eastAsia="宋体" w:cs="宋体"/>
          <w:sz w:val="24"/>
          <w:highlight w:val="none"/>
        </w:rPr>
        <w:t xml:space="preserve">，结合我区绿化养护实际情况，制订本办法。</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一、总则</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负责镇区绿化养护管理工作，并负责对养护承包单位管养质量的检查考核。检查考核的结果作为对养护承包单位管养质量评价、经费支付以及其他奖惩的依据。在每年末进行考核评比，实行末位淘汰。</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二、检查考核机构及职责</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成立检查考核小组，由考核小组牵头具体考核工作，并做好日常检查考核评分工作。</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三、考核办法</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对养护承包单位管养质量实行</w:t>
      </w:r>
      <w:r>
        <w:rPr>
          <w:rFonts w:hint="eastAsia" w:ascii="宋体" w:hAnsi="宋体" w:cs="宋体"/>
          <w:sz w:val="24"/>
          <w:highlight w:val="none"/>
          <w:lang w:val="en-US" w:eastAsia="zh-CN"/>
        </w:rPr>
        <w:t xml:space="preserve">季度考核</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承包单位须严格按照养护计划，《养护计划》需明确每块绿地的养护目标任务、工作内容、计划完成时间和确保完成的保障措施等，并加盖单位公章或分公司、项目部公章。考核小组对养护计划审核后，派员检查养护工作落实情况。</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在日常巡查中对各块绿地进行不定期检查，针对检查中发现的问题以书面或口头形式告知，并要求各养护单位限期整改。凡发出书面通知的绿地列入下次集中考核的重点。不定期</w:t>
      </w:r>
      <w:r>
        <w:rPr>
          <w:rFonts w:hint="eastAsia" w:ascii="宋体" w:hAnsi="宋体" w:eastAsia="宋体" w:cs="宋体"/>
          <w:sz w:val="24"/>
          <w:highlight w:val="none"/>
          <w:lang w:eastAsia="zh-CN"/>
        </w:rPr>
        <w:t xml:space="preserve">检查</w:t>
      </w:r>
      <w:r>
        <w:rPr>
          <w:rFonts w:hint="eastAsia" w:ascii="宋体" w:hAnsi="宋体" w:eastAsia="宋体" w:cs="宋体"/>
          <w:sz w:val="24"/>
          <w:highlight w:val="none"/>
        </w:rPr>
        <w:t xml:space="preserve">结果作为当</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考评的重要依据之一。</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针对一年养护中病虫害、施肥、剥芽修剪、防汛抗台、保洁、文明安全、黑麦草、重要活动保障等重点性、周期性的事项进行重点</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考核。</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除考核小组日常</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检查考核外，各级领导、城管大队、督查室在巡查或督查过程中发现的问题以及各类市民投诉、媒体曝光等方面的问题都由考核小组负责汇总并按考核标准进行相应扣分。</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考核中发现的问题以《整改通知书》形式告知养护承包单位。《整改通知书》作为考评扣分主要依据，按考核标准进行相应扣分。原则上要求养护承包单位在收到通知后24小时内完成整改，并将完成情况反馈考核小组，未及时反馈的视作未完成整改。</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四、评分等级</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根据每次考核评分，考核等级为优秀、良好、合格、不合格四类。</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90分及以上的为优秀，80-89分为良好，70-79为合格，70分以下为不合格。</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五、分值计算</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考核评分采用百分制计分，满分100分。根据《锡山区绿地养护管理考核评定表》要求对检查结果进行评分，并以《整改通知书》等为依据。每</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一考核，每</w:t>
      </w:r>
      <w:r>
        <w:rPr>
          <w:rFonts w:hint="eastAsia" w:ascii="宋体" w:hAnsi="宋体" w:cs="宋体"/>
          <w:sz w:val="24"/>
          <w:highlight w:val="none"/>
          <w:lang w:val="en-US" w:eastAsia="zh-CN"/>
        </w:rPr>
        <w:t xml:space="preserve">季</w:t>
      </w:r>
      <w:r>
        <w:rPr>
          <w:rFonts w:hint="eastAsia" w:ascii="宋体" w:hAnsi="宋体" w:eastAsia="宋体" w:cs="宋体"/>
          <w:sz w:val="24"/>
          <w:highlight w:val="none"/>
        </w:rPr>
        <w:t xml:space="preserve">一结算。</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六、奖惩措施</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以检查和考核得分结果作为合同价款支付依据：</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（一）经考核后每个季度根据考核结果结算一次。根据季度考核情况，本季度得分≧90分的采购人按合同付款方式全额支付服务项目经费；90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val="en-US" w:eastAsia="zh-CN"/>
        </w:rPr>
        <w:t xml:space="preserve">本季度得分≧80的按合同付款方式*95%支付服务项目经费；80</w:t>
      </w:r>
      <w:r>
        <w:rPr>
          <w:rFonts w:hint="eastAsia" w:ascii="宋体" w:hAnsi="宋体" w:cs="宋体"/>
          <w:bCs/>
          <w:sz w:val="24"/>
          <w:szCs w:val="24"/>
          <w:highlight w:val="none"/>
          <w:lang w:val="en-US" w:eastAsia="zh-CN"/>
        </w:rPr>
        <w:t xml:space="preserve">＞</w:t>
      </w:r>
      <w:r>
        <w:rPr>
          <w:rFonts w:hint="eastAsia" w:ascii="宋体" w:hAnsi="宋体" w:cs="宋体"/>
          <w:sz w:val="24"/>
          <w:highlight w:val="none"/>
          <w:lang w:val="en-US" w:eastAsia="zh-CN"/>
        </w:rPr>
        <w:t xml:space="preserve">本季度得分≧70的按合同付款方式*90%支付服务项目经费；本季度得分＜70分采购人不支付该季度服务项目经费，连续两个季度考核得分＜70分的，采购人有权终止服务合同，且不再支付剩余服务项目经费。</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二</w:t>
      </w:r>
      <w:r>
        <w:rPr>
          <w:rFonts w:hint="eastAsia" w:ascii="宋体" w:hAnsi="宋体" w:eastAsia="宋体" w:cs="宋体"/>
          <w:sz w:val="24"/>
          <w:highlight w:val="none"/>
        </w:rPr>
        <w:t xml:space="preserve">）养护承包单位在防台防汛、抗雪减灾等应急抢险中未能按要求积极履行职责的，甲方有权无条件单方面终止合同，养护承包单位接到甲方考核小组通知后24小时内无条件清退出场，由此造成的经济损失由养护承包单位承担，原已完成工作量据实按有关规定结算。</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三</w:t>
      </w:r>
      <w:r>
        <w:rPr>
          <w:rFonts w:hint="eastAsia" w:ascii="宋体" w:hAnsi="宋体" w:eastAsia="宋体" w:cs="宋体"/>
          <w:sz w:val="24"/>
          <w:highlight w:val="none"/>
        </w:rPr>
        <w:t xml:space="preserve">）养护承包单位应在中标</w:t>
      </w:r>
      <w:r>
        <w:rPr>
          <w:rFonts w:hint="eastAsia" w:ascii="宋体" w:hAnsi="宋体" w:cs="宋体"/>
          <w:sz w:val="24"/>
          <w:highlight w:val="none"/>
          <w:lang w:val="en-US" w:eastAsia="zh-CN"/>
        </w:rPr>
        <w:t xml:space="preserve">之</w:t>
      </w:r>
      <w:r>
        <w:rPr>
          <w:rFonts w:hint="eastAsia" w:ascii="宋体" w:hAnsi="宋体" w:eastAsia="宋体" w:cs="宋体"/>
          <w:sz w:val="24"/>
          <w:highlight w:val="none"/>
        </w:rPr>
        <w:t xml:space="preserve">后15</w:t>
      </w:r>
      <w:r>
        <w:rPr>
          <w:rFonts w:hint="eastAsia" w:ascii="宋体" w:hAnsi="宋体" w:eastAsia="宋体" w:cs="宋体"/>
          <w:sz w:val="24"/>
          <w:highlight w:val="none"/>
          <w:lang w:eastAsia="zh-CN"/>
        </w:rPr>
        <w:t xml:space="preserve">天</w:t>
      </w:r>
      <w:r>
        <w:rPr>
          <w:rFonts w:hint="eastAsia" w:ascii="宋体" w:hAnsi="宋体" w:eastAsia="宋体" w:cs="宋体"/>
          <w:sz w:val="24"/>
          <w:highlight w:val="none"/>
        </w:rPr>
        <w:t xml:space="preserve">内落实好招标文件中约定的作业机械、作业人员等要求，未能及时落实到位的，甲方有权无条件单方面终止合同，养护承包单位接到甲方考核小组通知后24小时内无条件清退出场，由此造成的经济损失由养护承包单位承担。</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七、相关制度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（一）整改反馈制度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1、现场检查发现的问题，属作业规范、保洁工作的，予以当场记录和扣分，养护承包单位应在24小时内整改到位；如果属于季节性问题或其他特殊问题的可先向养护承包单位发出限期整改通知。</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考核小组将对所有整改工作进行复查，如果整改工作不力处以双倍惩罚。</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2、为确保工作的有效性，在检查考核中将把是否及时落实整改作为考核的一项重点。对同一地点、同一类型问题，每连续发现一次加扣一倍分值，以此类推。</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3、检查发现需要整改的问题经考核负责人出具书面意见后，于2个工作日内反馈到养护承包单位。</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4、养护承包单位必须在收到整改通知后及时整改；遇特殊情况不能立即整改的，则应向考核小组反馈，经双方协商后确定整改日期，否则加倍扣分。</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（二）分数公示制度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根据《锡山区绿地养护管理（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级养护）考核评定表》要求对检查结果进行评分，每</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一考核。</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（三）养护工作例会制度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在每月初召开养护工作例会，通报每月日常考核情况及进行工作总结和部署，对遇到的养护难点进行共同研讨，同时，促进各养护承包单位间的相互学习和交流。</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（四）定期业务培训制度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养护承包单位应结合养护工作计划，定期对技术骨干和作业工人进行相应的业务培训，努力提高作业人员专业素养和技术水平。并按招标要求足额配备经国家认定的中高级绿化工，由绿化工作为作业骨干领班指导养护作业。</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考核小组将对养护承包单位的培训内容、培训课时、培训成效和绿化工领班作业情况进行检查，检查结果列入</w:t>
      </w:r>
      <w:r>
        <w:rPr>
          <w:rFonts w:hint="eastAsia" w:ascii="宋体" w:hAnsi="宋体" w:cs="宋体"/>
          <w:sz w:val="24"/>
          <w:highlight w:val="none"/>
          <w:lang w:val="en-US" w:eastAsia="zh-CN"/>
        </w:rPr>
        <w:t xml:space="preserve">季度</w:t>
      </w:r>
      <w:r>
        <w:rPr>
          <w:rFonts w:hint="eastAsia" w:ascii="宋体" w:hAnsi="宋体" w:eastAsia="宋体" w:cs="宋体"/>
          <w:sz w:val="24"/>
          <w:highlight w:val="none"/>
        </w:rPr>
        <w:t xml:space="preserve">考评。</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（五）项目经理自查制度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为加强养护队伍管理，提高工作效率，实行项目经理互查制度。</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考核小组每半个月组织养护承包单位项目经理，对指定路段进行自查并填写《项目经理自查表》，各养护承包单位自备养护巡查车辆，积极配合</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考核小组工作，并将《项目经理自查表（附巡查发现问题照片）》汇总后，每月上报至</w:t>
      </w:r>
      <w:r>
        <w:rPr>
          <w:rFonts w:hint="eastAsia" w:ascii="宋体" w:hAnsi="宋体" w:eastAsia="宋体" w:cs="宋体"/>
          <w:sz w:val="24"/>
          <w:highlight w:val="none"/>
          <w:lang w:eastAsia="zh-CN"/>
        </w:rPr>
        <w:t xml:space="preserve">锡山区厚桥街道办事处</w:t>
      </w:r>
      <w:r>
        <w:rPr>
          <w:rFonts w:hint="eastAsia" w:ascii="宋体" w:hAnsi="宋体" w:eastAsia="宋体" w:cs="宋体"/>
          <w:sz w:val="24"/>
          <w:highlight w:val="none"/>
        </w:rPr>
        <w:t xml:space="preserve">考核小组。</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八、</w:t>
      </w:r>
      <w:r>
        <w:rPr>
          <w:rFonts w:hint="eastAsia" w:ascii="宋体" w:hAnsi="宋体" w:eastAsia="宋体" w:cs="宋体"/>
          <w:sz w:val="24"/>
          <w:highlight w:val="none"/>
          <w:lang w:eastAsia="zh-CN"/>
        </w:rPr>
        <w:t xml:space="preserve">无锡市锡山区人民政府厚桥街道办事处</w:t>
      </w:r>
      <w:r>
        <w:rPr>
          <w:rFonts w:hint="eastAsia" w:ascii="宋体" w:hAnsi="宋体" w:eastAsia="宋体" w:cs="宋体"/>
          <w:sz w:val="24"/>
          <w:highlight w:val="none"/>
        </w:rPr>
        <w:t xml:space="preserve">有权根据实施情况对本考核办法及时作出修改。</w:t>
      </w:r>
      <w:r>
        <w:rPr>
          <w:rFonts w:hint="eastAsia" w:ascii="宋体" w:hAnsi="宋体" w:eastAsia="宋体" w:cs="宋体"/>
          <w:sz w:val="24"/>
          <w:highlight w:val="none"/>
        </w:rPr>
      </w:r>
      <w:r/>
    </w:p>
    <w:p>
      <w:pPr>
        <w:pStyle w:val="1528"/>
        <w:ind w:firstLine="482"/>
        <w:keepLines w:val="0"/>
        <w:keepNext w:val="0"/>
        <w:pageBreakBefore w:val="0"/>
        <w:spacing w:line="360" w:lineRule="auto"/>
        <w:widowControl w:val="off"/>
        <w:rPr>
          <w:rFonts w:hint="eastAsia" w:ascii="宋体" w:hAnsi="宋体" w:eastAsia="宋体" w:cs="宋体"/>
          <w:b/>
          <w:bCs/>
          <w:sz w:val="24"/>
          <w:highlight w:val="none"/>
        </w:rPr>
        <w:outlineLvl w:val="9"/>
      </w:pP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.锡山区绿地养护管理（</w:t>
      </w:r>
      <w:r>
        <w:rPr>
          <w:rFonts w:hint="eastAsia" w:ascii="宋体" w:hAnsi="宋体" w:eastAsia="宋体" w:cs="宋体"/>
          <w:sz w:val="24"/>
          <w:highlight w:val="none"/>
          <w:lang w:val="en-US" w:eastAsia="zh-CN"/>
        </w:rPr>
        <w:t xml:space="preserve">一</w:t>
      </w:r>
      <w:r>
        <w:rPr>
          <w:rFonts w:hint="eastAsia" w:ascii="宋体" w:hAnsi="宋体" w:eastAsia="宋体" w:cs="宋体"/>
          <w:sz w:val="24"/>
          <w:highlight w:val="none"/>
        </w:rPr>
        <w:t xml:space="preserve">级养护）考核评定表</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.锡山区绿地养护等级标准</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.《整改通知书》</w:t>
      </w:r>
      <w:r>
        <w:rPr>
          <w:rFonts w:hint="eastAsia" w:ascii="宋体" w:hAnsi="宋体" w:eastAsia="宋体" w:cs="宋体"/>
          <w:sz w:val="24"/>
          <w:highlight w:val="none"/>
        </w:rPr>
      </w:r>
      <w:r/>
    </w:p>
    <w:p>
      <w:pPr>
        <w:pStyle w:val="1528"/>
        <w:ind w:firstLine="480"/>
        <w:keepLines w:val="0"/>
        <w:keepNext w:val="0"/>
        <w:pageBreakBefore w:val="0"/>
        <w:spacing w:line="360" w:lineRule="auto"/>
        <w:widowControl w:val="off"/>
        <w:rPr>
          <w:rFonts w:hint="eastAsia" w:ascii="宋体" w:hAnsi="宋体" w:eastAsia="宋体" w:cs="宋体"/>
          <w:sz w:val="24"/>
          <w:highlight w:val="none"/>
        </w:rPr>
        <w:outlineLvl w:val="9"/>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.《项目经理自查表》</w:t>
      </w:r>
      <w:r>
        <w:rPr>
          <w:rFonts w:hint="eastAsia" w:ascii="宋体" w:hAnsi="宋体" w:eastAsia="宋体" w:cs="宋体"/>
          <w:sz w:val="24"/>
          <w:highlight w:val="none"/>
        </w:rPr>
      </w:r>
      <w:r/>
    </w:p>
    <w:p>
      <w:pPr>
        <w:pStyle w:val="1585"/>
        <w:rPr>
          <w:rFonts w:hint="eastAsia"/>
        </w:rPr>
      </w:pPr>
      <w:r>
        <w:rPr>
          <w:rFonts w:hint="eastAsia"/>
        </w:rPr>
      </w:r>
      <w:r/>
    </w:p>
    <w:p>
      <w:pPr>
        <w:pStyle w:val="1601"/>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528"/>
        <w:ind w:left="0" w:firstLine="480"/>
        <w:keepLines w:val="0"/>
        <w:keepNext w:val="0"/>
        <w:pageBreakBefore w:val="0"/>
        <w:spacing w:line="360" w:lineRule="auto"/>
        <w:widowControl w:val="off"/>
        <w:rPr>
          <w:rFonts w:hint="eastAsia" w:ascii="宋体" w:hAnsi="宋体" w:eastAsia="宋体" w:cs="宋体"/>
          <w:sz w:val="24"/>
          <w:szCs w:val="24"/>
          <w:highlight w:val="none"/>
        </w:rPr>
        <w:sectPr>
          <w:headerReference w:type="default" r:id="rId12"/>
          <w:footerReference w:type="default" r:id="rId23"/>
          <w:footnotePr/>
          <w:endnotePr/>
          <w:type w:val="nextPage"/>
          <w:pgSz w:w="11906" w:h="16838" w:orient="portrait"/>
          <w:pgMar w:top="1304" w:right="1304" w:bottom="1304" w:left="1304" w:header="851" w:footer="992" w:gutter="0"/>
          <w:cols w:num="1" w:sep="0" w:space="1701" w:equalWidth="1"/>
          <w:docGrid w:linePitch="360"/>
        </w:sectPr>
      </w:pPr>
      <w:r>
        <w:rPr>
          <w:rFonts w:hint="eastAsia" w:ascii="宋体" w:hAnsi="宋体" w:eastAsia="宋体" w:cs="宋体"/>
          <w:sz w:val="24"/>
          <w:szCs w:val="24"/>
          <w:highlight w:val="none"/>
        </w:rPr>
      </w:r>
      <w:r/>
    </w:p>
    <w:tbl>
      <w:tblPr>
        <w:tblW w:w="14298" w:type="dxa"/>
        <w:tblInd w:w="-108" w:type="dxa"/>
        <w:tblLayout w:type="fixed"/>
        <w:tblCellMar>
          <w:left w:w="108" w:type="dxa"/>
          <w:top w:w="0" w:type="dxa"/>
          <w:right w:w="108" w:type="dxa"/>
          <w:bottom w:w="0" w:type="dxa"/>
        </w:tblCellMar>
        <w:tblLook w:val="04A0" w:firstRow="1" w:lastRow="0" w:firstColumn="1" w:lastColumn="0" w:noHBand="0" w:noVBand="1"/>
      </w:tblPr>
      <w:tblGrid>
        <w:gridCol w:w="616"/>
        <w:gridCol w:w="768"/>
        <w:gridCol w:w="5391"/>
        <w:gridCol w:w="700"/>
        <w:gridCol w:w="862"/>
        <w:gridCol w:w="4219"/>
        <w:gridCol w:w="786"/>
        <w:gridCol w:w="956"/>
      </w:tblGrid>
      <w:tr>
        <w:trPr>
          <w:trHeight w:val="1037"/>
        </w:trPr>
        <w:tc>
          <w:tcPr>
            <w:gridSpan w:val="8"/>
            <w:tcBorders>
              <w:top w:val="none" w:color="000000" w:sz="4" w:space="0"/>
              <w:left w:val="none" w:color="000000" w:sz="4" w:space="0"/>
              <w:bottom w:val="none" w:color="000000" w:sz="4" w:space="0"/>
              <w:right w:val="none" w:color="000000" w:sz="4" w:space="0"/>
            </w:tcBorders>
            <w:tcW w:w="14298" w:type="dxa"/>
            <w:vAlign w:val="center"/>
            <w:textDirection w:val="lrTb"/>
            <w:noWrap w:val="false"/>
          </w:tcPr>
          <w:p>
            <w:pPr>
              <w:pStyle w:val="1528"/>
              <w:jc w:val="center"/>
              <w:widowControl/>
              <w:rPr>
                <w:rFonts w:hint="eastAsia" w:ascii="宋体" w:hAnsi="宋体" w:cs="宋体"/>
                <w:b/>
                <w:bCs/>
                <w:sz w:val="36"/>
                <w:szCs w:val="36"/>
                <w:highlight w:val="none"/>
              </w:rPr>
            </w:pPr>
            <w:r>
              <w:rPr>
                <w:rFonts w:hint="eastAsia" w:ascii="宋体" w:hAnsi="宋体" w:cs="宋体"/>
                <w:b/>
                <w:bCs/>
                <w:sz w:val="36"/>
                <w:szCs w:val="36"/>
              </w:rPr>
              <w:t xml:space="preserve">锡山区绿地养护管理（</w:t>
            </w:r>
            <w:r>
              <w:rPr>
                <w:rFonts w:hint="eastAsia" w:ascii="宋体" w:hAnsi="宋体" w:cs="宋体"/>
                <w:b/>
                <w:bCs/>
                <w:sz w:val="36"/>
                <w:szCs w:val="36"/>
                <w:lang w:val="en-US" w:eastAsia="zh-CN"/>
              </w:rPr>
              <w:t xml:space="preserve">一</w:t>
            </w:r>
            <w:r>
              <w:rPr>
                <w:rFonts w:ascii="宋体" w:hAnsi="宋体" w:cs="宋体"/>
                <w:b/>
                <w:bCs/>
                <w:sz w:val="36"/>
                <w:szCs w:val="36"/>
              </w:rPr>
              <w:t xml:space="preserve">级养护</w:t>
            </w:r>
            <w:r>
              <w:rPr>
                <w:rFonts w:hint="eastAsia" w:ascii="宋体" w:hAnsi="宋体" w:cs="宋体"/>
                <w:b/>
                <w:bCs/>
                <w:sz w:val="36"/>
                <w:szCs w:val="36"/>
              </w:rPr>
              <w:t xml:space="preserve">）考核评定表</w:t>
            </w:r>
            <w:r>
              <w:rPr>
                <w:rFonts w:hint="eastAsia" w:ascii="宋体" w:hAnsi="宋体" w:cs="宋体"/>
                <w:b/>
                <w:bCs/>
                <w:sz w:val="36"/>
                <w:szCs w:val="36"/>
                <w:highlight w:val="none"/>
              </w:rPr>
            </w:r>
            <w:r/>
          </w:p>
        </w:tc>
      </w:tr>
      <w:tr>
        <w:trPr>
          <w:trHeight w:val="375"/>
        </w:trPr>
        <w:tc>
          <w:tcPr>
            <w:gridSpan w:val="8"/>
            <w:tcBorders>
              <w:top w:val="none" w:color="000000" w:sz="4" w:space="0"/>
              <w:left w:val="none" w:color="000000" w:sz="4" w:space="0"/>
              <w:bottom w:val="single" w:color="000000" w:sz="4" w:space="0"/>
              <w:right w:val="none" w:color="000000" w:sz="4" w:space="0"/>
            </w:tcBorders>
            <w:tcW w:w="14298" w:type="dxa"/>
            <w:vAlign w:val="center"/>
            <w:textDirection w:val="lrTb"/>
            <w:noWrap w:val="false"/>
          </w:tcPr>
          <w:p>
            <w:pPr>
              <w:pStyle w:val="1528"/>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考核工程</w:t>
            </w:r>
            <w:r>
              <w:rPr>
                <w:rFonts w:hint="eastAsia" w:ascii="楷体_GB2312" w:hAnsi="宋体" w:eastAsia="楷体_GB2312" w:cs="宋体"/>
                <w:sz w:val="24"/>
                <w:szCs w:val="24"/>
                <w:lang w:eastAsia="zh-CN"/>
              </w:rPr>
              <w:t xml:space="preserve">：</w:t>
            </w:r>
            <w:r>
              <w:rPr>
                <w:rFonts w:hint="eastAsia" w:ascii="楷体_GB2312" w:hAnsi="宋体" w:eastAsia="楷体_GB2312" w:cs="宋体"/>
                <w:sz w:val="24"/>
                <w:szCs w:val="24"/>
              </w:rPr>
              <w:t xml:space="preserve"> </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    单位名称：</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    考核日期：</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年</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月</w:t>
            </w:r>
            <w:r>
              <w:rPr>
                <w:rFonts w:hint="eastAsia" w:ascii="楷体_GB2312" w:hAnsi="宋体" w:eastAsia="楷体_GB2312" w:cs="宋体"/>
                <w:sz w:val="24"/>
                <w:szCs w:val="24"/>
                <w:u w:val="single"/>
              </w:rPr>
              <w:t xml:space="preserve">      </w:t>
            </w:r>
            <w:r>
              <w:rPr>
                <w:rFonts w:hint="eastAsia" w:ascii="楷体_GB2312" w:hAnsi="宋体" w:eastAsia="楷体_GB2312" w:cs="宋体"/>
                <w:sz w:val="24"/>
                <w:szCs w:val="24"/>
              </w:rPr>
              <w:t xml:space="preserve">日</w:t>
            </w:r>
            <w:r>
              <w:rPr>
                <w:rFonts w:ascii="楷体_GB2312" w:hAnsi="宋体" w:eastAsia="楷体_GB2312" w:cs="宋体"/>
                <w:sz w:val="24"/>
                <w:szCs w:val="24"/>
              </w:rPr>
            </w:r>
            <w:r/>
          </w:p>
        </w:tc>
      </w:tr>
      <w:tr>
        <w:trPr>
          <w:trHeight w:val="385"/>
        </w:trPr>
        <w:tc>
          <w:tcPr>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项目</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编号</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考核标准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分值</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扣分标准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扣分</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得分</w:t>
            </w:r>
            <w:r>
              <w:rPr>
                <w:rFonts w:ascii="宋体" w:hAnsi="宋体" w:cs="宋体"/>
                <w:szCs w:val="24"/>
              </w:rPr>
            </w:r>
            <w:r/>
          </w:p>
        </w:tc>
      </w:tr>
      <w:tr>
        <w:trPr>
          <w:trHeight w:val="525"/>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显见性问题</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绿地基本整洁，无枯枝病叶，无垃圾。无明显杂物（纸屑、果壳、塑料纸、砖头石块、堆物、堆料、搭棚等）。</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有一内容不到要求，扣1分，扣完为止。</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264"/>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2</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绿化生产垃圾（树枝、树叶、草屑等），水面杂物能日产日清，能做到保洁及时。</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有一内容不到要求，扣1分，扣完为止。</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302"/>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3</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发现侵占绿地、砍伐树木现象及时阻止，及时汇报。</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及时上报、阻止得2分，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技术性工作</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4</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场地排水坡度恰当，无积水，有排水沟。</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2</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发现一处扣1分。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5</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树木生长势好，枝条健壮，无枯枝、无死杈，绿地内无死株、缺苗,补植迅速。</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2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6</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做好绿地内植物病虫害的防治工作，危害状不明显。病虫害较严重时，应及时防治，措施得力。结合冬季修剪，冬耕消灭越冬的虫茧、虫蛹、越冬的虫蛹等活动。</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危害状明显发现一处扣1-2分，大面积危害扣3-4分。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7</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树干或树干重心与地面基本垂直，支撑应稳定，牢固一致，不伤树木，树木支撑不得用铅丝扎缚在树木上。</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3</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发现树木歪斜应扶正，否则扣1分。违反规定有一项扣1分。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8</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对树体伤口应清理，修整后消毒，涂保护剂，发现树洞要及时修补。</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3</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有一内容不到要求，扣1分。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8"/>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9</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冬季树木统一涂白，做好防扫雪等植物保护性工作</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4</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涂白不及时，扣1-2分，不到位扣2分。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10</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及时耕除杂草，树穴整修，绿篱两侧30厘米内无杂草或草坪。</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有一内容不到要求，扣1-2分。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11</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灌木、色块、草坪修剪及时，平面平整，高度统一，棱角清楚，球形圆整。</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5</w:t>
            </w:r>
            <w:r>
              <w:rPr>
                <w:rFonts w:ascii="宋体" w:hAnsi="宋体" w:cs="宋体"/>
                <w:color w:val="000000"/>
                <w:szCs w:val="24"/>
              </w:rPr>
            </w:r>
            <w:r/>
          </w:p>
        </w:tc>
        <w:tc>
          <w:tcPr>
            <w:gridSpan w:val="2"/>
            <w:tcBorders>
              <w:top w:val="single" w:color="000000" w:sz="4" w:space="0"/>
              <w:left w:val="singl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发现乱剪或不及时修剪扣1-2分。凡草坪生长超过平面7cm、色块、绿篱生长超过8cm未修剪的不得分。</w:t>
            </w:r>
            <w:r>
              <w:rPr>
                <w:rFonts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single" w:color="000000" w:sz="4" w:space="0"/>
              <w:left w:val="singl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117"/>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12</w:t>
            </w: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树冠完整美观，修剪科学合理，主侧枝分布均匀，数量适宜，内膛不乱，通风透气，无枯枝、死杈。</w:t>
            </w:r>
            <w:r>
              <w:rPr>
                <w:rFonts w:ascii="宋体" w:hAnsi="宋体" w:cs="宋体"/>
                <w:szCs w:val="24"/>
              </w:rPr>
            </w:r>
            <w:r/>
          </w:p>
        </w:tc>
        <w:tc>
          <w:tcPr>
            <w:tcBorders>
              <w:top w:val="singl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5</w:t>
            </w:r>
            <w:r>
              <w:rPr>
                <w:rFonts w:ascii="宋体" w:hAnsi="宋体" w:cs="宋体"/>
                <w:color w:val="000000"/>
                <w:szCs w:val="24"/>
              </w:rPr>
            </w:r>
            <w:r/>
          </w:p>
        </w:tc>
        <w:tc>
          <w:tcPr>
            <w:gridSpan w:val="2"/>
            <w:tcBorders>
              <w:top w:val="singl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发现乱剪或不及时修剪扣1-2分。</w:t>
            </w:r>
            <w:r>
              <w:rPr>
                <w:rFonts w:ascii="宋体" w:hAnsi="宋体" w:cs="宋体"/>
                <w:color w:val="000000"/>
                <w:szCs w:val="24"/>
              </w:rPr>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singl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378"/>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技术性工作</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13</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雨季及时排水，绿地不积水，高温季节及时灌水，叶面喷水，做好台风季节的防护工作。暴雨前应检查好排水设施是否畅通，暴雨堵塞管道或积水时应及时采取排水措施。</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发现一处积水扣1分，植物缺水影响生长或死亡扣4分，植株抗台风、防护工作做不好，有一处扣1分。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48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14</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按苗木长势情况施基肥，做好保质、保量、及时。树木、草坪、地被要按要求施追肥1-2次。</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3</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少施一处扣2分，施肥不足或不按要求扣2分。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15</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szCs w:val="24"/>
              </w:rPr>
              <w:t xml:space="preserve">草花更换及时，保质保量，及时清理多余泥土，无明显残花枯叶。</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szCs w:val="24"/>
              </w:rPr>
              <w:t xml:space="preserve">5</w:t>
            </w:r>
            <w:r>
              <w:rPr>
                <w:rFonts w:ascii="宋体" w:hAnsi="宋体" w:cs="宋体"/>
                <w:color w:val="000000"/>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color w:val="000000"/>
                <w:szCs w:val="24"/>
              </w:rPr>
            </w:pPr>
            <w:r>
              <w:rPr>
                <w:rFonts w:hint="eastAsia" w:ascii="宋体" w:hAnsi="宋体" w:cs="宋体"/>
                <w:color w:val="000000"/>
                <w:szCs w:val="24"/>
              </w:rPr>
              <w:t xml:space="preserve">不做到每项扣2分。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334"/>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ascii="宋体" w:hAnsi="宋体" w:cs="宋体"/>
                <w:color w:val="000000"/>
                <w:szCs w:val="24"/>
              </w:rPr>
            </w:pP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16</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草坪生长很好，修剪及时，高度控制适宜，覆盖度达到95%以上。草坪边缘线清晰（与路面、树穴、花坛交界处）。</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5</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szCs w:val="24"/>
              </w:rPr>
            </w:pPr>
            <w:r>
              <w:rPr>
                <w:rFonts w:hint="eastAsia" w:ascii="宋体" w:hAnsi="宋体" w:cs="宋体"/>
                <w:color w:val="000000"/>
                <w:szCs w:val="24"/>
              </w:rPr>
              <w:t xml:space="preserve">修剪不及时，草坪超过高度每块绿地扣1分，生长较差扣1-2分，有积水、裸地、空缺扣1分。</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886"/>
        </w:trPr>
        <w:tc>
          <w:tcPr>
            <w:tcBorders>
              <w:top w:val="none" w:color="000000" w:sz="4" w:space="0"/>
              <w:left w:val="single" w:color="000000" w:sz="4" w:space="0"/>
              <w:bottom w:val="single" w:color="000000" w:sz="4" w:space="0"/>
              <w:right w:val="single" w:color="000000" w:sz="4" w:space="0"/>
            </w:tcBorders>
            <w:tcW w:w="616" w:type="dxa"/>
            <w:vAlign w:val="center"/>
            <w:vMerge w:val="restart"/>
            <w:textDirection w:val="tbRlV"/>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管理标准</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ascii="宋体" w:hAnsi="宋体" w:cs="宋体"/>
                <w:color w:val="000000"/>
                <w:szCs w:val="24"/>
              </w:rPr>
            </w:pPr>
            <w:r>
              <w:rPr>
                <w:rFonts w:hint="eastAsia" w:ascii="宋体" w:hAnsi="宋体" w:cs="宋体"/>
                <w:color w:val="000000"/>
                <w:szCs w:val="24"/>
              </w:rPr>
              <w:t xml:space="preserve">17</w:t>
            </w:r>
            <w:r>
              <w:rPr>
                <w:rFonts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color w:val="000000"/>
                <w:szCs w:val="24"/>
              </w:rPr>
              <w:t xml:space="preserve">绿地管理制度全面落实，档案资料完整、详尽，根据绿地质量标准，制订养护管理技术措施及年度养护计划。按月上报养护计划及上月工作总结。</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szCs w:val="24"/>
              </w:rPr>
            </w:pPr>
            <w:r>
              <w:rPr>
                <w:rFonts w:hint="eastAsia" w:ascii="宋体" w:hAnsi="宋体" w:cs="宋体"/>
                <w:color w:val="000000"/>
                <w:szCs w:val="24"/>
              </w:rPr>
              <w:t xml:space="preserve">5</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szCs w:val="24"/>
              </w:rPr>
            </w:pPr>
            <w:r>
              <w:rPr>
                <w:rFonts w:hint="eastAsia" w:ascii="宋体" w:hAnsi="宋体" w:cs="宋体"/>
                <w:color w:val="000000"/>
                <w:szCs w:val="24"/>
              </w:rPr>
              <w:t xml:space="preserve">记录不全及内容乱记不真实扣1分。不及时上报月养护计划扣2分。</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291"/>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hint="eastAsia" w:ascii="宋体" w:hAnsi="宋体" w:cs="宋体"/>
                <w:color w:val="000000"/>
                <w:szCs w:val="24"/>
              </w:rPr>
            </w:pPr>
            <w:r>
              <w:rPr>
                <w:rFonts w:hint="eastAsia"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hint="eastAsia" w:ascii="宋体" w:hAnsi="宋体" w:cs="宋体"/>
                <w:color w:val="000000"/>
                <w:szCs w:val="24"/>
              </w:rPr>
            </w:pPr>
            <w:r>
              <w:rPr>
                <w:rFonts w:hint="eastAsia" w:ascii="宋体" w:hAnsi="宋体" w:cs="宋体"/>
                <w:color w:val="000000"/>
                <w:szCs w:val="24"/>
              </w:rPr>
              <w:t xml:space="preserve">18</w:t>
            </w:r>
            <w:r>
              <w:rPr>
                <w:rFonts w:hint="eastAsia"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hint="eastAsia" w:ascii="宋体" w:hAnsi="宋体" w:cs="宋体"/>
                <w:szCs w:val="24"/>
              </w:rPr>
            </w:pPr>
            <w:r>
              <w:rPr>
                <w:rFonts w:hint="eastAsia" w:ascii="宋体" w:hAnsi="宋体" w:cs="宋体"/>
                <w:color w:val="000000"/>
                <w:szCs w:val="24"/>
              </w:rPr>
              <w:t xml:space="preserve">配足养护人员，按照技术操作规程工作。工作人员统一着装。在规定时期内及时做好甲方下达的任务。</w:t>
            </w: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hint="eastAsia" w:ascii="宋体" w:hAnsi="宋体" w:cs="宋体"/>
                <w:szCs w:val="24"/>
              </w:rPr>
            </w:pPr>
            <w:r>
              <w:rPr>
                <w:rFonts w:hint="eastAsia" w:ascii="宋体" w:hAnsi="宋体" w:cs="宋体"/>
                <w:color w:val="000000"/>
                <w:szCs w:val="24"/>
              </w:rPr>
              <w:t xml:space="preserve">5</w:t>
            </w:r>
            <w:r>
              <w:rPr>
                <w:rFonts w:hint="eastAsia"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hint="eastAsia" w:ascii="宋体" w:hAnsi="宋体" w:cs="宋体"/>
                <w:szCs w:val="24"/>
              </w:rPr>
            </w:pPr>
            <w:r>
              <w:rPr>
                <w:rFonts w:hint="eastAsia" w:ascii="宋体" w:hAnsi="宋体" w:cs="宋体"/>
                <w:color w:val="000000"/>
                <w:szCs w:val="24"/>
              </w:rPr>
              <w:t xml:space="preserve">不按规程作业，人员不足，发现一次扣5分；无人员不得分。着装不统一扣5分，有无故拖延者发现一处扣2分。</w:t>
            </w: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hint="eastAsia" w:ascii="宋体" w:hAnsi="宋体" w:cs="宋体"/>
                <w:szCs w:val="24"/>
              </w:rPr>
            </w:pP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hint="eastAsia" w:ascii="宋体" w:hAnsi="宋体" w:cs="宋体"/>
                <w:szCs w:val="24"/>
              </w:rPr>
            </w:pPr>
            <w:r>
              <w:rPr>
                <w:rFonts w:hint="eastAsia"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vMerge w:val="continue"/>
            <w:textDirection w:val="lrTb"/>
            <w:noWrap w:val="false"/>
          </w:tcPr>
          <w:p>
            <w:pPr>
              <w:pStyle w:val="1528"/>
              <w:jc w:val="left"/>
              <w:widowControl/>
              <w:rPr>
                <w:rFonts w:hint="eastAsia" w:ascii="宋体" w:hAnsi="宋体" w:cs="宋体"/>
                <w:color w:val="000000"/>
                <w:szCs w:val="24"/>
              </w:rPr>
            </w:pPr>
            <w:r>
              <w:rPr>
                <w:rFonts w:hint="eastAsia"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hint="eastAsia" w:ascii="宋体" w:hAnsi="宋体" w:cs="宋体"/>
                <w:color w:val="000000"/>
                <w:szCs w:val="24"/>
              </w:rPr>
            </w:pPr>
            <w:r>
              <w:rPr>
                <w:rFonts w:hint="eastAsia" w:ascii="宋体" w:hAnsi="宋体" w:cs="宋体"/>
                <w:color w:val="000000"/>
                <w:szCs w:val="24"/>
              </w:rPr>
              <w:t xml:space="preserve">19</w:t>
            </w:r>
            <w:r>
              <w:rPr>
                <w:rFonts w:hint="eastAsia"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hint="eastAsia" w:ascii="宋体" w:hAnsi="宋体" w:cs="宋体"/>
                <w:szCs w:val="24"/>
              </w:rPr>
            </w:pPr>
            <w:r>
              <w:rPr>
                <w:rFonts w:hint="eastAsia" w:ascii="宋体" w:hAnsi="宋体" w:cs="宋体"/>
                <w:color w:val="000000"/>
                <w:szCs w:val="24"/>
              </w:rPr>
              <w:t xml:space="preserve">积极参加我单位组织的各类会议、活动。</w:t>
            </w: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hint="eastAsia" w:ascii="宋体" w:hAnsi="宋体" w:cs="宋体"/>
                <w:szCs w:val="24"/>
              </w:rPr>
            </w:pPr>
            <w:r>
              <w:rPr>
                <w:rFonts w:hint="eastAsia" w:ascii="宋体" w:hAnsi="宋体" w:cs="宋体"/>
                <w:color w:val="000000"/>
                <w:szCs w:val="24"/>
              </w:rPr>
              <w:t xml:space="preserve">5</w:t>
            </w:r>
            <w:r>
              <w:rPr>
                <w:rFonts w:hint="eastAsia"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hint="eastAsia" w:ascii="宋体" w:hAnsi="宋体" w:cs="宋体"/>
                <w:szCs w:val="24"/>
              </w:rPr>
            </w:pPr>
            <w:r>
              <w:rPr>
                <w:rFonts w:hint="eastAsia" w:ascii="宋体" w:hAnsi="宋体" w:cs="宋体"/>
                <w:color w:val="000000"/>
                <w:szCs w:val="24"/>
              </w:rPr>
              <w:t xml:space="preserve">无故缺席或借故中途离开，发现一处扣2分。</w:t>
            </w: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hint="eastAsia" w:ascii="宋体" w:hAnsi="宋体" w:cs="宋体"/>
                <w:szCs w:val="24"/>
              </w:rPr>
            </w:pP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hint="eastAsia" w:ascii="宋体" w:hAnsi="宋体" w:cs="宋体"/>
                <w:szCs w:val="24"/>
              </w:rPr>
            </w:pPr>
            <w:r>
              <w:rPr>
                <w:rFonts w:hint="eastAsia" w:ascii="宋体" w:hAnsi="宋体" w:cs="宋体"/>
                <w:szCs w:val="24"/>
              </w:rPr>
            </w:r>
            <w:r/>
          </w:p>
        </w:tc>
      </w:tr>
      <w:tr>
        <w:trPr>
          <w:trHeight w:val="90"/>
        </w:trPr>
        <w:tc>
          <w:tcPr>
            <w:tcBorders>
              <w:top w:val="none" w:color="000000" w:sz="4" w:space="0"/>
              <w:left w:val="single" w:color="000000" w:sz="4" w:space="0"/>
              <w:bottom w:val="single" w:color="000000" w:sz="4" w:space="0"/>
              <w:right w:val="single" w:color="000000" w:sz="4" w:space="0"/>
            </w:tcBorders>
            <w:tcW w:w="616" w:type="dxa"/>
            <w:vAlign w:val="center"/>
            <w:textDirection w:val="tbRlV"/>
            <w:noWrap w:val="false"/>
          </w:tcPr>
          <w:p>
            <w:pPr>
              <w:pStyle w:val="1528"/>
              <w:jc w:val="center"/>
              <w:widowControl/>
              <w:rPr>
                <w:rFonts w:hint="eastAsia" w:ascii="宋体" w:hAnsi="宋体" w:cs="宋体"/>
                <w:color w:val="000000"/>
                <w:szCs w:val="24"/>
              </w:rPr>
            </w:pPr>
            <w:r>
              <w:rPr>
                <w:rFonts w:hint="eastAsia" w:ascii="宋体" w:hAnsi="宋体" w:cs="宋体"/>
                <w:color w:val="000000"/>
                <w:szCs w:val="24"/>
              </w:rPr>
              <w:t xml:space="preserve">社会监督</w:t>
            </w:r>
            <w:r>
              <w:rPr>
                <w:rFonts w:hint="eastAsia"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768" w:type="dxa"/>
            <w:vAlign w:val="center"/>
            <w:textDirection w:val="lrTb"/>
            <w:noWrap w:val="false"/>
          </w:tcPr>
          <w:p>
            <w:pPr>
              <w:pStyle w:val="1528"/>
              <w:jc w:val="center"/>
              <w:widowControl/>
              <w:rPr>
                <w:rFonts w:hint="eastAsia" w:ascii="宋体" w:hAnsi="宋体" w:cs="宋体"/>
                <w:color w:val="000000"/>
                <w:szCs w:val="24"/>
              </w:rPr>
            </w:pPr>
            <w:r>
              <w:rPr>
                <w:rFonts w:hint="eastAsia" w:ascii="宋体" w:hAnsi="宋体" w:cs="宋体"/>
                <w:color w:val="000000"/>
                <w:szCs w:val="24"/>
              </w:rPr>
              <w:t xml:space="preserve">20</w:t>
            </w:r>
            <w:r>
              <w:rPr>
                <w:rFonts w:hint="eastAsia" w:ascii="宋体" w:hAnsi="宋体" w:cs="宋体"/>
                <w:color w:val="000000"/>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hint="eastAsia" w:ascii="宋体" w:hAnsi="宋体" w:cs="宋体"/>
                <w:szCs w:val="24"/>
              </w:rPr>
            </w:pPr>
            <w:r>
              <w:rPr>
                <w:rFonts w:hint="eastAsia" w:ascii="宋体" w:hAnsi="宋体" w:cs="宋体"/>
                <w:szCs w:val="24"/>
              </w:rPr>
              <w:t xml:space="preserve">被上级领导批评、市民投诉、新闻媒体曝光问题的</w:t>
            </w: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hint="eastAsia" w:ascii="宋体" w:hAnsi="宋体" w:cs="宋体"/>
                <w:szCs w:val="24"/>
              </w:rPr>
            </w:pPr>
            <w:r>
              <w:rPr>
                <w:rFonts w:hint="eastAsia" w:ascii="宋体" w:hAnsi="宋体" w:cs="宋体"/>
                <w:szCs w:val="24"/>
              </w:rPr>
              <w:t xml:space="preserve">15</w:t>
            </w:r>
            <w:r>
              <w:rPr>
                <w:rFonts w:hint="eastAsia"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hint="eastAsia" w:ascii="宋体" w:hAnsi="宋体" w:cs="宋体"/>
                <w:szCs w:val="24"/>
              </w:rPr>
            </w:pPr>
            <w:r>
              <w:rPr>
                <w:rFonts w:hint="eastAsia" w:ascii="宋体" w:hAnsi="宋体" w:cs="宋体"/>
                <w:szCs w:val="24"/>
              </w:rPr>
              <w:t xml:space="preserve">被上级领导批评、市民投诉、新闻媒体曝光属养护单位责任的一次扣5分，在养护标段内但非养护单位责任且已及时上报的不扣分、未及时上报的一次扣5分。</w:t>
            </w: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hint="eastAsia" w:ascii="宋体" w:hAnsi="宋体" w:cs="宋体"/>
                <w:szCs w:val="24"/>
              </w:rPr>
            </w:pPr>
            <w:r>
              <w:rPr>
                <w:rFonts w:hint="eastAsia"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hint="eastAsia" w:ascii="宋体" w:hAnsi="宋体" w:cs="宋体"/>
                <w:szCs w:val="24"/>
              </w:rPr>
            </w:pPr>
            <w:r>
              <w:rPr>
                <w:rFonts w:hint="eastAsia" w:ascii="宋体" w:hAnsi="宋体" w:cs="宋体"/>
                <w:szCs w:val="24"/>
              </w:rPr>
            </w:r>
            <w:r/>
          </w:p>
        </w:tc>
      </w:tr>
      <w:tr>
        <w:trPr>
          <w:trHeight w:val="232"/>
        </w:trPr>
        <w:tc>
          <w:tcPr>
            <w:gridSpan w:val="2"/>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合计</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539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00"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100</w:t>
            </w:r>
            <w:r>
              <w:rPr>
                <w:rFonts w:ascii="宋体" w:hAnsi="宋体" w:cs="宋体"/>
                <w:szCs w:val="24"/>
              </w:rPr>
            </w:r>
            <w:r/>
          </w:p>
        </w:tc>
        <w:tc>
          <w:tcPr>
            <w:gridSpan w:val="2"/>
            <w:tcBorders>
              <w:top w:val="none" w:color="000000" w:sz="4" w:space="0"/>
              <w:left w:val="none" w:color="000000" w:sz="4" w:space="0"/>
              <w:bottom w:val="single" w:color="000000" w:sz="4" w:space="0"/>
              <w:right w:val="single" w:color="000000" w:sz="4" w:space="0"/>
            </w:tcBorders>
            <w:tcW w:w="5081" w:type="dxa"/>
            <w:vAlign w:val="center"/>
            <w:textDirection w:val="lrTb"/>
            <w:noWrap w:val="false"/>
          </w:tcPr>
          <w:p>
            <w:pPr>
              <w:pStyle w:val="1528"/>
              <w:jc w:val="left"/>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786" w:type="dxa"/>
            <w:vAlign w:val="center"/>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c>
          <w:tcPr>
            <w:tcBorders>
              <w:top w:val="none" w:color="000000" w:sz="4" w:space="0"/>
              <w:left w:val="none" w:color="000000" w:sz="4" w:space="0"/>
              <w:bottom w:val="single" w:color="000000" w:sz="4" w:space="0"/>
              <w:right w:val="single" w:color="000000" w:sz="4" w:space="0"/>
            </w:tcBorders>
            <w:tcW w:w="956" w:type="dxa"/>
            <w:vAlign w:val="bottom"/>
            <w:textDirection w:val="lrTb"/>
            <w:noWrap w:val="false"/>
          </w:tcPr>
          <w:p>
            <w:pPr>
              <w:pStyle w:val="1528"/>
              <w:jc w:val="center"/>
              <w:widowControl/>
              <w:rPr>
                <w:rFonts w:ascii="宋体" w:hAnsi="宋体" w:cs="宋体"/>
                <w:szCs w:val="24"/>
              </w:rPr>
            </w:pPr>
            <w:r>
              <w:rPr>
                <w:rFonts w:hint="eastAsia" w:ascii="宋体" w:hAnsi="宋体" w:cs="宋体"/>
                <w:szCs w:val="24"/>
              </w:rPr>
              <w:t xml:space="preserve">　</w:t>
            </w:r>
            <w:r>
              <w:rPr>
                <w:rFonts w:ascii="宋体" w:hAnsi="宋体" w:cs="宋体"/>
                <w:szCs w:val="24"/>
              </w:rPr>
            </w:r>
            <w:r/>
          </w:p>
        </w:tc>
      </w:tr>
      <w:tr>
        <w:trPr>
          <w:trHeight w:val="705"/>
        </w:trPr>
        <w:tc>
          <w:tcPr>
            <w:gridSpan w:val="8"/>
            <w:tcBorders>
              <w:top w:val="single" w:color="000000" w:sz="4" w:space="0"/>
              <w:left w:val="none" w:color="000000" w:sz="4" w:space="0"/>
              <w:bottom w:val="none" w:color="000000" w:sz="4" w:space="0"/>
              <w:right w:val="none" w:color="000000" w:sz="4" w:space="0"/>
            </w:tcBorders>
            <w:tcW w:w="14298" w:type="dxa"/>
            <w:vAlign w:val="center"/>
            <w:textDirection w:val="lrTb"/>
            <w:noWrap w:val="false"/>
          </w:tcPr>
          <w:p>
            <w:pPr>
              <w:pStyle w:val="1528"/>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说明：1考核小组每月对辖区绿化考核一次，各级领导、城管大队、督查室在巡查或督查过程中发现的问题以及各类市民投诉、媒体曝光等方面的问题都作为日常考核的依据。</w:t>
            </w:r>
            <w:r>
              <w:rPr>
                <w:rFonts w:ascii="楷体_GB2312" w:hAnsi="宋体" w:eastAsia="楷体_GB2312" w:cs="宋体"/>
                <w:sz w:val="24"/>
                <w:szCs w:val="24"/>
              </w:rPr>
            </w:r>
            <w:r/>
          </w:p>
        </w:tc>
      </w:tr>
      <w:tr>
        <w:trPr>
          <w:trHeight w:val="645"/>
        </w:trPr>
        <w:tc>
          <w:tcPr>
            <w:gridSpan w:val="8"/>
            <w:tcBorders>
              <w:top w:val="none" w:color="000000" w:sz="4" w:space="0"/>
              <w:left w:val="none" w:color="000000" w:sz="4" w:space="0"/>
              <w:bottom w:val="none" w:color="000000" w:sz="4" w:space="0"/>
              <w:right w:val="none" w:color="000000" w:sz="4" w:space="0"/>
            </w:tcBorders>
            <w:tcW w:w="14298" w:type="dxa"/>
            <w:vAlign w:val="center"/>
            <w:textDirection w:val="lrTb"/>
            <w:noWrap w:val="false"/>
          </w:tcPr>
          <w:p>
            <w:pPr>
              <w:pStyle w:val="1528"/>
              <w:jc w:val="left"/>
              <w:widowControl/>
              <w:rPr>
                <w:rFonts w:ascii="楷体_GB2312" w:hAnsi="宋体" w:eastAsia="楷体_GB2312" w:cs="宋体"/>
                <w:sz w:val="24"/>
                <w:szCs w:val="24"/>
              </w:rPr>
            </w:pPr>
            <w:r>
              <w:rPr>
                <w:rFonts w:hint="eastAsia" w:ascii="楷体_GB2312" w:hAnsi="宋体" w:eastAsia="楷体_GB2312" w:cs="宋体"/>
                <w:sz w:val="24"/>
                <w:szCs w:val="24"/>
              </w:rPr>
              <w:t xml:space="preserve">      2此评分标准以100分为满分，90（含）</w:t>
            </w:r>
            <w:r>
              <w:rPr>
                <w:rFonts w:ascii="楷体_GB2312" w:hAnsi="宋体" w:eastAsia="楷体_GB2312" w:cs="宋体"/>
                <w:sz w:val="24"/>
                <w:szCs w:val="24"/>
              </w:rPr>
              <w:t xml:space="preserve">-100</w:t>
            </w:r>
            <w:r>
              <w:rPr>
                <w:rFonts w:hint="eastAsia" w:ascii="楷体_GB2312" w:hAnsi="宋体" w:eastAsia="楷体_GB2312" w:cs="宋体"/>
                <w:sz w:val="24"/>
                <w:szCs w:val="24"/>
              </w:rPr>
              <w:t xml:space="preserve">分为优秀，</w:t>
            </w:r>
            <w:r>
              <w:rPr>
                <w:rFonts w:hint="eastAsia" w:ascii="楷体_GB2312" w:hAnsi="宋体" w:eastAsia="楷体_GB2312" w:cs="宋体"/>
                <w:sz w:val="24"/>
                <w:szCs w:val="24"/>
                <w:lang w:eastAsia="zh-CN"/>
              </w:rPr>
              <w:t xml:space="preserve">每</w:t>
            </w:r>
            <w:r>
              <w:rPr>
                <w:rFonts w:hint="eastAsia" w:ascii="楷体_GB2312" w:hAnsi="宋体" w:eastAsia="楷体_GB2312" w:cs="宋体"/>
                <w:sz w:val="24"/>
                <w:szCs w:val="24"/>
              </w:rPr>
              <w:t xml:space="preserve">少一分扣当月养护款2</w:t>
            </w:r>
            <w:r>
              <w:rPr>
                <w:rFonts w:ascii="楷体_GB2312" w:hAnsi="宋体" w:eastAsia="楷体_GB2312" w:cs="宋体"/>
                <w:sz w:val="24"/>
                <w:szCs w:val="24"/>
              </w:rPr>
              <w:t xml:space="preserve">00</w:t>
            </w:r>
            <w:r>
              <w:rPr>
                <w:rFonts w:hint="eastAsia" w:ascii="楷体_GB2312" w:hAnsi="宋体" w:eastAsia="楷体_GB2312" w:cs="宋体"/>
                <w:sz w:val="24"/>
                <w:szCs w:val="24"/>
              </w:rPr>
              <w:t xml:space="preserve">元；80-</w:t>
            </w:r>
            <w:r>
              <w:rPr>
                <w:rFonts w:ascii="楷体_GB2312" w:hAnsi="宋体" w:eastAsia="楷体_GB2312" w:cs="宋体"/>
                <w:sz w:val="24"/>
                <w:szCs w:val="24"/>
              </w:rPr>
              <w:t xml:space="preserve">89</w:t>
            </w:r>
            <w:r>
              <w:rPr>
                <w:rFonts w:hint="eastAsia" w:ascii="楷体_GB2312" w:hAnsi="宋体" w:eastAsia="楷体_GB2312" w:cs="宋体"/>
                <w:sz w:val="24"/>
                <w:szCs w:val="24"/>
              </w:rPr>
              <w:t xml:space="preserve">分为良好，每少一分扣当月养护款</w:t>
            </w:r>
            <w:r>
              <w:rPr>
                <w:rFonts w:ascii="楷体_GB2312" w:hAnsi="宋体" w:eastAsia="楷体_GB2312" w:cs="宋体"/>
                <w:sz w:val="24"/>
                <w:szCs w:val="24"/>
              </w:rPr>
              <w:t xml:space="preserve">500元</w:t>
            </w:r>
            <w:r>
              <w:rPr>
                <w:rFonts w:hint="eastAsia" w:ascii="楷体_GB2312" w:hAnsi="宋体" w:eastAsia="楷体_GB2312" w:cs="宋体"/>
                <w:sz w:val="24"/>
                <w:szCs w:val="24"/>
              </w:rPr>
              <w:t xml:space="preserve">；7</w:t>
            </w:r>
            <w:r>
              <w:rPr>
                <w:rFonts w:ascii="楷体_GB2312" w:hAnsi="宋体" w:eastAsia="楷体_GB2312" w:cs="宋体"/>
                <w:sz w:val="24"/>
                <w:szCs w:val="24"/>
              </w:rPr>
              <w:t xml:space="preserve">0-79</w:t>
            </w:r>
            <w:r>
              <w:rPr>
                <w:rFonts w:hint="eastAsia" w:ascii="楷体_GB2312" w:hAnsi="宋体" w:eastAsia="楷体_GB2312" w:cs="宋体"/>
                <w:sz w:val="24"/>
                <w:szCs w:val="24"/>
              </w:rPr>
              <w:t xml:space="preserve">分为合格，每少一分扣当月养护款</w:t>
            </w:r>
            <w:r>
              <w:rPr>
                <w:rFonts w:ascii="楷体_GB2312" w:hAnsi="宋体" w:eastAsia="楷体_GB2312" w:cs="宋体"/>
                <w:sz w:val="24"/>
                <w:szCs w:val="24"/>
              </w:rPr>
              <w:t xml:space="preserve">1000元</w:t>
            </w:r>
            <w:r>
              <w:rPr>
                <w:rFonts w:hint="eastAsia" w:ascii="楷体_GB2312" w:hAnsi="宋体" w:eastAsia="楷体_GB2312" w:cs="宋体"/>
                <w:sz w:val="24"/>
                <w:szCs w:val="24"/>
              </w:rPr>
              <w:t xml:space="preserve">；7</w:t>
            </w:r>
            <w:r>
              <w:rPr>
                <w:rFonts w:ascii="楷体_GB2312" w:hAnsi="宋体" w:eastAsia="楷体_GB2312" w:cs="宋体"/>
                <w:sz w:val="24"/>
                <w:szCs w:val="24"/>
              </w:rPr>
              <w:t xml:space="preserve">0</w:t>
            </w:r>
            <w:r>
              <w:rPr>
                <w:rFonts w:hint="eastAsia" w:ascii="楷体_GB2312" w:hAnsi="宋体" w:eastAsia="楷体_GB2312" w:cs="宋体"/>
                <w:sz w:val="24"/>
                <w:szCs w:val="24"/>
              </w:rPr>
              <w:t xml:space="preserve">分以下为不合格，每少一分扣当月养护款</w:t>
            </w:r>
            <w:r>
              <w:rPr>
                <w:rFonts w:ascii="楷体_GB2312" w:hAnsi="宋体" w:eastAsia="楷体_GB2312" w:cs="宋体"/>
                <w:sz w:val="24"/>
                <w:szCs w:val="24"/>
              </w:rPr>
              <w:t xml:space="preserve">5000元</w:t>
            </w:r>
            <w:r>
              <w:rPr>
                <w:rFonts w:hint="eastAsia" w:ascii="楷体_GB2312" w:hAnsi="宋体" w:eastAsia="楷体_GB2312" w:cs="宋体"/>
                <w:sz w:val="24"/>
                <w:szCs w:val="24"/>
              </w:rPr>
              <w:t xml:space="preserve">，扣完为止。</w:t>
            </w:r>
            <w:r>
              <w:rPr>
                <w:rFonts w:ascii="楷体_GB2312" w:hAnsi="宋体" w:eastAsia="楷体_GB2312" w:cs="宋体"/>
                <w:sz w:val="24"/>
                <w:szCs w:val="24"/>
              </w:rPr>
            </w:r>
            <w:r/>
          </w:p>
        </w:tc>
      </w:tr>
      <w:tr>
        <w:trPr>
          <w:trHeight w:val="300"/>
        </w:trPr>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pStyle w:val="1528"/>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768" w:type="dxa"/>
            <w:vAlign w:val="center"/>
            <w:textDirection w:val="lrTb"/>
            <w:noWrap w:val="false"/>
          </w:tcPr>
          <w:p>
            <w:pPr>
              <w:pStyle w:val="1528"/>
              <w:jc w:val="left"/>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pStyle w:val="1528"/>
              <w:jc w:val="left"/>
              <w:widowControl/>
              <w:rPr>
                <w:rFonts w:ascii="宋体" w:hAnsi="宋体" w:cs="宋体"/>
                <w:sz w:val="24"/>
                <w:szCs w:val="24"/>
              </w:rPr>
            </w:pPr>
            <w:r>
              <w:rPr>
                <w:rFonts w:ascii="宋体" w:hAnsi="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1562" w:type="dxa"/>
            <w:vAlign w:val="center"/>
            <w:textDirection w:val="lrTb"/>
            <w:noWrap w:val="false"/>
          </w:tcPr>
          <w:p>
            <w:pPr>
              <w:pStyle w:val="1528"/>
              <w:jc w:val="center"/>
              <w:widowControl/>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4219" w:type="dxa"/>
            <w:vAlign w:val="center"/>
            <w:textDirection w:val="lrTb"/>
            <w:noWrap w:val="false"/>
          </w:tcPr>
          <w:p>
            <w:pPr>
              <w:pStyle w:val="1528"/>
              <w:jc w:val="right"/>
              <w:widowControl/>
              <w:rPr>
                <w:rFonts w:ascii="楷体_GB2312" w:hAnsi="宋体" w:eastAsia="楷体_GB2312" w:cs="宋体"/>
                <w:sz w:val="24"/>
                <w:szCs w:val="24"/>
              </w:rPr>
            </w:pPr>
            <w:r>
              <w:rPr>
                <w:rFonts w:hint="eastAsia" w:ascii="楷体_GB2312" w:hAnsi="宋体" w:eastAsia="楷体_GB2312" w:cs="宋体"/>
                <w:sz w:val="24"/>
                <w:szCs w:val="24"/>
              </w:rPr>
              <w:t xml:space="preserve">评分人：</w:t>
            </w:r>
            <w:r>
              <w:rPr>
                <w:rFonts w:ascii="楷体_GB2312" w:hAnsi="宋体" w:eastAsia="楷体_GB2312" w:cs="宋体"/>
                <w:sz w:val="24"/>
                <w:szCs w:val="24"/>
              </w:rPr>
            </w:r>
            <w:r/>
          </w:p>
        </w:tc>
        <w:tc>
          <w:tcPr>
            <w:gridSpan w:val="2"/>
            <w:tcBorders>
              <w:top w:val="none" w:color="000000" w:sz="4" w:space="0"/>
              <w:left w:val="none" w:color="000000" w:sz="4" w:space="0"/>
              <w:bottom w:val="single" w:color="000000" w:sz="8" w:space="0"/>
              <w:right w:val="none" w:color="000000" w:sz="4" w:space="0"/>
            </w:tcBorders>
            <w:tcW w:w="1742" w:type="dxa"/>
            <w:vAlign w:val="center"/>
            <w:textDirection w:val="lrTb"/>
            <w:noWrap w:val="false"/>
          </w:tcPr>
          <w:p>
            <w:pPr>
              <w:pStyle w:val="1528"/>
              <w:jc w:val="center"/>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bl>
    <w:p>
      <w:pPr>
        <w:pStyle w:val="1601"/>
        <w:ind w:firstLine="0"/>
        <w:rPr>
          <w:highlight w:val="none"/>
        </w:rPr>
      </w:pPr>
      <w:r>
        <w:rPr>
          <w:highlight w:val="none"/>
        </w:rPr>
      </w:r>
      <w:r/>
    </w:p>
    <w:p>
      <w:pPr>
        <w:pStyle w:val="1601"/>
        <w:ind w:firstLine="0"/>
        <w:rPr>
          <w:highlight w:val="none"/>
        </w:rPr>
        <w:sectPr>
          <w:footnotePr/>
          <w:endnotePr/>
          <w:type w:val="nextPage"/>
          <w:pgSz w:w="16838" w:h="11906" w:orient="landscape"/>
          <w:pgMar w:top="1304" w:right="1304" w:bottom="1304" w:left="1304" w:header="851" w:footer="992" w:gutter="0"/>
          <w:cols w:num="1" w:sep="0" w:space="1701" w:equalWidth="1"/>
          <w:docGrid w:linePitch="360"/>
        </w:sectPr>
      </w:pPr>
      <w:r>
        <w:rPr>
          <w:highlight w:val="none"/>
        </w:rPr>
      </w:r>
      <w:r/>
    </w:p>
    <w:p>
      <w:pPr>
        <w:pStyle w:val="1528"/>
        <w:jc w:val="left"/>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t xml:space="preserve">附件</w:t>
      </w:r>
      <w:r>
        <w:rPr>
          <w:rFonts w:hint="eastAsia" w:cs="Times New Roman"/>
          <w:b/>
          <w:bCs/>
          <w:sz w:val="28"/>
          <w:szCs w:val="28"/>
          <w:highlight w:val="none"/>
          <w:lang w:val="en-US" w:eastAsia="zh-CN"/>
        </w:rPr>
        <w:t xml:space="preserve">2</w:t>
      </w:r>
      <w:r>
        <w:rPr>
          <w:rFonts w:hint="eastAsia" w:ascii="Times New Roman" w:hAnsi="Times New Roman" w:eastAsia="宋体" w:cs="Times New Roman"/>
          <w:b/>
          <w:bCs/>
          <w:sz w:val="28"/>
          <w:szCs w:val="28"/>
          <w:highlight w:val="none"/>
          <w:lang w:eastAsia="zh-CN"/>
        </w:rPr>
        <w:t xml:space="preserve">：</w:t>
      </w:r>
      <w:bookmarkStart w:id="38" w:name="_Hlk131757188"/>
      <w:r>
        <w:rPr>
          <w:rFonts w:hint="eastAsia" w:ascii="Times New Roman" w:hAnsi="Times New Roman" w:eastAsia="宋体" w:cs="Times New Roman"/>
          <w:b/>
          <w:bCs/>
          <w:sz w:val="28"/>
          <w:szCs w:val="28"/>
          <w:highlight w:val="none"/>
          <w:lang w:eastAsia="zh-CN"/>
        </w:rPr>
        <w:t xml:space="preserve">锡山区绿地养护等级标准</w:t>
      </w:r>
      <w:bookmarkEnd w:id="38"/>
      <w:r>
        <w:rPr>
          <w:rFonts w:hint="eastAsia" w:ascii="Times New Roman" w:hAnsi="Times New Roman" w:eastAsia="宋体" w:cs="Times New Roman"/>
          <w:b/>
          <w:bCs/>
          <w:sz w:val="28"/>
          <w:szCs w:val="28"/>
          <w:highlight w:val="none"/>
          <w:lang w:eastAsia="zh-CN"/>
        </w:rPr>
      </w:r>
      <w:r/>
    </w:p>
    <w:tbl>
      <w:tblPr>
        <w:tblW w:w="137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4"/>
        <w:gridCol w:w="4110"/>
        <w:gridCol w:w="3969"/>
        <w:gridCol w:w="3815"/>
      </w:tblGrid>
      <w:tr>
        <w:trPr>
          <w:trHeight w:val="494"/>
          <w:tblHeader/>
        </w:trPr>
        <w:tc>
          <w:tcPr>
            <w:tcW w:w="1844"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类别</w:t>
            </w:r>
            <w:r>
              <w:rPr>
                <w:rFonts w:ascii="宋体" w:hAnsi="宋体"/>
                <w:b/>
                <w:highlight w:val="none"/>
              </w:rPr>
            </w:r>
            <w:r/>
          </w:p>
        </w:tc>
        <w:tc>
          <w:tcPr>
            <w:tcW w:w="4110"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一级</w:t>
            </w:r>
            <w:r>
              <w:rPr>
                <w:rFonts w:ascii="宋体" w:hAnsi="宋体"/>
                <w:b/>
                <w:highlight w:val="none"/>
              </w:rPr>
            </w:r>
            <w:r/>
          </w:p>
        </w:tc>
        <w:tc>
          <w:tcPr>
            <w:tcW w:w="3969"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二级</w:t>
            </w:r>
            <w:r>
              <w:rPr>
                <w:rFonts w:ascii="宋体" w:hAnsi="宋体"/>
                <w:b/>
                <w:highlight w:val="none"/>
              </w:rPr>
            </w:r>
            <w:r/>
          </w:p>
        </w:tc>
        <w:tc>
          <w:tcPr>
            <w:tcW w:w="3815" w:type="dxa"/>
            <w:vAlign w:val="center"/>
            <w:textDirection w:val="lrTb"/>
            <w:noWrap w:val="false"/>
          </w:tcPr>
          <w:p>
            <w:pPr>
              <w:pStyle w:val="1528"/>
              <w:jc w:val="center"/>
              <w:rPr>
                <w:rFonts w:ascii="宋体" w:hAnsi="宋体"/>
                <w:b/>
                <w:highlight w:val="none"/>
              </w:rPr>
            </w:pPr>
            <w:r>
              <w:rPr>
                <w:rFonts w:hint="eastAsia" w:ascii="宋体" w:hAnsi="宋体"/>
                <w:b/>
                <w:highlight w:val="none"/>
              </w:rPr>
              <w:t xml:space="preserve">三级</w:t>
            </w:r>
            <w:r>
              <w:rPr>
                <w:rFonts w:ascii="宋体" w:hAnsi="宋体"/>
                <w:b/>
                <w:highlight w:val="none"/>
              </w:rPr>
            </w:r>
            <w:r/>
          </w:p>
        </w:tc>
      </w:tr>
      <w:tr>
        <w:trPr>
          <w:trHeight w:val="3416"/>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行道树</w:t>
            </w:r>
            <w:r>
              <w:rPr>
                <w:rFonts w:ascii="宋体" w:hAnsi="宋体"/>
                <w:bCs/>
                <w:highlight w:val="none"/>
              </w:rPr>
            </w:r>
            <w:r/>
          </w:p>
        </w:tc>
        <w:tc>
          <w:tcPr>
            <w:tcW w:w="4110" w:type="dxa"/>
            <w:vAlign w:val="center"/>
            <w:textDirection w:val="lrTb"/>
            <w:noWrap w:val="false"/>
          </w:tcPr>
          <w:p>
            <w:pPr>
              <w:pStyle w:val="1528"/>
              <w:rPr>
                <w:rFonts w:ascii="宋体" w:hAnsi="宋体"/>
                <w:bCs/>
                <w:spacing w:val="-2"/>
                <w:highlight w:val="none"/>
              </w:rPr>
            </w:pPr>
            <w:r>
              <w:rPr>
                <w:rFonts w:hint="eastAsia" w:ascii="宋体" w:hAnsi="宋体"/>
                <w:bCs/>
                <w:spacing w:val="-2"/>
                <w:highlight w:val="none"/>
              </w:rPr>
              <w:t xml:space="preserve">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rPr>
                <w:rFonts w:ascii="宋体" w:hAnsi="宋体"/>
                <w:bCs/>
                <w:spacing w:val="-2"/>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树冠完整，长势良好。植株基本无徒长枝、病虫枝、过密枝、并生枝、交叉枝、下垂枝、枯枝。树穴有平整盖板或种植地被植物，黄土不裸露。行道树品种统一，有良好的外观和</w:t>
            </w:r>
            <w:r>
              <w:rPr>
                <w:rFonts w:hint="eastAsia" w:ascii="宋体" w:hAnsi="宋体"/>
                <w:bCs/>
                <w:highlight w:val="none"/>
                <w:lang w:eastAsia="zh-CN"/>
              </w:rPr>
              <w:t xml:space="preserve">遮阴</w:t>
            </w:r>
            <w:r>
              <w:rPr>
                <w:rFonts w:hint="eastAsia" w:ascii="宋体" w:hAnsi="宋体"/>
                <w:bCs/>
                <w:highlight w:val="none"/>
              </w:rPr>
              <w:t xml:space="preserve">效果，无死树，无缺株现象，基本无断桩，坏桩，桩位扎缚有效。病虫害危害未达到明显程度。其中，蛀干性害虫危害不超过5％。有一定的防治措施。</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保持树冠基本完整。树穴有完整覆盖。无死树、无缺株现象。有病虫害控制措施，其中，蛀干性害虫危害率不超过10％。有一定的防治措施。</w:t>
            </w:r>
            <w:r>
              <w:rPr>
                <w:rFonts w:ascii="宋体" w:hAnsi="宋体"/>
                <w:bCs/>
                <w:highlight w:val="none"/>
              </w:rPr>
            </w:r>
            <w:r/>
          </w:p>
        </w:tc>
      </w:tr>
      <w:tr>
        <w:trPr>
          <w:trHeight w:val="3384"/>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lang w:eastAsia="zh-CN"/>
              </w:rPr>
              <w:t xml:space="preserve">其他树木</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生长旺盛，树冠整齐，主侧枝分枝均匀，数量适宜，内膛通风透光。</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叶色正常，无卷叶、黄叶（生长季节），无病虫害。</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枝干健壮，无枯死枝，无蛀干性病虫危害。</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缺株在2%以下（含2%）。不得连续2棵缺株，补植树木与原树木径级不超过20%。</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⑤</w:t>
            </w:r>
            <w:r>
              <w:rPr>
                <w:rFonts w:hint="eastAsia" w:ascii="宋体" w:hAnsi="宋体"/>
                <w:bCs/>
                <w:highlight w:val="none"/>
              </w:rPr>
              <w:t xml:space="preserve">树穴内无垃圾杂草、土壤松疏。</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生长正常，树冠基本完整，主侧枝分枝基本均匀，数量适宜，内膛通风透光。</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叶色基本正常，有少量黄叶（生长季节）、焦叶、卷叶，有少量虫粪。</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枝干生长正常，无明显枯死枝，病虫害虽有发生，但能及时根除。</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缺株在4%以下（含4%）。不得连续3棵缺株，补植树木与原树木径级不超过30%。</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⑤</w:t>
            </w:r>
            <w:r>
              <w:rPr>
                <w:rFonts w:hint="eastAsia" w:ascii="宋体" w:hAnsi="宋体"/>
                <w:bCs/>
                <w:highlight w:val="none"/>
              </w:rPr>
              <w:t xml:space="preserve">树穴无垃圾杂草、土壤不板结。</w:t>
            </w:r>
            <w:r>
              <w:rPr>
                <w:rFonts w:ascii="宋体" w:hAnsi="宋体"/>
                <w:bCs/>
                <w:highlight w:val="none"/>
              </w:rPr>
            </w:r>
            <w:r/>
          </w:p>
        </w:tc>
        <w:tc>
          <w:tcPr>
            <w:tcW w:w="3815" w:type="dxa"/>
            <w:vAlign w:val="center"/>
            <w:textDirection w:val="lrTb"/>
            <w:noWrap w:val="false"/>
          </w:tcPr>
          <w:p>
            <w:pPr>
              <w:pStyle w:val="1528"/>
              <w:rPr>
                <w:rFonts w:ascii="宋体" w:hAnsi="宋体"/>
                <w:bCs/>
                <w:spacing w:val="-4"/>
                <w:highlight w:val="none"/>
              </w:rPr>
            </w:pPr>
            <w:r>
              <w:rPr>
                <w:rFonts w:hint="eastAsia" w:ascii="宋体" w:hAnsi="宋体"/>
                <w:bCs/>
                <w:spacing w:val="-4"/>
                <w:highlight w:val="none"/>
                <w:lang w:val="en-US" w:eastAsia="zh-CN"/>
              </w:rPr>
              <w:t xml:space="preserve">①</w:t>
            </w:r>
            <w:r>
              <w:rPr>
                <w:rFonts w:hint="eastAsia" w:ascii="宋体" w:hAnsi="宋体"/>
                <w:bCs/>
                <w:spacing w:val="-4"/>
                <w:highlight w:val="none"/>
              </w:rPr>
              <w:t xml:space="preserve">生长基本正常，树冠基本完整，选留主侧枝基本合理，内膛基本通风透气。</w:t>
            </w:r>
            <w:r>
              <w:rPr>
                <w:rFonts w:ascii="宋体" w:hAnsi="宋体"/>
                <w:bCs/>
                <w:spacing w:val="-4"/>
                <w:highlight w:val="none"/>
              </w:rPr>
            </w:r>
            <w:r/>
          </w:p>
          <w:p>
            <w:pPr>
              <w:pStyle w:val="1528"/>
              <w:rPr>
                <w:rFonts w:ascii="宋体" w:hAnsi="宋体"/>
                <w:bCs/>
                <w:spacing w:val="-4"/>
                <w:highlight w:val="none"/>
              </w:rPr>
            </w:pPr>
            <w:r>
              <w:rPr>
                <w:rFonts w:hint="eastAsia" w:ascii="宋体" w:hAnsi="宋体"/>
                <w:bCs/>
                <w:spacing w:val="-4"/>
                <w:highlight w:val="none"/>
                <w:lang w:val="en-US" w:eastAsia="zh-CN"/>
              </w:rPr>
              <w:t xml:space="preserve">②</w:t>
            </w:r>
            <w:r>
              <w:rPr>
                <w:rFonts w:hint="eastAsia" w:ascii="宋体" w:hAnsi="宋体"/>
                <w:bCs/>
                <w:spacing w:val="-4"/>
                <w:highlight w:val="none"/>
              </w:rPr>
              <w:t xml:space="preserve">叶色基本正常，有部分黄叶（生长季节）、焦叶、卷叶，有部分虫粪，有被虫咬食的痕迹。</w:t>
            </w:r>
            <w:r>
              <w:rPr>
                <w:rFonts w:ascii="宋体" w:hAnsi="宋体"/>
                <w:bCs/>
                <w:spacing w:val="-4"/>
                <w:highlight w:val="none"/>
              </w:rPr>
            </w:r>
            <w:r/>
          </w:p>
          <w:p>
            <w:pPr>
              <w:pStyle w:val="1528"/>
              <w:rPr>
                <w:rFonts w:ascii="宋体" w:hAnsi="宋体"/>
                <w:bCs/>
                <w:spacing w:val="-4"/>
                <w:highlight w:val="none"/>
              </w:rPr>
            </w:pPr>
            <w:r>
              <w:rPr>
                <w:rFonts w:hint="eastAsia" w:ascii="宋体" w:hAnsi="宋体"/>
                <w:bCs/>
                <w:spacing w:val="-4"/>
                <w:highlight w:val="none"/>
                <w:lang w:val="en-US" w:eastAsia="zh-CN"/>
              </w:rPr>
              <w:t xml:space="preserve">③</w:t>
            </w:r>
            <w:r>
              <w:rPr>
                <w:rFonts w:hint="eastAsia" w:ascii="宋体" w:hAnsi="宋体"/>
                <w:bCs/>
                <w:spacing w:val="-8"/>
                <w:highlight w:val="none"/>
              </w:rPr>
              <w:t xml:space="preserve">枝干生长正常，有少量枯死枝，有少量蛀干病虫</w:t>
            </w:r>
            <w:r>
              <w:rPr>
                <w:rFonts w:hint="eastAsia" w:ascii="宋体" w:hAnsi="宋体"/>
                <w:bCs/>
                <w:spacing w:val="-8"/>
                <w:highlight w:val="none"/>
                <w:lang w:eastAsia="zh-CN"/>
              </w:rPr>
              <w:t xml:space="preserve">危害</w:t>
            </w:r>
            <w:r>
              <w:rPr>
                <w:rFonts w:hint="eastAsia" w:ascii="宋体" w:hAnsi="宋体"/>
                <w:bCs/>
                <w:spacing w:val="-8"/>
                <w:highlight w:val="none"/>
              </w:rPr>
              <w:t xml:space="preserve">。</w:t>
            </w:r>
            <w:r>
              <w:rPr>
                <w:rFonts w:ascii="宋体" w:hAnsi="宋体"/>
                <w:bCs/>
                <w:spacing w:val="-4"/>
                <w:highlight w:val="none"/>
              </w:rPr>
            </w:r>
            <w:r/>
          </w:p>
          <w:p>
            <w:pPr>
              <w:pStyle w:val="1528"/>
              <w:rPr>
                <w:rFonts w:ascii="宋体" w:hAnsi="宋体"/>
                <w:bCs/>
                <w:spacing w:val="-8"/>
                <w:highlight w:val="none"/>
              </w:rPr>
            </w:pPr>
            <w:r>
              <w:rPr>
                <w:rFonts w:hint="eastAsia" w:ascii="宋体" w:hAnsi="宋体"/>
                <w:bCs/>
                <w:spacing w:val="-4"/>
                <w:highlight w:val="none"/>
                <w:lang w:val="en-US" w:eastAsia="zh-CN"/>
              </w:rPr>
              <w:t xml:space="preserve">④</w:t>
            </w:r>
            <w:r>
              <w:rPr>
                <w:rFonts w:hint="eastAsia" w:ascii="宋体" w:hAnsi="宋体"/>
                <w:bCs/>
                <w:spacing w:val="-8"/>
                <w:highlight w:val="none"/>
              </w:rPr>
              <w:t xml:space="preserve">缺株在6%以下（含6%）。不得连续4棵缺株，补植树木与原树木径级不超过40%。</w:t>
            </w:r>
            <w:r>
              <w:rPr>
                <w:rFonts w:ascii="宋体" w:hAnsi="宋体"/>
                <w:bCs/>
                <w:spacing w:val="-8"/>
                <w:highlight w:val="none"/>
              </w:rPr>
            </w:r>
            <w:r/>
          </w:p>
          <w:p>
            <w:pPr>
              <w:pStyle w:val="1528"/>
              <w:rPr>
                <w:rFonts w:ascii="宋体" w:hAnsi="宋体"/>
                <w:bCs/>
                <w:spacing w:val="-4"/>
                <w:highlight w:val="none"/>
              </w:rPr>
            </w:pPr>
            <w:r>
              <w:rPr>
                <w:rFonts w:hint="eastAsia" w:ascii="宋体" w:hAnsi="宋体"/>
                <w:bCs/>
                <w:spacing w:val="-4"/>
                <w:highlight w:val="none"/>
                <w:lang w:val="en-US" w:eastAsia="zh-CN"/>
              </w:rPr>
              <w:t xml:space="preserve">⑤</w:t>
            </w:r>
            <w:r>
              <w:rPr>
                <w:rFonts w:hint="eastAsia" w:ascii="宋体" w:hAnsi="宋体"/>
                <w:bCs/>
                <w:spacing w:val="-4"/>
                <w:highlight w:val="none"/>
              </w:rPr>
              <w:t xml:space="preserve">树穴内基本无垃圾及高型杂草。</w:t>
            </w:r>
            <w:r>
              <w:rPr>
                <w:rFonts w:ascii="宋体" w:hAnsi="宋体"/>
                <w:bCs/>
                <w:spacing w:val="-4"/>
                <w:highlight w:val="none"/>
              </w:rPr>
            </w:r>
            <w:r/>
          </w:p>
        </w:tc>
      </w:tr>
      <w:tr>
        <w:trPr>
          <w:trHeight w:val="1588"/>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花卉</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植株健壮，花型正，花色艳，株行距适宜，不露底土，覆盖面达90%以上。</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花卉生长正常，无枯枝残花（残花量≤10%），无缺株、倒伏。</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花坛图案清晰，色彩鲜艳，花朵繁茂，花期一致。</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④</w:t>
            </w:r>
            <w:r>
              <w:rPr>
                <w:rFonts w:hint="eastAsia" w:ascii="宋体" w:hAnsi="宋体"/>
                <w:bCs/>
                <w:highlight w:val="none"/>
              </w:rPr>
              <w:t xml:space="preserve">花径花卉层次分明，高矮有序。</w:t>
            </w:r>
            <w:r>
              <w:rPr>
                <w:rFonts w:ascii="宋体" w:hAnsi="宋体"/>
                <w:bCs/>
                <w:highlight w:val="none"/>
              </w:rPr>
            </w:r>
            <w:r/>
          </w:p>
        </w:tc>
        <w:tc>
          <w:tcPr>
            <w:tcW w:w="3969"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①花卉植株生长良好，花色艳丽，具有一定的株行距，不露底土，覆盖面达85%以上。</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②花卉生长正常（残花量≤15%），缺株、倒伏不超过3-5处，无枯枝残花。</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③花期基本一致。</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有整体色彩效果</w:t>
            </w:r>
            <w:r>
              <w:rPr>
                <w:rFonts w:hint="eastAsia" w:ascii="宋体" w:hAnsi="宋体"/>
                <w:bCs/>
                <w:highlight w:val="none"/>
                <w:lang w:eastAsia="zh-CN"/>
              </w:rPr>
              <w:t xml:space="preserve">，</w:t>
            </w:r>
            <w:r>
              <w:rPr>
                <w:rFonts w:hint="eastAsia" w:ascii="宋体" w:hAnsi="宋体"/>
                <w:bCs/>
                <w:highlight w:val="none"/>
              </w:rPr>
              <w:t xml:space="preserve">不露底土，覆盖面达80%以上。</w:t>
            </w:r>
            <w:r>
              <w:rPr>
                <w:rFonts w:ascii="宋体" w:hAnsi="宋体"/>
                <w:bCs/>
                <w:highlight w:val="none"/>
              </w:rPr>
            </w:r>
            <w:r/>
          </w:p>
          <w:p>
            <w:pPr>
              <w:pStyle w:val="1528"/>
              <w:rPr>
                <w:rFonts w:hint="eastAsia" w:ascii="宋体" w:hAnsi="宋体" w:eastAsia="宋体"/>
                <w:bCs/>
                <w:highlight w:val="none"/>
                <w:lang w:eastAsia="zh-CN"/>
              </w:rPr>
            </w:pPr>
            <w:r>
              <w:rPr>
                <w:rFonts w:hint="eastAsia" w:ascii="宋体" w:hAnsi="宋体"/>
                <w:bCs/>
                <w:highlight w:val="none"/>
                <w:lang w:val="en-US" w:eastAsia="zh-CN"/>
              </w:rPr>
              <w:t xml:space="preserve">②</w:t>
            </w:r>
            <w:r>
              <w:rPr>
                <w:rFonts w:hint="eastAsia" w:ascii="宋体" w:hAnsi="宋体"/>
                <w:bCs/>
                <w:highlight w:val="none"/>
              </w:rPr>
              <w:t xml:space="preserve">花卉生长基本正常，枯枝败叶清理不够及时，有部分枯枝残花（残花量≤25%）</w:t>
            </w:r>
            <w:r>
              <w:rPr>
                <w:rFonts w:hint="eastAsia" w:ascii="宋体" w:hAnsi="宋体"/>
                <w:bCs/>
                <w:highlight w:val="none"/>
                <w:lang w:eastAsia="zh-CN"/>
              </w:rPr>
              <w:t xml:space="preserve">。</w:t>
            </w:r>
            <w:r>
              <w:rPr>
                <w:rFonts w:hint="eastAsia" w:ascii="宋体" w:hAnsi="宋体" w:eastAsia="宋体"/>
                <w:bCs/>
                <w:highlight w:val="none"/>
                <w:lang w:eastAsia="zh-CN"/>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适时开花。</w:t>
            </w:r>
            <w:r>
              <w:rPr>
                <w:rFonts w:ascii="宋体" w:hAnsi="宋体"/>
                <w:bCs/>
                <w:highlight w:val="none"/>
              </w:rPr>
            </w:r>
            <w:r/>
          </w:p>
        </w:tc>
      </w:tr>
      <w:tr>
        <w:trPr>
          <w:trHeight w:val="1042"/>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绿篱及地被</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生长茂盛，枝条茂密。</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修剪成型，完整无缺。</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无垃圾杂物。</w:t>
            </w:r>
            <w:r>
              <w:rPr>
                <w:rFonts w:ascii="宋体" w:hAnsi="宋体"/>
                <w:bCs/>
                <w:highlight w:val="none"/>
              </w:rPr>
            </w:r>
            <w:r/>
          </w:p>
        </w:tc>
        <w:tc>
          <w:tcPr>
            <w:tcW w:w="3969"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①生长正常。无明显枯枝、断枝。</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②修剪及时，形状较完整。</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③基本无垃圾杂物。</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生长基本正常，有少量枯枝、断枝。</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修剪能在规定时间内完成。</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③</w:t>
            </w:r>
            <w:r>
              <w:rPr>
                <w:rFonts w:hint="eastAsia" w:ascii="宋体" w:hAnsi="宋体"/>
                <w:bCs/>
                <w:highlight w:val="none"/>
              </w:rPr>
              <w:t xml:space="preserve">无明显的垃圾杂物。</w:t>
            </w:r>
            <w:r>
              <w:rPr>
                <w:rFonts w:ascii="宋体" w:hAnsi="宋体"/>
                <w:bCs/>
                <w:highlight w:val="none"/>
              </w:rPr>
            </w:r>
            <w:r/>
          </w:p>
        </w:tc>
      </w:tr>
      <w:tr>
        <w:trPr>
          <w:trHeight w:val="1911"/>
        </w:trPr>
        <w:tc>
          <w:tcPr>
            <w:tcW w:w="1844" w:type="dxa"/>
            <w:vAlign w:val="center"/>
            <w:textDirection w:val="lrTb"/>
            <w:noWrap w:val="false"/>
          </w:tcPr>
          <w:p>
            <w:pPr>
              <w:pStyle w:val="1528"/>
              <w:ind w:left="-105"/>
              <w:jc w:val="center"/>
              <w:rPr>
                <w:rFonts w:ascii="宋体" w:hAnsi="宋体"/>
                <w:bCs/>
                <w:highlight w:val="none"/>
              </w:rPr>
            </w:pPr>
            <w:r>
              <w:rPr>
                <w:rFonts w:hint="eastAsia" w:ascii="宋体" w:hAnsi="宋体"/>
                <w:bCs/>
                <w:highlight w:val="none"/>
              </w:rPr>
              <w:t xml:space="preserve">草坪</w:t>
            </w:r>
            <w:r>
              <w:rPr>
                <w:rFonts w:ascii="宋体" w:hAnsi="宋体"/>
                <w:bCs/>
                <w:highlight w:val="none"/>
              </w:rPr>
            </w:r>
            <w:r/>
          </w:p>
        </w:tc>
        <w:tc>
          <w:tcPr>
            <w:tcW w:w="4110"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①生长旺盛，草根不裸露。</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②生长季节不枯黄，杂草率≤15%，覆盖率达95%以上。</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③修剪及时，修剪高度符合要求，无垃圾及堆料堆物。</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④集中空秃面积不超过0.1M</w:t>
            </w:r>
            <w:r>
              <w:rPr>
                <w:rFonts w:hint="eastAsia" w:ascii="宋体" w:hAnsi="宋体"/>
                <w:bCs/>
                <w:highlight w:val="none"/>
                <w:vertAlign w:val="superscript"/>
              </w:rPr>
              <w:t xml:space="preserve">2</w:t>
            </w:r>
            <w:r>
              <w:rPr>
                <w:rFonts w:hint="eastAsia" w:ascii="宋体" w:hAnsi="宋体"/>
                <w:bCs/>
                <w:highlight w:val="none"/>
              </w:rPr>
              <w:t xml:space="preserve">。</w:t>
            </w:r>
            <w:r>
              <w:rPr>
                <w:rFonts w:ascii="宋体" w:hAnsi="宋体"/>
                <w:bCs/>
                <w:highlight w:val="none"/>
              </w:rPr>
            </w:r>
            <w:r/>
          </w:p>
        </w:tc>
        <w:tc>
          <w:tcPr>
            <w:tcW w:w="3969" w:type="dxa"/>
            <w:vAlign w:val="center"/>
            <w:textDirection w:val="lrTb"/>
            <w:noWrap w:val="false"/>
          </w:tcPr>
          <w:p>
            <w:pPr>
              <w:pStyle w:val="1528"/>
              <w:rPr>
                <w:rFonts w:hint="eastAsia" w:ascii="宋体" w:hAnsi="宋体"/>
                <w:bCs/>
                <w:highlight w:val="none"/>
              </w:rPr>
            </w:pPr>
            <w:r>
              <w:rPr>
                <w:rFonts w:hint="eastAsia" w:ascii="宋体" w:hAnsi="宋体"/>
                <w:bCs/>
                <w:highlight w:val="none"/>
              </w:rPr>
              <w:t xml:space="preserve">①生长良好，杂草率≤25%，覆盖率达90%以上。</w:t>
            </w:r>
            <w:r>
              <w:rPr>
                <w:rFonts w:hint="eastAsia" w:ascii="宋体" w:hAnsi="宋体"/>
                <w:bCs/>
                <w:highlight w:val="none"/>
              </w:rPr>
            </w:r>
            <w:r/>
          </w:p>
          <w:p>
            <w:pPr>
              <w:pStyle w:val="1528"/>
              <w:rPr>
                <w:rFonts w:hint="eastAsia" w:ascii="宋体" w:hAnsi="宋体"/>
                <w:bCs/>
                <w:highlight w:val="none"/>
              </w:rPr>
            </w:pPr>
            <w:r>
              <w:rPr>
                <w:rFonts w:hint="eastAsia" w:ascii="宋体" w:hAnsi="宋体"/>
                <w:bCs/>
                <w:highlight w:val="none"/>
              </w:rPr>
              <w:t xml:space="preserve">②修剪高度符合要求，能及时处理堆料堆物。</w:t>
            </w:r>
            <w:r>
              <w:rPr>
                <w:rFonts w:hint="eastAsia" w:ascii="宋体" w:hAnsi="宋体"/>
                <w:bCs/>
                <w:highlight w:val="none"/>
              </w:rPr>
            </w:r>
            <w:r/>
          </w:p>
          <w:p>
            <w:pPr>
              <w:pStyle w:val="1528"/>
              <w:rPr>
                <w:rFonts w:ascii="宋体" w:hAnsi="宋体"/>
                <w:bCs/>
                <w:highlight w:val="none"/>
              </w:rPr>
            </w:pPr>
            <w:r>
              <w:rPr>
                <w:rFonts w:hint="eastAsia" w:ascii="宋体" w:hAnsi="宋体"/>
                <w:bCs/>
                <w:highlight w:val="none"/>
              </w:rPr>
              <w:t xml:space="preserve">③单块空秃面积不超过0.2M</w:t>
            </w:r>
            <w:r>
              <w:rPr>
                <w:rFonts w:hint="eastAsia" w:ascii="宋体" w:hAnsi="宋体"/>
                <w:bCs/>
                <w:highlight w:val="none"/>
                <w:vertAlign w:val="superscript"/>
              </w:rPr>
              <w:t xml:space="preserve">2</w:t>
            </w:r>
            <w:r>
              <w:rPr>
                <w:rFonts w:hint="eastAsia" w:ascii="宋体" w:hAnsi="宋体"/>
                <w:bCs/>
                <w:highlight w:val="none"/>
              </w:rPr>
              <w:t xml:space="preserve">。</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lang w:val="en-US" w:eastAsia="zh-CN"/>
              </w:rPr>
              <w:t xml:space="preserve">①</w:t>
            </w:r>
            <w:r>
              <w:rPr>
                <w:rFonts w:hint="eastAsia" w:ascii="宋体" w:hAnsi="宋体"/>
                <w:bCs/>
                <w:highlight w:val="none"/>
              </w:rPr>
              <w:t xml:space="preserve">生长基本正常，杂草率≤35%，覆盖率达85%以上。</w:t>
            </w:r>
            <w:r>
              <w:rPr>
                <w:rFonts w:ascii="宋体" w:hAnsi="宋体"/>
                <w:bCs/>
                <w:highlight w:val="none"/>
              </w:rPr>
            </w:r>
            <w:r/>
          </w:p>
          <w:p>
            <w:pPr>
              <w:pStyle w:val="1528"/>
              <w:rPr>
                <w:rFonts w:ascii="宋体" w:hAnsi="宋体"/>
                <w:bCs/>
                <w:highlight w:val="none"/>
              </w:rPr>
            </w:pPr>
            <w:r>
              <w:rPr>
                <w:rFonts w:hint="eastAsia" w:ascii="宋体" w:hAnsi="宋体"/>
                <w:bCs/>
                <w:highlight w:val="none"/>
                <w:lang w:val="en-US" w:eastAsia="zh-CN"/>
              </w:rPr>
              <w:t xml:space="preserve">②</w:t>
            </w:r>
            <w:r>
              <w:rPr>
                <w:rFonts w:hint="eastAsia" w:ascii="宋体" w:hAnsi="宋体"/>
                <w:bCs/>
                <w:highlight w:val="none"/>
              </w:rPr>
              <w:t xml:space="preserve">修剪高度基本符合要求，堆料堆场清理能在规定期限内完成。</w:t>
            </w:r>
            <w:r>
              <w:rPr>
                <w:rFonts w:ascii="宋体" w:hAnsi="宋体"/>
                <w:bCs/>
                <w:highlight w:val="none"/>
              </w:rPr>
            </w:r>
            <w:r/>
          </w:p>
          <w:p>
            <w:pPr>
              <w:pStyle w:val="1528"/>
              <w:rPr>
                <w:rFonts w:hint="eastAsia" w:ascii="宋体" w:hAnsi="宋体" w:eastAsia="宋体"/>
                <w:bCs/>
                <w:highlight w:val="none"/>
                <w:lang w:eastAsia="zh-CN"/>
              </w:rPr>
            </w:pPr>
            <w:r>
              <w:rPr>
                <w:rFonts w:hint="eastAsia" w:ascii="宋体" w:hAnsi="宋体"/>
                <w:bCs/>
                <w:highlight w:val="none"/>
                <w:lang w:val="en-US" w:eastAsia="zh-CN"/>
              </w:rPr>
              <w:t xml:space="preserve">③</w:t>
            </w:r>
            <w:r>
              <w:rPr>
                <w:rFonts w:hint="eastAsia" w:ascii="宋体" w:hAnsi="宋体"/>
                <w:bCs/>
                <w:highlight w:val="none"/>
              </w:rPr>
              <w:t xml:space="preserve">单块空秃面积不超过0.3M</w:t>
            </w:r>
            <w:r>
              <w:rPr>
                <w:rFonts w:hint="eastAsia" w:ascii="宋体" w:hAnsi="宋体"/>
                <w:bCs/>
                <w:highlight w:val="none"/>
                <w:vertAlign w:val="superscript"/>
              </w:rPr>
              <w:t xml:space="preserve">2</w:t>
            </w:r>
            <w:r>
              <w:rPr>
                <w:rFonts w:hint="eastAsia" w:ascii="宋体" w:hAnsi="宋体"/>
                <w:bCs/>
                <w:highlight w:val="none"/>
                <w:lang w:eastAsia="zh-CN"/>
              </w:rPr>
              <w:t xml:space="preserve">。</w:t>
            </w:r>
            <w:r>
              <w:rPr>
                <w:rFonts w:hint="eastAsia" w:ascii="宋体" w:hAnsi="宋体" w:eastAsia="宋体"/>
                <w:bCs/>
                <w:highlight w:val="none"/>
                <w:lang w:eastAsia="zh-CN"/>
              </w:rPr>
            </w:r>
            <w:r/>
          </w:p>
        </w:tc>
      </w:tr>
      <w:tr>
        <w:trPr>
          <w:trHeight w:val="1228"/>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病虫害控制</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食叶性害虫危害的叶片每株小于5%，刺吸性害虫危害的叶片每株小于10%，蛀干性害虫率小于3%，基本无危害迹象。</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食叶性害虫危害的叶片每株小于10%，刺吸性害虫危害的叶片每株小于20%，蛀干性害虫危害率小于5%，无明显危害迹象。</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食叶性害虫危害的叶片每株小于15%，刺吸性害虫危害的叶片每株小于30%，蛀干性害虫危害率小于10%，无因病害而引起断枝倒伏现象。</w:t>
            </w:r>
            <w:r>
              <w:rPr>
                <w:rFonts w:ascii="宋体" w:hAnsi="宋体"/>
                <w:bCs/>
                <w:highlight w:val="none"/>
              </w:rPr>
            </w:r>
            <w:r/>
          </w:p>
        </w:tc>
      </w:tr>
      <w:tr>
        <w:trPr>
          <w:trHeight w:val="679"/>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杂草控制</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无杂草。</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基本无杂草。无缠绕性、</w:t>
            </w:r>
            <w:r>
              <w:rPr>
                <w:rFonts w:hint="eastAsia" w:ascii="宋体" w:hAnsi="宋体"/>
                <w:bCs/>
                <w:highlight w:val="none"/>
                <w:lang w:eastAsia="zh-CN"/>
              </w:rPr>
              <w:t xml:space="preserve">攀缘</w:t>
            </w:r>
            <w:r>
              <w:rPr>
                <w:rFonts w:hint="eastAsia" w:ascii="宋体" w:hAnsi="宋体"/>
                <w:bCs/>
                <w:highlight w:val="none"/>
              </w:rPr>
              <w:t xml:space="preserve">性杂草。杂草高度控制在6cm以下，不影响景观效果。</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无缠绕性、</w:t>
            </w:r>
            <w:r>
              <w:rPr>
                <w:rFonts w:hint="eastAsia" w:ascii="宋体" w:hAnsi="宋体"/>
                <w:bCs/>
                <w:highlight w:val="none"/>
                <w:lang w:eastAsia="zh-CN"/>
              </w:rPr>
              <w:t xml:space="preserve">攀缘</w:t>
            </w:r>
            <w:r>
              <w:rPr>
                <w:rFonts w:hint="eastAsia" w:ascii="宋体" w:hAnsi="宋体"/>
                <w:bCs/>
                <w:highlight w:val="none"/>
              </w:rPr>
              <w:t xml:space="preserve">性杂草。控制杂草高度以不影响景观效果为度。</w:t>
            </w:r>
            <w:r>
              <w:rPr>
                <w:rFonts w:ascii="宋体" w:hAnsi="宋体"/>
                <w:bCs/>
                <w:highlight w:val="none"/>
              </w:rPr>
            </w:r>
            <w:r/>
          </w:p>
        </w:tc>
      </w:tr>
      <w:tr>
        <w:trPr>
          <w:trHeight w:val="576"/>
        </w:trPr>
        <w:tc>
          <w:tcPr>
            <w:tcW w:w="1844" w:type="dxa"/>
            <w:vAlign w:val="center"/>
            <w:textDirection w:val="lrTb"/>
            <w:noWrap w:val="false"/>
          </w:tcPr>
          <w:p>
            <w:pPr>
              <w:pStyle w:val="1528"/>
              <w:jc w:val="center"/>
              <w:rPr>
                <w:rFonts w:ascii="宋体" w:hAnsi="宋体"/>
                <w:bCs/>
                <w:highlight w:val="none"/>
              </w:rPr>
            </w:pPr>
            <w:r>
              <w:rPr>
                <w:rFonts w:hint="eastAsia" w:ascii="宋体" w:hAnsi="宋体"/>
                <w:bCs/>
                <w:highlight w:val="none"/>
              </w:rPr>
              <w:t xml:space="preserve">环境卫生</w:t>
            </w:r>
            <w:r>
              <w:rPr>
                <w:rFonts w:ascii="宋体" w:hAnsi="宋体"/>
                <w:bCs/>
                <w:highlight w:val="none"/>
              </w:rPr>
            </w:r>
            <w:r/>
          </w:p>
        </w:tc>
        <w:tc>
          <w:tcPr>
            <w:tcW w:w="4110"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绿地整洁，无垃圾。</w:t>
            </w:r>
            <w:r>
              <w:rPr>
                <w:rFonts w:ascii="宋体" w:hAnsi="宋体"/>
                <w:bCs/>
                <w:highlight w:val="none"/>
              </w:rPr>
            </w:r>
            <w:r/>
          </w:p>
        </w:tc>
        <w:tc>
          <w:tcPr>
            <w:tcW w:w="3969"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绿地整洁，无垃圾。</w:t>
            </w:r>
            <w:r>
              <w:rPr>
                <w:rFonts w:ascii="宋体" w:hAnsi="宋体"/>
                <w:bCs/>
                <w:highlight w:val="none"/>
              </w:rPr>
            </w:r>
            <w:r/>
          </w:p>
        </w:tc>
        <w:tc>
          <w:tcPr>
            <w:tcW w:w="3815" w:type="dxa"/>
            <w:vAlign w:val="center"/>
            <w:textDirection w:val="lrTb"/>
            <w:noWrap w:val="false"/>
          </w:tcPr>
          <w:p>
            <w:pPr>
              <w:pStyle w:val="1528"/>
              <w:rPr>
                <w:rFonts w:ascii="宋体" w:hAnsi="宋体"/>
                <w:bCs/>
                <w:highlight w:val="none"/>
              </w:rPr>
            </w:pPr>
            <w:r>
              <w:rPr>
                <w:rFonts w:hint="eastAsia" w:ascii="宋体" w:hAnsi="宋体"/>
                <w:bCs/>
                <w:highlight w:val="none"/>
              </w:rPr>
              <w:t xml:space="preserve">绿地整洁，基本无垃圾。</w:t>
            </w:r>
            <w:r>
              <w:rPr>
                <w:rFonts w:ascii="宋体" w:hAnsi="宋体"/>
                <w:bCs/>
                <w:highlight w:val="none"/>
              </w:rPr>
            </w:r>
            <w:r/>
          </w:p>
        </w:tc>
      </w:tr>
    </w:tbl>
    <w:p>
      <w:pPr>
        <w:pStyle w:val="1528"/>
        <w:jc w:val="both"/>
        <w:spacing w:line="360" w:lineRule="auto"/>
        <w:rPr>
          <w:rFonts w:hint="eastAsia" w:ascii="Times New Roman" w:hAnsi="Times New Roman" w:eastAsia="宋体" w:cs="Times New Roman"/>
          <w:b/>
          <w:bCs/>
          <w:sz w:val="28"/>
          <w:szCs w:val="28"/>
          <w:highlight w:val="none"/>
          <w:lang w:eastAsia="zh-CN"/>
        </w:rPr>
        <w:outlineLvl w:val="9"/>
      </w:pPr>
      <w:r>
        <w:rPr>
          <w:rFonts w:hint="eastAsia" w:ascii="Times New Roman" w:hAnsi="Times New Roman" w:eastAsia="宋体" w:cs="Times New Roman"/>
          <w:b/>
          <w:bCs/>
          <w:sz w:val="28"/>
          <w:szCs w:val="28"/>
          <w:highlight w:val="none"/>
          <w:lang w:eastAsia="zh-CN"/>
        </w:rPr>
      </w:r>
      <w:r/>
    </w:p>
    <w:p>
      <w:pPr>
        <w:pStyle w:val="1585"/>
        <w:ind w:left="0" w:firstLine="0"/>
        <w:rPr>
          <w:rFonts w:hint="eastAsia" w:ascii="Times New Roman" w:hAnsi="Times New Roman" w:eastAsia="宋体" w:cs="Times New Roman"/>
          <w:b/>
          <w:bCs/>
          <w:sz w:val="28"/>
          <w:szCs w:val="28"/>
          <w:highlight w:val="none"/>
          <w:lang w:eastAsia="zh-CN"/>
        </w:rPr>
        <w:sectPr>
          <w:footnotePr/>
          <w:endnotePr/>
          <w:type w:val="nextPage"/>
          <w:pgSz w:w="16840" w:h="11907" w:orient="landscape"/>
          <w:pgMar w:top="1361" w:right="1418" w:bottom="1186" w:left="1418" w:header="851" w:footer="992" w:gutter="0"/>
          <w:cols w:num="1" w:sep="0" w:space="1701" w:equalWidth="1"/>
          <w:docGrid w:linePitch="360"/>
        </w:sectPr>
      </w:pPr>
      <w:r>
        <w:rPr>
          <w:rFonts w:hint="eastAsia" w:ascii="Times New Roman" w:hAnsi="Times New Roman" w:eastAsia="宋体" w:cs="Times New Roman"/>
          <w:b/>
          <w:bCs/>
          <w:sz w:val="28"/>
          <w:szCs w:val="28"/>
          <w:highlight w:val="none"/>
          <w:lang w:eastAsia="zh-CN"/>
        </w:rPr>
      </w:r>
      <w:r/>
    </w:p>
    <w:p>
      <w:pPr>
        <w:pStyle w:val="1528"/>
        <w:jc w:val="left"/>
        <w:spacing w:line="360" w:lineRule="auto"/>
        <w:rPr>
          <w:rFonts w:ascii="Times New Roman" w:hAnsi="Times New Roman" w:eastAsia="宋体" w:cs="Times New Roman"/>
          <w:b/>
          <w:bCs/>
          <w:sz w:val="28"/>
          <w:szCs w:val="28"/>
          <w:highlight w:val="none"/>
          <w:lang w:val="en-US" w:eastAsia="zh-CN"/>
        </w:rPr>
        <w:outlineLvl w:val="9"/>
      </w:pPr>
      <w:r>
        <w:rPr>
          <w:rFonts w:hint="eastAsia" w:ascii="Times New Roman" w:hAnsi="Times New Roman" w:eastAsia="宋体" w:cs="Times New Roman"/>
          <w:b/>
          <w:bCs/>
          <w:sz w:val="28"/>
          <w:szCs w:val="28"/>
          <w:highlight w:val="none"/>
          <w:lang w:val="en-US" w:eastAsia="zh-CN"/>
        </w:rPr>
        <w:t xml:space="preserve">附件3：</w:t>
      </w:r>
      <w:r>
        <w:rPr>
          <w:rFonts w:ascii="Times New Roman" w:hAnsi="Times New Roman" w:eastAsia="宋体" w:cs="Times New Roman"/>
          <w:b/>
          <w:bCs/>
          <w:sz w:val="28"/>
          <w:szCs w:val="28"/>
          <w:highlight w:val="none"/>
          <w:lang w:val="en-US" w:eastAsia="zh-CN"/>
        </w:rPr>
      </w:r>
      <w:r/>
    </w:p>
    <w:p>
      <w:pPr>
        <w:pStyle w:val="1528"/>
        <w:jc w:val="center"/>
        <w:rPr>
          <w:sz w:val="44"/>
          <w:szCs w:val="44"/>
          <w:highlight w:val="none"/>
        </w:rPr>
      </w:pPr>
      <w:r>
        <w:rPr>
          <w:sz w:val="44"/>
          <w:szCs w:val="44"/>
          <w:highlight w:val="none"/>
        </w:rPr>
        <w:t xml:space="preserve">整 改 通 知 书</w:t>
      </w:r>
      <w:r>
        <w:rPr>
          <w:sz w:val="44"/>
          <w:szCs w:val="44"/>
          <w:highlight w:val="none"/>
        </w:rPr>
      </w:r>
      <w:r/>
    </w:p>
    <w:p>
      <w:pPr>
        <w:pStyle w:val="1536"/>
        <w:ind w:left="0" w:firstLine="0"/>
        <w:spacing w:line="480" w:lineRule="auto"/>
        <w:rPr>
          <w:rFonts w:ascii="Times New Roman" w:hAnsi="Times New Roman" w:eastAsia="宋体" w:cs="Times New Roman"/>
          <w:sz w:val="28"/>
          <w:szCs w:val="28"/>
          <w:highlight w:val="none"/>
        </w:rPr>
      </w:pPr>
      <w:r>
        <w:rPr>
          <w:rFonts w:ascii="Times New Roman" w:hAnsi="Times New Roman" w:eastAsia="宋体" w:cs="Times New Roman"/>
          <w:sz w:val="28"/>
          <w:szCs w:val="28"/>
          <w:highlight w:val="none"/>
        </w:rPr>
      </w:r>
      <w:r/>
    </w:p>
    <w:p>
      <w:pPr>
        <w:pStyle w:val="1528"/>
        <w:spacing w:line="480" w:lineRule="auto"/>
        <w:rPr>
          <w:rFonts w:ascii="宋体" w:hAnsi="宋体"/>
          <w:bCs/>
          <w:color w:val="000000"/>
          <w:sz w:val="28"/>
          <w:szCs w:val="28"/>
          <w:highlight w:val="none"/>
          <w:u w:val="single"/>
        </w:rPr>
      </w:pPr>
      <w:r>
        <w:rPr>
          <w:rFonts w:hint="eastAsia" w:ascii="宋体" w:hAnsi="宋体"/>
          <w:bCs/>
          <w:color w:val="000000"/>
          <w:sz w:val="28"/>
          <w:szCs w:val="28"/>
          <w:highlight w:val="none"/>
        </w:rPr>
        <w:t xml:space="preserve">致养护单位：</w:t>
      </w:r>
      <w:r>
        <w:rPr>
          <w:rFonts w:hint="eastAsia" w:ascii="宋体" w:hAnsi="宋体"/>
          <w:bCs/>
          <w:color w:val="000000"/>
          <w:sz w:val="28"/>
          <w:szCs w:val="28"/>
          <w:highlight w:val="none"/>
          <w:u w:val="single"/>
        </w:rPr>
        <w:t xml:space="preserve"> </w:t>
      </w:r>
      <w:r>
        <w:rPr>
          <w:rFonts w:ascii="宋体" w:hAnsi="宋体"/>
          <w:bCs/>
          <w:color w:val="000000"/>
          <w:sz w:val="28"/>
          <w:szCs w:val="28"/>
          <w:highlight w:val="none"/>
          <w:u w:val="single"/>
        </w:rPr>
        <w:t xml:space="preserve">                </w:t>
      </w:r>
      <w:r>
        <w:rPr>
          <w:rFonts w:hint="eastAsia" w:ascii="宋体" w:hAnsi="宋体"/>
          <w:bCs/>
          <w:color w:val="000000"/>
          <w:sz w:val="28"/>
          <w:szCs w:val="28"/>
          <w:highlight w:val="none"/>
          <w:u w:val="single"/>
          <w:lang w:val="en-US" w:eastAsia="zh-CN"/>
        </w:rPr>
        <w:t xml:space="preserve">        </w:t>
      </w:r>
      <w:r>
        <w:rPr>
          <w:rFonts w:ascii="宋体" w:hAnsi="宋体"/>
          <w:bCs/>
          <w:color w:val="000000"/>
          <w:sz w:val="28"/>
          <w:szCs w:val="28"/>
          <w:highlight w:val="none"/>
          <w:u w:val="single"/>
        </w:rPr>
        <w:t xml:space="preserve">                 </w:t>
      </w:r>
      <w:r>
        <w:rPr>
          <w:rFonts w:ascii="宋体" w:hAnsi="宋体"/>
          <w:bCs/>
          <w:color w:val="000000"/>
          <w:sz w:val="28"/>
          <w:szCs w:val="28"/>
          <w:highlight w:val="none"/>
          <w:u w:val="single"/>
        </w:rPr>
      </w:r>
      <w:r/>
    </w:p>
    <w:p>
      <w:pPr>
        <w:pStyle w:val="1536"/>
        <w:ind w:left="0" w:firstLine="0"/>
        <w:spacing w:line="480" w:lineRule="auto"/>
        <w:rPr>
          <w:sz w:val="28"/>
          <w:szCs w:val="28"/>
          <w:highlight w:val="none"/>
        </w:rPr>
      </w:pPr>
      <w:r>
        <w:rPr>
          <w:sz w:val="28"/>
          <w:szCs w:val="28"/>
          <w:highlight w:val="none"/>
        </w:rPr>
      </w:r>
      <w:r/>
    </w:p>
    <w:p>
      <w:pPr>
        <w:pStyle w:val="1528"/>
        <w:ind w:firstLine="560"/>
        <w:spacing w:line="480" w:lineRule="auto"/>
        <w:rPr>
          <w:sz w:val="28"/>
          <w:szCs w:val="28"/>
          <w:highlight w:val="none"/>
          <w:u w:val="single"/>
        </w:rPr>
      </w:pPr>
      <w:r>
        <w:rPr>
          <w:rFonts w:hint="eastAsia"/>
          <w:sz w:val="28"/>
          <w:szCs w:val="28"/>
          <w:highlight w:val="none"/>
        </w:rPr>
        <w:t xml:space="preserve">你单位负责养护的</w:t>
      </w:r>
      <w:r>
        <w:rPr>
          <w:rFonts w:hint="eastAsia"/>
          <w:sz w:val="28"/>
          <w:szCs w:val="28"/>
          <w:highlight w:val="none"/>
          <w:u w:val="single"/>
        </w:rPr>
        <w:t xml:space="preserve"> </w:t>
      </w:r>
      <w:r>
        <w:rPr>
          <w:sz w:val="28"/>
          <w:szCs w:val="28"/>
          <w:highlight w:val="none"/>
          <w:u w:val="single"/>
        </w:rPr>
        <w:t xml:space="preserve">                                  </w:t>
      </w:r>
      <w:r>
        <w:rPr>
          <w:sz w:val="28"/>
          <w:szCs w:val="28"/>
          <w:highlight w:val="none"/>
        </w:rPr>
        <w:t xml:space="preserve"> </w:t>
      </w:r>
      <w:r>
        <w:rPr>
          <w:rFonts w:hint="eastAsia"/>
          <w:sz w:val="28"/>
          <w:szCs w:val="28"/>
          <w:highlight w:val="none"/>
        </w:rPr>
        <w:t xml:space="preserve">项目存在如下问题：</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u w:val="single"/>
          <w:lang w:val="en-US" w:eastAsia="zh-CN"/>
        </w:rPr>
        <w:t xml:space="preserve">  </w:t>
      </w:r>
      <w:r>
        <w:rPr>
          <w:sz w:val="28"/>
          <w:szCs w:val="28"/>
          <w:highlight w:val="none"/>
          <w:u w:val="single"/>
        </w:rPr>
        <w:t xml:space="preserve">                               </w:t>
      </w:r>
      <w:r>
        <w:rPr>
          <w:sz w:val="28"/>
          <w:szCs w:val="28"/>
          <w:highlight w:val="none"/>
          <w:u w:val="single"/>
        </w:rPr>
      </w:r>
      <w:r/>
    </w:p>
    <w:p>
      <w:pPr>
        <w:pStyle w:val="1536"/>
        <w:ind w:left="0" w:firstLine="0"/>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528"/>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536"/>
        <w:ind w:left="0" w:firstLine="0"/>
        <w:spacing w:line="480" w:lineRule="auto"/>
        <w:rPr>
          <w:sz w:val="28"/>
          <w:szCs w:val="28"/>
          <w:highlight w:val="none"/>
          <w:u w:val="single"/>
        </w:rPr>
      </w:pPr>
      <w:r>
        <w:rPr>
          <w:rFonts w:hint="eastAsia"/>
          <w:sz w:val="28"/>
          <w:szCs w:val="28"/>
          <w:highlight w:val="none"/>
          <w:u w:val="single"/>
        </w:rPr>
        <w:t xml:space="preserve"> </w:t>
      </w:r>
      <w:r>
        <w:rPr>
          <w:sz w:val="28"/>
          <w:szCs w:val="28"/>
          <w:highlight w:val="none"/>
          <w:u w:val="single"/>
        </w:rPr>
        <w:t xml:space="preserve">                                                                </w:t>
      </w:r>
      <w:r>
        <w:rPr>
          <w:sz w:val="28"/>
          <w:szCs w:val="28"/>
          <w:highlight w:val="none"/>
          <w:u w:val="single"/>
        </w:rPr>
      </w:r>
      <w:r/>
    </w:p>
    <w:p>
      <w:pPr>
        <w:pStyle w:val="1528"/>
        <w:spacing w:line="480" w:lineRule="auto"/>
        <w:rPr>
          <w:sz w:val="28"/>
          <w:szCs w:val="28"/>
          <w:highlight w:val="none"/>
        </w:rPr>
      </w:pPr>
      <w:r>
        <w:rPr>
          <w:rFonts w:hint="eastAsia"/>
          <w:sz w:val="28"/>
          <w:szCs w:val="28"/>
          <w:highlight w:val="none"/>
        </w:rPr>
        <w:t xml:space="preserve">现要求你单位按照养护的等级标准执行，并于</w:t>
      </w:r>
      <w:r>
        <w:rPr>
          <w:rFonts w:hint="eastAsia"/>
          <w:sz w:val="28"/>
          <w:szCs w:val="28"/>
          <w:highlight w:val="none"/>
          <w:u w:val="single"/>
        </w:rPr>
        <w:t xml:space="preserve"> </w:t>
      </w:r>
      <w:r>
        <w:rPr>
          <w:sz w:val="28"/>
          <w:szCs w:val="28"/>
          <w:highlight w:val="none"/>
          <w:u w:val="single"/>
        </w:rPr>
        <w:t xml:space="preserve">   </w:t>
      </w:r>
      <w:r>
        <w:rPr>
          <w:rFonts w:hint="eastAsia"/>
          <w:sz w:val="28"/>
          <w:szCs w:val="28"/>
          <w:highlight w:val="none"/>
        </w:rPr>
        <w:t xml:space="preserve">天内完成整改，以达到绿化养护技术标准，如未进行落实，我单位将严格执行养护考核办法，逾期造成的后果将由贵单位自负。</w:t>
      </w:r>
      <w:r>
        <w:rPr>
          <w:sz w:val="28"/>
          <w:szCs w:val="28"/>
          <w:highlight w:val="none"/>
        </w:rPr>
      </w:r>
      <w:r/>
    </w:p>
    <w:p>
      <w:pPr>
        <w:pStyle w:val="1536"/>
        <w:ind w:left="0" w:firstLine="0"/>
        <w:spacing w:line="480" w:lineRule="auto"/>
        <w:rPr>
          <w:sz w:val="28"/>
          <w:szCs w:val="28"/>
          <w:highlight w:val="none"/>
        </w:rPr>
      </w:pPr>
      <w:r>
        <w:rPr>
          <w:rFonts w:hint="eastAsia"/>
          <w:sz w:val="28"/>
          <w:szCs w:val="28"/>
          <w:highlight w:val="none"/>
        </w:rPr>
        <w:t xml:space="preserve">注：对整改内容理解不明白、不清楚的请及时联系养护部。如发现在要求、规定的天数里未进行整改的，则按照养护合同规定执行质量扣款等处罚方式进行处理。</w:t>
      </w:r>
      <w:r>
        <w:rPr>
          <w:sz w:val="28"/>
          <w:szCs w:val="28"/>
          <w:highlight w:val="none"/>
        </w:rPr>
      </w:r>
      <w:r/>
    </w:p>
    <w:p>
      <w:pPr>
        <w:pStyle w:val="1528"/>
        <w:rPr>
          <w:sz w:val="30"/>
          <w:szCs w:val="30"/>
          <w:highlight w:val="none"/>
        </w:rPr>
      </w:pPr>
      <w:r>
        <w:rPr>
          <w:sz w:val="30"/>
          <w:szCs w:val="30"/>
          <w:highlight w:val="none"/>
        </w:rPr>
      </w:r>
      <w:r/>
    </w:p>
    <w:p>
      <w:pPr>
        <w:pStyle w:val="1528"/>
        <w:rPr>
          <w:rFonts w:hint="eastAsia" w:eastAsia="宋体"/>
          <w:sz w:val="28"/>
          <w:szCs w:val="28"/>
          <w:highlight w:val="none"/>
          <w:lang w:eastAsia="zh-CN"/>
        </w:rPr>
      </w:pPr>
      <w:r>
        <w:rPr>
          <w:sz w:val="28"/>
          <w:szCs w:val="28"/>
          <w:highlight w:val="none"/>
        </w:rPr>
        <w:t xml:space="preserve">养护方代表（签收）       </w:t>
      </w:r>
      <w:r>
        <w:rPr>
          <w:rFonts w:hint="eastAsia"/>
          <w:sz w:val="28"/>
          <w:szCs w:val="28"/>
          <w:highlight w:val="none"/>
          <w:lang w:val="en-US" w:eastAsia="zh-CN"/>
        </w:rPr>
        <w:t xml:space="preserve">   </w:t>
      </w:r>
      <w:r>
        <w:rPr>
          <w:sz w:val="28"/>
          <w:szCs w:val="28"/>
          <w:highlight w:val="none"/>
        </w:rPr>
        <w:t xml:space="preserve">  </w:t>
      </w:r>
      <w:r>
        <w:rPr>
          <w:rFonts w:hint="eastAsia"/>
          <w:sz w:val="28"/>
          <w:szCs w:val="28"/>
          <w:highlight w:val="none"/>
          <w:lang w:eastAsia="zh-CN"/>
        </w:rPr>
        <w:t xml:space="preserve">无锡市锡山区人民政府厚桥街道办事处</w:t>
      </w:r>
      <w:r>
        <w:rPr>
          <w:rFonts w:hint="eastAsia" w:eastAsia="宋体"/>
          <w:sz w:val="28"/>
          <w:szCs w:val="28"/>
          <w:highlight w:val="none"/>
          <w:lang w:eastAsia="zh-CN"/>
        </w:rPr>
      </w:r>
      <w:r/>
    </w:p>
    <w:p>
      <w:pPr>
        <w:pStyle w:val="1528"/>
        <w:rPr>
          <w:sz w:val="28"/>
          <w:szCs w:val="28"/>
          <w:highlight w:val="none"/>
        </w:rPr>
      </w:pPr>
      <w:r>
        <w:rPr>
          <w:sz w:val="28"/>
          <w:szCs w:val="28"/>
          <w:highlight w:val="none"/>
        </w:rPr>
      </w:r>
      <w:r/>
    </w:p>
    <w:p>
      <w:pPr>
        <w:pStyle w:val="1528"/>
        <w:rPr>
          <w:sz w:val="28"/>
          <w:szCs w:val="28"/>
          <w:highlight w:val="none"/>
        </w:rPr>
      </w:pPr>
      <w:r>
        <w:rPr>
          <w:sz w:val="28"/>
          <w:szCs w:val="28"/>
          <w:highlight w:val="none"/>
        </w:rPr>
        <w:t xml:space="preserve">                                              （盖章）</w:t>
      </w:r>
      <w:r>
        <w:rPr>
          <w:sz w:val="28"/>
          <w:szCs w:val="28"/>
          <w:highlight w:val="none"/>
        </w:rPr>
      </w:r>
      <w:r/>
    </w:p>
    <w:p>
      <w:pPr>
        <w:pStyle w:val="1528"/>
        <w:rPr>
          <w:sz w:val="28"/>
          <w:szCs w:val="28"/>
          <w:highlight w:val="none"/>
        </w:rPr>
      </w:pPr>
      <w:r>
        <w:rPr>
          <w:sz w:val="28"/>
          <w:szCs w:val="28"/>
          <w:highlight w:val="none"/>
        </w:rPr>
      </w:r>
      <w:r/>
    </w:p>
    <w:p>
      <w:pPr>
        <w:pStyle w:val="1528"/>
        <w:rPr>
          <w:sz w:val="28"/>
          <w:szCs w:val="28"/>
          <w:highlight w:val="none"/>
        </w:rPr>
      </w:pPr>
      <w:r>
        <w:rPr>
          <w:sz w:val="28"/>
          <w:szCs w:val="28"/>
          <w:highlight w:val="none"/>
        </w:rPr>
        <w:t xml:space="preserve">    年   月   日                             年   月   日</w:t>
      </w:r>
      <w:r>
        <w:rPr>
          <w:sz w:val="28"/>
          <w:szCs w:val="28"/>
          <w:highlight w:val="none"/>
        </w:rPr>
      </w:r>
      <w:r/>
    </w:p>
    <w:p>
      <w:pPr>
        <w:pStyle w:val="1528"/>
        <w:rPr>
          <w:highlight w:val="none"/>
        </w:rPr>
      </w:pPr>
      <w:r>
        <w:rPr>
          <w:highlight w:val="none"/>
        </w:rPr>
      </w:r>
      <w:r/>
    </w:p>
    <w:p>
      <w:pPr>
        <w:pStyle w:val="1536"/>
        <w:ind w:left="1260"/>
        <w:rPr>
          <w:highlight w:val="none"/>
        </w:rPr>
        <w:sectPr>
          <w:footerReference w:type="default" r:id="rId24"/>
          <w:footnotePr/>
          <w:endnotePr/>
          <w:type w:val="nextPage"/>
          <w:pgSz w:w="11907" w:h="16840" w:orient="portrait"/>
          <w:pgMar w:top="1361" w:right="1418" w:bottom="1361" w:left="1418" w:header="851" w:footer="992" w:gutter="0"/>
          <w:cols w:num="1" w:sep="0" w:space="1701" w:equalWidth="1"/>
          <w:docGrid w:linePitch="360"/>
        </w:sectPr>
      </w:pPr>
      <w:r>
        <w:rPr>
          <w:highlight w:val="none"/>
        </w:rPr>
      </w:r>
      <w:r/>
    </w:p>
    <w:p>
      <w:pPr>
        <w:pStyle w:val="1528"/>
        <w:jc w:val="left"/>
        <w:spacing w:line="360" w:lineRule="auto"/>
        <w:rPr>
          <w:rFonts w:hint="eastAsia" w:ascii="Times New Roman" w:hAnsi="Times New Roman" w:eastAsia="宋体" w:cs="Times New Roman"/>
          <w:b/>
          <w:bCs/>
          <w:sz w:val="28"/>
          <w:szCs w:val="28"/>
          <w:highlight w:val="none"/>
          <w:lang w:val="en-US" w:eastAsia="zh-CN"/>
        </w:rPr>
        <w:outlineLvl w:val="9"/>
      </w:pPr>
      <w:r>
        <w:rPr>
          <w:rFonts w:hint="eastAsia" w:ascii="Times New Roman" w:hAnsi="Times New Roman" w:eastAsia="宋体" w:cs="Times New Roman"/>
          <w:b/>
          <w:bCs/>
          <w:sz w:val="28"/>
          <w:szCs w:val="28"/>
          <w:highlight w:val="none"/>
          <w:lang w:val="en-US" w:eastAsia="zh-CN"/>
        </w:rPr>
        <w:t xml:space="preserve">附</w:t>
      </w:r>
      <w:r>
        <w:rPr>
          <w:rFonts w:hint="eastAsia" w:cs="Times New Roman"/>
          <w:b/>
          <w:bCs/>
          <w:sz w:val="28"/>
          <w:szCs w:val="28"/>
          <w:highlight w:val="none"/>
          <w:lang w:val="en-US" w:eastAsia="zh-CN"/>
        </w:rPr>
        <w:t xml:space="preserve">件4</w:t>
      </w:r>
      <w:r>
        <w:rPr>
          <w:rFonts w:hint="eastAsia" w:ascii="Times New Roman" w:hAnsi="Times New Roman" w:eastAsia="宋体" w:cs="Times New Roman"/>
          <w:b/>
          <w:bCs/>
          <w:sz w:val="28"/>
          <w:szCs w:val="28"/>
          <w:highlight w:val="none"/>
          <w:lang w:val="en-US" w:eastAsia="zh-CN"/>
        </w:rPr>
        <w:t xml:space="preserve">：项目经理自查表</w:t>
      </w:r>
      <w:r>
        <w:rPr>
          <w:rFonts w:hint="eastAsia" w:ascii="Times New Roman" w:hAnsi="Times New Roman" w:eastAsia="宋体" w:cs="Times New Roman"/>
          <w:b/>
          <w:bCs/>
          <w:sz w:val="28"/>
          <w:szCs w:val="28"/>
          <w:highlight w:val="none"/>
          <w:lang w:val="en-US" w:eastAsia="zh-CN"/>
        </w:rPr>
      </w:r>
      <w:r/>
    </w:p>
    <w:p>
      <w:pPr>
        <w:pStyle w:val="1528"/>
        <w:ind w:firstLine="120"/>
        <w:rPr>
          <w:rFonts w:ascii="宋体" w:hAnsi="宋体"/>
          <w:sz w:val="24"/>
          <w:szCs w:val="24"/>
          <w:highlight w:val="none"/>
          <w:u w:val="single"/>
        </w:rPr>
        <w:outlineLvl w:val="9"/>
      </w:pP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日         星期</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天气：</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r>
      <w:r/>
    </w:p>
    <w:tbl>
      <w:tblPr>
        <w:tblW w:w="90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6"/>
        <w:gridCol w:w="7473"/>
      </w:tblGrid>
      <w:tr>
        <w:trPr>
          <w:trHeight w:val="1372"/>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作业路段</w:t>
            </w:r>
            <w:r>
              <w:rPr>
                <w:rFonts w:ascii="宋体" w:hAnsi="宋体"/>
                <w:sz w:val="24"/>
                <w:szCs w:val="24"/>
                <w:highlight w:val="none"/>
              </w:rPr>
            </w:r>
            <w:r/>
          </w:p>
        </w:tc>
        <w:tc>
          <w:tcPr>
            <w:tcW w:w="7473" w:type="dxa"/>
            <w:vAlign w:val="center"/>
            <w:textDirection w:val="lrTb"/>
            <w:noWrap w:val="false"/>
          </w:tcPr>
          <w:p>
            <w:pPr>
              <w:pStyle w:val="1528"/>
              <w:ind w:firstLine="1680"/>
              <w:rPr>
                <w:rFonts w:ascii="宋体" w:hAnsi="宋体"/>
                <w:sz w:val="24"/>
                <w:szCs w:val="24"/>
                <w:highlight w:val="none"/>
              </w:rPr>
              <w:outlineLvl w:val="9"/>
            </w:pPr>
            <w:r>
              <w:rPr>
                <w:rFonts w:hint="eastAsia" w:ascii="宋体" w:hAnsi="宋体"/>
                <w:sz w:val="24"/>
                <w:szCs w:val="24"/>
                <w:highlight w:val="none"/>
              </w:rPr>
              <w:t xml:space="preserve">（按养护计划填报）</w:t>
            </w:r>
            <w:r>
              <w:rPr>
                <w:rFonts w:ascii="宋体" w:hAnsi="宋体"/>
                <w:sz w:val="24"/>
                <w:szCs w:val="24"/>
                <w:highlight w:val="none"/>
              </w:rPr>
            </w:r>
            <w:r/>
          </w:p>
        </w:tc>
      </w:tr>
      <w:tr>
        <w:trPr>
          <w:trHeight w:val="2777"/>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作业内容</w:t>
            </w:r>
            <w:r>
              <w:rPr>
                <w:rFonts w:ascii="宋体" w:hAnsi="宋体"/>
                <w:sz w:val="24"/>
                <w:szCs w:val="24"/>
                <w:highlight w:val="none"/>
              </w:rPr>
            </w:r>
            <w:r/>
          </w:p>
        </w:tc>
        <w:tc>
          <w:tcPr>
            <w:tcW w:w="7473" w:type="dxa"/>
            <w:vAlign w:val="center"/>
            <w:textDirection w:val="lrTb"/>
            <w:noWrap w:val="false"/>
          </w:tcPr>
          <w:p>
            <w:pPr>
              <w:pStyle w:val="1528"/>
              <w:jc w:val="left"/>
              <w:rPr>
                <w:rFonts w:ascii="宋体" w:hAnsi="宋体"/>
                <w:sz w:val="24"/>
                <w:szCs w:val="24"/>
                <w:highlight w:val="none"/>
              </w:rPr>
              <w:outlineLvl w:val="9"/>
            </w:pPr>
            <w:r>
              <w:rPr>
                <w:rFonts w:hint="eastAsia" w:ascii="宋体" w:hAnsi="宋体"/>
                <w:sz w:val="24"/>
                <w:szCs w:val="24"/>
                <w:highlight w:val="none"/>
              </w:rPr>
              <w:t xml:space="preserve">（按养护计划填报，应包含作业工人数量、领班绿化工姓名、工作内容和工作量、使用机械设备数量等）</w:t>
            </w:r>
            <w:r>
              <w:rPr>
                <w:rFonts w:ascii="宋体" w:hAnsi="宋体"/>
                <w:sz w:val="24"/>
                <w:szCs w:val="24"/>
                <w:highlight w:val="none"/>
              </w:rPr>
            </w:r>
            <w:r/>
          </w:p>
        </w:tc>
      </w:tr>
      <w:tr>
        <w:trPr>
          <w:trHeight w:val="2523"/>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存在问题</w:t>
            </w:r>
            <w:r>
              <w:rPr>
                <w:rFonts w:ascii="宋体" w:hAnsi="宋体"/>
                <w:sz w:val="24"/>
                <w:szCs w:val="24"/>
                <w:highlight w:val="none"/>
              </w:rPr>
            </w:r>
            <w:r/>
          </w:p>
        </w:tc>
        <w:tc>
          <w:tcPr>
            <w:tcW w:w="7473" w:type="dxa"/>
            <w:vAlign w:val="center"/>
            <w:textDirection w:val="lrTb"/>
            <w:noWrap w:val="false"/>
          </w:tcPr>
          <w:p>
            <w:pPr>
              <w:pStyle w:val="1528"/>
              <w:jc w:val="left"/>
              <w:rPr>
                <w:rFonts w:ascii="宋体" w:hAnsi="宋体"/>
                <w:sz w:val="24"/>
                <w:szCs w:val="24"/>
                <w:highlight w:val="none"/>
              </w:rPr>
              <w:outlineLvl w:val="9"/>
            </w:pPr>
            <w:r>
              <w:rPr>
                <w:rFonts w:hint="eastAsia" w:ascii="宋体" w:hAnsi="宋体"/>
                <w:sz w:val="24"/>
                <w:szCs w:val="24"/>
                <w:highlight w:val="none"/>
              </w:rPr>
              <w:t xml:space="preserve">（项目经理须对所有养护路段进行巡查，发现问题应写明具体路段地点及问题类型，附问题照片。）</w:t>
            </w:r>
            <w:r>
              <w:rPr>
                <w:rFonts w:ascii="宋体" w:hAnsi="宋体"/>
                <w:sz w:val="24"/>
                <w:szCs w:val="24"/>
                <w:highlight w:val="none"/>
              </w:rPr>
            </w:r>
            <w:r/>
          </w:p>
        </w:tc>
      </w:tr>
      <w:tr>
        <w:trPr>
          <w:trHeight w:val="1838"/>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整改安排</w:t>
            </w:r>
            <w:r>
              <w:rPr>
                <w:rFonts w:ascii="宋体" w:hAnsi="宋体"/>
                <w:sz w:val="24"/>
                <w:szCs w:val="24"/>
                <w:highlight w:val="none"/>
              </w:rPr>
            </w:r>
            <w:r/>
          </w:p>
        </w:tc>
        <w:tc>
          <w:tcPr>
            <w:tcW w:w="7473" w:type="dxa"/>
            <w:vAlign w:val="center"/>
            <w:textDirection w:val="lrTb"/>
            <w:noWrap w:val="false"/>
          </w:tcPr>
          <w:p>
            <w:pPr>
              <w:pStyle w:val="1528"/>
              <w:ind w:left="0" w:right="0" w:firstLine="0"/>
              <w:jc w:val="left"/>
              <w:rPr>
                <w:rFonts w:ascii="宋体" w:hAnsi="宋体"/>
                <w:sz w:val="24"/>
                <w:szCs w:val="24"/>
                <w:highlight w:val="none"/>
              </w:rPr>
              <w:outlineLvl w:val="9"/>
            </w:pPr>
            <w:r>
              <w:rPr>
                <w:rFonts w:hint="eastAsia" w:ascii="宋体" w:hAnsi="宋体"/>
                <w:sz w:val="24"/>
                <w:szCs w:val="24"/>
                <w:highlight w:val="none"/>
              </w:rPr>
              <w:t xml:space="preserve">（项目经理对当日巡查发现的问题的整改处置安排）</w:t>
            </w:r>
            <w:r>
              <w:rPr>
                <w:rFonts w:ascii="宋体" w:hAnsi="宋体"/>
                <w:sz w:val="24"/>
                <w:szCs w:val="24"/>
                <w:highlight w:val="none"/>
              </w:rPr>
            </w:r>
            <w:r/>
          </w:p>
        </w:tc>
      </w:tr>
      <w:tr>
        <w:trPr>
          <w:trHeight w:val="2533"/>
        </w:trPr>
        <w:tc>
          <w:tcPr>
            <w:tcW w:w="1586" w:type="dxa"/>
            <w:vAlign w:val="center"/>
            <w:textDirection w:val="lrTb"/>
            <w:noWrap w:val="false"/>
          </w:tcPr>
          <w:p>
            <w:pPr>
              <w:pStyle w:val="1528"/>
              <w:ind w:left="0" w:right="0" w:firstLine="0"/>
              <w:jc w:val="center"/>
              <w:rPr>
                <w:rFonts w:ascii="宋体" w:hAnsi="宋体"/>
                <w:sz w:val="24"/>
                <w:szCs w:val="24"/>
                <w:highlight w:val="none"/>
              </w:rPr>
              <w:outlineLvl w:val="9"/>
            </w:pPr>
            <w:r>
              <w:rPr>
                <w:rFonts w:hint="eastAsia" w:ascii="宋体" w:hAnsi="宋体"/>
                <w:sz w:val="24"/>
                <w:szCs w:val="24"/>
                <w:highlight w:val="none"/>
              </w:rPr>
              <w:t xml:space="preserve">整改复查</w:t>
            </w:r>
            <w:r>
              <w:rPr>
                <w:rFonts w:ascii="宋体" w:hAnsi="宋体"/>
                <w:sz w:val="24"/>
                <w:szCs w:val="24"/>
                <w:highlight w:val="none"/>
              </w:rPr>
            </w:r>
            <w:r/>
          </w:p>
        </w:tc>
        <w:tc>
          <w:tcPr>
            <w:tcW w:w="7473" w:type="dxa"/>
            <w:vAlign w:val="center"/>
            <w:textDirection w:val="lrTb"/>
            <w:noWrap w:val="false"/>
          </w:tcPr>
          <w:p>
            <w:pPr>
              <w:pStyle w:val="1528"/>
              <w:ind w:left="0" w:right="0" w:firstLine="0"/>
              <w:jc w:val="left"/>
              <w:rPr>
                <w:rFonts w:ascii="宋体" w:hAnsi="宋体"/>
                <w:sz w:val="24"/>
                <w:szCs w:val="24"/>
                <w:highlight w:val="none"/>
              </w:rPr>
              <w:outlineLvl w:val="9"/>
            </w:pPr>
            <w:r>
              <w:rPr>
                <w:rFonts w:hint="eastAsia" w:ascii="宋体" w:hAnsi="宋体"/>
                <w:sz w:val="24"/>
                <w:szCs w:val="24"/>
                <w:highlight w:val="none"/>
              </w:rPr>
              <w:t xml:space="preserve">（该栏由第二日值班经理填写，应写明整改复查情况）</w:t>
            </w:r>
            <w:r>
              <w:rPr>
                <w:rFonts w:ascii="宋体" w:hAnsi="宋体"/>
                <w:sz w:val="24"/>
                <w:szCs w:val="24"/>
                <w:highlight w:val="none"/>
              </w:rPr>
            </w:r>
            <w:r/>
          </w:p>
          <w:p>
            <w:pPr>
              <w:pStyle w:val="1528"/>
              <w:rPr>
                <w:rFonts w:ascii="宋体" w:hAnsi="宋体"/>
                <w:sz w:val="24"/>
                <w:szCs w:val="24"/>
                <w:highlight w:val="none"/>
              </w:rPr>
              <w:outlineLvl w:val="9"/>
            </w:pPr>
            <w:r>
              <w:rPr>
                <w:rFonts w:ascii="宋体" w:hAnsi="宋体"/>
                <w:sz w:val="24"/>
                <w:szCs w:val="24"/>
                <w:highlight w:val="none"/>
              </w:rPr>
            </w:r>
            <w:r/>
          </w:p>
          <w:p>
            <w:pPr>
              <w:pStyle w:val="1528"/>
              <w:ind w:firstLine="4804"/>
              <w:jc w:val="both"/>
              <w:rPr>
                <w:rFonts w:ascii="宋体" w:hAnsi="宋体"/>
                <w:sz w:val="24"/>
                <w:szCs w:val="24"/>
                <w:highlight w:val="none"/>
              </w:rPr>
              <w:outlineLvl w:val="9"/>
            </w:pPr>
            <w:r>
              <w:rPr>
                <w:rFonts w:hint="eastAsia" w:ascii="宋体" w:hAnsi="宋体"/>
                <w:sz w:val="24"/>
                <w:szCs w:val="24"/>
                <w:highlight w:val="none"/>
              </w:rPr>
              <w:t xml:space="preserve">值班经理：</w:t>
            </w:r>
            <w:r>
              <w:rPr>
                <w:rFonts w:ascii="宋体" w:hAnsi="宋体"/>
                <w:sz w:val="24"/>
                <w:szCs w:val="24"/>
                <w:highlight w:val="none"/>
              </w:rPr>
            </w:r>
            <w:r/>
          </w:p>
        </w:tc>
      </w:tr>
    </w:tbl>
    <w:p>
      <w:pPr>
        <w:pStyle w:val="1528"/>
        <w:rPr>
          <w:rFonts w:ascii="宋体" w:hAnsi="宋体"/>
          <w:sz w:val="24"/>
          <w:szCs w:val="24"/>
          <w:highlight w:val="none"/>
        </w:rPr>
        <w:outlineLvl w:val="9"/>
      </w:pPr>
      <w:r>
        <w:rPr>
          <w:rFonts w:hint="eastAsia" w:ascii="宋体" w:hAnsi="宋体"/>
          <w:sz w:val="24"/>
          <w:szCs w:val="24"/>
          <w:highlight w:val="none"/>
        </w:rPr>
        <w:t xml:space="preserve">项目经理：                            审核人：</w:t>
      </w:r>
      <w:r>
        <w:rPr>
          <w:rFonts w:ascii="宋体" w:hAnsi="宋体"/>
          <w:sz w:val="24"/>
          <w:szCs w:val="24"/>
          <w:highlight w:val="none"/>
        </w:rPr>
      </w:r>
      <w:r/>
    </w:p>
    <w:p>
      <w:pPr>
        <w:pStyle w:val="1528"/>
        <w:jc w:val="both"/>
        <w:spacing w:line="520" w:lineRule="exact"/>
        <w:rPr>
          <w:rFonts w:ascii="宋体" w:hAnsi="宋体"/>
          <w:b/>
          <w:sz w:val="24"/>
          <w:szCs w:val="24"/>
          <w:highlight w:val="none"/>
        </w:rPr>
        <w:outlineLvl w:val="9"/>
      </w:pPr>
      <w:r>
        <w:rPr>
          <w:rFonts w:ascii="宋体" w:hAnsi="宋体"/>
          <w:b/>
          <w:sz w:val="24"/>
          <w:szCs w:val="24"/>
          <w:highlight w:val="none"/>
        </w:rPr>
      </w:r>
      <w:r/>
    </w:p>
    <w:p>
      <w:pPr>
        <w:pStyle w:val="1528"/>
        <w:jc w:val="center"/>
        <w:rPr>
          <w:rFonts w:hint="eastAsia" w:ascii="宋体" w:hAnsi="宋体"/>
          <w:sz w:val="24"/>
          <w:szCs w:val="24"/>
          <w:highlight w:val="none"/>
        </w:rPr>
        <w:sectPr>
          <w:footnotePr/>
          <w:endnotePr/>
          <w:type w:val="nextPage"/>
          <w:pgSz w:w="11906" w:h="16838" w:orient="portrait"/>
          <w:pgMar w:top="1440" w:right="1633" w:bottom="1440" w:left="1633" w:header="851" w:footer="992" w:gutter="0"/>
          <w:cols w:num="1" w:sep="0" w:space="1701" w:equalWidth="1"/>
          <w:docGrid w:linePitch="360"/>
        </w:sectPr>
        <w:outlineLvl w:val="9"/>
      </w:pPr>
      <w:r>
        <w:rPr>
          <w:rFonts w:hint="eastAsia" w:ascii="宋体" w:hAnsi="宋体"/>
          <w:sz w:val="24"/>
          <w:szCs w:val="24"/>
          <w:highlight w:val="none"/>
        </w:rPr>
      </w:r>
      <w:r/>
    </w:p>
    <w:p>
      <w:pPr>
        <w:pStyle w:val="1528"/>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五、附件</w:t>
      </w:r>
      <w:bookmarkEnd w:id="34"/>
      <w:r/>
      <w:bookmarkEnd w:id="35"/>
      <w:r/>
      <w:bookmarkEnd w:id="36"/>
      <w:r>
        <w:rPr>
          <w:rFonts w:hint="eastAsia" w:ascii="Times New Roman" w:hAnsi="宋体" w:eastAsia="宋体" w:cs="宋体"/>
          <w:b/>
          <w:bCs/>
          <w:sz w:val="32"/>
          <w:szCs w:val="32"/>
          <w:highlight w:val="none"/>
          <w:lang w:val="en-US" w:eastAsia="zh-CN"/>
        </w:rPr>
      </w:r>
      <w:r/>
    </w:p>
    <w:p>
      <w:pPr>
        <w:pStyle w:val="1528"/>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528"/>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（二)各项目评分标准</w:t>
      </w:r>
      <w:r>
        <w:rPr>
          <w:rFonts w:hint="eastAsia" w:ascii="宋体" w:hAnsi="宋体" w:eastAsia="宋体" w:cs="宋体"/>
          <w:color w:val="000000"/>
          <w:sz w:val="24"/>
          <w:szCs w:val="24"/>
          <w:highlight w:val="none"/>
        </w:rPr>
      </w:r>
      <w:r/>
    </w:p>
    <w:p>
      <w:pPr>
        <w:pStyle w:val="1576"/>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528"/>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576"/>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lang w:val="zh-CN" w:eastAsia="zh-CN" w:bidi="ar-SA"/>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w:t>
      </w:r>
      <w:r>
        <w:rPr>
          <w:rFonts w:hint="eastAsia" w:ascii="宋体" w:hAnsi="宋体" w:eastAsia="宋体" w:cs="宋体"/>
          <w:b/>
          <w:color w:val="000000"/>
          <w:sz w:val="24"/>
          <w:szCs w:val="24"/>
          <w:highlight w:val="none"/>
          <w:lang w:val="zh-CN" w:eastAsia="zh-CN" w:bidi="ar-SA"/>
        </w:rPr>
        <w:t xml:space="preserve">合情况（</w:t>
      </w:r>
      <w:r>
        <w:rPr>
          <w:rFonts w:hint="eastAsia" w:ascii="宋体" w:hAnsi="宋体" w:eastAsia="宋体" w:cs="宋体"/>
          <w:b/>
          <w:color w:val="000000"/>
          <w:sz w:val="24"/>
          <w:szCs w:val="24"/>
          <w:highlight w:val="none"/>
          <w:lang w:val="en-US" w:eastAsia="zh-CN" w:bidi="ar-SA"/>
        </w:rPr>
        <w:t xml:space="preserve">25</w:t>
      </w:r>
      <w:r>
        <w:rPr>
          <w:rFonts w:hint="eastAsia" w:ascii="宋体" w:hAnsi="宋体" w:eastAsia="宋体" w:cs="宋体"/>
          <w:b/>
          <w:color w:val="000000"/>
          <w:sz w:val="24"/>
          <w:szCs w:val="24"/>
          <w:highlight w:val="none"/>
          <w:lang w:val="zh-CN" w:eastAsia="zh-CN" w:bidi="ar-SA"/>
        </w:rPr>
        <w:t xml:space="preserve">分）</w:t>
      </w:r>
      <w:r>
        <w:rPr>
          <w:rFonts w:hint="eastAsia" w:ascii="宋体" w:hAnsi="宋体" w:eastAsia="宋体" w:cs="宋体"/>
          <w:b/>
          <w:color w:val="000000"/>
          <w:sz w:val="24"/>
          <w:szCs w:val="24"/>
          <w:highlight w:val="none"/>
          <w:lang w:val="zh-CN" w:eastAsia="zh-CN" w:bidi="ar-SA"/>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color w:val="000000"/>
          <w:sz w:val="24"/>
          <w:szCs w:val="24"/>
          <w:highlight w:val="none"/>
          <w:lang w:val="en-US" w:eastAsia="zh-CN" w:bidi="ar-SA"/>
        </w:rPr>
        <w:outlineLvl w:val="9"/>
      </w:pP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1</w:t>
      </w:r>
      <w:r>
        <w:rPr>
          <w:rFonts w:hint="eastAsia" w:ascii="宋体" w:hAnsi="宋体" w:eastAsia="宋体" w:cs="宋体"/>
          <w:b/>
          <w:color w:val="000000"/>
          <w:sz w:val="24"/>
          <w:szCs w:val="24"/>
          <w:highlight w:val="none"/>
          <w:lang w:val="zh-CN" w:eastAsia="zh-CN" w:bidi="ar-SA"/>
        </w:rPr>
        <w:t xml:space="preserve">）</w:t>
      </w:r>
      <w:r>
        <w:rPr>
          <w:rFonts w:hint="eastAsia" w:ascii="宋体" w:hAnsi="宋体" w:eastAsia="宋体" w:cs="宋体"/>
          <w:b/>
          <w:color w:val="000000"/>
          <w:sz w:val="24"/>
          <w:szCs w:val="24"/>
          <w:highlight w:val="none"/>
          <w:lang w:val="en-US" w:eastAsia="zh-CN" w:bidi="ar-SA"/>
        </w:rPr>
        <w:t xml:space="preserve">项目负责人（11分）</w:t>
      </w:r>
      <w:r>
        <w:rPr>
          <w:rFonts w:hint="eastAsia" w:ascii="宋体" w:hAnsi="宋体" w:eastAsia="宋体" w:cs="宋体"/>
          <w:b/>
          <w:color w:val="000000"/>
          <w:sz w:val="24"/>
          <w:szCs w:val="24"/>
          <w:highlight w:val="none"/>
          <w:lang w:val="en-US" w:eastAsia="zh-CN" w:bidi="ar-SA"/>
        </w:rPr>
      </w:r>
      <w:r/>
    </w:p>
    <w:p>
      <w:pPr>
        <w:pStyle w:val="1548"/>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①具备花卉园艺工（三级及以上</w:t>
      </w:r>
      <w:r>
        <w:rPr>
          <w:rFonts w:hint="eastAsia" w:ascii="宋体" w:hAnsi="宋体" w:eastAsia="宋体" w:cs="宋体"/>
          <w:b w:val="0"/>
          <w:bCs w:val="0"/>
          <w:color w:val="000000"/>
          <w:sz w:val="24"/>
          <w:szCs w:val="24"/>
          <w:highlight w:val="none"/>
          <w:lang w:val="en-US" w:eastAsia="zh-CN" w:bidi="ar-SA"/>
        </w:rPr>
        <w:t xml:space="preserve">）的，</w:t>
      </w:r>
      <w:r>
        <w:rPr>
          <w:rFonts w:hint="eastAsia" w:ascii="宋体" w:hAnsi="宋体" w:eastAsia="宋体" w:cs="宋体"/>
          <w:b w:val="0"/>
          <w:bCs w:val="0"/>
          <w:color w:val="000000"/>
          <w:sz w:val="24"/>
          <w:szCs w:val="24"/>
          <w:highlight w:val="none"/>
          <w:lang w:val="en-US" w:eastAsia="zh-CN" w:bidi="ar-SA"/>
        </w:rPr>
        <w:t xml:space="preserve">得5分；</w:t>
      </w:r>
      <w:r>
        <w:rPr>
          <w:rFonts w:hint="eastAsia" w:ascii="宋体" w:hAnsi="宋体" w:eastAsia="宋体" w:cs="宋体"/>
          <w:b w:val="0"/>
          <w:bCs w:val="0"/>
          <w:color w:val="000000"/>
          <w:sz w:val="24"/>
          <w:szCs w:val="24"/>
          <w:highlight w:val="none"/>
          <w:lang w:val="en-US" w:eastAsia="zh-CN" w:bidi="ar-SA"/>
        </w:rPr>
      </w:r>
      <w:r/>
    </w:p>
    <w:p>
      <w:pPr>
        <w:pStyle w:val="1548"/>
        <w:ind w:firstLine="480"/>
        <w:spacing w:line="360" w:lineRule="auto"/>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②</w:t>
      </w:r>
      <w:r>
        <w:rPr>
          <w:rFonts w:hint="eastAsia" w:ascii="宋体" w:hAnsi="宋体" w:eastAsia="宋体" w:cs="宋体"/>
          <w:b w:val="0"/>
          <w:bCs w:val="0"/>
          <w:color w:val="000000"/>
          <w:sz w:val="24"/>
          <w:szCs w:val="24"/>
          <w:highlight w:val="none"/>
          <w:lang w:val="en-US" w:eastAsia="zh-CN" w:bidi="ar-SA"/>
        </w:rPr>
        <w:t xml:space="preserve">自2022年1月1日（以合同签订时间为准，无签订时间的以合同开始履行日期为准）</w:t>
      </w:r>
      <w:r>
        <w:rPr>
          <w:rFonts w:hint="eastAsia" w:ascii="宋体" w:hAnsi="宋体" w:eastAsia="宋体" w:cs="宋体"/>
          <w:b w:val="0"/>
          <w:bCs w:val="0"/>
          <w:color w:val="000000"/>
          <w:sz w:val="24"/>
          <w:szCs w:val="24"/>
          <w:highlight w:val="none"/>
          <w:lang w:val="en-US" w:eastAsia="zh-CN" w:bidi="ar-SA"/>
        </w:rPr>
        <w:t xml:space="preserve">承担过类似绿化养护项目，</w:t>
      </w:r>
      <w:r>
        <w:rPr>
          <w:rFonts w:hint="eastAsia" w:ascii="宋体" w:hAnsi="宋体" w:eastAsia="宋体" w:cs="宋体"/>
          <w:bCs/>
          <w:color w:val="000000"/>
          <w:sz w:val="24"/>
          <w:szCs w:val="24"/>
          <w:highlight w:val="none"/>
        </w:rPr>
        <w:t xml:space="preserve">有1个得</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 w:val="0"/>
          <w:bCs w:val="0"/>
          <w:color w:val="000000"/>
          <w:sz w:val="24"/>
          <w:szCs w:val="24"/>
          <w:highlight w:val="none"/>
          <w:lang w:val="en-US" w:eastAsia="zh-CN" w:bidi="ar-SA"/>
        </w:rPr>
        <w:t xml:space="preserve">本项最高得6分。</w:t>
      </w:r>
      <w:r>
        <w:rPr>
          <w:rFonts w:ascii="宋体" w:hAnsi="宋体" w:eastAsia="宋体" w:cs="宋体"/>
          <w:b w:val="0"/>
          <w:bCs w:val="0"/>
          <w:color w:val="000000"/>
          <w:sz w:val="24"/>
          <w:szCs w:val="24"/>
          <w:highlight w:val="none"/>
          <w:lang w:val="en-US" w:eastAsia="zh-CN" w:bidi="ar-SA"/>
        </w:rPr>
      </w:r>
      <w:r/>
    </w:p>
    <w:p>
      <w:pPr>
        <w:pStyle w:val="1548"/>
        <w:ind w:firstLine="480"/>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注：提供相关证明材料，包括证书、合同、验收证明（能够证明本项目已完成的证明材料）原件扫描件上传至投标文件并电子签章</w:t>
      </w:r>
      <w:r>
        <w:rPr>
          <w:rFonts w:hint="eastAsia" w:ascii="宋体" w:hAnsi="宋体" w:eastAsia="宋体" w:cs="宋体"/>
          <w:b/>
          <w:bCs/>
          <w:color w:val="000000"/>
          <w:sz w:val="24"/>
          <w:szCs w:val="24"/>
          <w:highlight w:val="none"/>
          <w:lang w:val="en-US" w:eastAsia="zh-CN" w:bidi="ar-SA"/>
        </w:rPr>
        <w:t xml:space="preserve">，不提供或提供不全本项不得分。</w:t>
      </w:r>
      <w:r>
        <w:rPr>
          <w:rFonts w:ascii="宋体" w:hAnsi="宋体" w:eastAsia="宋体" w:cs="宋体"/>
          <w:b/>
          <w:bCs/>
          <w:color w:val="000000"/>
          <w:sz w:val="24"/>
          <w:szCs w:val="24"/>
          <w:highlight w:val="none"/>
          <w:lang w:val="en-US" w:eastAsia="zh-CN" w:bidi="ar-SA"/>
        </w:rPr>
      </w:r>
      <w:r/>
    </w:p>
    <w:p>
      <w:pPr>
        <w:pStyle w:val="1548"/>
        <w:ind w:firstLine="480"/>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（2）体系证书（6分）</w:t>
      </w:r>
      <w:r>
        <w:rPr>
          <w:rFonts w:ascii="宋体" w:hAnsi="宋体" w:eastAsia="宋体" w:cs="宋体"/>
          <w:b/>
          <w:bCs/>
          <w:color w:val="000000"/>
          <w:sz w:val="24"/>
          <w:szCs w:val="24"/>
          <w:highlight w:val="none"/>
          <w:lang w:val="en-US" w:eastAsia="zh-CN" w:bidi="ar-SA"/>
        </w:rPr>
      </w:r>
      <w:r/>
    </w:p>
    <w:p>
      <w:pPr>
        <w:pStyle w:val="1548"/>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投标人</w:t>
      </w:r>
      <w:r>
        <w:rPr>
          <w:rFonts w:hint="eastAsia" w:ascii="宋体" w:hAnsi="宋体" w:eastAsia="宋体" w:cs="宋体"/>
          <w:b w:val="0"/>
          <w:bCs w:val="0"/>
          <w:color w:val="000000"/>
          <w:sz w:val="24"/>
          <w:szCs w:val="24"/>
          <w:highlight w:val="none"/>
          <w:lang w:val="en-US" w:eastAsia="zh-CN" w:bidi="ar-SA"/>
        </w:rPr>
        <w:t xml:space="preserve">具备有效期内的质量管理体系认证证书、环境管理体系认证证书、职业安全健康管理体系认证证书的，</w:t>
      </w:r>
      <w:r>
        <w:rPr>
          <w:rFonts w:hint="eastAsia" w:ascii="宋体" w:hAnsi="宋体" w:eastAsia="宋体" w:cs="宋体"/>
          <w:bCs/>
          <w:color w:val="000000"/>
          <w:sz w:val="24"/>
          <w:szCs w:val="24"/>
          <w:highlight w:val="none"/>
        </w:rPr>
        <w:t xml:space="preserve">有1个得</w:t>
      </w:r>
      <w:r>
        <w:rPr>
          <w:rFonts w:hint="eastAsia" w:ascii="宋体" w:hAnsi="宋体" w:eastAsia="宋体" w:cs="宋体"/>
          <w:bCs/>
          <w:color w:val="000000"/>
          <w:sz w:val="24"/>
          <w:szCs w:val="24"/>
          <w:highlight w:val="none"/>
          <w:lang w:val="en-US" w:eastAsia="zh-CN"/>
        </w:rPr>
        <w:t xml:space="preserve">2分，</w:t>
      </w:r>
      <w:r>
        <w:rPr>
          <w:rFonts w:hint="eastAsia" w:ascii="宋体" w:hAnsi="宋体" w:eastAsia="宋体" w:cs="宋体"/>
          <w:b w:val="0"/>
          <w:bCs w:val="0"/>
          <w:color w:val="000000"/>
          <w:sz w:val="24"/>
          <w:szCs w:val="24"/>
          <w:highlight w:val="none"/>
          <w:lang w:val="en-US" w:eastAsia="zh-CN" w:bidi="ar-SA"/>
        </w:rPr>
        <w:t xml:space="preserve">本项最高得6分。</w:t>
      </w:r>
      <w:r>
        <w:rPr>
          <w:rFonts w:hint="eastAsia" w:ascii="宋体" w:hAnsi="宋体" w:eastAsia="宋体" w:cs="宋体"/>
          <w:b w:val="0"/>
          <w:bCs w:val="0"/>
          <w:color w:val="000000"/>
          <w:sz w:val="24"/>
          <w:szCs w:val="24"/>
          <w:highlight w:val="none"/>
          <w:lang w:val="en-US" w:eastAsia="zh-CN" w:bidi="ar-SA"/>
        </w:rPr>
      </w:r>
      <w:r/>
    </w:p>
    <w:p>
      <w:pPr>
        <w:pStyle w:val="1548"/>
        <w:ind w:firstLine="48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注：提供相关证书原件扫描件及国家认证认可监督管理委员会官网www.cnca.gov.cn查询截图上传至投标文件并电子签章，未按要求提供不得分。</w:t>
      </w:r>
      <w:r>
        <w:rPr>
          <w:rFonts w:hint="eastAsia" w:ascii="宋体" w:hAnsi="宋体" w:eastAsia="宋体" w:cs="宋体"/>
          <w:b/>
          <w:bCs/>
          <w:color w:val="000000"/>
          <w:sz w:val="24"/>
          <w:szCs w:val="24"/>
          <w:highlight w:val="none"/>
          <w:lang w:val="en-US" w:eastAsia="zh-CN" w:bidi="ar-SA"/>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zh-CN"/>
        </w:rPr>
        <w:outlineLvl w:val="9"/>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zh-CN" w:eastAsia="zh-CN"/>
        </w:rPr>
        <w:t xml:space="preserve">专业证书</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分）</w:t>
      </w:r>
      <w:r>
        <w:rPr>
          <w:rFonts w:hint="eastAsia" w:ascii="宋体" w:hAnsi="宋体" w:eastAsia="宋体" w:cs="宋体"/>
          <w:b/>
          <w:bCs w:val="0"/>
          <w:color w:val="000000"/>
          <w:sz w:val="24"/>
          <w:szCs w:val="24"/>
          <w:highlight w:val="none"/>
          <w:lang w:val="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具备</w:t>
      </w:r>
      <w:r>
        <w:rPr>
          <w:rFonts w:hint="eastAsia" w:ascii="宋体" w:hAnsi="宋体" w:eastAsia="宋体" w:cs="宋体"/>
          <w:bCs/>
          <w:color w:val="000000"/>
          <w:sz w:val="24"/>
          <w:szCs w:val="24"/>
          <w:highlight w:val="none"/>
          <w:lang w:eastAsia="zh-CN"/>
        </w:rPr>
        <w:t xml:space="preserve">有效期内的有害生物防治服务资质证书的，得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注：提供相关证书扫描件上传至投标文件并电子签章，不提供或提供不全本项不得分。</w:t>
      </w:r>
      <w:r>
        <w:rPr>
          <w:rFonts w:hint="eastAsia" w:ascii="宋体" w:hAnsi="宋体" w:eastAsia="宋体" w:cs="宋体"/>
          <w:b/>
          <w:bCs w:val="0"/>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）机械设备配备（6分）</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在满足本项目设备基本要求的基础上：</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 xml:space="preserve">投标供应商拟投入运输车（核定载质量≥5吨）（用于运输材料），有1辆得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 xml:space="preserve">投标供应商拟投入客车（15座及以上，用于接送养护工人及应急作业），有1辆得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注：自有车辆提供车辆购置发票（发票抬头与投标人一致的发票）、车辆行驶证、车辆实景图片等相关证明材料原件扫描件附在投标文件中；若是租赁车辆需提供租赁协议（有效期需满足本项目养护期）、租赁发票、车辆购置发票、车辆行驶证以及含车牌的车辆实景图片等相关证明材料原件扫描件上传至投标文</w:t>
      </w:r>
      <w:r>
        <w:rPr>
          <w:rFonts w:hint="eastAsia" w:ascii="宋体" w:hAnsi="宋体" w:eastAsia="宋体" w:cs="宋体"/>
          <w:b/>
          <w:bCs w:val="0"/>
          <w:color w:val="000000"/>
          <w:sz w:val="24"/>
          <w:szCs w:val="24"/>
          <w:highlight w:val="none"/>
          <w:lang w:val="en-US" w:eastAsia="zh-CN"/>
        </w:rPr>
        <w:t xml:space="preserve">件并电子签章，或提供承诺书（承诺中标后签订合同前提供以上所有设备，并上传至投标文件并电子签章，格式自拟），不提供或提供不全者不得分。采购人根据招标文件、中标方的投标文件会同行业主管部门在进场作业前进行现场验收，确认后签订合同。中标方最迟于自中标公告发布之日起20天内按要求配齐作业车辆，将作业车辆集中至采购人指定的车辆停放场所现场核查，达到可规范使用状态，包括但不限于车辆设备的通行、作业。如中标方所配备的作业车辆没有达到招标文件规定要求，导致项目无法正常运行，采购人有权取消其中标资格，一切损失由中标单位负责。</w:t>
      </w:r>
      <w:r>
        <w:rPr>
          <w:rFonts w:hint="eastAsia" w:ascii="宋体" w:hAnsi="宋体" w:eastAsia="宋体" w:cs="宋体"/>
          <w:b/>
          <w:bCs w:val="0"/>
          <w:color w:val="000000"/>
          <w:sz w:val="24"/>
          <w:szCs w:val="24"/>
          <w:highlight w:val="none"/>
          <w:lang w:val="en-US" w:eastAsia="zh-CN"/>
        </w:rPr>
      </w:r>
      <w:r/>
    </w:p>
    <w:p>
      <w:pPr>
        <w:pStyle w:val="1576"/>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3、技术服务方案（</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lang w:val="en-US" w:eastAsia="zh-CN"/>
        </w:rPr>
        <w:t xml:space="preserve">分）</w:t>
      </w:r>
      <w:r>
        <w:rPr>
          <w:rFonts w:hint="eastAsia" w:ascii="宋体" w:hAnsi="宋体" w:eastAsia="宋体" w:cs="宋体"/>
          <w:b/>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草花种植方案（</w:t>
      </w:r>
      <w:r>
        <w:rPr>
          <w:rFonts w:hint="eastAsia" w:ascii="宋体" w:hAnsi="宋体" w:eastAsia="宋体" w:cs="宋体"/>
          <w:b/>
          <w:bCs w:val="0"/>
          <w:color w:val="000000"/>
          <w:sz w:val="24"/>
          <w:szCs w:val="24"/>
          <w:highlight w:val="none"/>
          <w:lang w:val="en-US" w:eastAsia="zh-CN"/>
        </w:rPr>
        <w:t xml:space="preserve">27</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①项目进度计划分（9分）</w:t>
      </w:r>
      <w:r>
        <w:rPr>
          <w:rFonts w:hint="eastAsia" w:ascii="宋体" w:hAnsi="宋体" w:eastAsia="宋体" w:cs="宋体"/>
          <w:bCs/>
          <w:color w:val="000000"/>
          <w:sz w:val="24"/>
          <w:szCs w:val="24"/>
          <w:highlight w:val="none"/>
          <w:lang w:val="en-US" w:eastAsia="zh-CN"/>
        </w:rPr>
        <w:t xml:space="preserve">，包括</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四个季度的草花种植时间安排（</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eastAsia="zh-CN"/>
        </w:rPr>
        <w:t xml:space="preserve">）；每次种植前与采购人确认品种的时间计划（</w:t>
      </w:r>
      <w:r>
        <w:rPr>
          <w:rFonts w:hint="eastAsia" w:ascii="宋体" w:hAnsi="宋体" w:eastAsia="宋体" w:cs="宋体"/>
          <w:bCs/>
          <w:color w:val="000000"/>
          <w:sz w:val="24"/>
          <w:szCs w:val="24"/>
          <w:highlight w:val="none"/>
          <w:lang w:val="en-US" w:eastAsia="zh-CN"/>
        </w:rPr>
        <w:t xml:space="preserve">3分</w:t>
      </w:r>
      <w:r>
        <w:rPr>
          <w:rFonts w:hint="eastAsia" w:ascii="宋体" w:hAnsi="宋体" w:eastAsia="宋体" w:cs="宋体"/>
          <w:bCs/>
          <w:color w:val="000000"/>
          <w:sz w:val="24"/>
          <w:szCs w:val="24"/>
          <w:highlight w:val="none"/>
          <w:lang w:val="en-US" w:eastAsia="zh-CN"/>
        </w:rPr>
        <w:t xml:space="preserve">）；每个季度施工工期安排（3分）；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②工期保证措施（9分）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包括：施工过程中采用先进的技术加快工期（3分）；配备合理劳动力（3分）；投入适当的材料和机械（3分）；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③安全文明保证措施方案（9分）</w:t>
      </w:r>
      <w:r>
        <w:rPr>
          <w:rFonts w:hint="eastAsia" w:ascii="宋体" w:hAnsi="宋体" w:eastAsia="宋体" w:cs="宋体"/>
          <w:bCs/>
          <w:color w:val="000000"/>
          <w:sz w:val="24"/>
          <w:szCs w:val="24"/>
          <w:highlight w:val="none"/>
          <w:lang w:val="en-US" w:eastAsia="zh-CN"/>
        </w:rPr>
        <w:t xml:space="preserve">，包括：施工时的道路交通保障（3分）；机械设备的安全操作不扰民，施工现场及施工后的环境卫生保洁（3分）；施工人员及材料机械管理方案（3分）；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（2）草花养护方案（23分）</w:t>
      </w:r>
      <w:r>
        <w:rPr>
          <w:rFonts w:hint="eastAsia" w:ascii="宋体" w:hAnsi="宋体" w:eastAsia="宋体" w:cs="宋体"/>
          <w:b/>
          <w:bCs w:val="0"/>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①按月份对草花进行养护管理（6分）</w:t>
      </w:r>
      <w:r>
        <w:rPr>
          <w:rFonts w:hint="eastAsia" w:ascii="宋体" w:hAnsi="宋体" w:eastAsia="宋体" w:cs="宋体"/>
          <w:bCs/>
          <w:color w:val="000000"/>
          <w:sz w:val="24"/>
          <w:szCs w:val="24"/>
          <w:highlight w:val="none"/>
          <w:lang w:val="en-US" w:eastAsia="zh-CN"/>
        </w:rPr>
        <w:t xml:space="preserve">，包括：根据不同品种草花分别描述除草（2分）；修剪补栽（2分）；浇水及施肥（2分）等养护方案；</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②养护工作考核制度（5分）</w:t>
      </w:r>
      <w:r>
        <w:rPr>
          <w:rFonts w:hint="eastAsia" w:ascii="宋体" w:hAnsi="宋体" w:eastAsia="宋体" w:cs="宋体"/>
          <w:bCs/>
          <w:color w:val="000000"/>
          <w:sz w:val="24"/>
          <w:szCs w:val="24"/>
          <w:highlight w:val="none"/>
          <w:lang w:val="en-US" w:eastAsia="zh-CN"/>
        </w:rPr>
        <w:t xml:space="preserve">，包括：检查表格（日检、周检、月检）（1分）；考核制度（1分）；自查自纠制度（1分）；奖惩制度（1分）；档案管理制度（1分）；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1分；以上内容存在1处瑕疵的该条得0.5分；未进行阐述或不满足采购需求或内容存在2处及以上瑕疵的该条得0分；本项最高得5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③草花病虫害防治措施阐述（4分）</w:t>
      </w:r>
      <w:r>
        <w:rPr>
          <w:rFonts w:hint="eastAsia" w:ascii="宋体" w:hAnsi="宋体" w:eastAsia="宋体" w:cs="宋体"/>
          <w:bCs/>
          <w:color w:val="000000"/>
          <w:sz w:val="24"/>
          <w:szCs w:val="24"/>
          <w:highlight w:val="none"/>
          <w:lang w:val="en-US" w:eastAsia="zh-CN"/>
        </w:rPr>
        <w:t xml:space="preserve">，包括：常见病害及防治方法（2分）；常见虫害及防治方法（2分）；</w:t>
      </w:r>
      <w:r>
        <w:rPr>
          <w:rFonts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4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④草花种植及后期养护过程应急保障措施（8分）</w:t>
      </w:r>
      <w:r>
        <w:rPr>
          <w:rFonts w:hint="eastAsia" w:ascii="宋体" w:hAnsi="宋体" w:eastAsia="宋体" w:cs="宋体"/>
          <w:bCs/>
          <w:color w:val="000000"/>
          <w:sz w:val="24"/>
          <w:szCs w:val="24"/>
          <w:highlight w:val="none"/>
          <w:lang w:val="en-US" w:eastAsia="zh-CN"/>
        </w:rPr>
        <w:t xml:space="preserve">，包括：冬季防寒防冻（2分）；雨季防涝排涝（2分）；大风扶正（2分）；干旱时期灌水（2分）；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投标人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8分。</w:t>
      </w:r>
      <w:r>
        <w:rPr>
          <w:rFonts w:hint="eastAsia" w:ascii="宋体" w:hAnsi="宋体" w:eastAsia="宋体" w:cs="宋体"/>
          <w:bCs/>
          <w:color w:val="000000"/>
          <w:sz w:val="24"/>
          <w:szCs w:val="24"/>
          <w:highlight w:val="none"/>
          <w:lang w:val="en-US"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宋体" w:hAnsi="宋体" w:eastAsia="宋体" w:cs="宋体"/>
          <w:b/>
          <w:bCs w:val="0"/>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技术标评委在5人及5人以上的，取所有成员的平均值。评分办法及评分细则的解释权属采购人。未列入本评分细则的其他条件不作为评分内容。</w:t>
      </w:r>
      <w:r>
        <w:rPr>
          <w:rFonts w:hint="eastAsia" w:ascii="宋体" w:hAnsi="宋体" w:eastAsia="宋体" w:cs="宋体"/>
          <w:bCs/>
          <w:color w:val="000000"/>
          <w:sz w:val="24"/>
          <w:szCs w:val="24"/>
          <w:highlight w:val="none"/>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
          <w:bCs w:val="0"/>
          <w:color w:val="000000"/>
          <w:sz w:val="24"/>
          <w:szCs w:val="24"/>
          <w:highlight w:val="none"/>
          <w:lang w:eastAsia="zh-CN"/>
        </w:rPr>
      </w:r>
      <w:r/>
    </w:p>
    <w:p>
      <w:pPr>
        <w:pStyle w:val="1528"/>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Cs/>
          <w:color w:val="000000"/>
          <w:sz w:val="24"/>
          <w:szCs w:val="24"/>
          <w:highlight w:val="none"/>
          <w:lang w:val="zh-CN" w:eastAsia="zh-CN"/>
        </w:rPr>
      </w:r>
      <w:r/>
    </w:p>
    <w:p>
      <w:pPr>
        <w:pStyle w:val="1528"/>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sectPr>
          <w:headerReference w:type="default" r:id="rId13"/>
          <w:footerReference w:type="default" r:id="rId25"/>
          <w:footerReference w:type="first" r:id="rId26"/>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528"/>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528"/>
        <w:rPr>
          <w:rFonts w:ascii="黑体" w:eastAsia="黑体"/>
          <w:bCs/>
          <w:color w:val="000000"/>
          <w:sz w:val="32"/>
          <w:highlight w:val="none"/>
        </w:rPr>
        <w:outlineLvl w:val="9"/>
      </w:pPr>
      <w:r>
        <w:rPr>
          <w:rFonts w:ascii="黑体" w:eastAsia="黑体"/>
          <w:bCs/>
          <w:color w:val="000000"/>
          <w:sz w:val="32"/>
          <w:highlight w:val="none"/>
        </w:rPr>
      </w:r>
      <w:r/>
    </w:p>
    <w:p>
      <w:pPr>
        <w:pStyle w:val="1528"/>
        <w:rPr>
          <w:rFonts w:ascii="黑体" w:eastAsia="黑体"/>
          <w:bCs/>
          <w:color w:val="000000"/>
          <w:sz w:val="32"/>
          <w:highlight w:val="none"/>
        </w:rPr>
        <w:outlineLvl w:val="9"/>
      </w:pPr>
      <w:r>
        <w:rPr>
          <w:rFonts w:ascii="黑体" w:eastAsia="黑体"/>
          <w:bCs/>
          <w:color w:val="000000"/>
          <w:sz w:val="3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528"/>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528"/>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528"/>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560"/>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1528"/>
        <w:rPr>
          <w:rFonts w:hint="eastAsia" w:ascii="宋体" w:hAnsi="宋体" w:cs="宋体"/>
          <w:color w:val="000000"/>
          <w:highlight w:val="none"/>
        </w:rPr>
        <w:outlineLvl w:val="9"/>
      </w:pPr>
      <w:r>
        <w:rPr>
          <w:rFonts w:hint="eastAsia" w:ascii="宋体" w:hAnsi="宋体" w:cs="宋体"/>
          <w:color w:val="000000"/>
          <w:highlight w:val="none"/>
        </w:rPr>
      </w:r>
      <w:r/>
    </w:p>
    <w:p>
      <w:pPr>
        <w:pStyle w:val="1528"/>
        <w:spacing w:line="360" w:lineRule="auto"/>
        <w:rPr>
          <w:rFonts w:hint="eastAsia" w:ascii="宋体" w:hAnsi="宋体" w:eastAsia="宋体" w:cs="宋体"/>
          <w:bCs/>
          <w:color w:val="000000"/>
          <w:sz w:val="30"/>
          <w:szCs w:val="30"/>
          <w:highlight w:val="none"/>
          <w:lang w:eastAsia="zh-CN"/>
        </w:rPr>
        <w:outlineLvl w:val="9"/>
      </w:pPr>
      <w:r/>
      <w:bookmarkStart w:id="39" w:name="_Toc3725"/>
      <w:r/>
      <w:bookmarkStart w:id="40" w:name="_Toc31708"/>
      <w:r>
        <w:rPr>
          <w:rFonts w:hint="eastAsia" w:ascii="宋体" w:hAnsi="宋体" w:cs="宋体"/>
          <w:bCs/>
          <w:color w:val="000000"/>
          <w:sz w:val="30"/>
          <w:szCs w:val="30"/>
          <w:highlight w:val="none"/>
        </w:rPr>
        <w:t xml:space="preserve">采购项目编号：</w:t>
      </w:r>
      <w:bookmarkEnd w:id="39"/>
      <w:r/>
      <w:bookmarkEnd w:id="40"/>
      <w:r>
        <w:rPr>
          <w:rFonts w:hint="eastAsia" w:ascii="宋体" w:hAnsi="宋体" w:cs="宋体"/>
          <w:color w:val="000000"/>
          <w:sz w:val="30"/>
          <w:szCs w:val="30"/>
          <w:highlight w:val="none"/>
          <w:lang w:eastAsia="zh-CN"/>
        </w:rPr>
        <w:t xml:space="preserve">JSZC-320205-THGC-G2025-0013</w:t>
      </w:r>
      <w:r>
        <w:rPr>
          <w:rFonts w:hint="eastAsia" w:ascii="宋体" w:hAnsi="宋体" w:eastAsia="宋体" w:cs="宋体"/>
          <w:bCs/>
          <w:color w:val="000000"/>
          <w:sz w:val="30"/>
          <w:szCs w:val="30"/>
          <w:highlight w:val="none"/>
          <w:lang w:eastAsia="zh-CN"/>
        </w:rPr>
      </w:r>
      <w:r/>
    </w:p>
    <w:p>
      <w:pPr>
        <w:pStyle w:val="1528"/>
        <w:ind w:left="2249" w:hanging="21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厚桥街道绿化养护项目N标段</w:t>
      </w:r>
      <w:r>
        <w:rPr>
          <w:rFonts w:hint="eastAsia" w:ascii="宋体" w:hAnsi="宋体" w:eastAsia="宋体" w:cs="Times New Roman"/>
          <w:b w:val="0"/>
          <w:bCs/>
          <w:color w:val="000000"/>
          <w:sz w:val="30"/>
          <w:szCs w:val="30"/>
          <w:highlight w:val="none"/>
          <w:lang w:eastAsia="zh-CN"/>
        </w:rPr>
      </w:r>
      <w:r/>
    </w:p>
    <w:p>
      <w:pPr>
        <w:pStyle w:val="1528"/>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528"/>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r>
      <w:r/>
    </w:p>
    <w:p>
      <w:pPr>
        <w:pStyle w:val="1528"/>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41" w:name="一．报价函（格式）"/>
      <w:r/>
      <w:bookmarkEnd w:id="41"/>
      <w:r>
        <w:rPr>
          <w:rFonts w:hint="eastAsia" w:ascii="宋体" w:hAnsi="宋体" w:cs="宋体"/>
          <w:bCs/>
          <w:color w:val="000000"/>
          <w:sz w:val="28"/>
          <w:szCs w:val="28"/>
          <w:highlight w:val="none"/>
        </w:rPr>
      </w:r>
      <w:r/>
    </w:p>
    <w:p>
      <w:pPr>
        <w:pStyle w:val="1528"/>
        <w:jc w:val="center"/>
        <w:rPr>
          <w:rFonts w:hint="eastAsia" w:ascii="宋体" w:hAnsi="宋体" w:cs="宋体"/>
          <w:bCs/>
          <w:color w:val="000000"/>
          <w:sz w:val="28"/>
          <w:szCs w:val="28"/>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528"/>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528"/>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528"/>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528"/>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我方收到贵方采购项目编号</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招标文件，经仔细阅读和研究，我方决定参加此次</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w:t>
      </w:r>
      <w:r>
        <w:rPr>
          <w:rFonts w:hint="eastAsia" w:ascii="宋体" w:hAnsi="宋体" w:cs="宋体"/>
          <w:bCs/>
          <w:color w:val="000000"/>
          <w:sz w:val="24"/>
          <w:szCs w:val="24"/>
          <w:highlight w:val="none"/>
        </w:rPr>
      </w:r>
      <w:r/>
    </w:p>
    <w:p>
      <w:pPr>
        <w:pStyle w:val="1528"/>
        <w:numPr>
          <w:ilvl w:val="0"/>
          <w:numId w:val="2"/>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我方愿意按照招标文件的一切要求，提供本项目的投标，投标总价见《开标一览表》。</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583"/>
          <w:rFonts w:hint="eastAsia"/>
          <w:bCs/>
          <w:color w:val="000000"/>
          <w:highlight w:val="none"/>
        </w:rPr>
        <w:outlineLvl w:val="9"/>
      </w:pPr>
      <w:r>
        <w:rPr>
          <w:rFonts w:hint="eastAsia" w:ascii="宋体" w:hAnsi="宋体" w:cs="宋体"/>
          <w:bCs/>
          <w:color w:val="000000"/>
          <w:sz w:val="24"/>
          <w:szCs w:val="24"/>
          <w:highlight w:val="none"/>
        </w:rPr>
        <w:t xml:space="preserve">我方愿意提供招标文件中要求的文件、资料。</w:t>
      </w:r>
      <w:r>
        <w:rPr>
          <w:rStyle w:val="1583"/>
          <w:rFonts w:hint="eastAsia"/>
          <w:bCs/>
          <w:color w:val="000000"/>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我方同意按招标文件中的规定，本投标文件投标的有效期限为开标之日起90天。</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如果我方的投标文件被接受，我方将履行招标文件中规定的每一项要求，按期、按质、按量，完成服务任务。</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我方认为</w:t>
      </w:r>
      <w:r>
        <w:rPr>
          <w:rFonts w:hint="eastAsia" w:ascii="宋体" w:hAnsi="宋体" w:cs="宋体"/>
          <w:bCs/>
          <w:color w:val="000000"/>
          <w:sz w:val="24"/>
          <w:szCs w:val="24"/>
          <w:highlight w:val="none"/>
          <w:lang w:eastAsia="zh-CN"/>
        </w:rPr>
        <w:t xml:space="preserve">采购代理机构</w:t>
      </w:r>
      <w:r>
        <w:rPr>
          <w:rFonts w:hint="eastAsia" w:ascii="宋体" w:hAnsi="宋体" w:cs="宋体"/>
          <w:bCs/>
          <w:color w:val="000000"/>
          <w:sz w:val="24"/>
          <w:szCs w:val="24"/>
          <w:highlight w:val="none"/>
        </w:rPr>
        <w:t xml:space="preserve">有权决定中标者。</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s="宋体"/>
          <w:color w:val="000000"/>
          <w:sz w:val="24"/>
          <w:szCs w:val="24"/>
          <w:highlight w:val="none"/>
        </w:rPr>
        <w:t xml:space="preserve">和</w:t>
      </w:r>
      <w:r>
        <w:rPr>
          <w:rFonts w:hint="eastAsia" w:ascii="宋体" w:hAnsi="宋体" w:cs="宋体"/>
          <w:bCs/>
          <w:color w:val="000000"/>
          <w:sz w:val="24"/>
          <w:szCs w:val="24"/>
          <w:highlight w:val="none"/>
        </w:rPr>
        <w:t xml:space="preserve">合同条款履行自己的全部责任。</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我方认可并遵守招标文件的所有规定，放弃对招标文件提出质疑的权利。</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如果我方被确定为中标供应商，我方愿意</w:t>
      </w:r>
      <w:r>
        <w:rPr>
          <w:rFonts w:hint="eastAsia" w:ascii="宋体" w:hAnsi="宋体" w:cs="宋体"/>
          <w:color w:val="000000"/>
          <w:sz w:val="24"/>
          <w:szCs w:val="24"/>
          <w:highlight w:val="none"/>
        </w:rPr>
        <w:t xml:space="preserve">向</w:t>
      </w:r>
      <w:r>
        <w:rPr>
          <w:rFonts w:hint="eastAsia" w:ascii="宋体" w:hAnsi="宋体" w:cs="宋体"/>
          <w:bCs/>
          <w:color w:val="000000"/>
          <w:sz w:val="24"/>
          <w:szCs w:val="24"/>
          <w:highlight w:val="none"/>
        </w:rPr>
        <w:t xml:space="preserve">采购人</w:t>
      </w:r>
      <w:r>
        <w:rPr>
          <w:rFonts w:hint="eastAsia" w:ascii="宋体" w:hAnsi="宋体" w:cs="宋体"/>
          <w:bCs/>
          <w:color w:val="000000"/>
          <w:sz w:val="24"/>
          <w:szCs w:val="24"/>
          <w:highlight w:val="none"/>
          <w:lang w:eastAsia="zh-CN"/>
        </w:rPr>
        <w:t xml:space="preserve">缴纳</w:t>
      </w:r>
      <w:r>
        <w:rPr>
          <w:rFonts w:hint="eastAsia" w:ascii="宋体" w:hAnsi="宋体" w:cs="宋体"/>
          <w:bCs/>
          <w:color w:val="000000"/>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rPr>
          <w:rFonts w:hint="eastAsia" w:ascii="宋体" w:hAnsi="宋体" w:cs="宋体"/>
          <w:bCs/>
          <w:color w:val="000000"/>
          <w:sz w:val="24"/>
          <w:szCs w:val="24"/>
          <w:highlight w:val="none"/>
        </w:rPr>
      </w:r>
      <w:r/>
    </w:p>
    <w:p>
      <w:pPr>
        <w:pStyle w:val="152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cs="宋体"/>
          <w:bCs/>
          <w:color w:val="000000"/>
          <w:sz w:val="24"/>
          <w:szCs w:val="24"/>
          <w:highlight w:val="none"/>
          <w:lang w:eastAsia="zh-CN"/>
        </w:rPr>
        <w:t xml:space="preserve">其他</w:t>
      </w:r>
      <w:r>
        <w:rPr>
          <w:rFonts w:hint="eastAsia" w:ascii="宋体" w:hAnsi="宋体" w:cs="宋体"/>
          <w:bCs/>
          <w:color w:val="000000"/>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bCs/>
          <w:color w:val="000000"/>
          <w:sz w:val="24"/>
          <w:szCs w:val="24"/>
          <w:highlight w:val="none"/>
        </w:rPr>
      </w:r>
      <w:r/>
    </w:p>
    <w:p>
      <w:pPr>
        <w:pStyle w:val="1528"/>
        <w:ind w:firstLine="72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528"/>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jc w:val="center"/>
        <w:rPr>
          <w:rFonts w:hint="eastAsia" w:ascii="宋体" w:hAnsi="宋体" w:cs="宋体"/>
          <w:bCs/>
          <w:color w:val="000000"/>
          <w:sz w:val="24"/>
          <w:szCs w:val="24"/>
          <w:highlight w:val="none"/>
        </w:rPr>
        <w:outlineLvl w:val="9"/>
      </w:pPr>
      <w:r/>
      <w:bookmarkStart w:id="42" w:name="报价方关于资格的声明函（格式）"/>
      <w:r/>
      <w:bookmarkEnd w:id="42"/>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528"/>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528"/>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528"/>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36"/>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528"/>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ascii="宋体" w:hAnsi="宋体" w:cs="宋体"/>
          <w:bCs/>
          <w:color w:val="000000"/>
          <w:sz w:val="24"/>
          <w:szCs w:val="24"/>
          <w:highlight w:val="none"/>
          <w:lang w:eastAsia="zh-CN"/>
        </w:rPr>
        <w:t xml:space="preserve">〔2022〕3号</w:t>
      </w:r>
      <w:r>
        <w:rPr>
          <w:rFonts w:hint="eastAsia" w:ascii="宋体" w:hAnsi="宋体" w:cs="宋体"/>
          <w:bCs/>
          <w:color w:val="000000"/>
          <w:sz w:val="24"/>
          <w:szCs w:val="24"/>
          <w:highlight w:val="none"/>
        </w:rPr>
        <w:t xml:space="preserve">为准]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r>
      <w:r/>
    </w:p>
    <w:p>
      <w:pPr>
        <w:pStyle w:val="1528"/>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43" w:name="_Toc2444"/>
      <w:r/>
      <w:bookmarkStart w:id="44" w:name="_Toc32348"/>
      <w:r>
        <w:rPr>
          <w:rFonts w:hint="eastAsia" w:ascii="宋体" w:hAnsi="宋体" w:cs="宋体"/>
          <w:bCs/>
          <w:color w:val="000000"/>
          <w:sz w:val="24"/>
          <w:szCs w:val="24"/>
          <w:highlight w:val="none"/>
        </w:rPr>
      </w:r>
      <w:r/>
    </w:p>
    <w:p>
      <w:pPr>
        <w:pStyle w:val="1528"/>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43"/>
      <w:r/>
      <w:bookmarkEnd w:id="44"/>
      <w:r>
        <w:rPr>
          <w:rFonts w:hint="eastAsia" w:ascii="宋体" w:hAnsi="宋体" w:cs="宋体"/>
          <w:bCs/>
          <w:color w:val="000000"/>
          <w:sz w:val="24"/>
          <w:szCs w:val="24"/>
          <w:highlight w:val="none"/>
        </w:rPr>
      </w:r>
      <w:r/>
    </w:p>
    <w:p>
      <w:pPr>
        <w:pStyle w:val="1528"/>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采购项目编号：</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528"/>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528"/>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528"/>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528"/>
        <w:rPr>
          <w:rFonts w:hint="eastAsia" w:ascii="宋体" w:hAnsi="宋体" w:cs="宋体"/>
          <w:b/>
          <w:bCs w:val="0"/>
          <w:color w:val="000000"/>
          <w:sz w:val="28"/>
          <w:szCs w:val="28"/>
          <w:highlight w:val="none"/>
        </w:rPr>
        <w:outlineLvl w:val="9"/>
      </w:pPr>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rPr>
      </w:pPr>
      <w:r>
        <w:rPr>
          <w:rFonts w:hint="eastAsia"/>
        </w:rPr>
      </w:r>
      <w:r/>
    </w:p>
    <w:p>
      <w:pPr>
        <w:pStyle w:val="1528"/>
        <w:rPr>
          <w:rFonts w:hint="eastAsia"/>
          <w:b/>
          <w:bCs w:val="0"/>
          <w:color w:val="000000"/>
          <w:sz w:val="22"/>
          <w:szCs w:val="21"/>
          <w:highlight w:val="none"/>
        </w:rPr>
        <w:outlineLvl w:val="9"/>
      </w:pPr>
      <w:r>
        <w:rPr>
          <w:rFonts w:hint="eastAsia" w:ascii="宋体" w:hAnsi="宋体" w:cs="宋体"/>
          <w:b/>
          <w:bCs w:val="0"/>
          <w:color w:val="000000"/>
          <w:sz w:val="28"/>
          <w:szCs w:val="28"/>
          <w:highlight w:val="none"/>
        </w:rPr>
        <w:t xml:space="preserve">法定代表人授权代表身份证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扫描件：（法定代表人亲自参与投标的除外）</w:t>
      </w:r>
      <w:r>
        <w:rPr>
          <w:rFonts w:hint="eastAsia"/>
          <w:b/>
          <w:bCs w:val="0"/>
          <w:color w:val="000000"/>
          <w:sz w:val="22"/>
          <w:szCs w:val="21"/>
          <w:highlight w:val="none"/>
        </w:rPr>
      </w:r>
      <w:r/>
    </w:p>
    <w:p>
      <w:pPr>
        <w:pStyle w:val="1528"/>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585"/>
        <w:ind w:left="0" w:firstLine="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8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rPr>
          <w:rFonts w:hint="eastAsia"/>
        </w:rPr>
      </w:pPr>
      <w:r>
        <w:rPr>
          <w:rFonts w:hint="eastAsia"/>
        </w:rPr>
      </w:r>
      <w:r/>
    </w:p>
    <w:p>
      <w:pPr>
        <w:pStyle w:val="1528"/>
        <w:ind w:firstLine="480"/>
        <w:spacing w:line="360" w:lineRule="auto"/>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eastAsia="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528"/>
        <w:jc w:val="center"/>
        <w:spacing w:line="360" w:lineRule="auto"/>
        <w:rPr>
          <w:rFonts w:ascii="宋体" w:hAnsi="宋体"/>
          <w:b/>
          <w:sz w:val="28"/>
          <w:szCs w:val="28"/>
          <w:highlight w:val="none"/>
        </w:rPr>
      </w:pPr>
      <w:r>
        <w:rPr>
          <w:rFonts w:ascii="宋体" w:hAnsi="宋体"/>
          <w:b/>
          <w:sz w:val="28"/>
          <w:szCs w:val="28"/>
          <w:highlight w:val="none"/>
        </w:rPr>
      </w:r>
      <w:r/>
    </w:p>
    <w:p>
      <w:pPr>
        <w:pStyle w:val="1528"/>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528"/>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528"/>
        <w:ind w:firstLine="612"/>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ascii="宋体" w:hAnsi="宋体"/>
          <w:sz w:val="24"/>
          <w:szCs w:val="24"/>
          <w:highlight w:val="none"/>
        </w:rPr>
      </w:r>
      <w:r/>
    </w:p>
    <w:p>
      <w:pPr>
        <w:pStyle w:val="1528"/>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528"/>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528"/>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
          <w:bCs w:val="0"/>
          <w:color w:val="000000"/>
          <w:sz w:val="28"/>
          <w:szCs w:val="28"/>
          <w:highlight w:val="none"/>
        </w:rPr>
        <w:outlineLvl w:val="9"/>
      </w:pPr>
      <w:r/>
      <w:bookmarkStart w:id="45" w:name="_Toc19047"/>
      <w:r/>
      <w:bookmarkStart w:id="46" w:name="_Toc7396"/>
      <w:r>
        <w:rPr>
          <w:rFonts w:hint="eastAsia" w:ascii="宋体" w:hAnsi="宋体" w:cs="宋体"/>
          <w:b/>
          <w:bCs w:val="0"/>
          <w:color w:val="000000"/>
          <w:sz w:val="28"/>
          <w:szCs w:val="28"/>
          <w:highlight w:val="none"/>
        </w:rPr>
        <w:t xml:space="preserve">投标人法定代表人身份证</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lang w:val="en-US" w:eastAsia="zh-CN"/>
        </w:rPr>
        <w:t xml:space="preserve">正、反面</w:t>
      </w:r>
      <w:r>
        <w:rPr>
          <w:rFonts w:hint="eastAsia" w:ascii="宋体" w:hAnsi="宋体" w:cs="宋体"/>
          <w:b/>
          <w:bCs w:val="0"/>
          <w:color w:val="000000"/>
          <w:sz w:val="28"/>
          <w:szCs w:val="28"/>
          <w:highlight w:val="none"/>
          <w:lang w:eastAsia="zh-CN"/>
        </w:rPr>
        <w:t xml:space="preserve">）</w:t>
      </w:r>
      <w:r>
        <w:rPr>
          <w:rFonts w:hint="eastAsia" w:ascii="宋体" w:hAnsi="宋体" w:cs="宋体"/>
          <w:b/>
          <w:bCs w:val="0"/>
          <w:color w:val="000000"/>
          <w:sz w:val="28"/>
          <w:szCs w:val="28"/>
          <w:highlight w:val="none"/>
        </w:rPr>
        <w:t xml:space="preserve">扫描件：</w:t>
      </w:r>
      <w:r>
        <w:rPr>
          <w:rFonts w:hint="eastAsia" w:ascii="宋体" w:hAnsi="宋体" w:cs="宋体"/>
          <w:b/>
          <w:bCs w:val="0"/>
          <w:color w:val="000000"/>
          <w:sz w:val="28"/>
          <w:szCs w:val="28"/>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8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85"/>
        <w:rPr>
          <w:rFonts w:hint="eastAsia"/>
        </w:rPr>
      </w:pPr>
      <w:r>
        <w:rPr>
          <w:rFonts w:hint="eastAsia"/>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45"/>
      <w:r/>
      <w:bookmarkEnd w:id="46"/>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ind w:left="0" w:right="0" w:firstLine="0"/>
        <w:jc w:val="center"/>
        <w:spacing w:line="360" w:lineRule="auto"/>
        <w:tabs>
          <w:tab w:val="left" w:pos="0" w:leader="none"/>
          <w:tab w:val="left" w:pos="315" w:leader="none"/>
          <w:tab w:val="left" w:pos="525" w:leader="none"/>
          <w:tab w:val="left" w:pos="945" w:leader="none"/>
          <w:tab w:val="left" w:pos="1050" w:leader="none"/>
        </w:tabs>
        <w:rPr>
          <w:rFonts w:hint="eastAsia" w:ascii="宋体" w:hAnsi="宋体"/>
          <w:b/>
          <w:bCs/>
          <w:sz w:val="24"/>
          <w:highlight w:val="none"/>
        </w:rPr>
      </w:pPr>
      <w:r>
        <w:rPr>
          <w:rFonts w:hint="eastAsia" w:ascii="宋体" w:hAnsi="宋体"/>
          <w:b/>
          <w:bCs/>
          <w:sz w:val="24"/>
          <w:highlight w:val="none"/>
        </w:rPr>
        <w:t xml:space="preserve">承诺书</w:t>
      </w:r>
      <w:r>
        <w:rPr>
          <w:rFonts w:hint="eastAsia" w:ascii="宋体" w:hAnsi="宋体"/>
          <w:b/>
          <w:bCs/>
          <w:sz w:val="24"/>
          <w:highlight w:val="none"/>
        </w:rPr>
      </w:r>
      <w:r/>
    </w:p>
    <w:p>
      <w:pPr>
        <w:pStyle w:val="1528"/>
        <w:ind w:firstLine="3840"/>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2"/>
          <w:highlight w:val="none"/>
          <w:lang w:eastAsia="zh-CN"/>
        </w:rPr>
        <w:t xml:space="preserve">供应商</w:t>
      </w:r>
      <w:r>
        <w:rPr>
          <w:rFonts w:hint="eastAsia" w:ascii="宋体" w:hAnsi="宋体" w:eastAsia="宋体" w:cs="宋体"/>
          <w:color w:val="000000"/>
          <w:sz w:val="24"/>
          <w:szCs w:val="24"/>
          <w:highlight w:val="none"/>
        </w:rPr>
        <w:t xml:space="preserve">名称）在此承诺：</w:t>
      </w:r>
      <w:r>
        <w:rPr>
          <w:rFonts w:hint="eastAsia" w:ascii="宋体" w:hAnsi="宋体" w:eastAsia="宋体" w:cs="宋体"/>
          <w:color w:val="000000"/>
          <w:sz w:val="24"/>
          <w:szCs w:val="24"/>
          <w:highlight w:val="none"/>
        </w:rPr>
      </w:r>
      <w:r/>
    </w:p>
    <w:p>
      <w:pPr>
        <w:pStyle w:val="1528"/>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1．本公司（单位）对本项目（       ）提供符合采购要求的产品和服务；</w:t>
      </w: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2．本公司（单位）具备履行合同所必需的服务和专业技术能力；</w:t>
      </w: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t xml:space="preserve">．</w:t>
      </w:r>
      <w:r>
        <w:rPr>
          <w:rFonts w:hint="eastAsia" w:ascii="宋体" w:hAnsi="宋体"/>
          <w:bCs/>
          <w:color w:val="000000"/>
          <w:sz w:val="24"/>
          <w:highlight w:val="none"/>
        </w:rPr>
        <w:t xml:space="preserve">本公司未被“信用中国”网站（www.creditchina.gov.cn）、中国政府采购网（www.ccgp.gov.cn）列入失信被执行人、重大税收违法案件当事人名单、政府采购严重违法失信行为记录名单。</w:t>
      </w:r>
      <w:r>
        <w:rPr>
          <w:rFonts w:hint="eastAsia" w:ascii="宋体" w:hAnsi="宋体"/>
          <w:bCs/>
          <w:color w:val="000000"/>
          <w:sz w:val="24"/>
          <w:highlight w:val="none"/>
        </w:rPr>
      </w:r>
      <w:r/>
    </w:p>
    <w:p>
      <w:pPr>
        <w:pStyle w:val="1528"/>
        <w:ind w:firstLine="480"/>
        <w:jc w:val="left"/>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t xml:space="preserve">如违背上述承诺，本公司（单位）将承担一切法律责任。</w:t>
      </w:r>
      <w:r>
        <w:rPr>
          <w:rFonts w:hint="eastAsia" w:ascii="宋体" w:hAnsi="宋体"/>
          <w:bCs/>
          <w:color w:val="000000"/>
          <w:sz w:val="24"/>
          <w:highlight w:val="none"/>
        </w:rPr>
      </w:r>
      <w:r/>
    </w:p>
    <w:p>
      <w:pPr>
        <w:pStyle w:val="1528"/>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jc w:val="left"/>
        <w:spacing w:line="360" w:lineRule="auto"/>
        <w:tabs>
          <w:tab w:val="left" w:pos="0" w:leader="none"/>
          <w:tab w:val="left" w:pos="315" w:leader="none"/>
          <w:tab w:val="left" w:pos="525" w:leader="none"/>
          <w:tab w:val="left" w:pos="945" w:leader="none"/>
          <w:tab w:val="left" w:pos="1050" w:leader="none"/>
        </w:tabs>
        <w:rPr>
          <w:rFonts w:hint="eastAsia" w:ascii="宋体" w:hAnsi="宋体"/>
          <w:bCs/>
          <w:color w:val="000000"/>
          <w:sz w:val="24"/>
          <w:highlight w:val="none"/>
        </w:rPr>
      </w:pPr>
      <w:r>
        <w:rPr>
          <w:rFonts w:hint="eastAsia" w:ascii="宋体" w:hAnsi="宋体"/>
          <w:bCs/>
          <w:color w:val="000000"/>
          <w:sz w:val="24"/>
          <w:highlight w:val="none"/>
        </w:rPr>
      </w:r>
      <w:r/>
    </w:p>
    <w:p>
      <w:pPr>
        <w:pStyle w:val="1528"/>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Cs/>
          <w:color w:val="000000"/>
          <w:sz w:val="24"/>
          <w:szCs w:val="24"/>
          <w:highlight w:val="none"/>
        </w:rPr>
      </w:r>
      <w:r/>
    </w:p>
    <w:p>
      <w:pPr>
        <w:pStyle w:val="1528"/>
        <w:ind w:firstLine="480"/>
        <w:spacing w:line="480" w:lineRule="auto"/>
        <w:rPr>
          <w:rFonts w:hint="eastAsia" w:ascii="宋体" w:hAnsi="宋体" w:eastAsia="宋体" w:cs="宋体"/>
          <w:color w:val="000000"/>
          <w:sz w:val="21"/>
          <w:szCs w:val="22"/>
          <w:highlight w:val="none"/>
        </w:rPr>
        <w:sectPr>
          <w:headerReference w:type="default" r:id="rId14"/>
          <w:headerReference w:type="first" r:id="rId15"/>
          <w:footerReference w:type="default" r:id="rId27"/>
          <w:footerReference w:type="first" r:id="rId28"/>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sz w:val="24"/>
          <w:szCs w:val="24"/>
          <w:highlight w:val="none"/>
        </w:rPr>
        <w:t xml:space="preserve">法定代表人或法定代表人授权代表签字或盖章：</w:t>
      </w:r>
      <w:r>
        <w:rPr>
          <w:rFonts w:hint="eastAsia" w:ascii="宋体" w:hAnsi="宋体" w:eastAsia="宋体" w:cs="宋体"/>
          <w:color w:val="000000"/>
          <w:sz w:val="21"/>
          <w:szCs w:val="22"/>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548"/>
        <w:rPr>
          <w:rFonts w:hint="eastAsia"/>
          <w:color w:val="000000"/>
          <w:highlight w:val="none"/>
        </w:rPr>
        <w:outlineLvl w:val="9"/>
      </w:pPr>
      <w:r>
        <w:rPr>
          <w:rFonts w:hint="eastAsia"/>
          <w:color w:val="000000"/>
          <w:highlight w:val="none"/>
        </w:rPr>
      </w:r>
      <w:r/>
    </w:p>
    <w:p>
      <w:pPr>
        <w:pStyle w:val="1528"/>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eastAsia="宋体" w:cs="宋体"/>
          <w:b w:val="0"/>
          <w:bCs/>
          <w:color w:val="000000"/>
          <w:sz w:val="24"/>
          <w:szCs w:val="24"/>
          <w:highlight w:val="none"/>
          <w:lang w:eastAsia="zh-CN"/>
        </w:rPr>
        <w:t xml:space="preserve">JSZC-320205-THGC-G2025-0013</w:t>
      </w:r>
      <w:r>
        <w:rPr>
          <w:rFonts w:hint="eastAsia" w:ascii="宋体" w:hAnsi="宋体" w:eastAsia="宋体" w:cs="宋体"/>
          <w:b w:val="0"/>
          <w:bCs/>
          <w:color w:val="000000"/>
          <w:sz w:val="24"/>
          <w:szCs w:val="24"/>
          <w:highlight w:val="none"/>
          <w:u w:val="none"/>
          <w:lang w:val="en-US" w:eastAsia="zh-CN"/>
        </w:rPr>
      </w:r>
      <w:r/>
    </w:p>
    <w:p>
      <w:pPr>
        <w:pStyle w:val="1528"/>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528"/>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528"/>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52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528"/>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4"/>
                <w:highlight w:val="none"/>
                <w:u w:val="none"/>
                <w:lang w:val="en-US"/>
              </w:rPr>
            </w:r>
            <w:r/>
          </w:p>
        </w:tc>
        <w:tc>
          <w:tcPr>
            <w:tcW w:w="3712" w:type="dxa"/>
            <w:vAlign w:val="center"/>
            <w:textDirection w:val="lrTb"/>
            <w:noWrap w:val="false"/>
          </w:tcPr>
          <w:p>
            <w:pPr>
              <w:pStyle w:val="1528"/>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52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pStyle w:val="152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pStyle w:val="152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7"/>
        </w:trPr>
        <w:tc>
          <w:tcPr>
            <w:tcW w:w="2419" w:type="dxa"/>
            <w:vAlign w:val="center"/>
            <w:textDirection w:val="lrTb"/>
            <w:noWrap w:val="false"/>
          </w:tcPr>
          <w:p>
            <w:pPr>
              <w:pStyle w:val="1528"/>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rPr>
                <w:rFonts w:hint="eastAsia" w:ascii="宋体" w:hAnsi="宋体" w:eastAsia="宋体" w:cs="宋体"/>
                <w:color w:val="000000"/>
                <w:sz w:val="24"/>
                <w:szCs w:val="24"/>
                <w:highlight w:val="none"/>
                <w:lang w:val="en-US" w:eastAsia="zh-CN"/>
              </w:rPr>
            </w:r>
            <w:r/>
          </w:p>
        </w:tc>
        <w:tc>
          <w:tcPr>
            <w:gridSpan w:val="2"/>
            <w:tcW w:w="7424" w:type="dxa"/>
            <w:vAlign w:val="center"/>
            <w:textDirection w:val="lrTb"/>
            <w:noWrap w:val="false"/>
          </w:tcPr>
          <w:p>
            <w:pPr>
              <w:pStyle w:val="152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528"/>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528"/>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528"/>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28"/>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28"/>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528"/>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left="720" w:hanging="720"/>
        <w:spacing w:line="400" w:lineRule="exact"/>
        <w:rPr>
          <w:rFonts w:hint="eastAsia" w:ascii="宋体" w:hAnsi="宋体" w:cs="宋体"/>
          <w:bCs/>
          <w:color w:val="000000"/>
          <w:sz w:val="24"/>
          <w:szCs w:val="24"/>
          <w:highlight w:val="none"/>
        </w:rPr>
        <w:sectPr>
          <w:footerReference w:type="default" r:id="rId29"/>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528"/>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报价明细表</w:t>
      </w:r>
      <w:r>
        <w:rPr>
          <w:rFonts w:hint="eastAsia" w:ascii="宋体" w:hAnsi="宋体" w:eastAsia="宋体" w:cs="宋体"/>
          <w:bCs/>
          <w:color w:val="000000"/>
          <w:sz w:val="24"/>
          <w:szCs w:val="24"/>
          <w:highlight w:val="none"/>
        </w:rPr>
      </w:r>
      <w:r/>
    </w:p>
    <w:p>
      <w:pPr>
        <w:pStyle w:val="1528"/>
        <w:spacing w:line="480" w:lineRule="exact"/>
        <w:rPr>
          <w:rFonts w:hint="eastAsia" w:ascii="宋体" w:hAnsi="宋体" w:eastAsia="宋体" w:cs="Times New Roman"/>
          <w:bCs/>
          <w:sz w:val="24"/>
          <w:szCs w:val="24"/>
          <w:highlight w:val="none"/>
        </w:rPr>
        <w:outlineLvl w:val="9"/>
      </w:pPr>
      <w:r>
        <w:rPr>
          <w:rFonts w:hint="eastAsia" w:ascii="宋体" w:hAnsi="宋体" w:eastAsia="宋体" w:cs="Times New Roman"/>
          <w:bCs/>
          <w:sz w:val="24"/>
          <w:szCs w:val="24"/>
          <w:highlight w:val="none"/>
        </w:rPr>
        <w:t xml:space="preserve">项目名称：</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 xml:space="preserve">采购项目编号：</w:t>
      </w:r>
      <w:r>
        <w:rPr>
          <w:rFonts w:hint="eastAsia" w:ascii="宋体" w:hAnsi="宋体" w:eastAsia="宋体" w:cs="Times New Roman"/>
          <w:bCs/>
          <w:sz w:val="24"/>
          <w:szCs w:val="24"/>
          <w:highlight w:val="none"/>
        </w:rPr>
      </w:r>
      <w:r/>
    </w:p>
    <w:tbl>
      <w:tblPr>
        <w:tblW w:w="872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68"/>
        <w:gridCol w:w="3360"/>
        <w:gridCol w:w="1057"/>
        <w:gridCol w:w="1058"/>
        <w:gridCol w:w="1042"/>
        <w:gridCol w:w="1043"/>
      </w:tblGrid>
      <w:tr>
        <w:trPr>
          <w:trHeight w:val="270"/>
        </w:trPr>
        <w:tc>
          <w:tcPr>
            <w:tcW w:w="1168" w:type="dxa"/>
            <w:vAlign w:val="center"/>
            <w:vMerge w:val="restart"/>
            <w:textDirection w:val="lrTb"/>
            <w:noWrap w:val="false"/>
          </w:tcPr>
          <w:p>
            <w:pPr>
              <w:pStyle w:val="1528"/>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rPr>
                <w:rFonts w:ascii="黑体" w:hAnsi="宋体" w:eastAsia="黑体" w:cs="黑体"/>
                <w:i w:val="0"/>
                <w:iCs w:val="0"/>
                <w:color w:val="000000"/>
                <w:sz w:val="21"/>
                <w:szCs w:val="21"/>
                <w:u w:val="none"/>
              </w:rPr>
            </w:r>
            <w:r/>
          </w:p>
        </w:tc>
        <w:tc>
          <w:tcPr>
            <w:tcW w:w="3360"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rPr>
                <w:rFonts w:hint="eastAsia" w:ascii="黑体" w:hAnsi="宋体" w:eastAsia="黑体" w:cs="黑体"/>
                <w:i w:val="0"/>
                <w:iCs w:val="0"/>
                <w:color w:val="000000"/>
                <w:sz w:val="21"/>
                <w:szCs w:val="21"/>
                <w:u w:val="none"/>
              </w:rPr>
            </w:r>
            <w:r/>
          </w:p>
        </w:tc>
        <w:tc>
          <w:tcPr>
            <w:tcW w:w="1057"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rPr>
                <w:rFonts w:hint="eastAsia" w:ascii="黑体" w:hAnsi="宋体" w:eastAsia="黑体" w:cs="黑体"/>
                <w:i w:val="0"/>
                <w:iCs w:val="0"/>
                <w:color w:val="000000"/>
                <w:sz w:val="21"/>
                <w:szCs w:val="21"/>
                <w:u w:val="none"/>
              </w:rPr>
            </w:r>
            <w:r/>
          </w:p>
        </w:tc>
        <w:tc>
          <w:tcPr>
            <w:tcW w:w="1058"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面积</w:t>
            </w:r>
            <w:r>
              <w:rPr>
                <w:rFonts w:hint="eastAsia" w:ascii="黑体" w:hAnsi="宋体" w:eastAsia="黑体" w:cs="黑体"/>
                <w:i w:val="0"/>
                <w:iCs w:val="0"/>
                <w:color w:val="000000"/>
                <w:sz w:val="21"/>
                <w:szCs w:val="21"/>
                <w:u w:val="none"/>
              </w:rPr>
            </w:r>
            <w:r/>
          </w:p>
        </w:tc>
        <w:tc>
          <w:tcPr>
            <w:gridSpan w:val="2"/>
            <w:tcW w:w="2085" w:type="dxa"/>
            <w:vAlign w:val="center"/>
            <w:textDirection w:val="lrTb"/>
            <w:noWrap w:val="false"/>
          </w:tcPr>
          <w:p>
            <w:pPr>
              <w:pStyle w:val="1528"/>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rPr>
                <w:rFonts w:hint="eastAsia" w:ascii="黑体" w:hAnsi="宋体" w:eastAsia="黑体" w:cs="黑体"/>
                <w:i w:val="0"/>
                <w:iCs w:val="0"/>
                <w:color w:val="000000"/>
                <w:sz w:val="21"/>
                <w:szCs w:val="21"/>
                <w:u w:val="none"/>
              </w:rPr>
            </w:r>
            <w:r/>
          </w:p>
        </w:tc>
      </w:tr>
      <w:tr>
        <w:trPr>
          <w:trHeight w:val="285"/>
        </w:trPr>
        <w:tc>
          <w:tcPr>
            <w:tcW w:w="1168" w:type="dxa"/>
            <w:vAlign w:val="center"/>
            <w:vMerge w:val="continue"/>
            <w:textDirection w:val="lrTb"/>
            <w:noWrap w:val="false"/>
          </w:tcPr>
          <w:p>
            <w:pPr>
              <w:pStyle w:val="1528"/>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tcW w:w="3360" w:type="dxa"/>
            <w:vAlign w:val="center"/>
            <w:vMerge w:val="continue"/>
            <w:textDirection w:val="lrTb"/>
            <w:noWrap w:val="false"/>
          </w:tcPr>
          <w:p>
            <w:pPr>
              <w:pStyle w:val="1528"/>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tcW w:w="1057" w:type="dxa"/>
            <w:vAlign w:val="center"/>
            <w:vMerge w:val="continue"/>
            <w:textDirection w:val="lrTb"/>
            <w:noWrap w:val="false"/>
          </w:tcPr>
          <w:p>
            <w:pPr>
              <w:pStyle w:val="1528"/>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tcW w:w="1058" w:type="dxa"/>
            <w:vAlign w:val="center"/>
            <w:vMerge w:val="continue"/>
            <w:textDirection w:val="lrTb"/>
            <w:noWrap w:val="false"/>
          </w:tcPr>
          <w:p>
            <w:pPr>
              <w:pStyle w:val="1528"/>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tcW w:w="1042"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综合单价</w:t>
            </w:r>
            <w:r>
              <w:rPr>
                <w:rFonts w:hint="eastAsia" w:ascii="黑体" w:hAnsi="宋体" w:eastAsia="黑体" w:cs="黑体"/>
                <w:i w:val="0"/>
                <w:iCs w:val="0"/>
                <w:color w:val="000000"/>
                <w:sz w:val="20"/>
                <w:szCs w:val="20"/>
                <w:u w:val="none"/>
              </w:rPr>
            </w:r>
            <w:r/>
          </w:p>
        </w:tc>
        <w:tc>
          <w:tcPr>
            <w:tcW w:w="1043" w:type="dxa"/>
            <w:vAlign w:val="center"/>
            <w:vMerge w:val="restart"/>
            <w:textDirection w:val="lrTb"/>
            <w:noWrap w:val="false"/>
          </w:tcPr>
          <w:p>
            <w:pPr>
              <w:pStyle w:val="1528"/>
              <w:jc w:val="center"/>
              <w:keepLines w:val="0"/>
              <w:keepNext w:val="0"/>
              <w:widowControl/>
              <w:rPr>
                <w:rFonts w:hint="eastAsia" w:ascii="黑体" w:hAnsi="宋体" w:eastAsia="黑体" w:cs="黑体"/>
                <w:i w:val="0"/>
                <w:iCs w:val="0"/>
                <w:color w:val="000000"/>
                <w:sz w:val="20"/>
                <w:szCs w:val="20"/>
                <w:u w:val="none"/>
              </w:rPr>
              <w:suppressLineNumbers w:val="0"/>
            </w:pPr>
            <w:r>
              <w:rPr>
                <w:rFonts w:hint="eastAsia" w:ascii="黑体" w:hAnsi="宋体" w:eastAsia="黑体" w:cs="黑体"/>
                <w:i w:val="0"/>
                <w:iCs w:val="0"/>
                <w:color w:val="000000"/>
                <w:sz w:val="20"/>
                <w:szCs w:val="20"/>
                <w:u w:val="none"/>
                <w:lang w:val="en-US" w:eastAsia="zh-CN" w:bidi="ar"/>
              </w:rPr>
              <w:t xml:space="preserve">合价</w:t>
            </w:r>
            <w:r>
              <w:rPr>
                <w:rFonts w:hint="eastAsia" w:ascii="黑体" w:hAnsi="宋体" w:eastAsia="黑体" w:cs="黑体"/>
                <w:i w:val="0"/>
                <w:iCs w:val="0"/>
                <w:color w:val="000000"/>
                <w:sz w:val="20"/>
                <w:szCs w:val="20"/>
                <w:u w:val="none"/>
              </w:rPr>
            </w:r>
            <w:r/>
          </w:p>
        </w:tc>
      </w:tr>
      <w:tr>
        <w:trPr>
          <w:trHeight w:val="270"/>
        </w:trPr>
        <w:tc>
          <w:tcPr>
            <w:gridSpan w:val="6"/>
            <w:tcW w:w="8728" w:type="dxa"/>
            <w:vAlign w:val="center"/>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长吉路（1200m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168"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3360"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57"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58"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c>
          <w:tcPr>
            <w:tcW w:w="1042"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43"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6"/>
            <w:tcW w:w="8728" w:type="dxa"/>
            <w:vAlign w:val="center"/>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宛山湖东路（宛山湖东路-大成路T路口中分带、导流岛100</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168"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3360"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57"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58"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042"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43"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6"/>
            <w:tcW w:w="8728" w:type="dxa"/>
            <w:vAlign w:val="center"/>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宛山湖西路（宛山湖西路-联福路中分带、宛山湖西路-大成路中分带、宛山湖西路-厚惠路中分带，252</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168"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3360"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57"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58"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c>
          <w:tcPr>
            <w:tcW w:w="1042"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43"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6"/>
            <w:tcW w:w="8728" w:type="dxa"/>
            <w:vAlign w:val="center"/>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联福路（联福路-胶阳路（东南角，44</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168"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3360"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57"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58"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1042"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43"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6"/>
            <w:tcW w:w="8728" w:type="dxa"/>
            <w:vAlign w:val="center"/>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锡山大道（联福路-联太路两侧、联福路-联太路中分带、联太路-厚裕路两侧 、联太路-厚裕路中分带、厚裕路-西前头两侧、厚裕路-西前头中分带、西前头-宛山湖西路两侧、西前头-宛山湖西路中分带，615m2）</w:t>
            </w:r>
            <w:r>
              <w:rPr>
                <w:rFonts w:hint="eastAsia" w:ascii="宋体" w:hAnsi="宋体" w:eastAsia="宋体" w:cs="宋体"/>
                <w:i w:val="0"/>
                <w:iCs w:val="0"/>
                <w:color w:val="000000"/>
                <w:sz w:val="21"/>
                <w:szCs w:val="21"/>
                <w:u w:val="none"/>
              </w:rPr>
            </w:r>
            <w:r/>
          </w:p>
        </w:tc>
      </w:tr>
      <w:tr>
        <w:trPr>
          <w:trHeight w:val="270"/>
        </w:trPr>
        <w:tc>
          <w:tcPr>
            <w:tcW w:w="1168"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3360"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57"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58"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615</w:t>
            </w:r>
            <w:r>
              <w:rPr>
                <w:rFonts w:hint="eastAsia" w:ascii="宋体" w:hAnsi="宋体" w:eastAsia="宋体" w:cs="宋体"/>
                <w:i w:val="0"/>
                <w:iCs w:val="0"/>
                <w:color w:val="000000"/>
                <w:sz w:val="21"/>
                <w:szCs w:val="21"/>
                <w:u w:val="none"/>
              </w:rPr>
            </w:r>
            <w:r/>
          </w:p>
        </w:tc>
        <w:tc>
          <w:tcPr>
            <w:tcW w:w="1042"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43"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6"/>
            <w:tcW w:w="8728" w:type="dxa"/>
            <w:vAlign w:val="center"/>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联福路（大成路-九里河，201</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r>
      <w:tr>
        <w:trPr>
          <w:trHeight w:val="270"/>
        </w:trPr>
        <w:tc>
          <w:tcPr>
            <w:tcW w:w="1168"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栽植花卉</w:t>
            </w:r>
            <w:r>
              <w:rPr>
                <w:rFonts w:hint="eastAsia" w:ascii="宋体" w:hAnsi="宋体" w:eastAsia="宋体" w:cs="宋体"/>
                <w:i w:val="0"/>
                <w:iCs w:val="0"/>
                <w:color w:val="000000"/>
                <w:sz w:val="21"/>
                <w:szCs w:val="21"/>
                <w:u w:val="none"/>
              </w:rPr>
            </w:r>
            <w:r/>
          </w:p>
        </w:tc>
        <w:tc>
          <w:tcPr>
            <w:tcW w:w="3360" w:type="dxa"/>
            <w:vAlign w:val="center"/>
            <w:vMerge w:val="restart"/>
            <w:textDirection w:val="lrTb"/>
            <w:noWrap w:val="false"/>
          </w:tcPr>
          <w:p>
            <w:pPr>
              <w:pStyle w:val="152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1、花卉种类：四季草花一年更换4次，由建设方看样订货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2、单位面积株数：64株/</w:t>
            </w: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3、养护期：一级养护2年；</w:t>
            </w:r>
            <w:r>
              <w:rPr>
                <w:rFonts w:hint="eastAsia" w:ascii="宋体" w:hAnsi="宋体" w:eastAsia="宋体" w:cs="宋体"/>
                <w:i w:val="0"/>
                <w:iCs w:val="0"/>
                <w:color w:val="000000"/>
                <w:sz w:val="21"/>
                <w:szCs w:val="21"/>
                <w:u w:val="none"/>
              </w:rPr>
            </w:r>
            <w:r/>
          </w:p>
        </w:tc>
        <w:tc>
          <w:tcPr>
            <w:tcW w:w="1057" w:type="dxa"/>
            <w:vAlign w:val="center"/>
            <w:vMerge w:val="restart"/>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rPr>
            </w:r>
            <w:r/>
          </w:p>
        </w:tc>
        <w:tc>
          <w:tcPr>
            <w:tcW w:w="1058" w:type="dxa"/>
            <w:vAlign w:val="center"/>
            <w:vMerge w:val="restart"/>
            <w:textDirection w:val="lrTb"/>
            <w:noWrap w:val="false"/>
          </w:tcPr>
          <w:p>
            <w:pPr>
              <w:pStyle w:val="1528"/>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c>
          <w:tcPr>
            <w:tcW w:w="1042"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043" w:type="dxa"/>
            <w:vAlign w:val="center"/>
            <w:vMerge w:val="restart"/>
            <w:textDirection w:val="lrTb"/>
            <w:noWrap w:val="false"/>
          </w:tcPr>
          <w:p>
            <w:pPr>
              <w:pStyle w:val="1528"/>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gridSpan w:val="5"/>
            <w:tcW w:w="7685" w:type="dxa"/>
            <w:vAlign w:val="center"/>
            <w:textDirection w:val="lrTb"/>
            <w:noWrap w:val="false"/>
          </w:tcPr>
          <w:p>
            <w:pPr>
              <w:pStyle w:val="152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rPr>
                <w:rFonts w:hint="eastAsia" w:ascii="宋体" w:hAnsi="宋体" w:eastAsia="宋体" w:cs="宋体"/>
                <w:i w:val="0"/>
                <w:iCs w:val="0"/>
                <w:color w:val="000000"/>
                <w:sz w:val="21"/>
                <w:szCs w:val="21"/>
                <w:u w:val="none"/>
              </w:rPr>
            </w:r>
            <w:r/>
          </w:p>
        </w:tc>
        <w:tc>
          <w:tcPr>
            <w:tcW w:w="1043" w:type="dxa"/>
            <w:vAlign w:val="center"/>
            <w:textDirection w:val="lrTb"/>
            <w:noWrap w:val="false"/>
          </w:tcPr>
          <w:p>
            <w:pPr>
              <w:pStyle w:val="1528"/>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1528"/>
        <w:ind w:firstLine="480"/>
        <w:jc w:val="right"/>
        <w:spacing w:line="480" w:lineRule="exact"/>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528"/>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528"/>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528"/>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rPr>
          <w:rFonts w:hint="eastAsia" w:ascii="宋体" w:hAnsi="宋体" w:cs="宋体"/>
          <w:b/>
          <w:color w:val="000000"/>
          <w:sz w:val="24"/>
          <w:szCs w:val="24"/>
          <w:highlight w:val="none"/>
        </w:rPr>
      </w:r>
      <w:r/>
    </w:p>
    <w:p>
      <w:pPr>
        <w:pStyle w:val="1548"/>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548"/>
        <w:rPr>
          <w:rFonts w:hint="eastAsia" w:ascii="宋体" w:hAnsi="宋体" w:cs="宋体"/>
          <w:b/>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bookmarkStart w:id="47" w:name="_Toc11575"/>
      <w:r/>
      <w:bookmarkStart w:id="48" w:name="_Toc17818"/>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47"/>
      <w:r/>
      <w:bookmarkEnd w:id="48"/>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jc w:val="center"/>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lang w:val="en-US" w:eastAsia="zh-CN"/>
        </w:rPr>
        <w:t xml:space="preserve">书</w:t>
      </w:r>
      <w:r>
        <w:rPr>
          <w:rFonts w:hint="eastAsia" w:ascii="宋体" w:hAnsi="宋体" w:eastAsia="宋体" w:cs="宋体"/>
          <w:color w:val="000000"/>
          <w:sz w:val="24"/>
          <w:szCs w:val="24"/>
          <w:highlight w:val="none"/>
          <w:lang w:val="en-US" w:eastAsia="zh-CN"/>
        </w:rPr>
      </w:r>
      <w:r/>
    </w:p>
    <w:p>
      <w:pPr>
        <w:pStyle w:val="1528"/>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5、本公司承诺中标之后人员配置按工种及人数不低于最低要求配置到位。</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7、</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9、</w:t>
      </w:r>
      <w:r>
        <w:rPr>
          <w:rFonts w:hint="eastAsia" w:ascii="宋体" w:hAnsi="宋体" w:cs="宋体"/>
          <w:bCs/>
          <w:color w:val="000000"/>
          <w:sz w:val="24"/>
          <w:szCs w:val="24"/>
          <w:highlight w:val="none"/>
        </w:rPr>
      </w:r>
      <w:r/>
    </w:p>
    <w:p>
      <w:pPr>
        <w:pStyle w:val="1528"/>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528"/>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28"/>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48"/>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528"/>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548"/>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76"/>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76"/>
        <w:ind w:firstLine="241"/>
        <w:rPr>
          <w:rFonts w:hint="eastAsia" w:ascii="宋体" w:hAnsi="宋体" w:cs="宋体"/>
          <w:b/>
          <w:color w:val="000000"/>
          <w:sz w:val="24"/>
          <w:highlight w:val="none"/>
        </w:rPr>
        <w:sectPr>
          <w:footerReference w:type="default" r:id="rId30"/>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bookmarkStart w:id="49" w:name="_Toc4377"/>
      <w:r/>
      <w:bookmarkStart w:id="50"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49"/>
      <w:r/>
      <w:bookmarkEnd w:id="50"/>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20"/>
        <w:jc w:val="center"/>
        <w:rPr>
          <w:rFonts w:hint="eastAsia" w:ascii="宋体" w:hAnsi="宋体" w:cs="宋体"/>
          <w:bCs/>
          <w:color w:val="000000"/>
          <w:sz w:val="24"/>
          <w:szCs w:val="24"/>
          <w:highlight w:val="none"/>
        </w:rPr>
        <w:outlineLvl w:val="9"/>
      </w:pPr>
      <w:r/>
      <w:bookmarkStart w:id="51" w:name="_Toc25155"/>
      <w:r/>
      <w:bookmarkStart w:id="52" w:name="_Toc27971"/>
      <w:r>
        <w:rPr>
          <w:rFonts w:hint="eastAsia" w:ascii="宋体" w:hAnsi="宋体" w:cs="宋体"/>
          <w:bCs/>
          <w:color w:val="000000"/>
          <w:sz w:val="24"/>
          <w:szCs w:val="24"/>
          <w:highlight w:val="none"/>
        </w:rPr>
        <w:t xml:space="preserve">投标偏离表</w:t>
      </w:r>
      <w:bookmarkEnd w:id="51"/>
      <w:r/>
      <w:bookmarkEnd w:id="52"/>
      <w:r>
        <w:rPr>
          <w:rFonts w:hint="eastAsia" w:ascii="宋体" w:hAnsi="宋体" w:cs="宋体"/>
          <w:bCs/>
          <w:color w:val="000000"/>
          <w:sz w:val="24"/>
          <w:szCs w:val="24"/>
          <w:highlight w:val="none"/>
        </w:rPr>
      </w:r>
      <w:r/>
    </w:p>
    <w:p>
      <w:pPr>
        <w:pStyle w:val="1528"/>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供应商名称（盖章）                       采购项目编号：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528"/>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528"/>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rPr>
          <w:rFonts w:hint="eastAsia" w:ascii="宋体" w:hAnsi="宋体" w:cs="宋体"/>
          <w:bCs/>
          <w:color w:val="000000"/>
          <w:sz w:val="24"/>
          <w:szCs w:val="24"/>
          <w:highlight w:val="none"/>
        </w:rPr>
        <w:outlineLvl w:val="9"/>
      </w:pPr>
      <w:r/>
      <w:bookmarkStart w:id="53" w:name="_Toc8176"/>
      <w:r/>
      <w:bookmarkStart w:id="54" w:name="_Toc2067"/>
      <w:r>
        <w:rPr>
          <w:rFonts w:hint="eastAsia" w:ascii="宋体" w:hAnsi="宋体" w:cs="宋体"/>
          <w:bCs/>
          <w:color w:val="000000"/>
          <w:sz w:val="24"/>
          <w:szCs w:val="24"/>
          <w:highlight w:val="none"/>
        </w:rPr>
        <w:t xml:space="preserve">注：（1）本表不得删除，可自行延长；</w:t>
      </w:r>
      <w:bookmarkEnd w:id="53"/>
      <w:r/>
      <w:bookmarkEnd w:id="54"/>
      <w:r>
        <w:rPr>
          <w:rFonts w:hint="eastAsia" w:ascii="宋体" w:hAnsi="宋体" w:cs="宋体"/>
          <w:bCs/>
          <w:color w:val="000000"/>
          <w:sz w:val="24"/>
          <w:szCs w:val="24"/>
          <w:highlight w:val="none"/>
        </w:rPr>
      </w:r>
      <w:r/>
    </w:p>
    <w:p>
      <w:pPr>
        <w:pStyle w:val="1528"/>
        <w:ind w:left="-214" w:firstLine="720"/>
        <w:rPr>
          <w:rFonts w:hint="eastAsia" w:ascii="宋体" w:hAnsi="宋体" w:cs="宋体"/>
          <w:bCs/>
          <w:color w:val="000000"/>
          <w:sz w:val="24"/>
          <w:szCs w:val="24"/>
          <w:highlight w:val="none"/>
        </w:rPr>
        <w:outlineLvl w:val="9"/>
      </w:pPr>
      <w:r/>
      <w:bookmarkStart w:id="55" w:name="_Toc22220"/>
      <w:r/>
      <w:bookmarkStart w:id="56" w:name="_Toc511"/>
      <w:r>
        <w:rPr>
          <w:rFonts w:hint="eastAsia" w:ascii="宋体" w:hAnsi="宋体" w:cs="宋体"/>
          <w:bCs/>
          <w:color w:val="000000"/>
          <w:sz w:val="24"/>
          <w:szCs w:val="24"/>
          <w:highlight w:val="none"/>
        </w:rPr>
        <w:t xml:space="preserve">（2）如无任何服务偏离，请于本表“偏离说明”中注明“无偏离”；</w:t>
      </w:r>
      <w:bookmarkEnd w:id="55"/>
      <w:r/>
      <w:bookmarkEnd w:id="56"/>
      <w:r>
        <w:rPr>
          <w:rFonts w:hint="eastAsia" w:ascii="宋体" w:hAnsi="宋体" w:cs="宋体"/>
          <w:bCs/>
          <w:color w:val="000000"/>
          <w:sz w:val="24"/>
          <w:szCs w:val="24"/>
          <w:highlight w:val="none"/>
        </w:rPr>
      </w:r>
      <w:r/>
    </w:p>
    <w:p>
      <w:pPr>
        <w:pStyle w:val="1528"/>
        <w:ind w:firstLine="480"/>
        <w:rPr>
          <w:rFonts w:hint="eastAsia" w:ascii="宋体" w:hAnsi="宋体" w:cs="宋体"/>
          <w:bCs/>
          <w:color w:val="000000"/>
          <w:sz w:val="24"/>
          <w:szCs w:val="24"/>
          <w:highlight w:val="none"/>
        </w:rPr>
        <w:outlineLvl w:val="9"/>
      </w:pPr>
      <w:r/>
      <w:bookmarkStart w:id="57" w:name="_Toc9412"/>
      <w:r/>
      <w:bookmarkStart w:id="58" w:name="_Toc10188"/>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57"/>
      <w:r/>
      <w:bookmarkEnd w:id="58"/>
      <w:r>
        <w:rPr>
          <w:rFonts w:hint="eastAsia" w:ascii="宋体" w:hAnsi="宋体" w:cs="宋体"/>
          <w:bCs/>
          <w:color w:val="000000"/>
          <w:sz w:val="24"/>
          <w:szCs w:val="24"/>
          <w:highlight w:val="none"/>
        </w:rPr>
      </w:r>
      <w:r/>
    </w:p>
    <w:p>
      <w:pPr>
        <w:pStyle w:val="161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11"/>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eastAsia="宋体" w:cs="宋体"/>
          <w:b/>
          <w:color w:val="000000"/>
          <w:sz w:val="24"/>
          <w:szCs w:val="24"/>
          <w:highlight w:val="none"/>
          <w:lang w:eastAsia="zh-CN"/>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投标供应商情况表</w:t>
      </w:r>
      <w:r>
        <w:rPr>
          <w:rFonts w:hint="eastAsia" w:ascii="宋体" w:hAnsi="宋体" w:eastAsia="宋体" w:cs="宋体"/>
          <w:bCs/>
          <w:color w:val="000000"/>
          <w:sz w:val="24"/>
          <w:szCs w:val="24"/>
          <w:highlight w:val="none"/>
        </w:rPr>
      </w:r>
      <w:r/>
    </w:p>
    <w:p>
      <w:pPr>
        <w:pStyle w:val="1528"/>
        <w:spacing w:line="400" w:lineRule="exact"/>
        <w:rPr>
          <w:rFonts w:hint="eastAsia"/>
          <w:highlight w:val="none"/>
        </w:rPr>
        <w:outlineLvl w:val="9"/>
      </w:pPr>
      <w:r>
        <w:rPr>
          <w:rFonts w:hint="eastAsia" w:ascii="宋体" w:hAnsi="宋体"/>
          <w:bCs/>
          <w:sz w:val="24"/>
          <w:szCs w:val="24"/>
          <w:highlight w:val="none"/>
        </w:rPr>
        <w:t xml:space="preserve">供应商名称（盖章）                        采购项目编号：</w:t>
      </w:r>
      <w:r>
        <w:rPr>
          <w:rFonts w:hint="eastAsia"/>
          <w:highlight w:val="none"/>
        </w:rPr>
      </w:r>
      <w:r/>
    </w:p>
    <w:tbl>
      <w:tblPr>
        <w:tblW w:w="959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993"/>
        <w:gridCol w:w="1592"/>
        <w:gridCol w:w="3331"/>
      </w:tblGrid>
      <w:tr>
        <w:trPr>
          <w:cantSplit/>
          <w:trHeight w:val="565"/>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68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68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92"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331" w:type="dxa"/>
            <w:vAlign w:val="center"/>
            <w:textDirection w:val="lrTb"/>
            <w:noWrap w:val="false"/>
          </w:tcPr>
          <w:p>
            <w:pPr>
              <w:pStyle w:val="1528"/>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93"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3</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93" w:type="dxa"/>
            <w:vAlign w:val="center"/>
            <w:textDirection w:val="lrTb"/>
            <w:noWrap w:val="false"/>
          </w:tcPr>
          <w:p>
            <w:pPr>
              <w:pStyle w:val="1528"/>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9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331"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682"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916" w:type="dxa"/>
            <w:vAlign w:val="top"/>
            <w:textDirection w:val="lrTb"/>
            <w:noWrap w:val="false"/>
          </w:tcPr>
          <w:p>
            <w:pPr>
              <w:pStyle w:val="1528"/>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528"/>
        <w:jc w:val="left"/>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p>
      <w:pPr>
        <w:pStyle w:val="1616"/>
        <w:rPr>
          <w:rFonts w:hint="eastAsia" w:ascii="宋体" w:hAnsi="宋体" w:eastAsia="宋体" w:cs="宋体"/>
          <w:b/>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
          <w:bCs/>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主要</w:t>
      </w:r>
      <w:r>
        <w:rPr>
          <w:rFonts w:hint="eastAsia" w:ascii="宋体" w:hAnsi="宋体" w:eastAsia="宋体" w:cs="宋体"/>
          <w:b/>
          <w:bCs w:val="0"/>
          <w:color w:val="000000"/>
          <w:sz w:val="24"/>
          <w:szCs w:val="24"/>
          <w:highlight w:val="none"/>
        </w:rPr>
        <w:t xml:space="preserve">人员配置表及项目</w:t>
      </w:r>
      <w:r>
        <w:rPr>
          <w:rFonts w:hint="eastAsia" w:ascii="宋体" w:hAnsi="宋体" w:eastAsia="宋体" w:cs="宋体"/>
          <w:b/>
          <w:bCs w:val="0"/>
          <w:color w:val="000000"/>
          <w:sz w:val="24"/>
          <w:szCs w:val="24"/>
          <w:highlight w:val="none"/>
          <w:lang w:val="en-US" w:eastAsia="zh-CN"/>
        </w:rPr>
        <w:t xml:space="preserve">负责人</w:t>
      </w:r>
      <w:r>
        <w:rPr>
          <w:rFonts w:hint="eastAsia" w:ascii="宋体" w:hAnsi="宋体" w:eastAsia="宋体" w:cs="宋体"/>
          <w:b/>
          <w:bCs w:val="0"/>
          <w:color w:val="000000"/>
          <w:sz w:val="24"/>
          <w:szCs w:val="24"/>
          <w:highlight w:val="none"/>
        </w:rPr>
        <w:t xml:space="preserve">简历表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格式</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color w:val="000000"/>
          <w:sz w:val="24"/>
          <w:szCs w:val="24"/>
          <w:highlight w:val="none"/>
          <w:lang w:eastAsia="zh-CN"/>
        </w:rPr>
      </w:r>
      <w:r/>
    </w:p>
    <w:p>
      <w:pPr>
        <w:pStyle w:val="1528"/>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pStyle w:val="1528"/>
        <w:ind w:firstLine="420"/>
        <w:jc w:val="center"/>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主要</w:t>
      </w:r>
      <w:r>
        <w:rPr>
          <w:rFonts w:hint="eastAsia" w:ascii="宋体" w:hAnsi="宋体" w:eastAsia="宋体" w:cs="宋体"/>
          <w:bCs/>
          <w:color w:val="000000"/>
          <w:sz w:val="24"/>
          <w:szCs w:val="24"/>
          <w:highlight w:val="none"/>
        </w:rPr>
        <w:t xml:space="preserve">人员配置表</w:t>
      </w:r>
      <w:r>
        <w:rPr>
          <w:rFonts w:hint="eastAsia" w:ascii="宋体" w:hAnsi="宋体" w:eastAsia="宋体" w:cs="宋体"/>
          <w:bCs/>
          <w:color w:val="000000"/>
          <w:sz w:val="24"/>
          <w:szCs w:val="24"/>
          <w:highlight w:val="none"/>
        </w:rPr>
      </w:r>
      <w:r/>
    </w:p>
    <w:p>
      <w:pPr>
        <w:pStyle w:val="1528"/>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供应商名称（盖章）                       采购项目编号：</w:t>
      </w:r>
      <w:r>
        <w:rPr>
          <w:rFonts w:ascii="宋体" w:hAnsi="宋体" w:eastAsia="宋体" w:cs="宋体"/>
          <w:bCs/>
          <w:color w:val="000000"/>
          <w:sz w:val="24"/>
          <w:szCs w:val="24"/>
          <w:highlight w:val="none"/>
          <w:lang w:val="en-US" w:eastAsia="zh-CN"/>
        </w:rPr>
      </w:r>
      <w:r/>
    </w:p>
    <w:tbl>
      <w:tblPr>
        <w:tblW w:w="92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634"/>
        <w:gridCol w:w="1321"/>
        <w:gridCol w:w="1105"/>
        <w:gridCol w:w="1546"/>
        <w:gridCol w:w="2420"/>
      </w:tblGrid>
      <w:tr>
        <w:trPr>
          <w:trHeight w:val="947"/>
        </w:trPr>
        <w:tc>
          <w:tcPr>
            <w:tcW w:w="662" w:type="dxa"/>
            <w:vAlign w:val="center"/>
            <w:textDirection w:val="lrTb"/>
            <w:noWrap w:val="false"/>
          </w:tcPr>
          <w:p>
            <w:pPr>
              <w:pStyle w:val="1528"/>
              <w:spacing w:after="120" w:line="420" w:lineRule="exact"/>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序号</w:t>
            </w:r>
            <w:r>
              <w:rPr>
                <w:rFonts w:hint="eastAsia" w:ascii="宋体" w:hAnsi="宋体" w:eastAsia="宋体" w:cs="宋体"/>
                <w:b/>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姓名</w:t>
            </w:r>
            <w:r>
              <w:rPr>
                <w:rFonts w:hint="eastAsia" w:ascii="宋体" w:hAnsi="宋体" w:eastAsia="宋体" w:cs="宋体"/>
                <w:b/>
                <w:color w:val="000000"/>
                <w:sz w:val="21"/>
                <w:szCs w:val="22"/>
                <w:highlight w:val="none"/>
              </w:rPr>
            </w:r>
            <w:r/>
          </w:p>
        </w:tc>
        <w:tc>
          <w:tcPr>
            <w:tcW w:w="652" w:type="dxa"/>
            <w:vAlign w:val="center"/>
            <w:textDirection w:val="lrTb"/>
            <w:noWrap w:val="false"/>
          </w:tcPr>
          <w:p>
            <w:pPr>
              <w:pStyle w:val="1528"/>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性别</w:t>
            </w:r>
            <w:r>
              <w:rPr>
                <w:rFonts w:hint="eastAsia" w:ascii="宋体" w:hAnsi="宋体" w:eastAsia="宋体" w:cs="宋体"/>
                <w:b/>
                <w:color w:val="000000"/>
                <w:sz w:val="21"/>
                <w:szCs w:val="22"/>
                <w:highlight w:val="none"/>
              </w:rPr>
            </w:r>
            <w:r/>
          </w:p>
        </w:tc>
        <w:tc>
          <w:tcPr>
            <w:tcW w:w="634" w:type="dxa"/>
            <w:vAlign w:val="center"/>
            <w:textDirection w:val="lrTb"/>
            <w:noWrap w:val="false"/>
          </w:tcPr>
          <w:p>
            <w:pPr>
              <w:pStyle w:val="1528"/>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年龄</w:t>
            </w:r>
            <w:r>
              <w:rPr>
                <w:rFonts w:hint="eastAsia" w:ascii="宋体" w:hAnsi="宋体" w:eastAsia="宋体" w:cs="宋体"/>
                <w:b/>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岗位名称</w:t>
            </w:r>
            <w:r>
              <w:rPr>
                <w:rFonts w:hint="eastAsia" w:ascii="宋体" w:hAnsi="宋体" w:eastAsia="宋体" w:cs="宋体"/>
                <w:b/>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学历</w:t>
            </w:r>
            <w:r>
              <w:rPr>
                <w:rFonts w:hint="eastAsia" w:ascii="宋体" w:hAnsi="宋体" w:eastAsia="宋体" w:cs="宋体"/>
                <w:b/>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持有证书</w:t>
            </w:r>
            <w:r>
              <w:rPr>
                <w:rFonts w:hint="eastAsia" w:ascii="宋体" w:hAnsi="宋体" w:eastAsia="宋体" w:cs="宋体"/>
                <w:b/>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b/>
                <w:color w:val="000000"/>
                <w:sz w:val="21"/>
                <w:szCs w:val="22"/>
                <w:highlight w:val="none"/>
              </w:rPr>
            </w:pPr>
            <w:r>
              <w:rPr>
                <w:rFonts w:hint="eastAsia" w:ascii="宋体" w:hAnsi="宋体" w:eastAsia="宋体" w:cs="宋体"/>
                <w:b/>
                <w:color w:val="000000"/>
                <w:sz w:val="21"/>
                <w:szCs w:val="22"/>
                <w:highlight w:val="none"/>
              </w:rPr>
              <w:t xml:space="preserve">工作经验</w:t>
            </w:r>
            <w:r>
              <w:rPr>
                <w:rFonts w:hint="eastAsia" w:ascii="宋体" w:hAnsi="宋体" w:eastAsia="宋体" w:cs="宋体"/>
                <w:b/>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2</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3</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4</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5</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6</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7</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8</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9</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trHeight w:val="447"/>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10</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r>
        <w:trPr>
          <w:cantSplit/>
          <w:trHeight w:val="621"/>
        </w:trPr>
        <w:tc>
          <w:tcPr>
            <w:tcW w:w="66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 …</w:t>
            </w:r>
            <w:r>
              <w:rPr>
                <w:rFonts w:hint="eastAsia" w:ascii="宋体" w:hAnsi="宋体" w:eastAsia="宋体" w:cs="宋体"/>
                <w:color w:val="000000"/>
                <w:sz w:val="21"/>
                <w:szCs w:val="22"/>
                <w:highlight w:val="none"/>
              </w:rPr>
            </w:r>
            <w:r/>
          </w:p>
        </w:tc>
        <w:tc>
          <w:tcPr>
            <w:tcW w:w="93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52"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634"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321"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105"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1546"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c>
          <w:tcPr>
            <w:tcW w:w="2420" w:type="dxa"/>
            <w:vAlign w:val="center"/>
            <w:textDirection w:val="lrTb"/>
            <w:noWrap w:val="false"/>
          </w:tcPr>
          <w:p>
            <w:pPr>
              <w:pStyle w:val="1528"/>
              <w:jc w:val="center"/>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r>
            <w:r/>
          </w:p>
        </w:tc>
      </w:tr>
    </w:tbl>
    <w:p>
      <w:pPr>
        <w:pStyle w:val="1528"/>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ind w:firstLine="720"/>
        <w:rPr>
          <w:rFonts w:hint="eastAsia" w:ascii="宋体" w:hAnsi="宋体" w:eastAsia="宋体" w:cs="宋体"/>
          <w:bCs/>
          <w:color w:val="000000"/>
          <w:sz w:val="22"/>
          <w:szCs w:val="22"/>
          <w:highlight w:val="none"/>
          <w:lang w:eastAsia="zh-CN"/>
        </w:rPr>
      </w:pPr>
      <w:r>
        <w:rPr>
          <w:rFonts w:hint="eastAsia" w:ascii="宋体" w:hAnsi="宋体" w:eastAsia="宋体" w:cs="宋体"/>
          <w:bCs/>
          <w:color w:val="000000"/>
          <w:sz w:val="24"/>
          <w:szCs w:val="24"/>
          <w:highlight w:val="none"/>
        </w:rPr>
        <w:t xml:space="preserve">备注：1.</w:t>
      </w:r>
      <w:r>
        <w:rPr>
          <w:rFonts w:hint="eastAsia" w:ascii="宋体" w:hAnsi="宋体" w:eastAsia="宋体" w:cs="宋体"/>
          <w:bCs/>
          <w:color w:val="000000"/>
          <w:sz w:val="22"/>
          <w:szCs w:val="22"/>
          <w:highlight w:val="none"/>
        </w:rPr>
        <w:t xml:space="preserve">上表可自行延长</w:t>
      </w:r>
      <w:r>
        <w:rPr>
          <w:rFonts w:hint="eastAsia" w:ascii="宋体" w:hAnsi="宋体" w:eastAsia="宋体" w:cs="宋体"/>
          <w:bCs/>
          <w:color w:val="000000"/>
          <w:sz w:val="22"/>
          <w:szCs w:val="22"/>
          <w:highlight w:val="none"/>
          <w:lang w:eastAsia="zh-CN"/>
        </w:rPr>
        <w:t xml:space="preserve">，</w:t>
      </w:r>
      <w:r>
        <w:rPr>
          <w:rFonts w:hint="eastAsia" w:ascii="宋体" w:hAnsi="宋体" w:eastAsia="宋体" w:cs="宋体"/>
          <w:bCs/>
          <w:color w:val="000000"/>
          <w:sz w:val="22"/>
          <w:szCs w:val="22"/>
          <w:highlight w:val="none"/>
          <w:lang w:val="en-US" w:eastAsia="zh-CN"/>
        </w:rPr>
        <w:t xml:space="preserve">但不得改变文本格式。</w:t>
      </w:r>
      <w:r>
        <w:rPr>
          <w:rFonts w:hint="eastAsia" w:ascii="宋体" w:hAnsi="宋体" w:eastAsia="宋体" w:cs="宋体"/>
          <w:bCs/>
          <w:color w:val="000000"/>
          <w:sz w:val="22"/>
          <w:szCs w:val="22"/>
          <w:highlight w:val="none"/>
          <w:lang w:eastAsia="zh-CN"/>
        </w:rPr>
      </w:r>
      <w:r/>
    </w:p>
    <w:p>
      <w:pPr>
        <w:pStyle w:val="1528"/>
        <w:ind w:firstLine="1320"/>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2.人员相关证明材料应按招标文件要求提供，并附在本表之后。</w:t>
      </w:r>
      <w:r>
        <w:rPr>
          <w:rFonts w:hint="eastAsia" w:ascii="宋体" w:hAnsi="宋体" w:eastAsia="宋体" w:cs="宋体"/>
          <w:bCs/>
          <w:color w:val="000000"/>
          <w:sz w:val="22"/>
          <w:szCs w:val="22"/>
          <w:highlight w:val="none"/>
        </w:rPr>
      </w:r>
      <w:r/>
    </w:p>
    <w:p>
      <w:pPr>
        <w:pStyle w:val="1528"/>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r>
      <w:r/>
    </w:p>
    <w:p>
      <w:pPr>
        <w:pStyle w:val="1528"/>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216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b/>
          <w:bCs/>
          <w:color w:val="000000"/>
          <w:sz w:val="24"/>
          <w:szCs w:val="24"/>
          <w:highlight w:val="none"/>
        </w:rPr>
      </w:r>
      <w:r/>
    </w:p>
    <w:p>
      <w:pPr>
        <w:pStyle w:val="1528"/>
        <w:ind w:firstLine="4320"/>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  期：</w:t>
      </w:r>
      <w:r>
        <w:rPr>
          <w:rFonts w:hint="eastAsia" w:ascii="宋体" w:hAnsi="宋体" w:eastAsia="宋体" w:cs="宋体"/>
          <w:b/>
          <w:bCs/>
          <w:color w:val="000000"/>
          <w:sz w:val="24"/>
          <w:szCs w:val="24"/>
          <w:highlight w:val="none"/>
        </w:rPr>
      </w:r>
      <w:r/>
    </w:p>
    <w:p>
      <w:pPr>
        <w:pStyle w:val="1528"/>
        <w:ind w:left="12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528"/>
        <w:ind w:left="120"/>
        <w:rPr>
          <w:rFonts w:hint="eastAsia" w:ascii="宋体" w:hAnsi="宋体" w:eastAsia="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pPr>
      <w:r>
        <w:rPr>
          <w:rFonts w:hint="eastAsia" w:ascii="宋体" w:hAnsi="宋体" w:eastAsia="宋体" w:cs="宋体"/>
          <w:bCs/>
          <w:color w:val="000000"/>
          <w:sz w:val="24"/>
          <w:szCs w:val="24"/>
          <w:highlight w:val="none"/>
        </w:rPr>
      </w:r>
      <w:r/>
    </w:p>
    <w:p>
      <w:pPr>
        <w:pStyle w:val="1528"/>
        <w:ind w:firstLine="420"/>
        <w:jc w:val="center"/>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项目负责人简历表</w:t>
      </w:r>
      <w:r>
        <w:rPr>
          <w:rFonts w:hint="eastAsia" w:ascii="宋体" w:hAnsi="宋体" w:eastAsia="宋体" w:cs="宋体"/>
          <w:bCs/>
          <w:color w:val="000000"/>
          <w:sz w:val="24"/>
          <w:szCs w:val="24"/>
          <w:highlight w:val="none"/>
          <w:lang w:val="en-US" w:eastAsia="zh-CN"/>
        </w:rPr>
      </w:r>
      <w:r/>
    </w:p>
    <w:p>
      <w:pPr>
        <w:pStyle w:val="1528"/>
        <w:spacing w:line="360" w:lineRule="auto"/>
        <w:rPr>
          <w:rFonts w:ascii="黑体" w:hAnsi="宋体" w:eastAsia="黑体"/>
          <w:color w:val="000000"/>
          <w:sz w:val="24"/>
          <w:szCs w:val="24"/>
          <w:highlight w:val="none"/>
        </w:rPr>
      </w:pPr>
      <w:r>
        <w:rPr>
          <w:rFonts w:hint="eastAsia" w:ascii="黑体" w:hAnsi="宋体" w:eastAsia="黑体"/>
          <w:color w:val="000000"/>
          <w:sz w:val="24"/>
          <w:szCs w:val="24"/>
          <w:highlight w:val="none"/>
          <w:lang w:val="en-US" w:eastAsia="zh-CN"/>
        </w:rPr>
        <w:t xml:space="preserve">供应商</w:t>
      </w:r>
      <w:r>
        <w:rPr>
          <w:rFonts w:hint="eastAsia" w:ascii="黑体" w:hAnsi="宋体" w:eastAsia="黑体"/>
          <w:color w:val="000000"/>
          <w:sz w:val="24"/>
          <w:szCs w:val="24"/>
          <w:highlight w:val="none"/>
        </w:rPr>
        <w:t xml:space="preserve">名称（盖章）                              采购项目编号：</w:t>
      </w:r>
      <w:r>
        <w:rPr>
          <w:rFonts w:ascii="黑体" w:hAnsi="宋体" w:eastAsia="黑体"/>
          <w:color w:val="000000"/>
          <w:sz w:val="24"/>
          <w:szCs w:val="24"/>
          <w:highlight w:val="none"/>
        </w:rPr>
      </w:r>
      <w:r/>
    </w:p>
    <w:tbl>
      <w:tblPr>
        <w:tblW w:w="9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351"/>
        <w:gridCol w:w="1090"/>
        <w:gridCol w:w="998"/>
        <w:gridCol w:w="229"/>
        <w:gridCol w:w="1227"/>
      </w:tblGrid>
      <w:tr>
        <w:trPr>
          <w:cantSplit/>
          <w:trHeight w:val="551"/>
        </w:trPr>
        <w:tc>
          <w:tcPr>
            <w:tcW w:w="110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姓  名</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性别</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年  龄</w:t>
            </w:r>
            <w:r>
              <w:rPr>
                <w:rFonts w:ascii="宋体" w:hAnsi="宋体"/>
                <w:color w:val="000000"/>
                <w:highlight w:val="none"/>
              </w:rPr>
            </w:r>
            <w:r/>
          </w:p>
        </w:tc>
        <w:tc>
          <w:tcPr>
            <w:tcW w:w="1090"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学  历</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r>
      <w:tr>
        <w:trPr>
          <w:cantSplit/>
          <w:trHeight w:val="448"/>
        </w:trPr>
        <w:tc>
          <w:tcPr>
            <w:tcW w:w="110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职务</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职  称</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364"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资格证书号</w:t>
            </w:r>
            <w:r>
              <w:rPr>
                <w:rFonts w:ascii="宋体" w:hAnsi="宋体"/>
                <w:color w:val="000000"/>
                <w:highlight w:val="none"/>
              </w:rPr>
            </w:r>
            <w:r/>
          </w:p>
        </w:tc>
        <w:tc>
          <w:tcPr>
            <w:tcW w:w="1090"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c>
          <w:tcPr>
            <w:gridSpan w:val="2"/>
            <w:tcW w:w="122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参加工作时间</w:t>
            </w:r>
            <w:r>
              <w:rPr>
                <w:rFonts w:ascii="宋体" w:hAnsi="宋体"/>
                <w:color w:val="000000"/>
                <w:highlight w:val="none"/>
              </w:rPr>
            </w:r>
            <w:r/>
          </w:p>
        </w:tc>
        <w:tc>
          <w:tcPr>
            <w:tcW w:w="1227" w:type="dxa"/>
            <w:vAlign w:val="center"/>
            <w:textDirection w:val="lrTb"/>
            <w:noWrap w:val="false"/>
          </w:tcPr>
          <w:p>
            <w:pPr>
              <w:pStyle w:val="1528"/>
              <w:jc w:val="center"/>
              <w:rPr>
                <w:rFonts w:ascii="宋体" w:hAnsi="宋体"/>
                <w:color w:val="000000"/>
                <w:highlight w:val="none"/>
              </w:rPr>
            </w:pPr>
            <w:r>
              <w:rPr>
                <w:rFonts w:ascii="宋体" w:hAnsi="宋体"/>
                <w:color w:val="000000"/>
                <w:highlight w:val="none"/>
              </w:rPr>
            </w:r>
            <w:r/>
          </w:p>
        </w:tc>
      </w:tr>
      <w:tr>
        <w:trPr>
          <w:cantSplit/>
          <w:trHeight w:val="2565"/>
        </w:trPr>
        <w:tc>
          <w:tcPr>
            <w:tcW w:w="110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以往工作经历</w:t>
            </w:r>
            <w:r>
              <w:rPr>
                <w:rFonts w:ascii="宋体" w:hAnsi="宋体"/>
                <w:color w:val="000000"/>
                <w:highlight w:val="none"/>
              </w:rPr>
            </w:r>
            <w:r/>
          </w:p>
        </w:tc>
        <w:tc>
          <w:tcPr>
            <w:gridSpan w:val="10"/>
            <w:tcW w:w="8589" w:type="dxa"/>
            <w:vAlign w:val="top"/>
            <w:textDirection w:val="lrTb"/>
            <w:noWrap w:val="false"/>
          </w:tcPr>
          <w:p>
            <w:pPr>
              <w:pStyle w:val="1528"/>
              <w:rPr>
                <w:rFonts w:ascii="宋体" w:hAnsi="宋体"/>
                <w:color w:val="000000"/>
                <w:highlight w:val="none"/>
              </w:rPr>
            </w:pPr>
            <w:r>
              <w:rPr>
                <w:rFonts w:ascii="宋体" w:hAnsi="宋体"/>
                <w:color w:val="000000"/>
                <w:highlight w:val="none"/>
              </w:rPr>
            </w:r>
            <w:r/>
          </w:p>
          <w:p>
            <w:pPr>
              <w:pStyle w:val="1528"/>
              <w:rPr>
                <w:rFonts w:ascii="宋体" w:hAnsi="宋体"/>
                <w:color w:val="000000"/>
                <w:highlight w:val="none"/>
              </w:rPr>
            </w:pPr>
            <w:r>
              <w:rPr>
                <w:rFonts w:ascii="宋体" w:hAnsi="宋体"/>
                <w:color w:val="000000"/>
                <w:highlight w:val="none"/>
              </w:rPr>
            </w:r>
            <w:r/>
          </w:p>
        </w:tc>
      </w:tr>
      <w:tr>
        <w:trPr>
          <w:cantSplit/>
          <w:trHeight w:val="606"/>
        </w:trPr>
        <w:tc>
          <w:tcPr>
            <w:gridSpan w:val="11"/>
            <w:tcW w:w="9697"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已完成服务项目情况</w:t>
            </w:r>
            <w:r>
              <w:rPr>
                <w:rFonts w:ascii="宋体" w:hAnsi="宋体"/>
                <w:color w:val="000000"/>
                <w:highlight w:val="none"/>
              </w:rPr>
            </w:r>
            <w:r/>
          </w:p>
        </w:tc>
      </w:tr>
      <w:tr>
        <w:trPr>
          <w:cantSplit/>
          <w:trHeight w:val="553"/>
        </w:trPr>
        <w:tc>
          <w:tcPr>
            <w:gridSpan w:val="3"/>
            <w:tcW w:w="2593"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被服务单位</w:t>
            </w:r>
            <w:r>
              <w:rPr>
                <w:rFonts w:ascii="宋体" w:hAnsi="宋体"/>
                <w:color w:val="000000"/>
                <w:highlight w:val="none"/>
              </w:rPr>
            </w:r>
            <w:r/>
          </w:p>
        </w:tc>
        <w:tc>
          <w:tcPr>
            <w:gridSpan w:val="3"/>
            <w:tcW w:w="2209"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项目名称</w:t>
            </w:r>
            <w:r>
              <w:rPr>
                <w:rFonts w:ascii="宋体" w:hAnsi="宋体"/>
                <w:color w:val="000000"/>
                <w:highlight w:val="none"/>
              </w:rPr>
            </w:r>
            <w:r/>
          </w:p>
        </w:tc>
        <w:tc>
          <w:tcPr>
            <w:tcW w:w="1351"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规模面积</w:t>
            </w:r>
            <w:r>
              <w:rPr>
                <w:rFonts w:ascii="宋体" w:hAnsi="宋体"/>
                <w:color w:val="000000"/>
                <w:highlight w:val="none"/>
              </w:rPr>
            </w:r>
            <w:r/>
          </w:p>
        </w:tc>
        <w:tc>
          <w:tcPr>
            <w:gridSpan w:val="2"/>
            <w:tcW w:w="2088"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服务期限</w:t>
            </w:r>
            <w:r>
              <w:rPr>
                <w:rFonts w:ascii="宋体" w:hAnsi="宋体"/>
                <w:color w:val="000000"/>
                <w:highlight w:val="none"/>
              </w:rPr>
            </w:r>
            <w:r/>
          </w:p>
        </w:tc>
        <w:tc>
          <w:tcPr>
            <w:gridSpan w:val="2"/>
            <w:tcW w:w="1456" w:type="dxa"/>
            <w:vAlign w:val="center"/>
            <w:textDirection w:val="lrTb"/>
            <w:noWrap w:val="false"/>
          </w:tcPr>
          <w:p>
            <w:pPr>
              <w:pStyle w:val="1528"/>
              <w:jc w:val="center"/>
              <w:rPr>
                <w:rFonts w:ascii="宋体" w:hAnsi="宋体"/>
                <w:color w:val="000000"/>
                <w:highlight w:val="none"/>
              </w:rPr>
            </w:pPr>
            <w:r>
              <w:rPr>
                <w:rFonts w:hint="eastAsia" w:ascii="宋体" w:hAnsi="宋体"/>
                <w:color w:val="000000"/>
                <w:highlight w:val="none"/>
              </w:rPr>
              <w:t xml:space="preserve">管理质量</w:t>
            </w: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r>
        <w:trPr>
          <w:cantSplit/>
          <w:trHeight w:val="491"/>
        </w:trPr>
        <w:tc>
          <w:tcPr>
            <w:gridSpan w:val="3"/>
            <w:tcW w:w="2593"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3"/>
            <w:tcW w:w="2209"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tcW w:w="1351"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2088"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c>
          <w:tcPr>
            <w:gridSpan w:val="2"/>
            <w:tcW w:w="1456" w:type="dxa"/>
            <w:vAlign w:val="center"/>
            <w:textDirection w:val="lrTb"/>
            <w:noWrap w:val="false"/>
          </w:tcPr>
          <w:p>
            <w:pPr>
              <w:pStyle w:val="1528"/>
              <w:spacing w:line="440" w:lineRule="exact"/>
              <w:rPr>
                <w:rFonts w:ascii="宋体" w:hAnsi="宋体"/>
                <w:color w:val="000000"/>
                <w:highlight w:val="none"/>
              </w:rPr>
            </w:pPr>
            <w:r>
              <w:rPr>
                <w:rFonts w:ascii="宋体" w:hAnsi="宋体"/>
                <w:color w:val="000000"/>
                <w:highlight w:val="none"/>
              </w:rPr>
            </w:r>
            <w:r/>
          </w:p>
        </w:tc>
      </w:tr>
    </w:tbl>
    <w:p>
      <w:pPr>
        <w:pStyle w:val="1528"/>
        <w:rPr>
          <w:b/>
          <w:bCs/>
          <w:color w:val="000000"/>
          <w:sz w:val="24"/>
          <w:szCs w:val="24"/>
          <w:highlight w:val="none"/>
        </w:rPr>
      </w:pPr>
      <w:r>
        <w:rPr>
          <w:b/>
          <w:bCs/>
          <w:color w:val="000000"/>
          <w:sz w:val="24"/>
          <w:szCs w:val="24"/>
          <w:highlight w:val="none"/>
        </w:rPr>
      </w:r>
      <w:r/>
    </w:p>
    <w:p>
      <w:pPr>
        <w:pStyle w:val="1528"/>
        <w:rPr>
          <w:b/>
          <w:bCs/>
          <w:color w:val="000000"/>
          <w:sz w:val="24"/>
          <w:szCs w:val="24"/>
          <w:highlight w:val="none"/>
        </w:rPr>
      </w:pPr>
      <w:r>
        <w:rPr>
          <w:b/>
          <w:bCs/>
          <w:color w:val="000000"/>
          <w:sz w:val="24"/>
          <w:szCs w:val="24"/>
          <w:highlight w:val="none"/>
        </w:rPr>
      </w:r>
      <w:r/>
    </w:p>
    <w:p>
      <w:pPr>
        <w:pStyle w:val="1528"/>
        <w:rPr>
          <w:rFonts w:ascii="宋体"/>
          <w:bCs/>
          <w:color w:val="000000"/>
          <w:szCs w:val="21"/>
          <w:highlight w:val="none"/>
        </w:rPr>
      </w:pPr>
      <w:r>
        <w:rPr>
          <w:rFonts w:hint="eastAsia"/>
          <w:b/>
          <w:bCs/>
          <w:color w:val="000000"/>
          <w:sz w:val="24"/>
          <w:szCs w:val="24"/>
          <w:highlight w:val="none"/>
        </w:rPr>
        <w:t xml:space="preserve">法定代表人或法定代表人授权代表签字或盖章：</w:t>
      </w:r>
      <w:r>
        <w:rPr>
          <w:rFonts w:ascii="宋体"/>
          <w:bCs/>
          <w:color w:val="000000"/>
          <w:szCs w:val="21"/>
          <w:highlight w:val="none"/>
        </w:rPr>
      </w:r>
      <w:r/>
    </w:p>
    <w:p>
      <w:pPr>
        <w:pStyle w:val="1528"/>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528"/>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r>
      <w:r/>
    </w:p>
    <w:p>
      <w:pPr>
        <w:pStyle w:val="1528"/>
        <w:numPr>
          <w:ilvl w:val="0"/>
          <w:numId w:val="0"/>
        </w:numPr>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rPr>
        <w:t xml:space="preserve">注：1.上表可自行延长</w:t>
      </w:r>
      <w:r>
        <w:rPr>
          <w:rFonts w:hint="eastAsia" w:ascii="宋体" w:hAnsi="宋体" w:eastAsia="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但不得改变文本格式。</w:t>
      </w:r>
      <w:r>
        <w:rPr>
          <w:rFonts w:hint="eastAsia" w:ascii="宋体" w:hAnsi="宋体" w:eastAsia="宋体" w:cs="Times New Roman"/>
          <w:bCs/>
          <w:color w:val="000000"/>
          <w:szCs w:val="21"/>
          <w:highlight w:val="none"/>
          <w:lang w:val="en-US" w:eastAsia="zh-CN"/>
        </w:rPr>
      </w:r>
      <w:r/>
    </w:p>
    <w:p>
      <w:pPr>
        <w:pStyle w:val="1528"/>
        <w:numPr>
          <w:ilvl w:val="0"/>
          <w:numId w:val="0"/>
        </w:numPr>
        <w:ind w:firstLine="420"/>
        <w:jc w:val="left"/>
        <w:rPr>
          <w:rFonts w:hint="eastAsia" w:ascii="宋体" w:hAnsi="宋体" w:eastAsia="宋体" w:cs="Times New Roman"/>
          <w:bCs/>
          <w:color w:val="000000"/>
          <w:szCs w:val="21"/>
          <w:highlight w:val="none"/>
          <w:lang w:val="en-US" w:eastAsia="zh-CN"/>
        </w:rPr>
        <w:outlineLvl w:val="9"/>
      </w:pPr>
      <w:r>
        <w:rPr>
          <w:rFonts w:hint="eastAsia" w:ascii="宋体" w:hAnsi="宋体" w:eastAsia="宋体" w:cs="Times New Roman"/>
          <w:bCs/>
          <w:color w:val="000000"/>
          <w:szCs w:val="21"/>
          <w:highlight w:val="none"/>
          <w:lang w:val="en-US" w:eastAsia="zh-CN"/>
        </w:rPr>
        <w:t xml:space="preserve">2.人员相关证明材料应按招标文件要求提供，并附在本表之后。</w:t>
      </w:r>
      <w:r>
        <w:rPr>
          <w:rFonts w:hint="eastAsia" w:ascii="宋体" w:hAnsi="宋体" w:eastAsia="宋体" w:cs="Times New Roman"/>
          <w:bCs/>
          <w:color w:val="000000"/>
          <w:szCs w:val="21"/>
          <w:highlight w:val="none"/>
          <w:lang w:val="en-US" w:eastAsia="zh-CN"/>
        </w:rPr>
      </w:r>
      <w:r/>
    </w:p>
    <w:p>
      <w:pPr>
        <w:pStyle w:val="1528"/>
        <w:numPr>
          <w:ilvl w:val="0"/>
          <w:numId w:val="0"/>
        </w:numPr>
        <w:jc w:val="left"/>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36"/>
        <w:ind w:left="1260"/>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528"/>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28"/>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528"/>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28"/>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60"/>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28"/>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528"/>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rPr>
          <w:rFonts w:hint="eastAsia" w:ascii="宋体" w:hAnsi="宋体" w:cs="宋体"/>
          <w:color w:val="000000"/>
          <w:sz w:val="24"/>
          <w:highlight w:val="none"/>
        </w:rPr>
      </w:r>
      <w:r/>
    </w:p>
    <w:p>
      <w:pPr>
        <w:pStyle w:val="1528"/>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声明函必须提供，未提供视为无效投标文件。 </w:t>
      </w:r>
      <w:r>
        <w:rPr>
          <w:rFonts w:hint="eastAsia" w:ascii="宋体" w:hAnsi="宋体" w:cs="宋体"/>
          <w:color w:val="000000"/>
          <w:sz w:val="24"/>
          <w:highlight w:val="none"/>
        </w:rPr>
      </w:r>
      <w:r/>
    </w:p>
    <w:p>
      <w:pPr>
        <w:pStyle w:val="1528"/>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t xml:space="preserve">4.供应商提供的声明函与事实不符的，依照《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rPr>
          <w:rFonts w:hint="eastAsia" w:ascii="宋体" w:hAnsi="宋体" w:cs="宋体"/>
          <w:color w:val="000000"/>
          <w:sz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bookmarkStart w:id="59" w:name="OLE_LINK13"/>
      <w:r/>
      <w:bookmarkStart w:id="60" w:name="OLE_LINK14"/>
      <w:r/>
      <w:bookmarkStart w:id="61"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528"/>
        <w:spacing w:line="588" w:lineRule="exact"/>
        <w:rPr>
          <w:rFonts w:hint="eastAsia" w:ascii="宋体" w:hAnsi="宋体" w:cs="宋体"/>
          <w:b/>
          <w:color w:val="000000"/>
          <w:spacing w:val="6"/>
          <w:sz w:val="24"/>
          <w:szCs w:val="24"/>
          <w:highlight w:val="none"/>
        </w:rPr>
        <w:outlineLvl w:val="9"/>
      </w:pPr>
      <w:r/>
      <w:bookmarkEnd w:id="59"/>
      <w:r/>
      <w:bookmarkEnd w:id="60"/>
      <w:r>
        <w:rPr>
          <w:rFonts w:hint="eastAsia" w:ascii="宋体" w:hAnsi="宋体" w:cs="宋体"/>
          <w:b/>
          <w:color w:val="000000"/>
          <w:spacing w:val="6"/>
          <w:sz w:val="24"/>
          <w:szCs w:val="24"/>
          <w:highlight w:val="none"/>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528"/>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28"/>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528"/>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611"/>
        <w:ind w:firstLine="480"/>
        <w:rPr>
          <w:rFonts w:hint="eastAsia" w:ascii="宋体" w:hAnsi="宋体" w:cs="宋体"/>
          <w:color w:val="000000"/>
          <w:sz w:val="24"/>
          <w:szCs w:val="24"/>
          <w:highlight w:val="none"/>
        </w:rPr>
        <w:outlineLvl w:val="9"/>
      </w:pPr>
      <w:r/>
      <w:bookmarkEnd w:id="61"/>
      <w:r>
        <w:rPr>
          <w:rFonts w:hint="eastAsia" w:ascii="宋体" w:hAnsi="宋体" w:cs="宋体"/>
          <w:color w:val="000000"/>
          <w:sz w:val="24"/>
          <w:szCs w:val="24"/>
          <w:highlight w:val="none"/>
        </w:rPr>
      </w:r>
      <w:r/>
    </w:p>
    <w:p>
      <w:pPr>
        <w:pStyle w:val="161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11"/>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611"/>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528"/>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611"/>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528"/>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528"/>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十三</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sectPr>
      <w:footerReference w:type="default" r:id="rId31"/>
      <w:footerReference w:type="even" r:id="rId32"/>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rPr>
        <w:rStyle w:val="1581"/>
      </w:rPr>
      <w:framePr w:wrap="around" w:vAnchor="text" w:hAnchor="margin" w:xAlign="center" w:y="1"/>
    </w:pPr>
    <w:r>
      <w:fldChar w:fldCharType="begin"/>
    </w:r>
    <w:r>
      <w:rPr>
        <w:rStyle w:val="1581"/>
      </w:rPr>
      <w:instrText xml:space="preserve">PAGE  </w:instrText>
    </w:r>
    <w:r>
      <w:fldChar w:fldCharType="separate"/>
    </w:r>
    <w:r>
      <w:rPr>
        <w:rStyle w:val="1581"/>
      </w:rPr>
      <w:t xml:space="preserve">1</w:t>
    </w:r>
    <w:r>
      <w:fldChar w:fldCharType="end"/>
    </w:r>
    <w:r>
      <w:rPr>
        <w:rStyle w:val="1581"/>
      </w:rPr>
    </w:r>
    <w:r/>
  </w:p>
  <w:p>
    <w:pPr>
      <w:pStyle w:val="1560"/>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wps:txbx>
                    <wps:bodyPr wrap="none" lIns="0" tIns="0" rIns="0" bIns="0" upright="1">
                      <a:spAutoFit/>
                    </wps:bodyPr>
                  </wps:wsp>
                </a:graphicData>
              </a:graphic>
            </wp:anchor>
          </w:drawing>
        </mc:Choice>
        <mc:Fallback>
          <w:pict>
            <v:shape id="shape 1" o:spid="_x0000_s1"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wps:txbx>
                    <wps:bodyPr wrap="none" lIns="0" tIns="0" rIns="0" bIns="0" upright="1">
                      <a:spAutoFit/>
                    </wps:bodyPr>
                  </wps:wsp>
                </a:graphicData>
              </a:graphic>
            </wp:anchor>
          </w:drawing>
        </mc:Choice>
        <mc:Fallback>
          <w:pict>
            <v:shape id="shape 2" o:spid="_x0000_s2"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wps:txbx>
                    <wps:bodyPr wrap="none" lIns="0" tIns="0" rIns="0" bIns="0" upright="1">
                      <a:spAutoFit/>
                    </wps:bodyPr>
                  </wps:wsp>
                </a:graphicData>
              </a:graphic>
            </wp:anchor>
          </w:drawing>
        </mc:Choice>
        <mc:Fallback>
          <w:pict>
            <v:shape id="shape 3" o:spid="_x0000_s3"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52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528"/>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rPr>
                        <w:sz w:val="18"/>
                      </w:rPr>
                    </w:pPr>
                    <w:r>
                      <w:fldChar w:fldCharType="begin"/>
                    </w:r>
                    <w:r>
                      <w:instrText xml:space="preserve"> PAGE  \* MERGEFORMAT </w:instrText>
                    </w:r>
                    <w:r>
                      <w:fldChar w:fldCharType="separate"/>
                    </w:r>
                    <w:r>
                      <w:rPr>
                        <w:sz w:val="18"/>
                      </w:rPr>
                      <w:t xml:space="preserve">54</w:t>
                    </w:r>
                    <w:r>
                      <w:rPr>
                        <w:sz w:val="18"/>
                      </w:rPr>
                      <w:fldChar w:fldCharType="end"/>
                    </w:r>
                    <w:r>
                      <w:rPr>
                        <w:sz w:val="18"/>
                      </w:rPr>
                    </w:r>
                    <w:r/>
                  </w:p>
                  <w:p>
                    <w:pPr>
                      <w:pStyle w:val="1528"/>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rPr>
        <w:sz w:val="24"/>
        <w:szCs w:val="24"/>
      </w:rPr>
    </w:r>
    <w:r/>
  </w:p>
  <w:p>
    <w:pPr>
      <w:pStyle w:val="1528"/>
      <w:rPr>
        <w:sz w:val="24"/>
        <w:szCs w:val="24"/>
      </w:rPr>
    </w:pPr>
    <w:r>
      <w:rPr>
        <w:sz w:val="24"/>
        <w:szCs w:val="24"/>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528"/>
                          </w:pPr>
                          <w:r/>
                          <w:r/>
                        </w:p>
                      </w:txbxContent>
                    </wps:txbx>
                    <wps:bodyPr wrap="none" lIns="0" tIns="0" rIns="0" bIns="0" upright="1">
                      <a:spAutoFit/>
                    </wps:bodyPr>
                  </wps:wsp>
                </a:graphicData>
              </a:graphic>
            </wp:anchor>
          </w:drawing>
        </mc:Choice>
        <mc:Fallback>
          <w:pict>
            <v:shape id="shape 5" o:spid="_x0000_s5"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528"/>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28"/>
                          </w:pPr>
                          <w:r/>
                          <w:r/>
                        </w:p>
                      </w:txbxContent>
                    </wps:txbx>
                    <wps:bodyPr wrap="none" lIns="0" tIns="0" rIns="0" bIns="0" upright="1">
                      <a:spAutoFit/>
                    </wps:bodyPr>
                  </wps:wsp>
                </a:graphicData>
              </a:graphic>
            </wp:anchor>
          </w:drawing>
        </mc:Choice>
        <mc:Fallback>
          <w:pict>
            <v:shape id="shape 6" o:spid="_x0000_s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28"/>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9" o:spid="_x0000_s9"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8"/>
                          </w:pPr>
                          <w:r/>
                          <w:r/>
                        </w:p>
                        <w:p>
                          <w:pPr>
                            <w:pStyle w:val="1528"/>
                          </w:pPr>
                          <w:r/>
                          <w:r/>
                        </w:p>
                      </w:txbxContent>
                    </wps:txbx>
                    <wps:bodyPr wrap="none" lIns="0" tIns="0" rIns="0" bIns="0" upright="1">
                      <a:spAutoFit/>
                    </wps:bodyPr>
                  </wps:wsp>
                </a:graphicData>
              </a:graphic>
            </wp:anchor>
          </w:drawing>
        </mc:Choice>
        <mc:Fallback>
          <w:pict>
            <v:shape id="shape 10" o:spid="_x0000_s1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8"/>
                    </w:pPr>
                    <w:r/>
                    <w:r/>
                  </w:p>
                  <w:p>
                    <w:pPr>
                      <w:pStyle w:val="1528"/>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528"/>
                          </w:pPr>
                          <w:r/>
                          <w:r/>
                        </w:p>
                        <w:p>
                          <w:pPr>
                            <w:pStyle w:val="1528"/>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pPr>
                      <w:pStyle w:val="1528"/>
                    </w:pPr>
                    <w:r/>
                    <w:r/>
                  </w:p>
                  <w:p>
                    <w:pPr>
                      <w:pStyle w:val="1528"/>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528"/>
                          </w:pPr>
                          <w:r/>
                          <w:r/>
                        </w:p>
                        <w:p>
                          <w:pPr>
                            <w:pStyle w:val="1528"/>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18"/>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528"/>
                    </w:pPr>
                    <w:r/>
                    <w:r/>
                  </w:p>
                  <w:p>
                    <w:pPr>
                      <w:pStyle w:val="1528"/>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28"/>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528"/>
                          </w:pPr>
                          <w:r/>
                          <w:r/>
                        </w:p>
                      </w:txbxContent>
                    </wps:txbx>
                    <wps:bodyPr wrap="none" lIns="0" tIns="0" rIns="0" bIns="0" upright="1">
                      <a:spAutoFit/>
                    </wps:bodyPr>
                  </wps:wsp>
                </a:graphicData>
              </a:graphic>
            </wp:anchor>
          </w:drawing>
        </mc:Choice>
        <mc:Fallback>
          <w:pict>
            <v:shape id="shape 14" o:spid="_x0000_s1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528"/>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528"/>
                          </w:pPr>
                          <w:r/>
                          <w:r/>
                        </w:p>
                      </w:txbxContent>
                    </wps:txbx>
                    <wps:bodyPr wrap="none" lIns="0" tIns="0" rIns="0" bIns="0" upright="1">
                      <a:spAutoFit/>
                    </wps:bodyPr>
                  </wps:wsp>
                </a:graphicData>
              </a:graphic>
            </wp:anchor>
          </w:drawing>
        </mc:Choice>
        <mc:Fallback>
          <w:pict>
            <v:shape id="shape 15" o:spid="_x0000_s15"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60"/>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528"/>
                    </w:pPr>
                    <w:r/>
                    <w:r/>
                  </w:p>
                </w:txbxContent>
              </v:textbox>
            </v:shape>
          </w:pict>
        </mc:Fallback>
      </mc:AlternateContent>
    </w:r>
    <w:r>
      <w:rPr>
        <w:rFonts w:hint="eastAsia"/>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0"/>
      <w:spacing w:after="240"/>
      <w:tabs>
        <w:tab w:val="center" w:pos="4153" w:leader="none"/>
        <w:tab w:val="right" w:pos="8306" w:leader="none"/>
      </w:tabs>
      <w:rPr>
        <w:rStyle w:val="1581"/>
      </w:rPr>
      <w:framePr w:wrap="around" w:vAnchor="text" w:hAnchor="margin" w:xAlign="center" w:y="1"/>
    </w:pPr>
    <w:r>
      <w:fldChar w:fldCharType="begin"/>
    </w:r>
    <w:r>
      <w:rPr>
        <w:rStyle w:val="1581"/>
      </w:rPr>
      <w:instrText xml:space="preserve">PAGE  </w:instrText>
    </w:r>
    <w:r>
      <w:fldChar w:fldCharType="end"/>
    </w:r>
    <w:r>
      <w:rPr>
        <w:rStyle w:val="1581"/>
      </w:rPr>
    </w:r>
    <w:r/>
  </w:p>
  <w:p>
    <w:pPr>
      <w:pStyle w:val="1560"/>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jc w:val="both"/>
      <w:tabs>
        <w:tab w:val="center" w:pos="4153" w:leader="none"/>
        <w:tab w:val="right" w:pos="8306" w:leader="none"/>
      </w:tabs>
      <w:rPr>
        <w:rFonts w:ascii="宋体" w:hAnsi="宋体" w:cs="宋体"/>
        <w:szCs w:val="18"/>
      </w:rPr>
      <w:pBdr>
        <w:top w:val="none" w:color="000000" w:sz="0" w:space="0"/>
        <w:left w:val="none" w:color="000000" w:sz="0" w:space="0"/>
        <w:bottom w:val="none" w:color="000000" w:sz="0" w:space="1"/>
        <w:right w:val="none" w:color="000000" w:sz="0" w:space="0"/>
        <w:between w:val="none" w:color="000000" w:sz="0" w:space="0"/>
      </w:pBdr>
    </w:pPr>
    <w:r>
      <w:rPr>
        <w:rFonts w:ascii="宋体" w:hAnsi="宋体" w:cs="宋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64"/>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7"/>
      <w:jc w:val="both"/>
      <w:tabs>
        <w:tab w:val="center" w:pos="4153" w:leader="none"/>
        <w:tab w:val="right" w:pos="8306" w:leader="none"/>
      </w:tabs>
      <w:rPr>
        <w:rFonts w:hint="eastAsia" w:ascii="宋体" w:hAnsi="宋体" w:eastAsia="宋体" w:cs="宋体"/>
        <w:sz w:val="15"/>
        <w:szCs w:val="15"/>
      </w:rPr>
      <w:pBdr>
        <w:top w:val="none" w:color="000000" w:sz="0" w:space="0"/>
        <w:left w:val="none" w:color="000000" w:sz="0" w:space="0"/>
        <w:bottom w:val="none" w:color="000000" w:sz="0" w:space="1"/>
        <w:right w:val="none" w:color="000000" w:sz="0" w:space="0"/>
        <w:between w:val="none" w:color="000000" w:sz="0" w:space="0"/>
      </w:pBdr>
    </w:pPr>
    <w:r>
      <w:rPr>
        <w:rFonts w:hint="eastAsia" w:ascii="宋体" w:hAnsi="宋体" w:eastAsia="宋体" w:cs="宋体"/>
        <w:sz w:val="15"/>
        <w:szCs w:val="15"/>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17"/>
      <w:jc w:val="both"/>
      <w:tabs>
        <w:tab w:val="center" w:pos="4153" w:leader="none"/>
        <w:tab w:val="right" w:pos="8306" w:leader="none"/>
      </w:tabs>
      <w:pBdr>
        <w:top w:val="none" w:color="000000" w:sz="0" w:space="0"/>
        <w:left w:val="none" w:color="000000" w:sz="0" w:space="0"/>
        <w:bottom w:val="none" w:color="000000" w:sz="0" w:space="1"/>
        <w:right w:val="none" w:color="000000" w:sz="0" w:space="0"/>
        <w:between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152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1528"/>
        <w:ind w:left="840" w:hanging="420"/>
        <w:tabs>
          <w:tab w:val="num" w:pos="840" w:leader="none"/>
        </w:tabs>
      </w:pPr>
      <w:rPr>
        <w:rFonts w:cs="Times New Roman"/>
      </w:rPr>
    </w:lvl>
    <w:lvl w:ilvl="2">
      <w:start w:val="10"/>
      <w:numFmt w:val="decimal"/>
      <w:isLgl w:val="false"/>
      <w:suff w:val="tab"/>
      <w:lvlText w:val="%3."/>
      <w:lvlJc w:val="left"/>
      <w:pPr>
        <w:pStyle w:val="1528"/>
        <w:ind w:left="1200" w:hanging="360"/>
        <w:tabs>
          <w:tab w:val="num" w:pos="1200" w:leader="none"/>
        </w:tabs>
      </w:pPr>
      <w:rPr>
        <w:rFonts w:cs="Times New Roman"/>
      </w:rPr>
    </w:lvl>
    <w:lvl w:ilvl="3">
      <w:start w:val="1"/>
      <w:numFmt w:val="decimal"/>
      <w:isLgl w:val="false"/>
      <w:suff w:val="tab"/>
      <w:lvlText w:val="%4."/>
      <w:lvlJc w:val="left"/>
      <w:pPr>
        <w:pStyle w:val="1528"/>
        <w:ind w:left="1680" w:hanging="420"/>
        <w:tabs>
          <w:tab w:val="num" w:pos="1680" w:leader="none"/>
        </w:tabs>
      </w:pPr>
      <w:rPr>
        <w:rFonts w:cs="Times New Roman"/>
      </w:rPr>
    </w:lvl>
    <w:lvl w:ilvl="4">
      <w:start w:val="1"/>
      <w:numFmt w:val="lowerLetter"/>
      <w:isLgl w:val="false"/>
      <w:suff w:val="tab"/>
      <w:lvlText w:val="%5)"/>
      <w:lvlJc w:val="left"/>
      <w:pPr>
        <w:pStyle w:val="1528"/>
        <w:ind w:left="2100" w:hanging="420"/>
        <w:tabs>
          <w:tab w:val="num" w:pos="2100" w:leader="none"/>
        </w:tabs>
      </w:pPr>
      <w:rPr>
        <w:rFonts w:cs="Times New Roman"/>
      </w:rPr>
    </w:lvl>
    <w:lvl w:ilvl="5">
      <w:start w:val="1"/>
      <w:numFmt w:val="lowerRoman"/>
      <w:isLgl w:val="false"/>
      <w:suff w:val="tab"/>
      <w:lvlText w:val="%6."/>
      <w:lvlJc w:val="right"/>
      <w:pPr>
        <w:pStyle w:val="1528"/>
        <w:ind w:left="2520" w:hanging="420"/>
        <w:tabs>
          <w:tab w:val="num" w:pos="2520" w:leader="none"/>
        </w:tabs>
      </w:pPr>
      <w:rPr>
        <w:rFonts w:cs="Times New Roman"/>
      </w:rPr>
    </w:lvl>
    <w:lvl w:ilvl="6">
      <w:start w:val="1"/>
      <w:numFmt w:val="decimal"/>
      <w:isLgl w:val="false"/>
      <w:suff w:val="tab"/>
      <w:lvlText w:val="%7."/>
      <w:lvlJc w:val="left"/>
      <w:pPr>
        <w:pStyle w:val="1528"/>
        <w:ind w:left="2940" w:hanging="420"/>
        <w:tabs>
          <w:tab w:val="num" w:pos="2940" w:leader="none"/>
        </w:tabs>
      </w:pPr>
      <w:rPr>
        <w:rFonts w:cs="Times New Roman"/>
      </w:rPr>
    </w:lvl>
    <w:lvl w:ilvl="7">
      <w:start w:val="1"/>
      <w:numFmt w:val="lowerLetter"/>
      <w:isLgl w:val="false"/>
      <w:suff w:val="tab"/>
      <w:lvlText w:val="%8)"/>
      <w:lvlJc w:val="left"/>
      <w:pPr>
        <w:pStyle w:val="1528"/>
        <w:ind w:left="3360" w:hanging="420"/>
        <w:tabs>
          <w:tab w:val="num" w:pos="3360" w:leader="none"/>
        </w:tabs>
      </w:pPr>
      <w:rPr>
        <w:rFonts w:cs="Times New Roman"/>
      </w:rPr>
    </w:lvl>
    <w:lvl w:ilvl="8">
      <w:start w:val="1"/>
      <w:numFmt w:val="lowerRoman"/>
      <w:isLgl w:val="false"/>
      <w:suff w:val="tab"/>
      <w:lvlText w:val="%9."/>
      <w:lvlJc w:val="right"/>
      <w:pPr>
        <w:pStyle w:val="1528"/>
        <w:ind w:left="3780" w:hanging="420"/>
        <w:tabs>
          <w:tab w:val="num" w:pos="3780" w:leader="none"/>
        </w:tabs>
      </w:pPr>
      <w:rPr>
        <w:rFonts w:cs="Times New Roman"/>
      </w:rPr>
    </w:lvl>
  </w:abstractNum>
  <w:abstractNum w:abstractNumId="1">
    <w:multiLevelType w:val="hybridMultilevel"/>
    <w:lvl w:ilvl="0">
      <w:start w:val="1"/>
      <w:numFmt w:val="upperLetter"/>
      <w:pStyle w:val="1533"/>
      <w:isLgl w:val="false"/>
      <w:suff w:val="tab"/>
      <w:lvlText w:val="%1."/>
      <w:lvlJc w:val="left"/>
      <w:pPr>
        <w:pStyle w:val="1528"/>
        <w:ind w:left="360" w:hanging="360"/>
        <w:tabs>
          <w:tab w:val="num" w:pos="360" w:leader="none"/>
        </w:tabs>
      </w:pPr>
      <w:rPr>
        <w:rFonts w:cs="Times New Roman"/>
      </w:rPr>
    </w:lvl>
    <w:lvl w:ilvl="1">
      <w:start w:val="1"/>
      <w:numFmt w:val="lowerLetter"/>
      <w:isLgl w:val="false"/>
      <w:suff w:val="tab"/>
      <w:lvlText w:val="%2)"/>
      <w:lvlJc w:val="left"/>
      <w:pPr>
        <w:pStyle w:val="1528"/>
        <w:ind w:left="840" w:hanging="420"/>
        <w:tabs>
          <w:tab w:val="num" w:pos="840" w:leader="none"/>
        </w:tabs>
      </w:pPr>
      <w:rPr>
        <w:rFonts w:cs="Times New Roman"/>
      </w:rPr>
    </w:lvl>
    <w:lvl w:ilvl="2">
      <w:start w:val="1"/>
      <w:numFmt w:val="lowerRoman"/>
      <w:isLgl w:val="false"/>
      <w:suff w:val="tab"/>
      <w:lvlText w:val="%3."/>
      <w:lvlJc w:val="right"/>
      <w:pPr>
        <w:pStyle w:val="1528"/>
        <w:ind w:left="1260" w:hanging="420"/>
        <w:tabs>
          <w:tab w:val="num" w:pos="1260" w:leader="none"/>
        </w:tabs>
      </w:pPr>
      <w:rPr>
        <w:rFonts w:cs="Times New Roman"/>
      </w:rPr>
    </w:lvl>
    <w:lvl w:ilvl="3">
      <w:start w:val="1"/>
      <w:numFmt w:val="decimal"/>
      <w:isLgl w:val="false"/>
      <w:suff w:val="tab"/>
      <w:lvlText w:val="%4."/>
      <w:lvlJc w:val="left"/>
      <w:pPr>
        <w:pStyle w:val="1528"/>
        <w:ind w:left="1680" w:hanging="420"/>
        <w:tabs>
          <w:tab w:val="num" w:pos="1680" w:leader="none"/>
        </w:tabs>
      </w:pPr>
      <w:rPr>
        <w:rFonts w:cs="Times New Roman"/>
      </w:rPr>
    </w:lvl>
    <w:lvl w:ilvl="4">
      <w:start w:val="1"/>
      <w:numFmt w:val="lowerLetter"/>
      <w:isLgl w:val="false"/>
      <w:suff w:val="tab"/>
      <w:lvlText w:val="%5)"/>
      <w:lvlJc w:val="left"/>
      <w:pPr>
        <w:pStyle w:val="1528"/>
        <w:ind w:left="2100" w:hanging="420"/>
        <w:tabs>
          <w:tab w:val="num" w:pos="2100" w:leader="none"/>
        </w:tabs>
      </w:pPr>
      <w:rPr>
        <w:rFonts w:cs="Times New Roman"/>
      </w:rPr>
    </w:lvl>
    <w:lvl w:ilvl="5">
      <w:start w:val="1"/>
      <w:numFmt w:val="lowerRoman"/>
      <w:isLgl w:val="false"/>
      <w:suff w:val="tab"/>
      <w:lvlText w:val="%6."/>
      <w:lvlJc w:val="right"/>
      <w:pPr>
        <w:pStyle w:val="1528"/>
        <w:ind w:left="2520" w:hanging="420"/>
        <w:tabs>
          <w:tab w:val="num" w:pos="2520" w:leader="none"/>
        </w:tabs>
      </w:pPr>
      <w:rPr>
        <w:rFonts w:cs="Times New Roman"/>
      </w:rPr>
    </w:lvl>
    <w:lvl w:ilvl="6">
      <w:start w:val="1"/>
      <w:numFmt w:val="decimal"/>
      <w:isLgl w:val="false"/>
      <w:suff w:val="tab"/>
      <w:lvlText w:val="%7."/>
      <w:lvlJc w:val="left"/>
      <w:pPr>
        <w:pStyle w:val="1528"/>
        <w:ind w:left="2940" w:hanging="420"/>
        <w:tabs>
          <w:tab w:val="num" w:pos="2940" w:leader="none"/>
        </w:tabs>
      </w:pPr>
      <w:rPr>
        <w:rFonts w:cs="Times New Roman"/>
      </w:rPr>
    </w:lvl>
    <w:lvl w:ilvl="7">
      <w:start w:val="1"/>
      <w:numFmt w:val="lowerLetter"/>
      <w:isLgl w:val="false"/>
      <w:suff w:val="tab"/>
      <w:lvlText w:val="%8)"/>
      <w:lvlJc w:val="left"/>
      <w:pPr>
        <w:pStyle w:val="1528"/>
        <w:ind w:left="3360" w:hanging="420"/>
        <w:tabs>
          <w:tab w:val="num" w:pos="3360" w:leader="none"/>
        </w:tabs>
      </w:pPr>
      <w:rPr>
        <w:rFonts w:cs="Times New Roman"/>
      </w:rPr>
    </w:lvl>
    <w:lvl w:ilvl="8">
      <w:start w:val="1"/>
      <w:numFmt w:val="lowerRoman"/>
      <w:isLgl w:val="false"/>
      <w:suff w:val="tab"/>
      <w:lvlText w:val="%9."/>
      <w:lvlJc w:val="right"/>
      <w:pPr>
        <w:pStyle w:val="1528"/>
        <w:ind w:left="3780" w:hanging="420"/>
        <w:tabs>
          <w:tab w:val="num"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51">
    <w:name w:val="Heading 1"/>
    <w:basedOn w:val="1528"/>
    <w:next w:val="1528"/>
    <w:link w:val="1352"/>
    <w:uiPriority w:val="9"/>
    <w:qFormat/>
    <w:pPr>
      <w:keepLines/>
      <w:keepNext/>
      <w:spacing w:before="480" w:after="200"/>
      <w:outlineLvl w:val="0"/>
    </w:pPr>
    <w:rPr>
      <w:rFonts w:ascii="Arial" w:hAnsi="Arial" w:eastAsia="Arial" w:cs="Arial"/>
      <w:sz w:val="40"/>
      <w:szCs w:val="40"/>
    </w:rPr>
  </w:style>
  <w:style w:type="character" w:styleId="1352">
    <w:name w:val="Heading 1 Char"/>
    <w:link w:val="1351"/>
    <w:uiPriority w:val="9"/>
    <w:rPr>
      <w:rFonts w:ascii="Arial" w:hAnsi="Arial" w:eastAsia="Arial" w:cs="Arial"/>
      <w:sz w:val="40"/>
      <w:szCs w:val="40"/>
    </w:rPr>
  </w:style>
  <w:style w:type="paragraph" w:styleId="1353">
    <w:name w:val="Heading 2"/>
    <w:basedOn w:val="1528"/>
    <w:next w:val="1528"/>
    <w:link w:val="1354"/>
    <w:uiPriority w:val="9"/>
    <w:unhideWhenUsed/>
    <w:qFormat/>
    <w:pPr>
      <w:keepLines/>
      <w:keepNext/>
      <w:spacing w:before="360" w:after="200"/>
      <w:outlineLvl w:val="1"/>
    </w:pPr>
    <w:rPr>
      <w:rFonts w:ascii="Arial" w:hAnsi="Arial" w:eastAsia="Arial" w:cs="Arial"/>
      <w:sz w:val="34"/>
    </w:rPr>
  </w:style>
  <w:style w:type="character" w:styleId="1354">
    <w:name w:val="Heading 2 Char"/>
    <w:link w:val="1353"/>
    <w:uiPriority w:val="9"/>
    <w:rPr>
      <w:rFonts w:ascii="Arial" w:hAnsi="Arial" w:eastAsia="Arial" w:cs="Arial"/>
      <w:sz w:val="34"/>
    </w:rPr>
  </w:style>
  <w:style w:type="paragraph" w:styleId="1355">
    <w:name w:val="Heading 3"/>
    <w:basedOn w:val="1528"/>
    <w:next w:val="1528"/>
    <w:link w:val="1356"/>
    <w:uiPriority w:val="9"/>
    <w:unhideWhenUsed/>
    <w:qFormat/>
    <w:pPr>
      <w:keepLines/>
      <w:keepNext/>
      <w:spacing w:before="320" w:after="200"/>
      <w:outlineLvl w:val="2"/>
    </w:pPr>
    <w:rPr>
      <w:rFonts w:ascii="Arial" w:hAnsi="Arial" w:eastAsia="Arial" w:cs="Arial"/>
      <w:sz w:val="30"/>
      <w:szCs w:val="30"/>
    </w:rPr>
  </w:style>
  <w:style w:type="character" w:styleId="1356">
    <w:name w:val="Heading 3 Char"/>
    <w:link w:val="1355"/>
    <w:uiPriority w:val="9"/>
    <w:rPr>
      <w:rFonts w:ascii="Arial" w:hAnsi="Arial" w:eastAsia="Arial" w:cs="Arial"/>
      <w:sz w:val="30"/>
      <w:szCs w:val="30"/>
    </w:rPr>
  </w:style>
  <w:style w:type="paragraph" w:styleId="1357">
    <w:name w:val="Heading 4"/>
    <w:basedOn w:val="1528"/>
    <w:next w:val="1528"/>
    <w:link w:val="1358"/>
    <w:uiPriority w:val="9"/>
    <w:unhideWhenUsed/>
    <w:qFormat/>
    <w:pPr>
      <w:keepLines/>
      <w:keepNext/>
      <w:spacing w:before="320" w:after="200"/>
      <w:outlineLvl w:val="3"/>
    </w:pPr>
    <w:rPr>
      <w:rFonts w:ascii="Arial" w:hAnsi="Arial" w:eastAsia="Arial" w:cs="Arial"/>
      <w:b/>
      <w:bCs/>
      <w:sz w:val="26"/>
      <w:szCs w:val="26"/>
    </w:rPr>
  </w:style>
  <w:style w:type="character" w:styleId="1358">
    <w:name w:val="Heading 4 Char"/>
    <w:link w:val="1357"/>
    <w:uiPriority w:val="9"/>
    <w:rPr>
      <w:rFonts w:ascii="Arial" w:hAnsi="Arial" w:eastAsia="Arial" w:cs="Arial"/>
      <w:b/>
      <w:bCs/>
      <w:sz w:val="26"/>
      <w:szCs w:val="26"/>
    </w:rPr>
  </w:style>
  <w:style w:type="paragraph" w:styleId="1359">
    <w:name w:val="Heading 5"/>
    <w:basedOn w:val="1528"/>
    <w:next w:val="1528"/>
    <w:link w:val="1360"/>
    <w:uiPriority w:val="9"/>
    <w:unhideWhenUsed/>
    <w:qFormat/>
    <w:pPr>
      <w:keepLines/>
      <w:keepNext/>
      <w:spacing w:before="320" w:after="200"/>
      <w:outlineLvl w:val="4"/>
    </w:pPr>
    <w:rPr>
      <w:rFonts w:ascii="Arial" w:hAnsi="Arial" w:eastAsia="Arial" w:cs="Arial"/>
      <w:b/>
      <w:bCs/>
      <w:sz w:val="24"/>
      <w:szCs w:val="24"/>
    </w:rPr>
  </w:style>
  <w:style w:type="character" w:styleId="1360">
    <w:name w:val="Heading 5 Char"/>
    <w:link w:val="1359"/>
    <w:uiPriority w:val="9"/>
    <w:rPr>
      <w:rFonts w:ascii="Arial" w:hAnsi="Arial" w:eastAsia="Arial" w:cs="Arial"/>
      <w:b/>
      <w:bCs/>
      <w:sz w:val="24"/>
      <w:szCs w:val="24"/>
    </w:rPr>
  </w:style>
  <w:style w:type="paragraph" w:styleId="1361">
    <w:name w:val="Heading 6"/>
    <w:basedOn w:val="1528"/>
    <w:next w:val="1528"/>
    <w:link w:val="1362"/>
    <w:uiPriority w:val="9"/>
    <w:unhideWhenUsed/>
    <w:qFormat/>
    <w:pPr>
      <w:keepLines/>
      <w:keepNext/>
      <w:spacing w:before="320" w:after="200"/>
      <w:outlineLvl w:val="5"/>
    </w:pPr>
    <w:rPr>
      <w:rFonts w:ascii="Arial" w:hAnsi="Arial" w:eastAsia="Arial" w:cs="Arial"/>
      <w:b/>
      <w:bCs/>
      <w:sz w:val="22"/>
      <w:szCs w:val="22"/>
    </w:rPr>
  </w:style>
  <w:style w:type="character" w:styleId="1362">
    <w:name w:val="Heading 6 Char"/>
    <w:link w:val="1361"/>
    <w:uiPriority w:val="9"/>
    <w:rPr>
      <w:rFonts w:ascii="Arial" w:hAnsi="Arial" w:eastAsia="Arial" w:cs="Arial"/>
      <w:b/>
      <w:bCs/>
      <w:sz w:val="22"/>
      <w:szCs w:val="22"/>
    </w:rPr>
  </w:style>
  <w:style w:type="paragraph" w:styleId="1363">
    <w:name w:val="Heading 7"/>
    <w:basedOn w:val="1528"/>
    <w:next w:val="1528"/>
    <w:link w:val="1364"/>
    <w:uiPriority w:val="9"/>
    <w:unhideWhenUsed/>
    <w:qFormat/>
    <w:pPr>
      <w:keepLines/>
      <w:keepNext/>
      <w:spacing w:before="320" w:after="200"/>
      <w:outlineLvl w:val="6"/>
    </w:pPr>
    <w:rPr>
      <w:rFonts w:ascii="Arial" w:hAnsi="Arial" w:eastAsia="Arial" w:cs="Arial"/>
      <w:b/>
      <w:bCs/>
      <w:i/>
      <w:iCs/>
      <w:sz w:val="22"/>
      <w:szCs w:val="22"/>
    </w:rPr>
  </w:style>
  <w:style w:type="character" w:styleId="1364">
    <w:name w:val="Heading 7 Char"/>
    <w:link w:val="1363"/>
    <w:uiPriority w:val="9"/>
    <w:rPr>
      <w:rFonts w:ascii="Arial" w:hAnsi="Arial" w:eastAsia="Arial" w:cs="Arial"/>
      <w:b/>
      <w:bCs/>
      <w:i/>
      <w:iCs/>
      <w:sz w:val="22"/>
      <w:szCs w:val="22"/>
    </w:rPr>
  </w:style>
  <w:style w:type="paragraph" w:styleId="1365">
    <w:name w:val="Heading 8"/>
    <w:basedOn w:val="1528"/>
    <w:next w:val="1528"/>
    <w:link w:val="1366"/>
    <w:uiPriority w:val="9"/>
    <w:unhideWhenUsed/>
    <w:qFormat/>
    <w:pPr>
      <w:keepLines/>
      <w:keepNext/>
      <w:spacing w:before="320" w:after="200"/>
      <w:outlineLvl w:val="7"/>
    </w:pPr>
    <w:rPr>
      <w:rFonts w:ascii="Arial" w:hAnsi="Arial" w:eastAsia="Arial" w:cs="Arial"/>
      <w:i/>
      <w:iCs/>
      <w:sz w:val="22"/>
      <w:szCs w:val="22"/>
    </w:rPr>
  </w:style>
  <w:style w:type="character" w:styleId="1366">
    <w:name w:val="Heading 8 Char"/>
    <w:link w:val="1365"/>
    <w:uiPriority w:val="9"/>
    <w:rPr>
      <w:rFonts w:ascii="Arial" w:hAnsi="Arial" w:eastAsia="Arial" w:cs="Arial"/>
      <w:i/>
      <w:iCs/>
      <w:sz w:val="22"/>
      <w:szCs w:val="22"/>
    </w:rPr>
  </w:style>
  <w:style w:type="paragraph" w:styleId="1367">
    <w:name w:val="Heading 9"/>
    <w:basedOn w:val="1528"/>
    <w:next w:val="1528"/>
    <w:link w:val="1368"/>
    <w:uiPriority w:val="9"/>
    <w:unhideWhenUsed/>
    <w:qFormat/>
    <w:pPr>
      <w:keepLines/>
      <w:keepNext/>
      <w:spacing w:before="320" w:after="200"/>
      <w:outlineLvl w:val="8"/>
    </w:pPr>
    <w:rPr>
      <w:rFonts w:ascii="Arial" w:hAnsi="Arial" w:eastAsia="Arial" w:cs="Arial"/>
      <w:i/>
      <w:iCs/>
      <w:sz w:val="21"/>
      <w:szCs w:val="21"/>
    </w:rPr>
  </w:style>
  <w:style w:type="character" w:styleId="1368">
    <w:name w:val="Heading 9 Char"/>
    <w:link w:val="1367"/>
    <w:uiPriority w:val="9"/>
    <w:rPr>
      <w:rFonts w:ascii="Arial" w:hAnsi="Arial" w:eastAsia="Arial" w:cs="Arial"/>
      <w:i/>
      <w:iCs/>
      <w:sz w:val="21"/>
      <w:szCs w:val="21"/>
    </w:rPr>
  </w:style>
  <w:style w:type="paragraph" w:styleId="1369">
    <w:name w:val="No Spacing"/>
    <w:uiPriority w:val="1"/>
    <w:qFormat/>
    <w:pPr>
      <w:spacing w:before="0" w:after="0" w:line="240" w:lineRule="auto"/>
    </w:pPr>
  </w:style>
  <w:style w:type="paragraph" w:styleId="1370">
    <w:name w:val="Title"/>
    <w:basedOn w:val="1528"/>
    <w:next w:val="1528"/>
    <w:link w:val="1371"/>
    <w:uiPriority w:val="10"/>
    <w:qFormat/>
    <w:pPr>
      <w:contextualSpacing/>
      <w:spacing w:before="300" w:after="200"/>
    </w:pPr>
    <w:rPr>
      <w:sz w:val="48"/>
      <w:szCs w:val="48"/>
    </w:rPr>
  </w:style>
  <w:style w:type="character" w:styleId="1371">
    <w:name w:val="Title Char"/>
    <w:link w:val="1370"/>
    <w:uiPriority w:val="10"/>
    <w:rPr>
      <w:sz w:val="48"/>
      <w:szCs w:val="48"/>
    </w:rPr>
  </w:style>
  <w:style w:type="paragraph" w:styleId="1372">
    <w:name w:val="Subtitle"/>
    <w:basedOn w:val="1528"/>
    <w:next w:val="1528"/>
    <w:link w:val="1373"/>
    <w:uiPriority w:val="11"/>
    <w:qFormat/>
    <w:pPr>
      <w:spacing w:before="200" w:after="200"/>
    </w:pPr>
    <w:rPr>
      <w:sz w:val="24"/>
      <w:szCs w:val="24"/>
    </w:rPr>
  </w:style>
  <w:style w:type="character" w:styleId="1373">
    <w:name w:val="Subtitle Char"/>
    <w:link w:val="1372"/>
    <w:uiPriority w:val="11"/>
    <w:rPr>
      <w:sz w:val="24"/>
      <w:szCs w:val="24"/>
    </w:rPr>
  </w:style>
  <w:style w:type="paragraph" w:styleId="1374">
    <w:name w:val="Quote"/>
    <w:basedOn w:val="1528"/>
    <w:next w:val="1528"/>
    <w:link w:val="1375"/>
    <w:uiPriority w:val="29"/>
    <w:qFormat/>
    <w:pPr>
      <w:ind w:left="720" w:right="720"/>
    </w:pPr>
    <w:rPr>
      <w:i/>
    </w:rPr>
  </w:style>
  <w:style w:type="character" w:styleId="1375">
    <w:name w:val="Quote Char"/>
    <w:link w:val="1374"/>
    <w:uiPriority w:val="29"/>
    <w:rPr>
      <w:i/>
    </w:rPr>
  </w:style>
  <w:style w:type="paragraph" w:styleId="1376">
    <w:name w:val="Intense Quote"/>
    <w:basedOn w:val="1528"/>
    <w:next w:val="1528"/>
    <w:link w:val="13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77">
    <w:name w:val="Intense Quote Char"/>
    <w:link w:val="1376"/>
    <w:uiPriority w:val="30"/>
    <w:rPr>
      <w:i/>
    </w:rPr>
  </w:style>
  <w:style w:type="paragraph" w:styleId="1378">
    <w:name w:val="Header"/>
    <w:basedOn w:val="1528"/>
    <w:link w:val="1379"/>
    <w:uiPriority w:val="99"/>
    <w:unhideWhenUsed/>
    <w:pPr>
      <w:spacing w:after="0" w:line="240" w:lineRule="auto"/>
      <w:tabs>
        <w:tab w:val="center" w:pos="7143" w:leader="none"/>
        <w:tab w:val="right" w:pos="14287" w:leader="none"/>
      </w:tabs>
    </w:pPr>
  </w:style>
  <w:style w:type="character" w:styleId="1379">
    <w:name w:val="Header Char"/>
    <w:link w:val="1378"/>
    <w:uiPriority w:val="99"/>
  </w:style>
  <w:style w:type="paragraph" w:styleId="1380">
    <w:name w:val="Footer"/>
    <w:basedOn w:val="1528"/>
    <w:link w:val="1383"/>
    <w:uiPriority w:val="99"/>
    <w:unhideWhenUsed/>
    <w:pPr>
      <w:spacing w:after="0" w:line="240" w:lineRule="auto"/>
      <w:tabs>
        <w:tab w:val="center" w:pos="7143" w:leader="none"/>
        <w:tab w:val="right" w:pos="14287" w:leader="none"/>
      </w:tabs>
    </w:pPr>
  </w:style>
  <w:style w:type="character" w:styleId="1381">
    <w:name w:val="Footer Char"/>
    <w:link w:val="1380"/>
    <w:uiPriority w:val="99"/>
  </w:style>
  <w:style w:type="paragraph" w:styleId="1382">
    <w:name w:val="Caption"/>
    <w:basedOn w:val="1528"/>
    <w:next w:val="1528"/>
    <w:uiPriority w:val="35"/>
    <w:semiHidden/>
    <w:unhideWhenUsed/>
    <w:qFormat/>
    <w:pPr>
      <w:spacing w:line="276" w:lineRule="auto"/>
    </w:pPr>
    <w:rPr>
      <w:b/>
      <w:bCs/>
      <w:color w:val="4f81bd" w:themeColor="accent1"/>
      <w:sz w:val="18"/>
      <w:szCs w:val="18"/>
    </w:rPr>
  </w:style>
  <w:style w:type="character" w:styleId="1383">
    <w:name w:val="Caption Char"/>
    <w:basedOn w:val="1382"/>
    <w:link w:val="1380"/>
    <w:uiPriority w:val="99"/>
  </w:style>
  <w:style w:type="table" w:styleId="13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4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4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4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4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4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4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4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4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4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4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4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4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4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4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4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4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5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5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5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5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5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5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510">
    <w:name w:val="Hyperlink"/>
    <w:uiPriority w:val="99"/>
    <w:unhideWhenUsed/>
    <w:rPr>
      <w:color w:val="0000ff" w:themeColor="hyperlink"/>
      <w:u w:val="single"/>
    </w:rPr>
  </w:style>
  <w:style w:type="paragraph" w:styleId="1511">
    <w:name w:val="footnote text"/>
    <w:basedOn w:val="1528"/>
    <w:link w:val="1512"/>
    <w:uiPriority w:val="99"/>
    <w:semiHidden/>
    <w:unhideWhenUsed/>
    <w:pPr>
      <w:spacing w:after="40" w:line="240" w:lineRule="auto"/>
    </w:pPr>
    <w:rPr>
      <w:sz w:val="18"/>
    </w:rPr>
  </w:style>
  <w:style w:type="character" w:styleId="1512">
    <w:name w:val="Footnote Text Char"/>
    <w:link w:val="1511"/>
    <w:uiPriority w:val="99"/>
    <w:rPr>
      <w:sz w:val="18"/>
    </w:rPr>
  </w:style>
  <w:style w:type="character" w:styleId="1513">
    <w:name w:val="footnote reference"/>
    <w:uiPriority w:val="99"/>
    <w:unhideWhenUsed/>
    <w:rPr>
      <w:vertAlign w:val="superscript"/>
    </w:rPr>
  </w:style>
  <w:style w:type="paragraph" w:styleId="1514">
    <w:name w:val="endnote text"/>
    <w:basedOn w:val="1528"/>
    <w:link w:val="1515"/>
    <w:uiPriority w:val="99"/>
    <w:semiHidden/>
    <w:unhideWhenUsed/>
    <w:pPr>
      <w:spacing w:after="0" w:line="240" w:lineRule="auto"/>
    </w:pPr>
    <w:rPr>
      <w:sz w:val="20"/>
    </w:rPr>
  </w:style>
  <w:style w:type="character" w:styleId="1515">
    <w:name w:val="Endnote Text Char"/>
    <w:link w:val="1514"/>
    <w:uiPriority w:val="99"/>
    <w:rPr>
      <w:sz w:val="20"/>
    </w:rPr>
  </w:style>
  <w:style w:type="character" w:styleId="1516">
    <w:name w:val="endnote reference"/>
    <w:uiPriority w:val="99"/>
    <w:semiHidden/>
    <w:unhideWhenUsed/>
    <w:rPr>
      <w:vertAlign w:val="superscript"/>
    </w:rPr>
  </w:style>
  <w:style w:type="paragraph" w:styleId="1517">
    <w:name w:val="toc 1"/>
    <w:basedOn w:val="1528"/>
    <w:next w:val="1528"/>
    <w:uiPriority w:val="39"/>
    <w:unhideWhenUsed/>
    <w:pPr>
      <w:ind w:left="0" w:right="0" w:firstLine="0"/>
      <w:spacing w:after="57"/>
    </w:pPr>
  </w:style>
  <w:style w:type="paragraph" w:styleId="1518">
    <w:name w:val="toc 2"/>
    <w:basedOn w:val="1528"/>
    <w:next w:val="1528"/>
    <w:uiPriority w:val="39"/>
    <w:unhideWhenUsed/>
    <w:pPr>
      <w:ind w:left="283" w:right="0" w:firstLine="0"/>
      <w:spacing w:after="57"/>
    </w:pPr>
  </w:style>
  <w:style w:type="paragraph" w:styleId="1519">
    <w:name w:val="toc 3"/>
    <w:basedOn w:val="1528"/>
    <w:next w:val="1528"/>
    <w:uiPriority w:val="39"/>
    <w:unhideWhenUsed/>
    <w:pPr>
      <w:ind w:left="567" w:right="0" w:firstLine="0"/>
      <w:spacing w:after="57"/>
    </w:pPr>
  </w:style>
  <w:style w:type="paragraph" w:styleId="1520">
    <w:name w:val="toc 4"/>
    <w:basedOn w:val="1528"/>
    <w:next w:val="1528"/>
    <w:uiPriority w:val="39"/>
    <w:unhideWhenUsed/>
    <w:pPr>
      <w:ind w:left="850" w:right="0" w:firstLine="0"/>
      <w:spacing w:after="57"/>
    </w:pPr>
  </w:style>
  <w:style w:type="paragraph" w:styleId="1521">
    <w:name w:val="toc 5"/>
    <w:basedOn w:val="1528"/>
    <w:next w:val="1528"/>
    <w:uiPriority w:val="39"/>
    <w:unhideWhenUsed/>
    <w:pPr>
      <w:ind w:left="1134" w:right="0" w:firstLine="0"/>
      <w:spacing w:after="57"/>
    </w:pPr>
  </w:style>
  <w:style w:type="paragraph" w:styleId="1522">
    <w:name w:val="toc 6"/>
    <w:basedOn w:val="1528"/>
    <w:next w:val="1528"/>
    <w:uiPriority w:val="39"/>
    <w:unhideWhenUsed/>
    <w:pPr>
      <w:ind w:left="1417" w:right="0" w:firstLine="0"/>
      <w:spacing w:after="57"/>
    </w:pPr>
  </w:style>
  <w:style w:type="paragraph" w:styleId="1523">
    <w:name w:val="toc 7"/>
    <w:basedOn w:val="1528"/>
    <w:next w:val="1528"/>
    <w:uiPriority w:val="39"/>
    <w:unhideWhenUsed/>
    <w:pPr>
      <w:ind w:left="1701" w:right="0" w:firstLine="0"/>
      <w:spacing w:after="57"/>
    </w:pPr>
  </w:style>
  <w:style w:type="paragraph" w:styleId="1524">
    <w:name w:val="toc 8"/>
    <w:basedOn w:val="1528"/>
    <w:next w:val="1528"/>
    <w:uiPriority w:val="39"/>
    <w:unhideWhenUsed/>
    <w:pPr>
      <w:ind w:left="1984" w:right="0" w:firstLine="0"/>
      <w:spacing w:after="57"/>
    </w:pPr>
  </w:style>
  <w:style w:type="paragraph" w:styleId="1525">
    <w:name w:val="toc 9"/>
    <w:basedOn w:val="1528"/>
    <w:next w:val="1528"/>
    <w:uiPriority w:val="39"/>
    <w:unhideWhenUsed/>
    <w:pPr>
      <w:ind w:left="2268" w:right="0" w:firstLine="0"/>
      <w:spacing w:after="57"/>
    </w:pPr>
  </w:style>
  <w:style w:type="paragraph" w:styleId="1526">
    <w:name w:val="TOC Heading"/>
    <w:uiPriority w:val="39"/>
    <w:unhideWhenUsed/>
  </w:style>
  <w:style w:type="paragraph" w:styleId="1527">
    <w:name w:val="table of figures"/>
    <w:basedOn w:val="1528"/>
    <w:next w:val="1528"/>
    <w:uiPriority w:val="99"/>
    <w:unhideWhenUsed/>
    <w:pPr>
      <w:spacing w:after="0" w:afterAutospacing="0"/>
    </w:pPr>
  </w:style>
  <w:style w:type="paragraph" w:styleId="1528" w:default="1">
    <w:name w:val="Normal"/>
    <w:next w:val="1536"/>
    <w:link w:val="1528"/>
    <w:qFormat/>
    <w:pPr>
      <w:jc w:val="both"/>
      <w:widowControl w:val="off"/>
    </w:pPr>
    <w:rPr>
      <w:sz w:val="21"/>
      <w:lang w:val="en-US" w:eastAsia="zh-CN" w:bidi="ar-SA"/>
    </w:rPr>
  </w:style>
  <w:style w:type="paragraph" w:styleId="1529">
    <w:name w:val="标题 1"/>
    <w:basedOn w:val="1528"/>
    <w:next w:val="1528"/>
    <w:link w:val="1537"/>
    <w:qFormat/>
    <w:pPr>
      <w:jc w:val="center"/>
      <w:keepNext/>
      <w:outlineLvl w:val="0"/>
    </w:pPr>
    <w:rPr>
      <w:rFonts w:ascii="楷体_GB2312" w:hAnsi="楷体_GB2312" w:eastAsia="宋体"/>
      <w:b/>
      <w:sz w:val="28"/>
      <w:szCs w:val="32"/>
    </w:rPr>
  </w:style>
  <w:style w:type="paragraph" w:styleId="1530">
    <w:name w:val="标题 2"/>
    <w:basedOn w:val="1528"/>
    <w:next w:val="1528"/>
    <w:link w:val="1538"/>
    <w:qFormat/>
    <w:pPr>
      <w:jc w:val="center"/>
      <w:keepNext/>
      <w:outlineLvl w:val="1"/>
    </w:pPr>
    <w:rPr>
      <w:rFonts w:ascii="楷体_GB2312" w:eastAsia="楷体_GB2312"/>
      <w:b/>
      <w:bCs/>
      <w:sz w:val="18"/>
    </w:rPr>
  </w:style>
  <w:style w:type="paragraph" w:styleId="1531">
    <w:name w:val="标题 3"/>
    <w:basedOn w:val="1528"/>
    <w:next w:val="1528"/>
    <w:link w:val="1539"/>
    <w:qFormat/>
    <w:pPr>
      <w:jc w:val="center"/>
      <w:keepNext/>
      <w:outlineLvl w:val="2"/>
    </w:pPr>
    <w:rPr>
      <w:rFonts w:eastAsia="楷体_GB2312"/>
      <w:b/>
      <w:bCs/>
      <w:sz w:val="15"/>
    </w:rPr>
  </w:style>
  <w:style w:type="paragraph" w:styleId="1532">
    <w:name w:val="标题 4"/>
    <w:basedOn w:val="1528"/>
    <w:next w:val="1528"/>
    <w:link w:val="1540"/>
    <w:qFormat/>
    <w:pPr>
      <w:jc w:val="center"/>
      <w:keepNext/>
      <w:outlineLvl w:val="3"/>
    </w:pPr>
    <w:rPr>
      <w:rFonts w:eastAsia="楷体_GB2312"/>
      <w:b/>
      <w:bCs/>
      <w:sz w:val="13"/>
    </w:rPr>
  </w:style>
  <w:style w:type="paragraph" w:styleId="1533">
    <w:name w:val="标题 5"/>
    <w:basedOn w:val="1528"/>
    <w:next w:val="1528"/>
    <w:link w:val="1541"/>
    <w:qFormat/>
    <w:pPr>
      <w:numPr>
        <w:ilvl w:val="0"/>
        <w:numId w:val="1"/>
      </w:numPr>
      <w:keepNext/>
      <w:tabs>
        <w:tab w:val="left" w:pos="360" w:leader="none"/>
      </w:tabs>
      <w:outlineLvl w:val="4"/>
    </w:pPr>
    <w:rPr>
      <w:rFonts w:ascii="楷体_GB2312" w:eastAsia="楷体_GB2312"/>
      <w:bCs/>
      <w:sz w:val="28"/>
    </w:rPr>
  </w:style>
  <w:style w:type="character" w:styleId="1534">
    <w:name w:val="默认段落字体"/>
    <w:next w:val="1534"/>
    <w:link w:val="1528"/>
    <w:uiPriority w:val="1"/>
    <w:unhideWhenUsed/>
  </w:style>
  <w:style w:type="table" w:styleId="1535">
    <w:name w:val="普通表格"/>
    <w:next w:val="1535"/>
    <w:link w:val="1528"/>
    <w:uiPriority w:val="99"/>
    <w:unhideWhenUsed/>
    <w:qFormat/>
    <w:tblPr/>
  </w:style>
  <w:style w:type="paragraph" w:styleId="1536">
    <w:name w:val="索引 4"/>
    <w:basedOn w:val="1528"/>
    <w:next w:val="1528"/>
    <w:link w:val="1528"/>
    <w:uiPriority w:val="99"/>
    <w:qFormat/>
    <w:pPr>
      <w:ind w:left="600"/>
    </w:pPr>
    <w:rPr>
      <w:szCs w:val="24"/>
    </w:rPr>
  </w:style>
  <w:style w:type="character" w:styleId="1537">
    <w:name w:val="标题 1 字符"/>
    <w:next w:val="1537"/>
    <w:link w:val="1529"/>
    <w:qFormat/>
    <w:rPr>
      <w:rFonts w:ascii="楷体_GB2312" w:hAnsi="楷体_GB2312" w:eastAsia="宋体" w:cs="Times New Roman"/>
      <w:b/>
      <w:sz w:val="28"/>
      <w:szCs w:val="32"/>
    </w:rPr>
  </w:style>
  <w:style w:type="character" w:styleId="1538">
    <w:name w:val="标题 2 字符"/>
    <w:next w:val="1538"/>
    <w:link w:val="1530"/>
    <w:qFormat/>
    <w:rPr>
      <w:rFonts w:ascii="楷体_GB2312" w:hAnsi="Times New Roman" w:eastAsia="楷体_GB2312" w:cs="Times New Roman"/>
      <w:b/>
      <w:bCs/>
      <w:sz w:val="18"/>
      <w:szCs w:val="20"/>
    </w:rPr>
  </w:style>
  <w:style w:type="character" w:styleId="1539">
    <w:name w:val="标题 3 字符"/>
    <w:next w:val="1539"/>
    <w:link w:val="1531"/>
    <w:qFormat/>
    <w:rPr>
      <w:rFonts w:ascii="Times New Roman" w:hAnsi="Times New Roman" w:eastAsia="楷体_GB2312" w:cs="Times New Roman"/>
      <w:b/>
      <w:bCs/>
      <w:sz w:val="15"/>
      <w:szCs w:val="20"/>
    </w:rPr>
  </w:style>
  <w:style w:type="character" w:styleId="1540">
    <w:name w:val="标题 4 字符"/>
    <w:next w:val="1540"/>
    <w:link w:val="1532"/>
    <w:qFormat/>
    <w:rPr>
      <w:rFonts w:ascii="Times New Roman" w:hAnsi="Times New Roman" w:eastAsia="楷体_GB2312" w:cs="Times New Roman"/>
      <w:b/>
      <w:bCs/>
      <w:sz w:val="13"/>
      <w:szCs w:val="20"/>
    </w:rPr>
  </w:style>
  <w:style w:type="character" w:styleId="1541">
    <w:name w:val="标题 5 字符"/>
    <w:next w:val="1541"/>
    <w:link w:val="1533"/>
    <w:qFormat/>
    <w:rPr>
      <w:rFonts w:ascii="楷体_GB2312" w:hAnsi="Times New Roman" w:eastAsia="楷体_GB2312" w:cs="Times New Roman"/>
      <w:bCs/>
      <w:sz w:val="28"/>
      <w:szCs w:val="20"/>
    </w:rPr>
  </w:style>
  <w:style w:type="paragraph" w:styleId="1542">
    <w:name w:val="正文缩进"/>
    <w:basedOn w:val="1528"/>
    <w:next w:val="1542"/>
    <w:link w:val="1543"/>
    <w:unhideWhenUsed/>
    <w:qFormat/>
    <w:pPr>
      <w:ind w:firstLine="420"/>
    </w:pPr>
  </w:style>
  <w:style w:type="character" w:styleId="1543">
    <w:name w:val="正文缩进 字符"/>
    <w:next w:val="1543"/>
    <w:link w:val="1542"/>
    <w:semiHidden/>
    <w:qFormat/>
    <w:rPr>
      <w:rFonts w:ascii="Times New Roman" w:hAnsi="Times New Roman"/>
      <w:sz w:val="21"/>
    </w:rPr>
  </w:style>
  <w:style w:type="paragraph" w:styleId="1544">
    <w:name w:val="文档结构图"/>
    <w:basedOn w:val="1528"/>
    <w:next w:val="1544"/>
    <w:link w:val="1545"/>
    <w:semiHidden/>
    <w:qFormat/>
    <w:pPr>
      <w:shd w:val="clear" w:color="auto" w:fill="000080"/>
    </w:pPr>
    <w:rPr>
      <w:sz w:val="20"/>
    </w:rPr>
  </w:style>
  <w:style w:type="character" w:styleId="1545">
    <w:name w:val="文档结构图 字符"/>
    <w:next w:val="1545"/>
    <w:link w:val="1544"/>
    <w:semiHidden/>
    <w:qFormat/>
    <w:rPr>
      <w:rFonts w:ascii="Times New Roman" w:hAnsi="Times New Roman" w:eastAsia="宋体" w:cs="Times New Roman"/>
      <w:szCs w:val="20"/>
      <w:shd w:val="clear" w:color="auto" w:fill="000080"/>
    </w:rPr>
  </w:style>
  <w:style w:type="paragraph" w:styleId="1546">
    <w:name w:val="批注文字"/>
    <w:basedOn w:val="1528"/>
    <w:next w:val="1546"/>
    <w:link w:val="1547"/>
    <w:uiPriority w:val="99"/>
    <w:semiHidden/>
    <w:qFormat/>
    <w:pPr>
      <w:jc w:val="left"/>
    </w:pPr>
    <w:rPr>
      <w:sz w:val="20"/>
      <w:szCs w:val="24"/>
    </w:rPr>
  </w:style>
  <w:style w:type="character" w:styleId="1547">
    <w:name w:val="批注文字 字符"/>
    <w:next w:val="1547"/>
    <w:link w:val="1546"/>
    <w:uiPriority w:val="99"/>
    <w:semiHidden/>
    <w:qFormat/>
    <w:rPr>
      <w:rFonts w:ascii="Times New Roman" w:hAnsi="Times New Roman" w:eastAsia="宋体" w:cs="Times New Roman"/>
      <w:szCs w:val="24"/>
    </w:rPr>
  </w:style>
  <w:style w:type="paragraph" w:styleId="1548">
    <w:name w:val="正文文本"/>
    <w:basedOn w:val="1528"/>
    <w:next w:val="1548"/>
    <w:link w:val="1549"/>
    <w:uiPriority w:val="99"/>
    <w:qFormat/>
    <w:rPr>
      <w:rFonts w:ascii="华文中宋" w:eastAsia="华文中宋"/>
      <w:bCs/>
      <w:sz w:val="28"/>
    </w:rPr>
  </w:style>
  <w:style w:type="character" w:styleId="1549">
    <w:name w:val="正文文本 字符"/>
    <w:next w:val="1549"/>
    <w:link w:val="1548"/>
    <w:uiPriority w:val="99"/>
    <w:qFormat/>
    <w:rPr>
      <w:rFonts w:ascii="华文中宋" w:hAnsi="Times New Roman" w:eastAsia="华文中宋" w:cs="Times New Roman"/>
      <w:bCs/>
      <w:sz w:val="28"/>
      <w:szCs w:val="20"/>
    </w:rPr>
  </w:style>
  <w:style w:type="paragraph" w:styleId="1550">
    <w:name w:val="正文文本缩进"/>
    <w:basedOn w:val="1528"/>
    <w:next w:val="1528"/>
    <w:link w:val="1551"/>
    <w:qFormat/>
    <w:pPr>
      <w:ind w:firstLine="576"/>
    </w:pPr>
    <w:rPr>
      <w:b/>
      <w:sz w:val="30"/>
    </w:rPr>
  </w:style>
  <w:style w:type="character" w:styleId="1551">
    <w:name w:val="正文文本缩进 字符"/>
    <w:next w:val="1551"/>
    <w:link w:val="1550"/>
    <w:qFormat/>
    <w:rPr>
      <w:rFonts w:ascii="Times New Roman" w:hAnsi="Times New Roman" w:eastAsia="宋体" w:cs="Times New Roman"/>
      <w:b/>
      <w:sz w:val="30"/>
      <w:szCs w:val="20"/>
    </w:rPr>
  </w:style>
  <w:style w:type="paragraph" w:styleId="1552">
    <w:name w:val="纯文本"/>
    <w:basedOn w:val="1528"/>
    <w:next w:val="1552"/>
    <w:link w:val="1553"/>
    <w:qFormat/>
    <w:rPr>
      <w:rFonts w:ascii="宋体" w:hAnsi="Courier New"/>
    </w:rPr>
  </w:style>
  <w:style w:type="character" w:styleId="1553">
    <w:name w:val="纯文本 字符"/>
    <w:next w:val="1553"/>
    <w:link w:val="1552"/>
    <w:rPr>
      <w:rFonts w:ascii="宋体" w:hAnsi="Courier New"/>
      <w:sz w:val="21"/>
    </w:rPr>
  </w:style>
  <w:style w:type="paragraph" w:styleId="1554">
    <w:name w:val="日期"/>
    <w:basedOn w:val="1528"/>
    <w:next w:val="1528"/>
    <w:link w:val="1555"/>
    <w:qFormat/>
    <w:rPr>
      <w:rFonts w:eastAsia="黑体"/>
      <w:b/>
      <w:sz w:val="36"/>
    </w:rPr>
  </w:style>
  <w:style w:type="character" w:styleId="1555">
    <w:name w:val="日期 字符"/>
    <w:next w:val="1555"/>
    <w:link w:val="1554"/>
    <w:qFormat/>
    <w:rPr>
      <w:rFonts w:ascii="Times New Roman" w:hAnsi="Times New Roman" w:eastAsia="黑体" w:cs="Times New Roman"/>
      <w:b/>
      <w:sz w:val="36"/>
      <w:szCs w:val="20"/>
    </w:rPr>
  </w:style>
  <w:style w:type="paragraph" w:styleId="1556">
    <w:name w:val="正文文本缩进 2"/>
    <w:basedOn w:val="1528"/>
    <w:next w:val="1556"/>
    <w:link w:val="1557"/>
    <w:qFormat/>
    <w:pPr>
      <w:ind w:left="900"/>
    </w:pPr>
    <w:rPr>
      <w:rFonts w:ascii="楷体_GB2312" w:eastAsia="楷体_GB2312"/>
      <w:b/>
      <w:sz w:val="28"/>
    </w:rPr>
  </w:style>
  <w:style w:type="character" w:styleId="1557">
    <w:name w:val="正文文本缩进 2 字符"/>
    <w:next w:val="1557"/>
    <w:link w:val="1556"/>
    <w:qFormat/>
    <w:rPr>
      <w:rFonts w:ascii="楷体_GB2312" w:hAnsi="Times New Roman" w:eastAsia="楷体_GB2312" w:cs="Times New Roman"/>
      <w:b/>
      <w:sz w:val="28"/>
      <w:szCs w:val="20"/>
    </w:rPr>
  </w:style>
  <w:style w:type="paragraph" w:styleId="1558">
    <w:name w:val="批注框文本"/>
    <w:basedOn w:val="1528"/>
    <w:next w:val="1558"/>
    <w:link w:val="1559"/>
    <w:uiPriority w:val="99"/>
    <w:unhideWhenUsed/>
    <w:qFormat/>
    <w:rPr>
      <w:sz w:val="18"/>
      <w:szCs w:val="18"/>
    </w:rPr>
  </w:style>
  <w:style w:type="character" w:styleId="1559">
    <w:name w:val="批注框文本 字符"/>
    <w:next w:val="1559"/>
    <w:link w:val="1558"/>
    <w:uiPriority w:val="99"/>
    <w:semiHidden/>
    <w:qFormat/>
    <w:rPr>
      <w:rFonts w:ascii="Times New Roman" w:hAnsi="Times New Roman" w:eastAsia="宋体" w:cs="Times New Roman"/>
      <w:sz w:val="18"/>
      <w:szCs w:val="18"/>
    </w:rPr>
  </w:style>
  <w:style w:type="paragraph" w:styleId="1560">
    <w:name w:val="页脚"/>
    <w:basedOn w:val="1528"/>
    <w:next w:val="1562"/>
    <w:link w:val="1561"/>
    <w:unhideWhenUsed/>
    <w:qFormat/>
    <w:pPr>
      <w:jc w:val="left"/>
      <w:tabs>
        <w:tab w:val="center" w:pos="4153" w:leader="none"/>
        <w:tab w:val="right" w:pos="8306" w:leader="none"/>
      </w:tabs>
    </w:pPr>
    <w:rPr>
      <w:sz w:val="18"/>
      <w:szCs w:val="18"/>
    </w:rPr>
  </w:style>
  <w:style w:type="character" w:styleId="1561">
    <w:name w:val="页脚 字符"/>
    <w:next w:val="1561"/>
    <w:link w:val="1560"/>
    <w:qFormat/>
    <w:rPr>
      <w:sz w:val="18"/>
      <w:szCs w:val="18"/>
    </w:rPr>
  </w:style>
  <w:style w:type="paragraph" w:styleId="1562">
    <w:name w:val="TOC Heading1"/>
    <w:next w:val="1528"/>
    <w:link w:val="1528"/>
    <w:qFormat/>
    <w:rPr>
      <w:sz w:val="32"/>
      <w:lang w:val="en-US" w:eastAsia="zh-CN" w:bidi="ar-SA"/>
    </w:rPr>
  </w:style>
  <w:style w:type="paragraph" w:styleId="1563">
    <w:name w:val="寄信人地址"/>
    <w:basedOn w:val="1528"/>
    <w:next w:val="1563"/>
    <w:link w:val="1528"/>
    <w:qFormat/>
    <w:rPr>
      <w:rFonts w:ascii="Arial" w:hAnsi="Arial"/>
    </w:rPr>
  </w:style>
  <w:style w:type="paragraph" w:styleId="1564">
    <w:name w:val="页眉"/>
    <w:basedOn w:val="1528"/>
    <w:next w:val="1564"/>
    <w:link w:val="1565"/>
    <w:unhideWhenUsed/>
    <w:qFormat/>
    <w:pPr>
      <w:jc w:val="center"/>
      <w:tabs>
        <w:tab w:val="center" w:pos="4153" w:leader="none"/>
        <w:tab w:val="right" w:pos="8306" w:leader="none"/>
      </w:tabs>
      <w:pBdr>
        <w:bottom w:val="single" w:color="000000" w:sz="6" w:space="1"/>
      </w:pBdr>
    </w:pPr>
    <w:rPr>
      <w:sz w:val="18"/>
      <w:szCs w:val="18"/>
    </w:rPr>
  </w:style>
  <w:style w:type="character" w:styleId="1565">
    <w:name w:val="页眉 字符"/>
    <w:next w:val="1565"/>
    <w:link w:val="1564"/>
    <w:qFormat/>
    <w:rPr>
      <w:sz w:val="18"/>
      <w:szCs w:val="18"/>
    </w:rPr>
  </w:style>
  <w:style w:type="paragraph" w:styleId="1566">
    <w:name w:val="目录 1"/>
    <w:basedOn w:val="1528"/>
    <w:next w:val="1528"/>
    <w:link w:val="1528"/>
    <w:uiPriority w:val="39"/>
    <w:unhideWhenUsed/>
  </w:style>
  <w:style w:type="paragraph" w:styleId="1567">
    <w:name w:val="列表"/>
    <w:basedOn w:val="1528"/>
    <w:next w:val="1567"/>
    <w:link w:val="1528"/>
    <w:qFormat/>
    <w:pPr>
      <w:ind w:left="420" w:hanging="420"/>
      <w:spacing w:after="20" w:line="288" w:lineRule="auto"/>
      <w:tabs>
        <w:tab w:val="left" w:pos="420" w:leader="none"/>
      </w:tabs>
    </w:pPr>
    <w:rPr>
      <w:szCs w:val="20"/>
      <w:lang w:val="en-GB"/>
    </w:rPr>
  </w:style>
  <w:style w:type="paragraph" w:styleId="1568">
    <w:name w:val="正文文本缩进 3"/>
    <w:basedOn w:val="1528"/>
    <w:next w:val="1568"/>
    <w:link w:val="1569"/>
    <w:qFormat/>
    <w:pPr>
      <w:ind w:left="359" w:firstLine="359"/>
    </w:pPr>
    <w:rPr>
      <w:sz w:val="20"/>
    </w:rPr>
  </w:style>
  <w:style w:type="character" w:styleId="1569">
    <w:name w:val="正文文本缩进 3 字符"/>
    <w:next w:val="1569"/>
    <w:link w:val="1568"/>
    <w:qFormat/>
    <w:rPr>
      <w:rFonts w:ascii="Times New Roman" w:hAnsi="Times New Roman" w:eastAsia="宋体" w:cs="Times New Roman"/>
      <w:szCs w:val="20"/>
    </w:rPr>
  </w:style>
  <w:style w:type="paragraph" w:styleId="1570">
    <w:name w:val="目录 2"/>
    <w:basedOn w:val="1528"/>
    <w:next w:val="1528"/>
    <w:link w:val="1528"/>
    <w:uiPriority w:val="39"/>
    <w:qFormat/>
    <w:pPr>
      <w:ind w:left="210" w:firstLine="150"/>
      <w:jc w:val="left"/>
      <w:tabs>
        <w:tab w:val="right" w:pos="9170" w:leader="dot"/>
      </w:tabs>
    </w:pPr>
    <w:rPr>
      <w:smallCaps/>
      <w:sz w:val="20"/>
    </w:rPr>
  </w:style>
  <w:style w:type="paragraph" w:styleId="1571">
    <w:name w:val="正文文本 2"/>
    <w:basedOn w:val="1528"/>
    <w:next w:val="1571"/>
    <w:link w:val="1572"/>
    <w:qFormat/>
    <w:pPr>
      <w:spacing w:after="120" w:line="480" w:lineRule="auto"/>
    </w:pPr>
    <w:rPr>
      <w:sz w:val="20"/>
    </w:rPr>
  </w:style>
  <w:style w:type="character" w:styleId="1572">
    <w:name w:val="正文文本 2 字符"/>
    <w:next w:val="1572"/>
    <w:link w:val="1571"/>
    <w:qFormat/>
    <w:rPr>
      <w:rFonts w:ascii="Times New Roman" w:hAnsi="Times New Roman" w:eastAsia="宋体" w:cs="Times New Roman"/>
      <w:szCs w:val="20"/>
    </w:rPr>
  </w:style>
  <w:style w:type="paragraph" w:styleId="1573">
    <w:name w:val="普通(网站)"/>
    <w:basedOn w:val="1528"/>
    <w:next w:val="1573"/>
    <w:link w:val="1528"/>
    <w:uiPriority w:val="99"/>
    <w:qFormat/>
    <w:pPr>
      <w:jc w:val="left"/>
      <w:spacing w:before="100" w:beforeAutospacing="1" w:after="100" w:afterAutospacing="1"/>
      <w:widowControl/>
    </w:pPr>
    <w:rPr>
      <w:rFonts w:ascii="宋体" w:hAnsi="宋体" w:cs="宋体"/>
      <w:sz w:val="24"/>
      <w:szCs w:val="24"/>
    </w:rPr>
  </w:style>
  <w:style w:type="paragraph" w:styleId="1574">
    <w:name w:val="批注主题"/>
    <w:basedOn w:val="1546"/>
    <w:next w:val="1546"/>
    <w:link w:val="1575"/>
    <w:uiPriority w:val="99"/>
    <w:semiHidden/>
    <w:qFormat/>
    <w:rPr>
      <w:b/>
      <w:bCs/>
    </w:rPr>
  </w:style>
  <w:style w:type="character" w:styleId="1575">
    <w:name w:val="批注主题 字符"/>
    <w:next w:val="1575"/>
    <w:link w:val="1574"/>
    <w:uiPriority w:val="99"/>
    <w:semiHidden/>
    <w:qFormat/>
    <w:rPr>
      <w:rFonts w:ascii="Times New Roman" w:hAnsi="Times New Roman" w:eastAsia="宋体" w:cs="Times New Roman"/>
      <w:b/>
      <w:bCs/>
      <w:szCs w:val="24"/>
    </w:rPr>
  </w:style>
  <w:style w:type="paragraph" w:styleId="1576">
    <w:name w:val="正文首行缩进"/>
    <w:basedOn w:val="1548"/>
    <w:next w:val="1576"/>
    <w:link w:val="1577"/>
    <w:pPr>
      <w:ind w:firstLine="420"/>
      <w:spacing w:after="120"/>
    </w:pPr>
    <w:rPr>
      <w:rFonts w:ascii="Times New Roman" w:eastAsia="宋体"/>
      <w:sz w:val="21"/>
      <w:szCs w:val="24"/>
    </w:rPr>
  </w:style>
  <w:style w:type="character" w:styleId="1577">
    <w:name w:val="正文首行缩进 字符"/>
    <w:next w:val="1577"/>
    <w:link w:val="1576"/>
    <w:qFormat/>
    <w:rPr>
      <w:rFonts w:ascii="Times New Roman" w:eastAsia="宋体"/>
      <w:sz w:val="21"/>
      <w:szCs w:val="24"/>
    </w:rPr>
  </w:style>
  <w:style w:type="paragraph" w:styleId="1578">
    <w:name w:val="正文首行缩进 2"/>
    <w:basedOn w:val="1550"/>
    <w:next w:val="1528"/>
    <w:link w:val="1528"/>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79">
    <w:name w:val="网格型"/>
    <w:basedOn w:val="1535"/>
    <w:next w:val="1579"/>
    <w:link w:val="1528"/>
    <w:qFormat/>
    <w:pPr>
      <w:jc w:val="both"/>
      <w:widowControl w:val="off"/>
    </w:pPr>
    <w:tblPr/>
  </w:style>
  <w:style w:type="character" w:styleId="1580">
    <w:name w:val="要点"/>
    <w:next w:val="1580"/>
    <w:link w:val="1528"/>
    <w:uiPriority w:val="99"/>
    <w:qFormat/>
    <w:rPr>
      <w:rFonts w:cs="Times New Roman"/>
      <w:b/>
      <w:bCs/>
    </w:rPr>
  </w:style>
  <w:style w:type="character" w:styleId="1581">
    <w:name w:val="页码"/>
    <w:basedOn w:val="1534"/>
    <w:next w:val="1581"/>
    <w:link w:val="1528"/>
    <w:rPr>
      <w:rFonts w:cs="Times New Roman"/>
    </w:rPr>
  </w:style>
  <w:style w:type="character" w:styleId="1582">
    <w:name w:val="已访问的超链接"/>
    <w:next w:val="1582"/>
    <w:link w:val="1528"/>
    <w:uiPriority w:val="99"/>
    <w:qFormat/>
    <w:rPr>
      <w:rFonts w:cs="Times New Roman"/>
      <w:color w:val="000000"/>
      <w:u w:val="none"/>
    </w:rPr>
  </w:style>
  <w:style w:type="character" w:styleId="1583">
    <w:name w:val="HTML 打字机"/>
    <w:next w:val="1583"/>
    <w:link w:val="1528"/>
    <w:uiPriority w:val="99"/>
    <w:qFormat/>
    <w:rPr>
      <w:rFonts w:ascii="宋体" w:hAnsi="宋体" w:eastAsia="宋体" w:cs="宋体"/>
      <w:sz w:val="24"/>
      <w:szCs w:val="24"/>
    </w:rPr>
  </w:style>
  <w:style w:type="character" w:styleId="1584">
    <w:name w:val="超链接"/>
    <w:next w:val="1584"/>
    <w:link w:val="1528"/>
    <w:qFormat/>
    <w:rPr>
      <w:color w:val="000000"/>
      <w:u w:val="none"/>
    </w:rPr>
  </w:style>
  <w:style w:type="paragraph" w:styleId="1585">
    <w:name w:val="段"/>
    <w:next w:val="1528"/>
    <w:link w:val="1528"/>
    <w:qFormat/>
    <w:pPr>
      <w:ind w:firstLine="200"/>
      <w:jc w:val="both"/>
    </w:pPr>
    <w:rPr>
      <w:rFonts w:ascii="宋体" w:hAnsi="Times New Roman" w:eastAsia="宋体" w:cs="Times New Roman"/>
      <w:sz w:val="21"/>
      <w:lang w:val="en-US" w:eastAsia="zh-CN" w:bidi="ar-SA"/>
    </w:rPr>
  </w:style>
  <w:style w:type="character" w:styleId="1586">
    <w:name w:val="NormalCharacter1"/>
    <w:next w:val="1586"/>
    <w:link w:val="1587"/>
    <w:uiPriority w:val="99"/>
    <w:qFormat/>
    <w:rPr>
      <w:sz w:val="20"/>
    </w:rPr>
  </w:style>
  <w:style w:type="paragraph" w:styleId="1587">
    <w:name w:val="UserStyle_4"/>
    <w:basedOn w:val="1528"/>
    <w:next w:val="1587"/>
    <w:link w:val="1586"/>
    <w:uiPriority w:val="99"/>
    <w:qFormat/>
    <w:pPr>
      <w:widowControl/>
    </w:pPr>
    <w:rPr>
      <w:sz w:val="20"/>
    </w:rPr>
  </w:style>
  <w:style w:type="character" w:styleId="1588">
    <w:name w:val="font31"/>
    <w:next w:val="1588"/>
    <w:link w:val="1528"/>
    <w:qFormat/>
    <w:rPr>
      <w:rFonts w:hint="eastAsia" w:ascii="仿宋" w:hAnsi="仿宋" w:eastAsia="仿宋" w:cs="仿宋"/>
      <w:color w:val="000000"/>
      <w:sz w:val="24"/>
      <w:szCs w:val="24"/>
      <w:u w:val="none"/>
    </w:rPr>
  </w:style>
  <w:style w:type="character" w:styleId="1589">
    <w:name w:val="正文文本缩进 Char1"/>
    <w:next w:val="1589"/>
    <w:link w:val="1528"/>
    <w:semiHidden/>
    <w:qFormat/>
    <w:rPr>
      <w:rFonts w:ascii="Times New Roman" w:hAnsi="Times New Roman" w:eastAsia="宋体" w:cs="Times New Roman"/>
      <w:szCs w:val="20"/>
    </w:rPr>
  </w:style>
  <w:style w:type="character" w:styleId="1590">
    <w:name w:val="font11"/>
    <w:next w:val="1590"/>
    <w:link w:val="1528"/>
    <w:rPr>
      <w:rFonts w:hint="eastAsia" w:ascii="宋体" w:hAnsi="宋体" w:eastAsia="宋体" w:cs="宋体"/>
      <w:color w:val="000000"/>
      <w:sz w:val="20"/>
      <w:szCs w:val="20"/>
      <w:u w:val="none"/>
    </w:rPr>
  </w:style>
  <w:style w:type="character" w:styleId="1591">
    <w:name w:val="正文首行缩进两字 Char"/>
    <w:next w:val="1591"/>
    <w:link w:val="1592"/>
    <w:qFormat/>
    <w:rPr>
      <w:sz w:val="24"/>
      <w:szCs w:val="24"/>
      <w:lang w:val="en-US" w:eastAsia="zh-CN" w:bidi="ar-SA"/>
    </w:rPr>
  </w:style>
  <w:style w:type="paragraph" w:styleId="1592">
    <w:name w:val="正文首行缩进两字"/>
    <w:next w:val="1592"/>
    <w:link w:val="1591"/>
    <w:qFormat/>
    <w:pPr>
      <w:ind w:left="240" w:right="240" w:firstLine="480"/>
      <w:spacing w:line="300" w:lineRule="auto"/>
    </w:pPr>
    <w:rPr>
      <w:sz w:val="24"/>
      <w:szCs w:val="24"/>
      <w:lang w:val="en-US" w:eastAsia="zh-CN" w:bidi="ar-SA"/>
    </w:rPr>
  </w:style>
  <w:style w:type="character" w:styleId="1593">
    <w:name w:val="日期 Char1"/>
    <w:next w:val="1593"/>
    <w:link w:val="1528"/>
    <w:semiHidden/>
    <w:qFormat/>
    <w:rPr>
      <w:rFonts w:ascii="Times New Roman" w:hAnsi="Times New Roman" w:eastAsia="宋体" w:cs="Times New Roman"/>
      <w:szCs w:val="20"/>
    </w:rPr>
  </w:style>
  <w:style w:type="character" w:styleId="1594">
    <w:name w:val="正文文本 2 Char1"/>
    <w:next w:val="1594"/>
    <w:link w:val="1528"/>
    <w:semiHidden/>
    <w:qFormat/>
    <w:rPr>
      <w:rFonts w:ascii="Times New Roman" w:hAnsi="Times New Roman" w:eastAsia="宋体" w:cs="Times New Roman"/>
      <w:szCs w:val="20"/>
    </w:rPr>
  </w:style>
  <w:style w:type="character" w:styleId="1595">
    <w:name w:val="文档结构图 Char1"/>
    <w:next w:val="1595"/>
    <w:link w:val="1528"/>
    <w:semiHidden/>
    <w:qFormat/>
    <w:rPr>
      <w:rFonts w:ascii="宋体" w:hAnsi="Times New Roman" w:eastAsia="宋体" w:cs="Times New Roman"/>
      <w:sz w:val="18"/>
      <w:szCs w:val="18"/>
    </w:rPr>
  </w:style>
  <w:style w:type="character" w:styleId="1596">
    <w:name w:val="正文文本缩进 2 Char1"/>
    <w:next w:val="1596"/>
    <w:link w:val="1528"/>
    <w:semiHidden/>
    <w:qFormat/>
    <w:rPr>
      <w:rFonts w:ascii="Times New Roman" w:hAnsi="Times New Roman" w:eastAsia="宋体" w:cs="Times New Roman"/>
      <w:szCs w:val="20"/>
    </w:rPr>
  </w:style>
  <w:style w:type="character" w:styleId="1597">
    <w:name w:val="正文文本缩进 3 Char1"/>
    <w:next w:val="1597"/>
    <w:link w:val="1528"/>
    <w:semiHidden/>
    <w:qFormat/>
    <w:rPr>
      <w:rFonts w:ascii="Times New Roman" w:hAnsi="Times New Roman" w:eastAsia="宋体" w:cs="Times New Roman"/>
      <w:sz w:val="16"/>
      <w:szCs w:val="16"/>
    </w:rPr>
  </w:style>
  <w:style w:type="character" w:styleId="1598">
    <w:name w:val="批注框文本 Char1"/>
    <w:next w:val="1598"/>
    <w:link w:val="1528"/>
    <w:uiPriority w:val="99"/>
    <w:semiHidden/>
    <w:rPr>
      <w:rFonts w:ascii="Times New Roman" w:hAnsi="Times New Roman" w:eastAsia="宋体" w:cs="Times New Roman"/>
      <w:sz w:val="18"/>
      <w:szCs w:val="18"/>
    </w:rPr>
  </w:style>
  <w:style w:type="character" w:styleId="1599">
    <w:name w:val="case31"/>
    <w:next w:val="1599"/>
    <w:link w:val="1528"/>
    <w:qFormat/>
    <w:rPr>
      <w:spacing w:val="390"/>
      <w:sz w:val="21"/>
      <w:szCs w:val="21"/>
    </w:rPr>
  </w:style>
  <w:style w:type="character" w:styleId="1600">
    <w:name w:val="font21"/>
    <w:next w:val="1600"/>
    <w:link w:val="1528"/>
    <w:qFormat/>
    <w:rPr>
      <w:rFonts w:hint="eastAsia" w:ascii="仿宋" w:hAnsi="仿宋" w:eastAsia="仿宋" w:cs="仿宋"/>
      <w:color w:val="000000"/>
      <w:sz w:val="24"/>
      <w:szCs w:val="24"/>
      <w:u w:val="none"/>
    </w:rPr>
  </w:style>
  <w:style w:type="paragraph" w:styleId="1601">
    <w:name w:val="_Style 1"/>
    <w:basedOn w:val="1528"/>
    <w:next w:val="1601"/>
    <w:link w:val="1528"/>
    <w:uiPriority w:val="99"/>
    <w:qFormat/>
    <w:pPr>
      <w:ind w:firstLine="420"/>
    </w:pPr>
    <w:rPr>
      <w:rFonts w:ascii="Calibri" w:hAnsi="Calibri" w:eastAsia="宋体" w:cs="Calibri"/>
      <w:sz w:val="34"/>
      <w:szCs w:val="34"/>
    </w:rPr>
  </w:style>
  <w:style w:type="paragraph" w:styleId="1602">
    <w:name w:val="p0 paragraphindent"/>
    <w:basedOn w:val="1528"/>
    <w:next w:val="1602"/>
    <w:link w:val="1528"/>
    <w:qFormat/>
    <w:pPr>
      <w:jc w:val="left"/>
      <w:spacing w:before="100" w:beforeAutospacing="1" w:after="100" w:afterAutospacing="1"/>
      <w:widowControl/>
    </w:pPr>
    <w:rPr>
      <w:rFonts w:ascii="宋体" w:hAnsi="宋体" w:cs="宋体"/>
      <w:sz w:val="24"/>
      <w:szCs w:val="24"/>
    </w:rPr>
  </w:style>
  <w:style w:type="paragraph" w:styleId="1603">
    <w:name w:val="二级无"/>
    <w:basedOn w:val="1528"/>
    <w:next w:val="1603"/>
    <w:link w:val="1528"/>
    <w:qFormat/>
    <w:pPr>
      <w:ind w:left="552" w:hanging="420"/>
      <w:jc w:val="left"/>
      <w:widowControl/>
      <w:tabs>
        <w:tab w:val="left" w:pos="552" w:leader="none"/>
      </w:tabs>
      <w:outlineLvl w:val="3"/>
    </w:pPr>
    <w:rPr>
      <w:rFonts w:ascii="宋体"/>
      <w:szCs w:val="21"/>
    </w:rPr>
  </w:style>
  <w:style w:type="paragraph" w:styleId="1604">
    <w:name w:val="List Paragraph"/>
    <w:basedOn w:val="1528"/>
    <w:next w:val="1604"/>
    <w:link w:val="1528"/>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605">
    <w:name w:val="正文文本1"/>
    <w:basedOn w:val="1528"/>
    <w:next w:val="1528"/>
    <w:link w:val="1528"/>
    <w:qFormat/>
    <w:rPr>
      <w:rFonts w:ascii="仿宋_GB2312" w:hAnsi="Times New Roman" w:eastAsia="仿宋_GB2312"/>
      <w:sz w:val="28"/>
      <w:szCs w:val="20"/>
    </w:rPr>
  </w:style>
  <w:style w:type="paragraph" w:styleId="1606">
    <w:name w:val="列表1"/>
    <w:basedOn w:val="1528"/>
    <w:next w:val="1606"/>
    <w:link w:val="1528"/>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607">
    <w:name w:val="标题 41"/>
    <w:basedOn w:val="1528"/>
    <w:next w:val="1528"/>
    <w:link w:val="1528"/>
    <w:qFormat/>
    <w:pPr>
      <w:jc w:val="center"/>
      <w:keepNext/>
      <w:outlineLvl w:val="3"/>
    </w:pPr>
    <w:rPr>
      <w:rFonts w:eastAsia="楷体_GB2312"/>
      <w:b/>
      <w:bCs/>
      <w:sz w:val="13"/>
    </w:rPr>
  </w:style>
  <w:style w:type="paragraph" w:styleId="1608">
    <w:name w:val="普通文字"/>
    <w:basedOn w:val="1528"/>
    <w:next w:val="1528"/>
    <w:link w:val="1528"/>
    <w:rPr>
      <w:rFonts w:ascii="宋体"/>
      <w:sz w:val="24"/>
    </w:rPr>
  </w:style>
  <w:style w:type="paragraph" w:styleId="1609">
    <w:name w:val="字母编号列项（一级）"/>
    <w:next w:val="1609"/>
    <w:link w:val="1528"/>
    <w:qFormat/>
    <w:pPr>
      <w:ind w:left="552" w:hanging="420"/>
      <w:jc w:val="both"/>
      <w:tabs>
        <w:tab w:val="left" w:pos="552" w:leader="none"/>
        <w:tab w:val="left" w:pos="840" w:leader="none"/>
      </w:tabs>
    </w:pPr>
    <w:rPr>
      <w:rFonts w:ascii="宋体"/>
      <w:sz w:val="21"/>
      <w:lang w:val="en-US" w:eastAsia="zh-CN" w:bidi="ar-SA"/>
    </w:rPr>
  </w:style>
  <w:style w:type="paragraph" w:styleId="1610">
    <w:name w:val="样式 小四 段前: 5 磅 段后: 5 磅 首行缩进:  2 字符"/>
    <w:basedOn w:val="1528"/>
    <w:next w:val="1610"/>
    <w:link w:val="1528"/>
    <w:qFormat/>
    <w:pPr>
      <w:jc w:val="center"/>
      <w:spacing w:line="360" w:lineRule="auto"/>
    </w:pPr>
    <w:rPr>
      <w:rFonts w:ascii="宋体" w:hAnsi="宋体"/>
      <w:bCs/>
      <w:color w:val="ff0000"/>
      <w:sz w:val="24"/>
      <w:szCs w:val="24"/>
    </w:rPr>
  </w:style>
  <w:style w:type="paragraph" w:styleId="1611">
    <w:name w:val="List Paragraph1"/>
    <w:basedOn w:val="1528"/>
    <w:next w:val="1611"/>
    <w:link w:val="1528"/>
    <w:qFormat/>
    <w:pPr>
      <w:ind w:firstLine="420"/>
    </w:pPr>
    <w:rPr>
      <w:szCs w:val="21"/>
    </w:rPr>
  </w:style>
  <w:style w:type="paragraph" w:styleId="1612">
    <w:name w:val="首行缩进"/>
    <w:basedOn w:val="1528"/>
    <w:next w:val="1612"/>
    <w:link w:val="1528"/>
    <w:qFormat/>
    <w:pPr>
      <w:ind w:firstLine="480"/>
    </w:pPr>
    <w:rPr>
      <w:szCs w:val="20"/>
      <w:lang w:val="zh-CN"/>
    </w:rPr>
  </w:style>
  <w:style w:type="paragraph" w:styleId="1613">
    <w:name w:val="列出段落"/>
    <w:basedOn w:val="1528"/>
    <w:next w:val="1613"/>
    <w:link w:val="1528"/>
    <w:uiPriority w:val="34"/>
    <w:qFormat/>
    <w:pPr>
      <w:ind w:firstLine="420"/>
    </w:pPr>
  </w:style>
  <w:style w:type="paragraph" w:styleId="1614">
    <w:name w:val="一级条标题"/>
    <w:next w:val="1528"/>
    <w:link w:val="1528"/>
    <w:qFormat/>
    <w:pPr>
      <w:ind w:left="552" w:hanging="420"/>
      <w:tabs>
        <w:tab w:val="left" w:pos="552" w:leader="none"/>
      </w:tabs>
      <w:outlineLvl w:val="2"/>
    </w:pPr>
    <w:rPr>
      <w:rFonts w:ascii="黑体" w:eastAsia="黑体"/>
      <w:sz w:val="21"/>
      <w:szCs w:val="21"/>
      <w:lang w:val="en-US" w:eastAsia="zh-CN" w:bidi="ar-SA"/>
    </w:rPr>
  </w:style>
  <w:style w:type="paragraph" w:styleId="1615">
    <w:name w:val="正文缩进1"/>
    <w:basedOn w:val="1528"/>
    <w:next w:val="1528"/>
    <w:link w:val="1528"/>
    <w:qFormat/>
    <w:pPr>
      <w:ind w:firstLine="420"/>
    </w:pPr>
    <w:rPr>
      <w:rFonts w:ascii="Times New Roman" w:hAnsi="Times New Roman" w:eastAsia="宋体" w:cs="Times New Roman"/>
      <w:szCs w:val="20"/>
    </w:rPr>
  </w:style>
  <w:style w:type="paragraph" w:styleId="1616">
    <w:name w:val="正文首行缩进1"/>
    <w:basedOn w:val="1605"/>
    <w:next w:val="1616"/>
    <w:link w:val="1528"/>
    <w:uiPriority w:val="99"/>
    <w:unhideWhenUsed/>
    <w:qFormat/>
    <w:pPr>
      <w:ind w:firstLine="420"/>
      <w:spacing w:after="120"/>
    </w:pPr>
    <w:rPr>
      <w:rFonts w:ascii="等线" w:hAnsi="等线" w:eastAsia="等线" w:cs="Times New Roman"/>
      <w:bCs w:val="0"/>
      <w:sz w:val="21"/>
      <w:szCs w:val="22"/>
    </w:rPr>
  </w:style>
  <w:style w:type="paragraph" w:styleId="1617">
    <w:name w:val="页眉1"/>
    <w:basedOn w:val="1528"/>
    <w:next w:val="1617"/>
    <w:link w:val="152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618">
    <w:name w:val="页脚1"/>
    <w:basedOn w:val="1528"/>
    <w:next w:val="1562"/>
    <w:link w:val="1528"/>
    <w:uiPriority w:val="99"/>
    <w:unhideWhenUsed/>
    <w:qFormat/>
    <w:pPr>
      <w:jc w:val="left"/>
      <w:tabs>
        <w:tab w:val="center" w:pos="4153" w:leader="none"/>
        <w:tab w:val="right" w:pos="8306" w:leader="none"/>
      </w:tabs>
    </w:pPr>
    <w:rPr>
      <w:sz w:val="18"/>
      <w:szCs w:val="18"/>
    </w:rPr>
  </w:style>
  <w:style w:type="character" w:styleId="1619" w:default="1">
    <w:name w:val="Default Paragraph Font"/>
    <w:uiPriority w:val="1"/>
    <w:semiHidden/>
    <w:unhideWhenUsed/>
  </w:style>
  <w:style w:type="numbering" w:styleId="1620" w:default="1">
    <w:name w:val="No List"/>
    <w:uiPriority w:val="99"/>
    <w:semiHidden/>
    <w:unhideWhenUsed/>
  </w:style>
  <w:style w:type="table" w:styleId="16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 Id="rId30" Type="http://schemas.openxmlformats.org/officeDocument/2006/relationships/footer" Target="footer15.xml" /><Relationship Id="rId31" Type="http://schemas.openxmlformats.org/officeDocument/2006/relationships/footer" Target="footer16.xml" /><Relationship Id="rId32" Type="http://schemas.openxmlformats.org/officeDocument/2006/relationships/footer" Target="footer1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4</cp:revision>
  <dcterms:created xsi:type="dcterms:W3CDTF">2023-03-28T06:55:00Z</dcterms:created>
  <dcterms:modified xsi:type="dcterms:W3CDTF">2025-03-07T02:23:33Z</dcterms:modified>
</cp:coreProperties>
</file>