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7"/>
        <w:spacing w:before="120" w:beforeAutospacing="0" w:after="120" w:afterAutospacing="0" w:line="360" w:lineRule="auto"/>
        <w:rPr>
          <w:highlight w:val="none"/>
        </w:rPr>
      </w:pPr>
      <w:r>
        <w:rPr>
          <w:highlight w:val="none"/>
        </w:rPr>
        <w:t xml:space="preserve"> </w:t>
      </w:r>
      <w:r/>
    </w:p>
    <w:p>
      <w:pPr>
        <w:pStyle w:val="937"/>
        <w:ind w:firstLine="2530"/>
        <w:jc w:val="both"/>
        <w:spacing w:before="120" w:beforeAutospacing="0" w:after="120" w:afterAutospacing="0" w:line="360" w:lineRule="auto"/>
        <w:rPr>
          <w:highlight w:val="none"/>
        </w:rPr>
      </w:pPr>
      <w:r>
        <w:rPr>
          <w:rFonts w:ascii="Arial" w:hAnsi="Arial" w:cs="Arial"/>
          <w:b/>
          <w:color w:val="000000"/>
          <w:sz w:val="84"/>
          <w:szCs w:val="84"/>
          <w:highlight w:val="none"/>
        </w:rPr>
        <w:t xml:space="preserve">招标文件</w:t>
      </w:r>
      <w:r/>
    </w:p>
    <w:p>
      <w:pPr>
        <w:pStyle w:val="937"/>
        <w:ind w:firstLine="640"/>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937"/>
        <w:ind w:firstLine="640"/>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937"/>
        <w:ind w:firstLine="640"/>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937"/>
        <w:ind w:firstLine="640"/>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937"/>
        <w:spacing w:before="120" w:beforeAutospacing="0" w:after="120" w:afterAutospacing="0" w:line="360" w:lineRule="auto"/>
        <w:rPr>
          <w:sz w:val="32"/>
          <w:szCs w:val="32"/>
          <w:highlight w:val="none"/>
        </w:rPr>
      </w:pPr>
      <w:r>
        <w:rPr>
          <w:rFonts w:ascii="Arial" w:hAnsi="Arial" w:cs="Arial"/>
          <w:b/>
          <w:color w:val="000000"/>
          <w:sz w:val="40"/>
          <w:szCs w:val="40"/>
          <w:highlight w:val="none"/>
        </w:rPr>
        <w:t xml:space="preserve">项目名称：</w:t>
      </w:r>
      <w:r>
        <w:rPr>
          <w:rFonts w:hint="eastAsia" w:ascii="Arial" w:hAnsi="Arial" w:cs="Arial"/>
          <w:b/>
          <w:color w:val="000000"/>
          <w:sz w:val="40"/>
          <w:szCs w:val="40"/>
          <w:highlight w:val="none"/>
        </w:rPr>
        <w:t xml:space="preserve">滨海县特殊教育学校康复、感统等多功能室建设项目</w:t>
      </w:r>
      <w:r/>
    </w:p>
    <w:p>
      <w:pPr>
        <w:pStyle w:val="937"/>
        <w:jc w:val="both"/>
        <w:spacing w:before="120" w:beforeAutospacing="0" w:after="120" w:afterAutospacing="0" w:line="360" w:lineRule="auto"/>
        <w:rPr>
          <w:rFonts w:hint="eastAsia" w:eastAsiaTheme="minorEastAsia"/>
          <w:sz w:val="32"/>
          <w:szCs w:val="32"/>
          <w:highlight w:val="none"/>
          <w:lang w:eastAsia="zh-CN"/>
        </w:rPr>
      </w:pPr>
      <w:r>
        <w:rPr>
          <w:rFonts w:ascii="Arial" w:hAnsi="Arial" w:cs="Arial"/>
          <w:b/>
          <w:color w:val="000000"/>
          <w:sz w:val="40"/>
          <w:szCs w:val="40"/>
          <w:highlight w:val="none"/>
        </w:rPr>
        <w:t xml:space="preserve">项目编号：</w:t>
      </w:r>
      <w:r>
        <w:rPr>
          <w:rFonts w:hint="eastAsia" w:ascii="Arial" w:hAnsi="Arial" w:cs="Arial"/>
          <w:b/>
          <w:color w:val="000000"/>
          <w:sz w:val="40"/>
          <w:szCs w:val="40"/>
          <w:highlight w:val="none"/>
          <w:lang w:eastAsia="zh-CN"/>
        </w:rPr>
        <w:t xml:space="preserve">JSZC-320922-ZAIX-G2025-0015</w:t>
      </w:r>
      <w:r/>
    </w:p>
    <w:p>
      <w:pPr>
        <w:pStyle w:val="937"/>
        <w:spacing w:beforeAutospacing="0" w:afterAutospacing="0" w:line="360" w:lineRule="auto"/>
        <w:rPr>
          <w:highlight w:val="none"/>
        </w:rPr>
      </w:pPr>
      <w:r>
        <w:rPr>
          <w:highlight w:val="none"/>
        </w:rPr>
        <w:t xml:space="preserve"> </w:t>
      </w:r>
      <w:r/>
    </w:p>
    <w:p>
      <w:pPr>
        <w:pStyle w:val="937"/>
        <w:spacing w:beforeAutospacing="0" w:afterAutospacing="0" w:line="360" w:lineRule="auto"/>
        <w:rPr>
          <w:highlight w:val="none"/>
        </w:rPr>
      </w:pPr>
      <w:r>
        <w:rPr>
          <w:highlight w:val="none"/>
        </w:rPr>
        <w:t xml:space="preserve"> </w:t>
      </w:r>
      <w:r/>
    </w:p>
    <w:p>
      <w:pPr>
        <w:pStyle w:val="937"/>
        <w:spacing w:beforeAutospacing="0" w:afterAutospacing="0" w:line="360" w:lineRule="auto"/>
        <w:rPr>
          <w:highlight w:val="none"/>
        </w:rPr>
      </w:pPr>
      <w:r>
        <w:rPr>
          <w:highlight w:val="none"/>
        </w:rPr>
        <w:t xml:space="preserve"> </w:t>
      </w:r>
      <w:r/>
    </w:p>
    <w:p>
      <w:pPr>
        <w:pStyle w:val="937"/>
        <w:spacing w:beforeAutospacing="0" w:afterAutospacing="0" w:line="360" w:lineRule="auto"/>
        <w:rPr>
          <w:highlight w:val="none"/>
        </w:rPr>
      </w:pPr>
      <w:r>
        <w:rPr>
          <w:highlight w:val="none"/>
        </w:rPr>
        <w:t xml:space="preserve"> </w:t>
      </w:r>
      <w:r/>
    </w:p>
    <w:p>
      <w:pPr>
        <w:pStyle w:val="937"/>
        <w:spacing w:beforeAutospacing="0" w:afterAutospacing="0" w:line="360" w:lineRule="auto"/>
        <w:rPr>
          <w:highlight w:val="none"/>
        </w:rPr>
      </w:pPr>
      <w:r>
        <w:rPr>
          <w:highlight w:val="none"/>
        </w:rPr>
        <w:t xml:space="preserve"> </w:t>
      </w:r>
      <w:r/>
    </w:p>
    <w:p>
      <w:pPr>
        <w:pStyle w:val="937"/>
        <w:spacing w:beforeAutospacing="0" w:afterAutospacing="0" w:line="360" w:lineRule="auto"/>
        <w:rPr>
          <w:highlight w:val="none"/>
        </w:rPr>
      </w:pPr>
      <w:r>
        <w:rPr>
          <w:highlight w:val="none"/>
        </w:rPr>
        <w:t xml:space="preserve"> </w:t>
      </w:r>
      <w:r/>
    </w:p>
    <w:p>
      <w:pPr>
        <w:pStyle w:val="937"/>
        <w:ind w:firstLine="643"/>
        <w:jc w:val="center"/>
        <w:rPr>
          <w:b/>
          <w:bCs/>
          <w:sz w:val="32"/>
          <w:szCs w:val="32"/>
          <w:highlight w:val="none"/>
        </w:rPr>
      </w:pPr>
      <w:r/>
      <w:bookmarkStart w:id="0" w:name="OLE_LINK42"/>
      <w:r/>
      <w:bookmarkStart w:id="1" w:name="_Hlk194072997"/>
      <w:r>
        <w:rPr>
          <w:rFonts w:hint="eastAsia"/>
          <w:b/>
          <w:bCs/>
          <w:sz w:val="32"/>
          <w:szCs w:val="32"/>
          <w:highlight w:val="none"/>
        </w:rPr>
        <w:t xml:space="preserve">滨海县特殊教育学校</w:t>
      </w:r>
      <w:bookmarkEnd w:id="0"/>
      <w:r/>
      <w:r/>
    </w:p>
    <w:p>
      <w:pPr>
        <w:pStyle w:val="937"/>
        <w:ind w:firstLine="643"/>
        <w:jc w:val="center"/>
        <w:rPr>
          <w:b/>
          <w:bCs/>
          <w:sz w:val="32"/>
          <w:szCs w:val="32"/>
          <w:highlight w:val="none"/>
        </w:rPr>
      </w:pPr>
      <w:r>
        <w:rPr>
          <w:rFonts w:hint="eastAsia"/>
          <w:b/>
          <w:bCs/>
          <w:sz w:val="32"/>
          <w:szCs w:val="32"/>
          <w:highlight w:val="none"/>
        </w:rPr>
        <w:t xml:space="preserve">盐城载鑫项目管理咨询有限公司</w:t>
      </w:r>
      <w:bookmarkEnd w:id="1"/>
      <w:r/>
      <w:r/>
    </w:p>
    <w:p>
      <w:pPr>
        <w:pStyle w:val="937"/>
        <w:ind w:firstLine="643"/>
        <w:jc w:val="center"/>
        <w:spacing w:before="120" w:beforeAutospacing="0" w:after="120" w:afterAutospacing="0" w:line="360" w:lineRule="auto"/>
        <w:rPr>
          <w:highlight w:val="none"/>
        </w:rPr>
      </w:pPr>
      <w:r>
        <w:rPr>
          <w:rFonts w:hint="eastAsia" w:ascii="Arial" w:hAnsi="Arial" w:cs="Arial"/>
          <w:b/>
          <w:color w:val="000000"/>
          <w:sz w:val="32"/>
          <w:szCs w:val="32"/>
          <w:highlight w:val="none"/>
        </w:rPr>
        <w:t xml:space="preserve">2025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6</w:t>
      </w:r>
      <w:r>
        <w:rPr>
          <w:rFonts w:ascii="Arial" w:hAnsi="Arial" w:cs="Arial"/>
          <w:b/>
          <w:color w:val="000000"/>
          <w:sz w:val="32"/>
          <w:szCs w:val="32"/>
          <w:highlight w:val="none"/>
        </w:rPr>
        <w:t xml:space="preserve">月</w:t>
      </w:r>
      <w:r/>
    </w:p>
    <w:p>
      <w:pPr>
        <w:pStyle w:val="937"/>
        <w:spacing w:before="120" w:beforeAutospacing="0" w:after="120" w:afterAutospacing="0" w:line="360" w:lineRule="auto"/>
        <w:rPr>
          <w:highlight w:val="none"/>
        </w:rPr>
      </w:pPr>
      <w:r>
        <w:rPr>
          <w:rFonts w:ascii="Arial" w:hAnsi="Arial" w:cs="Arial"/>
          <w:color w:val="000000"/>
          <w:highlight w:val="none"/>
        </w:rPr>
        <w:t xml:space="preserve">                       </w:t>
      </w:r>
      <w:r/>
    </w:p>
    <w:p>
      <w:pPr>
        <w:pStyle w:val="937"/>
        <w:jc w:val="center"/>
        <w:spacing w:before="120" w:beforeAutospacing="0" w:after="120" w:afterAutospacing="0" w:line="360" w:lineRule="auto"/>
        <w:rPr>
          <w:highlight w:val="none"/>
        </w:rPr>
      </w:pPr>
      <w:r>
        <w:rPr>
          <w:highlight w:val="none"/>
        </w:rPr>
      </w:r>
      <w:r>
        <w:rPr>
          <w:highlight w:val="none"/>
        </w:rPr>
      </w:r>
      <w:r/>
    </w:p>
    <w:p>
      <w:pPr>
        <w:pStyle w:val="937"/>
        <w:jc w:val="center"/>
        <w:spacing w:before="120" w:beforeAutospacing="0" w:after="120" w:afterAutospacing="0" w:line="360" w:lineRule="auto"/>
        <w:rPr>
          <w:highlight w:val="none"/>
        </w:rPr>
      </w:pPr>
      <w:r>
        <w:rPr>
          <w:highlight w:val="none"/>
        </w:rPr>
        <w:t xml:space="preserve"> </w:t>
      </w:r>
      <w:r/>
    </w:p>
    <w:p>
      <w:pPr>
        <w:pStyle w:val="937"/>
        <w:ind w:firstLine="2650"/>
        <w:jc w:val="both"/>
        <w:spacing w:beforeAutospacing="0" w:afterAutospacing="0" w:line="480" w:lineRule="auto"/>
        <w:rPr>
          <w:highlight w:val="none"/>
        </w:rPr>
      </w:pPr>
      <w:r/>
      <w:bookmarkStart w:id="2" w:name="_Toc523127445"/>
      <w:r/>
      <w:bookmarkStart w:id="3" w:name="_Toc16938516"/>
      <w:r/>
      <w:bookmarkStart w:id="4" w:name="_Toc120614210"/>
      <w:r/>
      <w:bookmarkStart w:id="5" w:name="_Toc479757206"/>
      <w:r/>
      <w:bookmarkStart w:id="6" w:name="_Toc20823272"/>
      <w:r/>
      <w:bookmarkStart w:id="7" w:name="_Toc513029200"/>
      <w:r>
        <w:rPr>
          <w:rFonts w:ascii="黑体" w:hAnsi="宋体" w:eastAsia="黑体" w:cs="黑体"/>
          <w:b/>
          <w:color w:val="000000"/>
          <w:sz w:val="44"/>
          <w:szCs w:val="44"/>
          <w:highlight w:val="none"/>
        </w:rPr>
        <w:t xml:space="preserve">总 目 录</w:t>
      </w:r>
      <w:bookmarkEnd w:id="2"/>
      <w:r/>
      <w:bookmarkEnd w:id="3"/>
      <w:r/>
      <w:bookmarkEnd w:id="4"/>
      <w:r/>
      <w:bookmarkEnd w:id="5"/>
      <w:r/>
      <w:bookmarkEnd w:id="6"/>
      <w:r/>
      <w:bookmarkEnd w:id="7"/>
      <w:r/>
      <w:r/>
    </w:p>
    <w:p>
      <w:pPr>
        <w:pStyle w:val="937"/>
        <w:jc w:val="both"/>
        <w:spacing w:beforeAutospacing="0" w:afterAutospacing="0" w:line="480" w:lineRule="auto"/>
        <w:rPr>
          <w:highlight w:val="none"/>
        </w:rPr>
      </w:pPr>
      <w:r>
        <w:rPr>
          <w:highlight w:val="none"/>
        </w:rPr>
        <w:t xml:space="preserve"> </w:t>
      </w:r>
      <w:r/>
    </w:p>
    <w:p>
      <w:pPr>
        <w:pStyle w:val="937"/>
        <w:jc w:val="both"/>
        <w:spacing w:beforeAutospacing="0" w:afterAutospacing="0" w:line="480" w:lineRule="auto"/>
        <w:tabs>
          <w:tab w:val="left" w:pos="1441" w:leader="none"/>
        </w:tabs>
        <w:rPr>
          <w:rFonts w:eastAsia="黑体"/>
          <w:highlight w:val="none"/>
        </w:rPr>
      </w:pPr>
      <w:r>
        <w:rPr>
          <w:rFonts w:hint="eastAsia" w:ascii="黑体" w:hAnsi="宋体" w:eastAsia="黑体" w:cs="黑体"/>
          <w:color w:val="000000"/>
          <w:sz w:val="36"/>
          <w:szCs w:val="36"/>
          <w:highlight w:val="none"/>
        </w:rPr>
        <w:t xml:space="preserve">招标公告……………………………………3</w:t>
      </w:r>
      <w:r/>
    </w:p>
    <w:p>
      <w:pPr>
        <w:pStyle w:val="937"/>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投标人须知…………………………………6</w:t>
      </w:r>
      <w:r/>
    </w:p>
    <w:p>
      <w:pPr>
        <w:pStyle w:val="937"/>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合同条款……………………………………21</w:t>
      </w:r>
      <w:r/>
    </w:p>
    <w:p>
      <w:pPr>
        <w:pStyle w:val="937"/>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采购需求……………………………………47</w:t>
      </w:r>
      <w:r/>
    </w:p>
    <w:p>
      <w:pPr>
        <w:pStyle w:val="937"/>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评标方法与评标标准………………………97</w:t>
      </w:r>
      <w:r/>
    </w:p>
    <w:p>
      <w:pPr>
        <w:pStyle w:val="937"/>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投标文件格式………………………………102</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ind w:firstLine="883"/>
        <w:jc w:val="center"/>
        <w:keepNext/>
        <w:spacing w:beforeAutospacing="0" w:afterAutospacing="0"/>
        <w:rPr>
          <w:rFonts w:eastAsia="黑体"/>
          <w:highlight w:val="none"/>
        </w:rPr>
      </w:pPr>
      <w:r/>
      <w:bookmarkStart w:id="8" w:name="_Toc28359086"/>
      <w:r>
        <w:rPr>
          <w:rFonts w:hint="eastAsia" w:ascii="黑体" w:hAnsi="宋体" w:eastAsia="黑体" w:cs="黑体"/>
          <w:color w:val="000000"/>
          <w:sz w:val="44"/>
          <w:szCs w:val="44"/>
          <w:highlight w:val="none"/>
        </w:rPr>
        <w:t xml:space="preserve">第一章 招标公告</w:t>
      </w:r>
      <w:r/>
    </w:p>
    <w:p>
      <w:pPr>
        <w:pStyle w:val="937"/>
        <w:ind w:firstLine="482"/>
        <w:jc w:val="both"/>
        <w:spacing w:beforeAutospacing="0" w:afterAutospacing="0"/>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highlight w:val="none"/>
        </w:rPr>
        <w:t xml:space="preserve">项目概况</w:t>
      </w:r>
      <w:r/>
    </w:p>
    <w:p>
      <w:pPr>
        <w:pStyle w:val="937"/>
        <w:ind w:firstLine="482"/>
        <w:jc w:val="both"/>
        <w:spacing w:beforeAutospacing="0" w:afterAutospacing="0"/>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highlight w:val="none"/>
          <w:u w:val="single"/>
        </w:rPr>
        <w:t xml:space="preserve">滨海县特殊教育学校康复、感统等多功能室建设项目</w:t>
      </w:r>
      <w:r>
        <w:rPr>
          <w:rFonts w:hint="eastAsia" w:ascii="宋体" w:hAnsi="宋体" w:eastAsia="宋体" w:cs="宋体"/>
          <w:color w:val="000000"/>
          <w:highlight w:val="none"/>
        </w:rPr>
        <w:t xml:space="preserve">的潜在投标人可在</w:t>
      </w:r>
      <w:r>
        <w:rPr>
          <w:rFonts w:hint="eastAsia" w:ascii="宋体" w:hAnsi="宋体" w:eastAsia="宋体" w:cs="宋体"/>
          <w:color w:val="333333"/>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highlight w:val="none"/>
        </w:rPr>
        <w:t xml:space="preserve">，并于</w:t>
      </w:r>
      <w:r>
        <w:rPr>
          <w:rFonts w:hint="eastAsia" w:ascii="宋体" w:hAnsi="宋体" w:eastAsia="宋体" w:cs="宋体"/>
          <w:color w:val="000000"/>
          <w:highlight w:val="none"/>
          <w:u w:val="single"/>
        </w:rPr>
        <w:t xml:space="preserve">2025年</w:t>
      </w:r>
      <w:r>
        <w:rPr>
          <w:rFonts w:hint="eastAsia" w:ascii="宋体" w:hAnsi="宋体" w:eastAsia="宋体" w:cs="宋体"/>
          <w:color w:val="000000"/>
          <w:highlight w:val="none"/>
          <w:u w:val="single"/>
          <w:lang w:val="en-US" w:eastAsia="zh-CN"/>
        </w:rPr>
        <w:t xml:space="preserve">7</w:t>
      </w:r>
      <w:r>
        <w:rPr>
          <w:rFonts w:hint="eastAsia" w:ascii="宋体" w:hAnsi="宋体" w:eastAsia="宋体" w:cs="宋体"/>
          <w:color w:val="000000"/>
          <w:highlight w:val="none"/>
          <w:u w:val="single"/>
        </w:rPr>
        <w:t xml:space="preserve">月</w:t>
      </w:r>
      <w:r>
        <w:rPr>
          <w:rFonts w:hint="eastAsia" w:ascii="宋体" w:hAnsi="宋体" w:eastAsia="宋体" w:cs="宋体"/>
          <w:color w:val="000000"/>
          <w:highlight w:val="none"/>
          <w:u w:val="single"/>
          <w:lang w:val="en-US" w:eastAsia="zh-CN"/>
        </w:rPr>
        <w:t xml:space="preserve">3</w:t>
      </w:r>
      <w:r>
        <w:rPr>
          <w:rFonts w:hint="eastAsia" w:ascii="宋体" w:hAnsi="宋体" w:eastAsia="宋体" w:cs="宋体"/>
          <w:color w:val="000000"/>
          <w:highlight w:val="none"/>
          <w:u w:val="single"/>
        </w:rPr>
        <w:t xml:space="preserve">日</w:t>
      </w:r>
      <w:r>
        <w:rPr>
          <w:rFonts w:hint="eastAsia" w:ascii="宋体" w:hAnsi="宋体" w:eastAsia="宋体" w:cs="宋体"/>
          <w:color w:val="000000"/>
          <w:highlight w:val="none"/>
          <w:u w:val="single"/>
          <w:lang w:val="en-US" w:eastAsia="zh-CN"/>
        </w:rPr>
        <w:t xml:space="preserve">15</w:t>
      </w:r>
      <w:r>
        <w:rPr>
          <w:rFonts w:hint="eastAsia" w:ascii="宋体" w:hAnsi="宋体" w:eastAsia="宋体" w:cs="宋体"/>
          <w:color w:val="000000"/>
          <w:highlight w:val="none"/>
          <w:u w:val="single"/>
        </w:rPr>
        <w:t xml:space="preserve">点00分00秒（</w:t>
      </w:r>
      <w:r>
        <w:rPr>
          <w:rFonts w:hint="eastAsia" w:ascii="宋体" w:hAnsi="宋体" w:eastAsia="宋体" w:cs="宋体"/>
          <w:color w:val="000000"/>
          <w:highlight w:val="none"/>
        </w:rPr>
        <w:t xml:space="preserve">北京时间）前递交投标文件。</w:t>
      </w:r>
      <w:r/>
    </w:p>
    <w:p>
      <w:pPr>
        <w:spacing w:line="420" w:lineRule="exact"/>
        <w:rPr>
          <w:rFonts w:hint="eastAsia" w:ascii="宋体" w:hAnsi="宋体" w:eastAsia="宋体"/>
          <w:b/>
          <w:bCs/>
          <w:sz w:val="24"/>
          <w:highlight w:val="none"/>
        </w:rPr>
      </w:pPr>
      <w:r/>
      <w:bookmarkStart w:id="9" w:name="_Toc28359079"/>
      <w:r/>
      <w:bookmarkStart w:id="10" w:name="_Toc28359002"/>
      <w:r/>
      <w:bookmarkStart w:id="11" w:name="_Toc35393790"/>
      <w:r/>
      <w:bookmarkStart w:id="12" w:name="_Hlk24379207"/>
      <w:r/>
      <w:bookmarkStart w:id="13" w:name="_Toc38985263"/>
      <w:r/>
      <w:bookmarkStart w:id="14" w:name="_Toc35393621"/>
      <w:r/>
      <w:bookmarkStart w:id="15" w:name="OLE_LINK6"/>
      <w:r>
        <w:rPr>
          <w:rFonts w:hint="eastAsia" w:ascii="宋体" w:hAnsi="宋体" w:eastAsia="宋体"/>
          <w:b/>
          <w:bCs/>
          <w:sz w:val="24"/>
          <w:highlight w:val="none"/>
        </w:rPr>
        <w:t xml:space="preserve">一、项目基本情况</w:t>
      </w:r>
      <w:bookmarkEnd w:id="9"/>
      <w:r/>
      <w:bookmarkEnd w:id="10"/>
      <w:r/>
      <w:bookmarkEnd w:id="11"/>
      <w:r/>
      <w:bookmarkEnd w:id="12"/>
      <w:r/>
      <w:bookmarkEnd w:id="13"/>
      <w:r/>
      <w:bookmarkEnd w:id="14"/>
      <w:r/>
      <w:r/>
    </w:p>
    <w:p>
      <w:pPr>
        <w:ind w:firstLine="480"/>
        <w:spacing w:line="420" w:lineRule="exact"/>
        <w:rPr>
          <w:rFonts w:hint="eastAsia" w:ascii="宋体" w:hAnsi="宋体" w:eastAsia="宋体"/>
          <w:sz w:val="24"/>
          <w:highlight w:val="none"/>
          <w:lang w:eastAsia="zh-CN"/>
        </w:rPr>
      </w:pPr>
      <w:r/>
      <w:bookmarkStart w:id="16" w:name="OLE_LINK9"/>
      <w:r>
        <w:rPr>
          <w:rFonts w:hint="eastAsia" w:ascii="宋体" w:hAnsi="宋体" w:eastAsia="宋体"/>
          <w:sz w:val="24"/>
          <w:highlight w:val="none"/>
        </w:rPr>
        <w:t xml:space="preserve">1.项目编号：</w:t>
      </w:r>
      <w:r>
        <w:rPr>
          <w:rFonts w:hint="eastAsia" w:ascii="宋体" w:hAnsi="宋体" w:eastAsia="宋体"/>
          <w:sz w:val="24"/>
          <w:highlight w:val="none"/>
          <w:lang w:eastAsia="zh-CN"/>
        </w:rPr>
        <w:t xml:space="preserve">JSZC-320922-ZAIX-G2025-0015</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2.项目名称：滨海县特殊教育学校康复、感统等多功能室建设项目</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3.采购方式：公开招标</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4.预算金额：600万元</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5.最高限价：600万元</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6.</w:t>
      </w:r>
      <w:bookmarkStart w:id="17" w:name="OLE_LINK27"/>
      <w:r>
        <w:rPr>
          <w:rFonts w:hint="eastAsia" w:ascii="宋体" w:hAnsi="宋体" w:eastAsia="宋体"/>
          <w:sz w:val="24"/>
          <w:highlight w:val="none"/>
        </w:rPr>
        <w:t xml:space="preserve">采购需求：</w:t>
      </w:r>
      <w:bookmarkStart w:id="18" w:name="OLE_LINK57"/>
      <w:r>
        <w:rPr>
          <w:rFonts w:hint="eastAsia" w:ascii="宋体" w:hAnsi="宋体" w:eastAsia="宋体"/>
          <w:sz w:val="24"/>
          <w:highlight w:val="none"/>
        </w:rPr>
        <w:t xml:space="preserve">特殊教育学校康复、感统等多功能室的建设等。具体货物名称、数量及技术参数需求等（详细内容见本招标文件第四章）。</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7.</w:t>
      </w:r>
      <w:bookmarkStart w:id="19" w:name="_Hlk195782601"/>
      <w:r>
        <w:rPr>
          <w:rFonts w:hint="eastAsia" w:ascii="宋体" w:hAnsi="宋体" w:eastAsia="宋体"/>
          <w:sz w:val="24"/>
          <w:highlight w:val="none"/>
        </w:rPr>
        <w:t xml:space="preserve">合同履行期限：</w:t>
      </w:r>
      <w:bookmarkStart w:id="20" w:name="OLE_LINK64"/>
      <w:r>
        <w:rPr>
          <w:rFonts w:hint="eastAsia" w:ascii="宋体" w:hAnsi="宋体" w:eastAsia="宋体"/>
          <w:sz w:val="24"/>
          <w:highlight w:val="none"/>
        </w:rPr>
        <w:t xml:space="preserve">60日历天</w:t>
      </w:r>
      <w:bookmarkEnd w:id="20"/>
      <w:r>
        <w:rPr>
          <w:rFonts w:hint="eastAsia" w:ascii="宋体" w:hAnsi="宋体" w:eastAsia="宋体"/>
          <w:sz w:val="24"/>
          <w:highlight w:val="none"/>
        </w:rPr>
        <w:t xml:space="preserve">内完成全部工作。</w:t>
      </w:r>
      <w:r/>
    </w:p>
    <w:p>
      <w:pPr>
        <w:pStyle w:val="948"/>
        <w:ind w:firstLine="480"/>
        <w:spacing w:line="420" w:lineRule="exact"/>
        <w:rPr>
          <w:highlight w:val="none"/>
        </w:rPr>
      </w:pPr>
      <w:r>
        <w:rPr>
          <w:rFonts w:hint="eastAsia"/>
          <w:highlight w:val="none"/>
        </w:rPr>
        <w:t xml:space="preserve">8.免费质量保修期：货物免费质保期三年，系统软件免费质保期五年。</w:t>
      </w:r>
      <w:r/>
    </w:p>
    <w:p>
      <w:pPr>
        <w:ind w:firstLine="480"/>
        <w:spacing w:line="420" w:lineRule="exact"/>
        <w:rPr>
          <w:rFonts w:hint="eastAsia" w:ascii="宋体" w:hAnsi="宋体" w:eastAsia="宋体"/>
          <w:sz w:val="24"/>
          <w:highlight w:val="none"/>
        </w:rPr>
      </w:pPr>
      <w:r/>
      <w:bookmarkStart w:id="21" w:name="_Toc28359003"/>
      <w:r/>
      <w:bookmarkStart w:id="22" w:name="_Toc35393791"/>
      <w:r/>
      <w:bookmarkStart w:id="23" w:name="_Toc38985264"/>
      <w:r/>
      <w:bookmarkStart w:id="24" w:name="_Toc28359080"/>
      <w:r/>
      <w:bookmarkStart w:id="25" w:name="_Toc35393622"/>
      <w:r>
        <w:rPr>
          <w:rFonts w:hint="eastAsia" w:ascii="宋体" w:hAnsi="宋体" w:eastAsia="宋体"/>
          <w:sz w:val="24"/>
          <w:highlight w:val="none"/>
        </w:rPr>
        <w:t xml:space="preserve">9.质量标准：合格。</w:t>
      </w:r>
      <w:bookmarkEnd w:id="19"/>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10.项目地点(交货地点)：采购人指定地点。</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11.非单一产品采购项目的核心产品：</w:t>
      </w:r>
      <w:r>
        <w:rPr>
          <w:rFonts w:hint="eastAsia" w:ascii="宋体" w:hAnsi="宋体" w:eastAsia="宋体"/>
          <w:b/>
          <w:bCs/>
          <w:sz w:val="24"/>
          <w:highlight w:val="none"/>
          <w:u w:val="single"/>
        </w:rPr>
        <w:t xml:space="preserve">唱游与律动音乐教学资源平台</w:t>
      </w:r>
      <w:r>
        <w:rPr>
          <w:rFonts w:hint="eastAsia" w:ascii="宋体" w:hAnsi="宋体" w:eastAsia="宋体"/>
          <w:sz w:val="24"/>
          <w:highlight w:val="none"/>
        </w:rPr>
        <w:t xml:space="preserve">。</w:t>
      </w:r>
      <w:bookmarkEnd w:id="18"/>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12.本项目（是/否）接受联合体参与招标：</w:t>
      </w:r>
      <w:r>
        <w:rPr>
          <w:rFonts w:hint="eastAsia" w:ascii="宋体" w:hAnsi="宋体" w:eastAsia="宋体"/>
          <w:sz w:val="24"/>
          <w:highlight w:val="none"/>
          <w:u w:val="single"/>
        </w:rPr>
        <w:t xml:space="preserve">否</w:t>
      </w:r>
      <w:r>
        <w:rPr>
          <w:rFonts w:hint="eastAsia" w:ascii="宋体" w:hAnsi="宋体" w:eastAsia="宋体"/>
          <w:sz w:val="24"/>
          <w:highlight w:val="none"/>
        </w:rPr>
        <w:t xml:space="preserve">。</w:t>
      </w:r>
      <w:bookmarkEnd w:id="16"/>
      <w:r/>
      <w:bookmarkEnd w:id="17"/>
      <w:r/>
      <w:r/>
    </w:p>
    <w:p>
      <w:pPr>
        <w:spacing w:line="420" w:lineRule="exact"/>
        <w:rPr>
          <w:rFonts w:hint="eastAsia" w:ascii="宋体" w:hAnsi="宋体" w:eastAsia="宋体"/>
          <w:b/>
          <w:bCs/>
          <w:sz w:val="24"/>
          <w:highlight w:val="none"/>
        </w:rPr>
      </w:pPr>
      <w:r>
        <w:rPr>
          <w:rFonts w:hint="eastAsia" w:ascii="宋体" w:hAnsi="宋体" w:eastAsia="宋体"/>
          <w:b/>
          <w:bCs/>
          <w:sz w:val="24"/>
          <w:highlight w:val="none"/>
        </w:rPr>
        <w:t xml:space="preserve">二、申请人的资格要求：</w:t>
      </w:r>
      <w:bookmarkEnd w:id="21"/>
      <w:r/>
      <w:bookmarkEnd w:id="22"/>
      <w:r/>
      <w:bookmarkEnd w:id="23"/>
      <w:r/>
      <w:bookmarkEnd w:id="24"/>
      <w:r/>
      <w:bookmarkEnd w:id="25"/>
      <w:r/>
      <w:r/>
    </w:p>
    <w:p>
      <w:pPr>
        <w:ind w:firstLine="480"/>
        <w:spacing w:line="420" w:lineRule="exact"/>
        <w:rPr>
          <w:rFonts w:hint="eastAsia" w:ascii="宋体" w:hAnsi="宋体" w:eastAsia="宋体"/>
          <w:sz w:val="24"/>
          <w:highlight w:val="none"/>
        </w:rPr>
      </w:pPr>
      <w:r/>
      <w:bookmarkStart w:id="26" w:name="OLE_LINK11"/>
      <w:r>
        <w:rPr>
          <w:rFonts w:hint="eastAsia" w:ascii="宋体" w:hAnsi="宋体" w:eastAsia="宋体"/>
          <w:sz w:val="24"/>
          <w:highlight w:val="none"/>
        </w:rPr>
        <w:t xml:space="preserve">1.满足《中华人民共和国政府采购法》第二十二条规定，并提供下列材料：</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1.1法人或者其他组织的营业执照等证明文件，自然人的身份证明；</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1.2</w:t>
      </w:r>
      <w:bookmarkStart w:id="27" w:name="OLE_LINK29"/>
      <w:r>
        <w:rPr>
          <w:rFonts w:hint="eastAsia" w:ascii="宋体" w:hAnsi="宋体" w:eastAsia="宋体"/>
          <w:sz w:val="24"/>
          <w:highlight w:val="none"/>
        </w:rPr>
        <w:t xml:space="preserve">上一年度的财务状况报表（至少提供资产负债表、利润表、现金流量表，供应商成立不满一年无需提供）</w:t>
      </w:r>
      <w:bookmarkEnd w:id="27"/>
      <w:r>
        <w:rPr>
          <w:rFonts w:hint="eastAsia" w:ascii="宋体" w:hAnsi="宋体" w:eastAsia="宋体"/>
          <w:sz w:val="24"/>
          <w:highlight w:val="none"/>
        </w:rPr>
        <w:t xml:space="preserve">；</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1.3具备履行合同所必需的设备和专业技术能力的书面声明；</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1.4</w:t>
      </w:r>
      <w:bookmarkStart w:id="28" w:name="OLE_LINK30"/>
      <w:r>
        <w:rPr>
          <w:rFonts w:hint="eastAsia" w:ascii="宋体" w:hAnsi="宋体" w:eastAsia="宋体"/>
          <w:sz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8"/>
      <w:r>
        <w:rPr>
          <w:rFonts w:hint="eastAsia" w:ascii="宋体" w:hAnsi="宋体" w:eastAsia="宋体"/>
          <w:sz w:val="24"/>
          <w:highlight w:val="none"/>
        </w:rPr>
        <w:t xml:space="preserve">；</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1.5参加政府采购活动前3年内在经营活动中没有重大违法记录的书面声明。</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1.6法律、行政法规规定的其他条件。</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1.7</w:t>
      </w:r>
      <w:bookmarkStart w:id="29" w:name="OLE_LINK31"/>
      <w:r>
        <w:rPr>
          <w:rFonts w:hint="eastAsia" w:ascii="宋体" w:hAnsi="宋体" w:eastAsia="宋体"/>
          <w:sz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bookmarkEnd w:id="29"/>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1.8</w:t>
      </w:r>
      <w:bookmarkStart w:id="30" w:name="OLE_LINK32"/>
      <w:r>
        <w:rPr>
          <w:rFonts w:hint="eastAsia" w:ascii="宋体" w:hAnsi="宋体" w:eastAsia="宋体"/>
          <w:sz w:val="24"/>
          <w:highlight w:val="none"/>
        </w:rPr>
        <w:t xml:space="preserve">单位负责人为同一人或者存在直接控股、管理关系的不同供应商，不得参加同一合同项下的政府采购活动。</w:t>
      </w:r>
      <w:bookmarkEnd w:id="30"/>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2.落实政府采购政策需满足的资格要求：</w:t>
      </w:r>
      <w:r>
        <w:rPr>
          <w:rFonts w:hint="eastAsia" w:ascii="宋体" w:hAnsi="宋体" w:eastAsia="宋体"/>
          <w:sz w:val="24"/>
          <w:highlight w:val="none"/>
          <w:u w:val="single"/>
        </w:rPr>
        <w:t xml:space="preserve">无</w:t>
      </w:r>
      <w:r>
        <w:rPr>
          <w:rFonts w:hint="eastAsia" w:ascii="宋体" w:hAnsi="宋体" w:eastAsia="宋体"/>
          <w:sz w:val="24"/>
          <w:highlight w:val="none"/>
        </w:rPr>
        <w:t xml:space="preserve">。</w:t>
      </w:r>
      <w:r/>
    </w:p>
    <w:p>
      <w:pPr>
        <w:spacing w:line="420" w:lineRule="exact"/>
        <w:rPr>
          <w:rFonts w:hint="eastAsia" w:ascii="宋体" w:hAnsi="宋体" w:eastAsia="宋体"/>
          <w:b/>
          <w:bCs/>
          <w:sz w:val="24"/>
          <w:highlight w:val="none"/>
        </w:rPr>
      </w:pPr>
      <w:r>
        <w:rPr>
          <w:rFonts w:hint="eastAsia" w:ascii="宋体" w:hAnsi="宋体" w:eastAsia="宋体"/>
          <w:b/>
          <w:bCs/>
          <w:sz w:val="24"/>
          <w:highlight w:val="none"/>
        </w:rPr>
        <w:t xml:space="preserve">三、获取招标文件</w:t>
      </w:r>
      <w:r/>
    </w:p>
    <w:p>
      <w:pPr>
        <w:ind w:firstLine="480"/>
        <w:spacing w:line="420" w:lineRule="exact"/>
        <w:rPr>
          <w:rFonts w:hint="eastAsia" w:ascii="宋体" w:hAnsi="宋体" w:eastAsia="宋体"/>
          <w:sz w:val="24"/>
          <w:highlight w:val="none"/>
        </w:rPr>
      </w:pPr>
      <w:r/>
      <w:bookmarkStart w:id="31" w:name="_Toc38985266"/>
      <w:r/>
      <w:bookmarkStart w:id="32" w:name="_Toc35393793"/>
      <w:r/>
      <w:bookmarkStart w:id="33" w:name="_Toc28359082"/>
      <w:r/>
      <w:bookmarkStart w:id="34" w:name="_Toc28359005"/>
      <w:r/>
      <w:bookmarkStart w:id="35" w:name="_Toc35393624"/>
      <w:r>
        <w:rPr>
          <w:rFonts w:hint="eastAsia" w:ascii="宋体" w:hAnsi="宋体" w:eastAsia="宋体"/>
          <w:sz w:val="24"/>
          <w:highlight w:val="none"/>
        </w:rPr>
        <w:t xml:space="preserve">1.时间：</w:t>
      </w:r>
      <w:bookmarkEnd w:id="31"/>
      <w:r/>
      <w:bookmarkEnd w:id="32"/>
      <w:r/>
      <w:bookmarkEnd w:id="33"/>
      <w:r/>
      <w:bookmarkEnd w:id="34"/>
      <w:r/>
      <w:bookmarkEnd w:id="35"/>
      <w:r>
        <w:rPr>
          <w:rFonts w:hint="eastAsia" w:ascii="宋体" w:hAnsi="宋体" w:eastAsia="宋体"/>
          <w:sz w:val="24"/>
          <w:highlight w:val="none"/>
        </w:rPr>
        <w:t xml:space="preserve">自招标文件公告发布之日起5个工作日。</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2.地点：“苏采云”系统内免费下载（投标人必须在苏采云系统中获取采购文件，方能参与政府采购项目）；</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3.方式：本项目采用网上注册登记方式。</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4.售价：</w:t>
      </w:r>
      <w:r>
        <w:rPr>
          <w:rFonts w:hint="eastAsia" w:ascii="宋体" w:hAnsi="宋体" w:eastAsia="宋体"/>
          <w:sz w:val="24"/>
          <w:highlight w:val="none"/>
          <w:u w:val="single"/>
        </w:rPr>
        <w:t xml:space="preserve">0</w:t>
      </w:r>
      <w:r>
        <w:rPr>
          <w:rFonts w:hint="eastAsia" w:ascii="宋体" w:hAnsi="宋体" w:eastAsia="宋体"/>
          <w:sz w:val="24"/>
          <w:highlight w:val="none"/>
        </w:rPr>
        <w:t xml:space="preserve">元</w:t>
      </w:r>
      <w:r/>
    </w:p>
    <w:p>
      <w:pPr>
        <w:spacing w:line="420" w:lineRule="exact"/>
        <w:rPr>
          <w:rFonts w:hint="eastAsia" w:ascii="宋体" w:hAnsi="宋体" w:eastAsia="宋体"/>
          <w:b/>
          <w:bCs/>
          <w:sz w:val="24"/>
          <w:highlight w:val="none"/>
        </w:rPr>
      </w:pPr>
      <w:r>
        <w:rPr>
          <w:rFonts w:hint="eastAsia" w:ascii="宋体" w:hAnsi="宋体" w:eastAsia="宋体"/>
          <w:b/>
          <w:bCs/>
          <w:sz w:val="24"/>
          <w:highlight w:val="none"/>
        </w:rPr>
        <w:t xml:space="preserve">四、提交投标文件截止时间、开标时间和地点</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1.时间：2025年0</w:t>
      </w:r>
      <w:r>
        <w:rPr>
          <w:rFonts w:hint="eastAsia" w:ascii="宋体" w:hAnsi="宋体" w:eastAsia="宋体"/>
          <w:sz w:val="24"/>
          <w:highlight w:val="none"/>
          <w:lang w:val="en-US" w:eastAsia="zh-CN"/>
        </w:rPr>
        <w:t xml:space="preserve">7</w:t>
      </w:r>
      <w:r>
        <w:rPr>
          <w:rFonts w:hint="eastAsia" w:ascii="宋体" w:hAnsi="宋体" w:eastAsia="宋体"/>
          <w:sz w:val="24"/>
          <w:highlight w:val="none"/>
        </w:rPr>
        <w:t xml:space="preserve">月</w:t>
      </w:r>
      <w:r>
        <w:rPr>
          <w:rFonts w:hint="eastAsia" w:ascii="宋体" w:hAnsi="宋体" w:eastAsia="宋体"/>
          <w:sz w:val="24"/>
          <w:highlight w:val="none"/>
          <w:lang w:val="en-US" w:eastAsia="zh-CN"/>
        </w:rPr>
        <w:t xml:space="preserve">03</w:t>
      </w:r>
      <w:r>
        <w:rPr>
          <w:rFonts w:hint="eastAsia" w:ascii="宋体" w:hAnsi="宋体" w:eastAsia="宋体"/>
          <w:sz w:val="24"/>
          <w:highlight w:val="none"/>
        </w:rPr>
        <w:t xml:space="preserve">日</w:t>
      </w:r>
      <w:r>
        <w:rPr>
          <w:rFonts w:hint="eastAsia" w:ascii="宋体" w:hAnsi="宋体" w:eastAsia="宋体"/>
          <w:sz w:val="24"/>
          <w:highlight w:val="none"/>
          <w:lang w:val="en-US" w:eastAsia="zh-CN"/>
        </w:rPr>
        <w:t xml:space="preserve">15</w:t>
      </w:r>
      <w:r>
        <w:rPr>
          <w:rFonts w:hint="eastAsia" w:ascii="宋体" w:hAnsi="宋体" w:eastAsia="宋体"/>
          <w:sz w:val="24"/>
          <w:highlight w:val="none"/>
        </w:rPr>
        <w:t xml:space="preserve">:00:00（北京时间）。</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2.地点：苏采云“不见面”开标大厅。</w:t>
      </w:r>
      <w:r/>
    </w:p>
    <w:p>
      <w:pPr>
        <w:spacing w:line="420" w:lineRule="exact"/>
        <w:rPr>
          <w:rFonts w:hint="eastAsia" w:ascii="宋体" w:hAnsi="宋体" w:eastAsia="宋体"/>
          <w:b/>
          <w:bCs/>
          <w:sz w:val="24"/>
          <w:highlight w:val="none"/>
        </w:rPr>
      </w:pPr>
      <w:r/>
      <w:bookmarkStart w:id="36" w:name="_Toc28359084"/>
      <w:r/>
      <w:bookmarkStart w:id="37" w:name="_Toc28359007"/>
      <w:r/>
      <w:bookmarkStart w:id="38" w:name="_Toc35393625"/>
      <w:r/>
      <w:bookmarkStart w:id="39" w:name="_Toc35393794"/>
      <w:r/>
      <w:bookmarkStart w:id="40" w:name="_Toc38985267"/>
      <w:r>
        <w:rPr>
          <w:rFonts w:hint="eastAsia" w:ascii="宋体" w:hAnsi="宋体" w:eastAsia="宋体"/>
          <w:b/>
          <w:bCs/>
          <w:sz w:val="24"/>
          <w:highlight w:val="none"/>
        </w:rPr>
        <w:t xml:space="preserve">五、公告期限</w:t>
      </w:r>
      <w:bookmarkEnd w:id="36"/>
      <w:r/>
      <w:bookmarkEnd w:id="37"/>
      <w:r/>
      <w:bookmarkEnd w:id="38"/>
      <w:r/>
      <w:bookmarkEnd w:id="39"/>
      <w:r/>
      <w:bookmarkEnd w:id="40"/>
      <w:r/>
      <w:r/>
    </w:p>
    <w:p>
      <w:pPr>
        <w:ind w:firstLine="480"/>
        <w:spacing w:line="420" w:lineRule="exact"/>
        <w:rPr>
          <w:rFonts w:hint="eastAsia" w:ascii="宋体" w:hAnsi="宋体" w:eastAsia="宋体"/>
          <w:sz w:val="24"/>
          <w:highlight w:val="none"/>
        </w:rPr>
      </w:pPr>
      <w:r/>
      <w:bookmarkStart w:id="41" w:name="_Toc35393795"/>
      <w:r/>
      <w:bookmarkStart w:id="42" w:name="_Toc38985268"/>
      <w:r/>
      <w:bookmarkStart w:id="43" w:name="_Toc35393626"/>
      <w:r>
        <w:rPr>
          <w:rFonts w:hint="eastAsia" w:ascii="宋体" w:hAnsi="宋体" w:eastAsia="宋体"/>
          <w:sz w:val="24"/>
          <w:highlight w:val="none"/>
        </w:rPr>
        <w:t xml:space="preserve">自本公告发布之日起5个工作日。</w:t>
      </w:r>
      <w:bookmarkEnd w:id="41"/>
      <w:r/>
      <w:bookmarkEnd w:id="42"/>
      <w:r/>
      <w:bookmarkEnd w:id="43"/>
      <w:r/>
      <w:r/>
    </w:p>
    <w:p>
      <w:pPr>
        <w:spacing w:line="420" w:lineRule="exact"/>
        <w:rPr>
          <w:rFonts w:hint="eastAsia" w:ascii="宋体" w:hAnsi="宋体" w:eastAsia="宋体"/>
          <w:b/>
          <w:bCs/>
          <w:sz w:val="24"/>
          <w:highlight w:val="none"/>
        </w:rPr>
      </w:pPr>
      <w:r>
        <w:rPr>
          <w:rFonts w:hint="eastAsia" w:ascii="宋体" w:hAnsi="宋体" w:eastAsia="宋体"/>
          <w:b/>
          <w:bCs/>
          <w:sz w:val="24"/>
          <w:highlight w:val="none"/>
        </w:rPr>
        <w:t xml:space="preserve">六、其他补充事宜</w:t>
      </w:r>
      <w:r/>
    </w:p>
    <w:p>
      <w:pPr>
        <w:ind w:firstLine="480"/>
        <w:spacing w:line="420" w:lineRule="exact"/>
        <w:rPr>
          <w:rFonts w:hint="eastAsia" w:ascii="宋体" w:hAnsi="宋体" w:eastAsia="宋体"/>
          <w:sz w:val="24"/>
          <w:highlight w:val="none"/>
        </w:rPr>
      </w:pPr>
      <w:r/>
      <w:bookmarkStart w:id="44" w:name="OLE_LINK63"/>
      <w:r/>
      <w:bookmarkStart w:id="45" w:name="_Toc28359018"/>
      <w:r>
        <w:rPr>
          <w:rFonts w:hint="eastAsia" w:ascii="宋体" w:hAnsi="宋体" w:eastAsia="宋体"/>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spacing w:line="420" w:lineRule="exact"/>
        <w:rPr>
          <w:rFonts w:hint="eastAsia" w:ascii="宋体" w:hAnsi="宋体" w:eastAsia="宋体"/>
          <w:sz w:val="24"/>
          <w:highlight w:val="none"/>
        </w:rPr>
      </w:pPr>
      <w:r>
        <w:rPr>
          <w:rFonts w:hint="eastAsia" w:ascii="宋体" w:hAnsi="宋体" w:eastAsia="宋体"/>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2.潜在供应商访问电子招标响应交易平台的网络地址和方法：</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2.2潜在投标人访问“苏采云”系统方法：江苏省政府采购网首页-“苏采云”链接。</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2.3采购文件（后缀名为“.kedt”）、供应商操作手册及政府采购客户端工具可通过“苏采云”系统相应链接进行下载。</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2.4采购代理机构将数据电文形式的采购文件加载至“苏采云”系统，供潜在供应商下载或者查阅。</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2.5请潜在投标单位提前安装相应的控件（详见《“苏采云”系统供应商操作手册》）并使用谷歌浏览器登录“苏采云”系统参与不见面开评标。</w:t>
      </w:r>
      <w:r/>
    </w:p>
    <w:p>
      <w:pPr>
        <w:spacing w:line="420" w:lineRule="exact"/>
        <w:rPr>
          <w:rFonts w:hint="eastAsia" w:ascii="宋体" w:hAnsi="宋体" w:eastAsia="宋体"/>
          <w:sz w:val="24"/>
          <w:highlight w:val="none"/>
        </w:rPr>
      </w:pPr>
      <w:r>
        <w:rPr>
          <w:rFonts w:hint="eastAsia" w:ascii="宋体" w:hAnsi="宋体" w:eastAsia="宋体"/>
          <w:sz w:val="24"/>
          <w:highlight w:val="none"/>
        </w:rPr>
        <w:t xml:space="preserve">如潜在投标人未按上述要求操作，将自行承担所产生的风险。</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3.有关本次招标的事项若存在变动或修改，敬请及时关注滨海县特殊教育学校在“中国政府采购网”、“江苏政府采购网”、“盐城市政府采购网”发布的更正公告。</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4.本次招标不收取投标保证金，不收取质量保证金。</w:t>
      </w:r>
      <w:bookmarkEnd w:id="44"/>
      <w:r/>
      <w:r/>
    </w:p>
    <w:p>
      <w:pPr>
        <w:spacing w:line="420" w:lineRule="exact"/>
        <w:rPr>
          <w:rFonts w:hint="eastAsia" w:ascii="宋体" w:hAnsi="宋体" w:eastAsia="宋体"/>
          <w:b/>
          <w:bCs/>
          <w:sz w:val="24"/>
          <w:highlight w:val="none"/>
        </w:rPr>
      </w:pPr>
      <w:r>
        <w:rPr>
          <w:rFonts w:ascii="宋体" w:hAnsi="宋体" w:eastAsia="宋体"/>
          <w:b/>
          <w:bCs/>
          <w:sz w:val="24"/>
          <w:highlight w:val="none"/>
        </w:rPr>
        <w:t xml:space="preserve">七、对本次招标提出询问，请按以下方式联系。</w:t>
      </w:r>
      <w:bookmarkEnd w:id="45"/>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1.采购人信息</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名称：滨海县特殊教育学校</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地址：</w:t>
      </w:r>
      <w:bookmarkStart w:id="46" w:name="OLE_LINK67"/>
      <w:r>
        <w:rPr>
          <w:rFonts w:hint="eastAsia" w:ascii="宋体" w:hAnsi="宋体" w:eastAsia="宋体"/>
          <w:sz w:val="24"/>
          <w:highlight w:val="none"/>
        </w:rPr>
        <w:t xml:space="preserve">江苏省盐城市滨海县坎北街道孟杨社区34号</w:t>
      </w:r>
      <w:bookmarkEnd w:id="46"/>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联系人：张先生</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联系方式：13912580202</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2.代理机构：盐城载鑫项目管理咨询有限公司</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地址：盐城市滨海县港城路358号华芳国际花园3号楼202室</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联系人：南女士</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联系方式：</w:t>
      </w:r>
      <w:r>
        <w:rPr>
          <w:rFonts w:ascii="宋体" w:hAnsi="宋体" w:eastAsia="宋体"/>
          <w:sz w:val="24"/>
          <w:highlight w:val="none"/>
        </w:rPr>
        <w:t xml:space="preserve">17705109763</w:t>
      </w:r>
      <w:r/>
    </w:p>
    <w:p>
      <w:pPr>
        <w:ind w:firstLine="480"/>
        <w:spacing w:line="420" w:lineRule="exact"/>
        <w:rPr>
          <w:rFonts w:hint="eastAsia" w:ascii="宋体" w:hAnsi="宋体" w:eastAsia="宋体"/>
          <w:sz w:val="24"/>
          <w:highlight w:val="none"/>
        </w:rPr>
      </w:pPr>
      <w:r/>
      <w:bookmarkStart w:id="47" w:name="_Toc28359021"/>
      <w:r>
        <w:rPr>
          <w:rFonts w:hint="eastAsia" w:ascii="宋体" w:hAnsi="宋体" w:eastAsia="宋体"/>
          <w:sz w:val="24"/>
          <w:highlight w:val="none"/>
        </w:rPr>
        <w:t xml:space="preserve">3.</w:t>
      </w:r>
      <w:bookmarkEnd w:id="47"/>
      <w:r>
        <w:rPr>
          <w:rFonts w:hint="eastAsia" w:ascii="宋体" w:hAnsi="宋体" w:eastAsia="宋体"/>
          <w:sz w:val="24"/>
          <w:highlight w:val="none"/>
        </w:rPr>
        <w:t xml:space="preserve">项目联系方式</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项目联系人：南女士</w:t>
      </w:r>
      <w:r/>
    </w:p>
    <w:p>
      <w:pPr>
        <w:ind w:firstLine="480"/>
        <w:spacing w:line="420" w:lineRule="exact"/>
        <w:rPr>
          <w:rFonts w:ascii="宋体" w:hAnsi="宋体" w:eastAsia="宋体"/>
          <w:sz w:val="24"/>
          <w:highlight w:val="none"/>
        </w:rPr>
      </w:pPr>
      <w:r>
        <w:rPr>
          <w:rFonts w:hint="eastAsia" w:ascii="宋体" w:hAnsi="宋体" w:eastAsia="宋体"/>
          <w:sz w:val="24"/>
          <w:highlight w:val="none"/>
        </w:rPr>
        <w:t xml:space="preserve">电　　话：</w:t>
      </w:r>
      <w:bookmarkStart w:id="48" w:name="OLE_LINK28"/>
      <w:r>
        <w:rPr>
          <w:rFonts w:ascii="宋体" w:hAnsi="宋体" w:eastAsia="宋体"/>
          <w:sz w:val="24"/>
          <w:highlight w:val="none"/>
        </w:rPr>
        <w:t xml:space="preserve">17705109763</w:t>
      </w:r>
      <w:bookmarkEnd w:id="15"/>
      <w:r/>
      <w:bookmarkEnd w:id="26"/>
      <w:r/>
      <w:bookmarkEnd w:id="48"/>
      <w:r/>
      <w:bookmarkStart w:id="49" w:name="_Toc120614211"/>
      <w:r/>
      <w:r/>
    </w:p>
    <w:p>
      <w:pPr>
        <w:ind w:firstLine="480"/>
        <w:spacing w:line="420" w:lineRule="exact"/>
        <w:rPr>
          <w:rFonts w:ascii="宋体" w:hAnsi="宋体" w:eastAsia="宋体"/>
          <w:sz w:val="24"/>
          <w:highlight w:val="none"/>
        </w:rPr>
      </w:pPr>
      <w:r>
        <w:rPr>
          <w:rFonts w:ascii="宋体" w:hAnsi="宋体" w:eastAsia="宋体"/>
          <w:sz w:val="24"/>
          <w:highlight w:val="none"/>
        </w:rPr>
      </w:r>
      <w:r/>
    </w:p>
    <w:p>
      <w:pPr>
        <w:ind w:firstLine="480"/>
        <w:spacing w:line="420" w:lineRule="exact"/>
        <w:rPr>
          <w:rFonts w:ascii="宋体" w:hAnsi="宋体" w:eastAsia="宋体"/>
          <w:sz w:val="24"/>
          <w:highlight w:val="none"/>
        </w:rPr>
      </w:pPr>
      <w:r>
        <w:rPr>
          <w:rFonts w:ascii="宋体" w:hAnsi="宋体" w:eastAsia="宋体"/>
          <w:sz w:val="24"/>
          <w:highlight w:val="none"/>
        </w:rPr>
      </w:r>
      <w:r/>
    </w:p>
    <w:p>
      <w:pPr>
        <w:ind w:firstLine="480"/>
        <w:spacing w:line="420" w:lineRule="exact"/>
        <w:rPr>
          <w:rFonts w:ascii="宋体" w:hAnsi="宋体" w:eastAsia="宋体"/>
          <w:sz w:val="24"/>
          <w:highlight w:val="none"/>
        </w:rPr>
      </w:pPr>
      <w:r>
        <w:rPr>
          <w:rFonts w:ascii="宋体" w:hAnsi="宋体" w:eastAsia="宋体"/>
          <w:sz w:val="24"/>
          <w:highlight w:val="none"/>
        </w:rPr>
      </w:r>
      <w:r/>
    </w:p>
    <w:p>
      <w:pPr>
        <w:ind w:firstLine="480"/>
        <w:spacing w:line="420" w:lineRule="exact"/>
        <w:rPr>
          <w:rFonts w:ascii="宋体" w:hAnsi="宋体" w:eastAsia="宋体"/>
          <w:sz w:val="24"/>
          <w:highlight w:val="none"/>
        </w:rPr>
      </w:pPr>
      <w:r>
        <w:rPr>
          <w:rFonts w:ascii="宋体" w:hAnsi="宋体" w:eastAsia="宋体"/>
          <w:sz w:val="24"/>
          <w:highlight w:val="none"/>
        </w:rPr>
      </w:r>
      <w:r/>
    </w:p>
    <w:p>
      <w:pPr>
        <w:ind w:firstLine="480"/>
        <w:spacing w:line="420" w:lineRule="exact"/>
        <w:rPr>
          <w:rFonts w:ascii="宋体" w:hAnsi="宋体" w:eastAsia="宋体"/>
          <w:sz w:val="24"/>
          <w:highlight w:val="none"/>
        </w:rPr>
      </w:pPr>
      <w:r>
        <w:rPr>
          <w:rFonts w:ascii="宋体" w:hAnsi="宋体" w:eastAsia="宋体"/>
          <w:sz w:val="24"/>
          <w:highlight w:val="none"/>
        </w:rPr>
      </w:r>
      <w:r/>
    </w:p>
    <w:p>
      <w:pPr>
        <w:ind w:firstLine="480"/>
        <w:spacing w:line="420" w:lineRule="exact"/>
        <w:rPr>
          <w:rFonts w:ascii="宋体" w:hAnsi="宋体" w:eastAsia="宋体"/>
          <w:sz w:val="24"/>
          <w:highlight w:val="none"/>
        </w:rPr>
      </w:pPr>
      <w:r>
        <w:rPr>
          <w:rFonts w:ascii="宋体" w:hAnsi="宋体" w:eastAsia="宋体"/>
          <w:sz w:val="24"/>
          <w:highlight w:val="none"/>
        </w:rPr>
      </w:r>
      <w:r/>
    </w:p>
    <w:p>
      <w:pPr>
        <w:ind w:firstLine="480"/>
        <w:spacing w:line="420" w:lineRule="exact"/>
        <w:rPr>
          <w:rFonts w:ascii="宋体" w:hAnsi="宋体" w:eastAsia="宋体"/>
          <w:sz w:val="24"/>
          <w:highlight w:val="none"/>
        </w:rPr>
      </w:pPr>
      <w:r>
        <w:rPr>
          <w:rFonts w:ascii="宋体" w:hAnsi="宋体" w:eastAsia="宋体"/>
          <w:sz w:val="24"/>
          <w:highlight w:val="none"/>
        </w:rPr>
      </w:r>
      <w:r/>
    </w:p>
    <w:p>
      <w:pPr>
        <w:spacing w:line="420" w:lineRule="exact"/>
        <w:rPr>
          <w:rFonts w:hint="eastAsia" w:ascii="宋体" w:hAnsi="宋体" w:eastAsia="宋体"/>
          <w:sz w:val="24"/>
          <w:highlight w:val="none"/>
        </w:rPr>
      </w:pPr>
      <w:r>
        <w:rPr>
          <w:rFonts w:hint="eastAsia" w:ascii="宋体" w:hAnsi="宋体" w:eastAsia="宋体"/>
          <w:sz w:val="24"/>
          <w:highlight w:val="none"/>
        </w:rPr>
      </w:r>
      <w:r/>
    </w:p>
    <w:p>
      <w:pPr>
        <w:pStyle w:val="937"/>
        <w:ind w:firstLine="2209"/>
        <w:jc w:val="both"/>
        <w:keepLines/>
        <w:keepNext/>
        <w:spacing w:before="260" w:beforeAutospacing="0" w:after="260" w:afterAutospacing="0" w:line="415" w:lineRule="auto"/>
        <w:rPr>
          <w:highlight w:val="none"/>
        </w:rPr>
      </w:pPr>
      <w:r>
        <w:rPr>
          <w:rFonts w:hint="eastAsia" w:ascii="黑体" w:hAnsi="宋体" w:eastAsia="黑体" w:cs="黑体"/>
          <w:b/>
          <w:color w:val="000000"/>
          <w:sz w:val="44"/>
          <w:szCs w:val="44"/>
          <w:highlight w:val="none"/>
        </w:rPr>
        <w:t xml:space="preserve">第二章 </w:t>
      </w:r>
      <w:bookmarkEnd w:id="49"/>
      <w:r/>
      <w:bookmarkStart w:id="50" w:name="_Toc20823274"/>
      <w:r/>
      <w:bookmarkStart w:id="51" w:name="_Toc16938518"/>
      <w:r/>
      <w:bookmarkStart w:id="52" w:name="_Toc513029202"/>
      <w:r/>
      <w:bookmarkStart w:id="53" w:name="_Toc120614213"/>
      <w:r>
        <w:rPr>
          <w:rFonts w:hint="eastAsia" w:ascii="黑体" w:hAnsi="宋体" w:eastAsia="黑体" w:cs="黑体"/>
          <w:b/>
          <w:color w:val="000000"/>
          <w:sz w:val="44"/>
          <w:szCs w:val="44"/>
          <w:highlight w:val="none"/>
        </w:rPr>
        <w:t xml:space="preserve">投标人须知</w:t>
      </w:r>
      <w:bookmarkEnd w:id="50"/>
      <w:r/>
      <w:bookmarkEnd w:id="51"/>
      <w:r/>
      <w:bookmarkEnd w:id="52"/>
      <w:r/>
      <w:bookmarkEnd w:id="53"/>
      <w:r/>
      <w:r/>
    </w:p>
    <w:p>
      <w:pPr>
        <w:ind w:firstLine="482"/>
        <w:spacing w:line="440" w:lineRule="exact"/>
        <w:rPr>
          <w:rFonts w:hint="eastAsia" w:ascii="宋体" w:hAnsi="宋体" w:eastAsia="宋体"/>
          <w:b/>
          <w:bCs/>
          <w:sz w:val="24"/>
          <w:highlight w:val="none"/>
        </w:rPr>
      </w:pPr>
      <w:r/>
      <w:bookmarkStart w:id="54" w:name="_Toc513029203"/>
      <w:r/>
      <w:bookmarkStart w:id="55" w:name="_Toc120614214"/>
      <w:r/>
      <w:bookmarkStart w:id="56" w:name="_Toc20823275"/>
      <w:r/>
      <w:bookmarkStart w:id="57" w:name="_Toc16938519"/>
      <w:r/>
      <w:bookmarkStart w:id="58" w:name="OLE_LINK12"/>
      <w:r>
        <w:rPr>
          <w:rFonts w:hint="eastAsia" w:ascii="宋体" w:hAnsi="宋体" w:eastAsia="宋体"/>
          <w:b/>
          <w:bCs/>
          <w:sz w:val="24"/>
          <w:highlight w:val="none"/>
        </w:rPr>
        <w:t xml:space="preserve">一、总则</w:t>
      </w:r>
      <w:bookmarkEnd w:id="54"/>
      <w:r/>
      <w:bookmarkEnd w:id="55"/>
      <w:r/>
      <w:bookmarkEnd w:id="56"/>
      <w:r/>
      <w:bookmarkEnd w:id="57"/>
      <w:r/>
      <w:r/>
    </w:p>
    <w:p>
      <w:pPr>
        <w:ind w:firstLine="480"/>
        <w:spacing w:line="440" w:lineRule="exact"/>
        <w:rPr>
          <w:rFonts w:hint="eastAsia" w:ascii="宋体" w:hAnsi="宋体" w:eastAsia="宋体"/>
          <w:sz w:val="24"/>
          <w:highlight w:val="none"/>
        </w:rPr>
      </w:pPr>
      <w:r/>
      <w:bookmarkStart w:id="59" w:name="_Toc513029204"/>
      <w:r/>
      <w:bookmarkStart w:id="60" w:name="_Toc16938520"/>
      <w:r/>
      <w:bookmarkStart w:id="61" w:name="_Toc458694821"/>
      <w:r/>
      <w:bookmarkStart w:id="62" w:name="_Hlt16619475"/>
      <w:r>
        <w:rPr>
          <w:rFonts w:hint="eastAsia" w:ascii="宋体" w:hAnsi="宋体" w:eastAsia="宋体"/>
          <w:sz w:val="24"/>
          <w:highlight w:val="none"/>
        </w:rPr>
        <w:t xml:space="preserve">1.招标方式</w:t>
      </w:r>
      <w:bookmarkEnd w:id="59"/>
      <w:r/>
      <w:bookmarkEnd w:id="60"/>
      <w:r/>
      <w:bookmarkEnd w:id="61"/>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1.1本次招标采取公开招标方式，本招标文件仅适用于招标公告中所述项目。</w:t>
      </w:r>
      <w:r/>
    </w:p>
    <w:p>
      <w:pPr>
        <w:ind w:firstLine="480"/>
        <w:spacing w:line="440" w:lineRule="exact"/>
        <w:rPr>
          <w:rFonts w:hint="eastAsia" w:ascii="宋体" w:hAnsi="宋体" w:eastAsia="宋体"/>
          <w:sz w:val="24"/>
          <w:highlight w:val="none"/>
        </w:rPr>
      </w:pPr>
      <w:r/>
      <w:bookmarkStart w:id="63" w:name="_Toc513029205"/>
      <w:r/>
      <w:bookmarkStart w:id="64" w:name="_Toc20823277"/>
      <w:r/>
      <w:bookmarkStart w:id="65" w:name="_Toc16938521"/>
      <w:r>
        <w:rPr>
          <w:rFonts w:hint="eastAsia" w:ascii="宋体" w:hAnsi="宋体" w:eastAsia="宋体"/>
          <w:sz w:val="24"/>
          <w:highlight w:val="none"/>
        </w:rPr>
        <w:t xml:space="preserve">2.合格的投标人</w:t>
      </w:r>
      <w:bookmarkEnd w:id="63"/>
      <w:r/>
      <w:bookmarkEnd w:id="64"/>
      <w:r/>
      <w:bookmarkEnd w:id="65"/>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2.1满足招标公告中供应商的资格要求的规定。</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2.2满足本文件实质性要求和条件的规定。</w:t>
      </w:r>
      <w:r/>
    </w:p>
    <w:p>
      <w:pPr>
        <w:ind w:firstLine="480"/>
        <w:spacing w:line="440" w:lineRule="exact"/>
        <w:rPr>
          <w:rFonts w:hint="eastAsia" w:ascii="宋体" w:hAnsi="宋体" w:eastAsia="宋体"/>
          <w:sz w:val="24"/>
          <w:highlight w:val="none"/>
        </w:rPr>
      </w:pPr>
      <w:r/>
      <w:bookmarkStart w:id="66" w:name="_Toc20823278"/>
      <w:r/>
      <w:bookmarkStart w:id="67" w:name="_Toc16938522"/>
      <w:r/>
      <w:bookmarkStart w:id="68" w:name="_Toc513029206"/>
      <w:r>
        <w:rPr>
          <w:rFonts w:hint="eastAsia" w:ascii="宋体" w:hAnsi="宋体" w:eastAsia="宋体"/>
          <w:sz w:val="24"/>
          <w:highlight w:val="none"/>
        </w:rPr>
        <w:t xml:space="preserve">3.适用法律</w:t>
      </w:r>
      <w:bookmarkEnd w:id="66"/>
      <w:r/>
      <w:bookmarkEnd w:id="67"/>
      <w:r/>
      <w:bookmarkEnd w:id="68"/>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3.1本次招标及由此产生的合同受中华人民共和国有关的法律法规制约和保护。</w:t>
      </w:r>
      <w:r/>
    </w:p>
    <w:p>
      <w:pPr>
        <w:ind w:firstLine="480"/>
        <w:spacing w:line="440" w:lineRule="exact"/>
        <w:rPr>
          <w:rFonts w:hint="eastAsia" w:ascii="宋体" w:hAnsi="宋体" w:eastAsia="宋体"/>
          <w:sz w:val="24"/>
          <w:highlight w:val="none"/>
        </w:rPr>
      </w:pPr>
      <w:r/>
      <w:bookmarkStart w:id="69" w:name="_Toc16938523"/>
      <w:r/>
      <w:bookmarkStart w:id="70" w:name="_Toc462564067"/>
      <w:r/>
      <w:bookmarkStart w:id="71" w:name="_Toc513029207"/>
      <w:r/>
      <w:bookmarkStart w:id="72" w:name="_Toc20823279"/>
      <w:r>
        <w:rPr>
          <w:rFonts w:hint="eastAsia" w:ascii="宋体" w:hAnsi="宋体" w:eastAsia="宋体"/>
          <w:sz w:val="24"/>
          <w:highlight w:val="none"/>
        </w:rPr>
        <w:t xml:space="preserve">4.投标费用</w:t>
      </w:r>
      <w:bookmarkEnd w:id="69"/>
      <w:r/>
      <w:bookmarkEnd w:id="70"/>
      <w:r/>
      <w:bookmarkEnd w:id="71"/>
      <w:r/>
      <w:bookmarkEnd w:id="72"/>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4.1投标人应自行承担所有与参加投标有关的费用，无论投标过程中的做法和结果如何，滨海县特殊教育学校在任何情况下均无义务和责任承担这些费用。</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5.招标文件的约束力</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5.1投标人一旦参加本项目采购活动，即被认为接受了本招标文件的规定和约束。</w:t>
      </w:r>
      <w:r/>
    </w:p>
    <w:p>
      <w:pPr>
        <w:ind w:firstLine="482"/>
        <w:spacing w:line="440" w:lineRule="exact"/>
        <w:rPr>
          <w:rFonts w:hint="eastAsia" w:ascii="宋体" w:hAnsi="宋体" w:eastAsia="宋体"/>
          <w:b/>
          <w:bCs/>
          <w:sz w:val="24"/>
          <w:highlight w:val="none"/>
        </w:rPr>
      </w:pPr>
      <w:r/>
      <w:bookmarkStart w:id="73" w:name="_Toc20823281"/>
      <w:r/>
      <w:bookmarkStart w:id="74" w:name="_Toc16938525"/>
      <w:r/>
      <w:bookmarkStart w:id="75" w:name="_Toc513029209"/>
      <w:r/>
      <w:bookmarkStart w:id="76" w:name="_Toc120614215"/>
      <w:r>
        <w:rPr>
          <w:rFonts w:hint="eastAsia" w:ascii="宋体" w:hAnsi="宋体" w:eastAsia="宋体"/>
          <w:b/>
          <w:bCs/>
          <w:sz w:val="24"/>
          <w:highlight w:val="none"/>
        </w:rPr>
        <w:t xml:space="preserve">二、招标文件</w:t>
      </w:r>
      <w:bookmarkEnd w:id="73"/>
      <w:r/>
      <w:bookmarkEnd w:id="74"/>
      <w:r/>
      <w:bookmarkEnd w:id="75"/>
      <w:r/>
      <w:bookmarkEnd w:id="76"/>
      <w:r/>
      <w:r/>
    </w:p>
    <w:p>
      <w:pPr>
        <w:ind w:firstLine="480"/>
        <w:spacing w:line="440" w:lineRule="exact"/>
        <w:rPr>
          <w:rFonts w:hint="eastAsia" w:ascii="宋体" w:hAnsi="宋体" w:eastAsia="宋体"/>
          <w:sz w:val="24"/>
          <w:highlight w:val="none"/>
        </w:rPr>
      </w:pPr>
      <w:r/>
      <w:bookmarkStart w:id="77" w:name="_Toc20823282"/>
      <w:r/>
      <w:bookmarkStart w:id="78" w:name="_Toc16938526"/>
      <w:r/>
      <w:bookmarkStart w:id="79" w:name="_Toc513029210"/>
      <w:r>
        <w:rPr>
          <w:rFonts w:hint="eastAsia" w:ascii="宋体" w:hAnsi="宋体" w:eastAsia="宋体"/>
          <w:sz w:val="24"/>
          <w:highlight w:val="none"/>
        </w:rPr>
        <w:t xml:space="preserve">6.招标文件构成</w:t>
      </w:r>
      <w:bookmarkEnd w:id="77"/>
      <w:r/>
      <w:bookmarkEnd w:id="78"/>
      <w:r/>
      <w:bookmarkEnd w:id="79"/>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6.1招标文件由以下部分组成：</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（1）招标公告</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（2）投标人须知</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（3）合同文本</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（4）采购需求</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（5）评标方法与评标标准</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（6）投标文件格式</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请仔细检查招标文件是否齐全，如有缺漏请立即与采购代理机构联系解决。</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40" w:lineRule="exact"/>
        <w:rPr>
          <w:rFonts w:hint="eastAsia" w:ascii="宋体" w:hAnsi="宋体" w:eastAsia="宋体"/>
          <w:sz w:val="24"/>
          <w:highlight w:val="none"/>
        </w:rPr>
      </w:pPr>
      <w:r/>
      <w:bookmarkStart w:id="80" w:name="_Toc462564070"/>
      <w:r/>
      <w:bookmarkStart w:id="81" w:name="_Toc513029211"/>
      <w:r/>
      <w:bookmarkStart w:id="82" w:name="_Toc20823283"/>
      <w:r/>
      <w:bookmarkStart w:id="83" w:name="_Toc16938527"/>
      <w:r>
        <w:rPr>
          <w:rFonts w:hint="eastAsia" w:ascii="宋体" w:hAnsi="宋体" w:eastAsia="宋体"/>
          <w:sz w:val="24"/>
          <w:highlight w:val="none"/>
        </w:rPr>
        <w:t xml:space="preserve">7.招标文件的澄清</w:t>
      </w:r>
      <w:bookmarkEnd w:id="80"/>
      <w:r/>
      <w:bookmarkEnd w:id="81"/>
      <w:r/>
      <w:bookmarkEnd w:id="82"/>
      <w:r/>
      <w:bookmarkEnd w:id="83"/>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7.1任何要求对招标文件进行澄清的投标人，应在投标截止期十日前按招标公告中的通讯地址，以书面形式通知采购代理机构。</w:t>
      </w:r>
      <w:r/>
    </w:p>
    <w:p>
      <w:pPr>
        <w:ind w:firstLine="480"/>
        <w:spacing w:line="440" w:lineRule="exact"/>
        <w:rPr>
          <w:rFonts w:hint="eastAsia" w:ascii="宋体" w:hAnsi="宋体" w:eastAsia="宋体"/>
          <w:sz w:val="24"/>
          <w:highlight w:val="none"/>
        </w:rPr>
      </w:pPr>
      <w:r/>
      <w:bookmarkStart w:id="84" w:name="_Toc16938528"/>
      <w:r/>
      <w:bookmarkStart w:id="85" w:name="_Toc513029212"/>
      <w:r/>
      <w:bookmarkStart w:id="86" w:name="_Toc20823284"/>
      <w:r/>
      <w:bookmarkStart w:id="87" w:name="_Toc462564071"/>
      <w:r>
        <w:rPr>
          <w:rFonts w:hint="eastAsia" w:ascii="宋体" w:hAnsi="宋体" w:eastAsia="宋体"/>
          <w:sz w:val="24"/>
          <w:highlight w:val="none"/>
        </w:rPr>
        <w:t xml:space="preserve">8.招标文件的修改</w:t>
      </w:r>
      <w:bookmarkEnd w:id="84"/>
      <w:r/>
      <w:bookmarkEnd w:id="85"/>
      <w:r/>
      <w:bookmarkEnd w:id="86"/>
      <w:r/>
      <w:bookmarkEnd w:id="87"/>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8.1在投标截止时间前，采购代理机构可以对招标文件进行修改。</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8.2采购代理机构有权按照法定的要求推迟投标截止日期和开标日期。</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8.3招标文件的修改将在中国政府采购网、江苏政府采购网、盐城市政府采购网公布，补充文件将作为招标文件的组成部分，并对投标人具有约束力。</w:t>
      </w:r>
      <w:r/>
    </w:p>
    <w:p>
      <w:pPr>
        <w:ind w:firstLine="482"/>
        <w:spacing w:line="440" w:lineRule="exact"/>
        <w:rPr>
          <w:rFonts w:hint="eastAsia" w:ascii="宋体" w:hAnsi="宋体" w:eastAsia="宋体"/>
          <w:b/>
          <w:bCs/>
          <w:sz w:val="24"/>
          <w:highlight w:val="none"/>
        </w:rPr>
      </w:pPr>
      <w:r/>
      <w:bookmarkStart w:id="88" w:name="_Toc513029213"/>
      <w:r/>
      <w:bookmarkStart w:id="89" w:name="_Toc120614216"/>
      <w:r/>
      <w:bookmarkStart w:id="90" w:name="_Toc16938529"/>
      <w:r/>
      <w:bookmarkStart w:id="91" w:name="_Toc20823285"/>
      <w:r/>
      <w:bookmarkStart w:id="92" w:name="_Toc462564072"/>
      <w:r>
        <w:rPr>
          <w:rFonts w:hint="eastAsia" w:ascii="宋体" w:hAnsi="宋体" w:eastAsia="宋体"/>
          <w:b/>
          <w:bCs/>
          <w:sz w:val="24"/>
          <w:highlight w:val="none"/>
        </w:rPr>
        <w:t xml:space="preserve">三、投标文件的编制</w:t>
      </w:r>
      <w:bookmarkEnd w:id="88"/>
      <w:r/>
      <w:bookmarkEnd w:id="89"/>
      <w:r/>
      <w:bookmarkEnd w:id="90"/>
      <w:r/>
      <w:bookmarkEnd w:id="91"/>
      <w:r/>
      <w:bookmarkEnd w:id="92"/>
      <w:r/>
      <w:r/>
    </w:p>
    <w:p>
      <w:pPr>
        <w:ind w:firstLine="480"/>
        <w:spacing w:line="440" w:lineRule="exact"/>
        <w:rPr>
          <w:rFonts w:hint="eastAsia" w:ascii="宋体" w:hAnsi="宋体" w:eastAsia="宋体"/>
          <w:sz w:val="24"/>
          <w:highlight w:val="none"/>
        </w:rPr>
      </w:pPr>
      <w:r/>
      <w:bookmarkStart w:id="93" w:name="_Toc462564073"/>
      <w:r/>
      <w:bookmarkStart w:id="94" w:name="_Toc513029214"/>
      <w:r/>
      <w:bookmarkStart w:id="95" w:name="_Toc16938530"/>
      <w:r/>
      <w:bookmarkStart w:id="96" w:name="_Toc20823286"/>
      <w:r>
        <w:rPr>
          <w:rFonts w:hint="eastAsia" w:ascii="宋体" w:hAnsi="宋体" w:eastAsia="宋体"/>
          <w:sz w:val="24"/>
          <w:highlight w:val="none"/>
        </w:rPr>
        <w:t xml:space="preserve">9.投标文件的语言及度量衡单位</w:t>
      </w:r>
      <w:bookmarkEnd w:id="93"/>
      <w:r/>
      <w:bookmarkEnd w:id="94"/>
      <w:r/>
      <w:bookmarkEnd w:id="95"/>
      <w:r/>
      <w:bookmarkEnd w:id="96"/>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9.1投标人提交的投标文件以及投标人与采购代理机构就有关投标的所有来往通知、函件和文件均应使用简体中文。</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9.2除技术性能另有规定外，投标文件所使用的度量衡单位，均须采用国家法定计量单位。</w:t>
      </w:r>
      <w:r/>
    </w:p>
    <w:p>
      <w:pPr>
        <w:ind w:firstLine="480"/>
        <w:spacing w:line="440" w:lineRule="exact"/>
        <w:rPr>
          <w:rFonts w:hint="eastAsia" w:ascii="宋体" w:hAnsi="宋体" w:eastAsia="宋体"/>
          <w:sz w:val="24"/>
          <w:highlight w:val="none"/>
        </w:rPr>
      </w:pPr>
      <w:r/>
      <w:bookmarkStart w:id="97" w:name="_Toc513029215"/>
      <w:r/>
      <w:bookmarkStart w:id="98" w:name="_Toc16938531"/>
      <w:r/>
      <w:bookmarkStart w:id="99" w:name="_Toc20823287"/>
      <w:r/>
      <w:bookmarkStart w:id="100" w:name="_Toc462564074"/>
      <w:r>
        <w:rPr>
          <w:rFonts w:hint="eastAsia" w:ascii="宋体" w:hAnsi="宋体" w:eastAsia="宋体"/>
          <w:sz w:val="24"/>
          <w:highlight w:val="none"/>
        </w:rPr>
        <w:t xml:space="preserve">10.投标文件构成</w:t>
      </w:r>
      <w:bookmarkEnd w:id="97"/>
      <w:r/>
      <w:bookmarkEnd w:id="98"/>
      <w:r/>
      <w:bookmarkEnd w:id="99"/>
      <w:r/>
      <w:bookmarkEnd w:id="100"/>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440" w:lineRule="exact"/>
        <w:rPr>
          <w:rFonts w:hint="eastAsia" w:ascii="宋体" w:hAnsi="宋体" w:eastAsia="宋体"/>
          <w:sz w:val="24"/>
          <w:highlight w:val="none"/>
        </w:rPr>
      </w:pPr>
      <w:r/>
      <w:bookmarkStart w:id="101" w:name="_Toc14577357"/>
      <w:r/>
      <w:bookmarkStart w:id="102" w:name="_Toc14577354"/>
      <w:r/>
      <w:bookmarkStart w:id="103" w:name="_Toc49090507"/>
      <w:r/>
      <w:bookmarkStart w:id="104" w:name="_Toc513029216"/>
      <w:r/>
      <w:bookmarkStart w:id="105" w:name="_Toc513029219"/>
      <w:r/>
      <w:bookmarkStart w:id="106" w:name="_Toc49090509"/>
      <w:r/>
      <w:bookmarkStart w:id="107" w:name="_Toc14577355"/>
      <w:r/>
      <w:bookmarkStart w:id="108" w:name="_Toc49090508"/>
      <w:r/>
      <w:bookmarkStart w:id="109" w:name="_Hlt26954838"/>
      <w:r/>
      <w:bookmarkStart w:id="110" w:name="_Hlt26670360"/>
      <w:r/>
      <w:bookmarkStart w:id="111" w:name="_Hlt26668975"/>
      <w:r>
        <w:rPr>
          <w:rFonts w:hint="eastAsia" w:ascii="宋体" w:hAnsi="宋体" w:eastAsia="宋体"/>
          <w:sz w:val="24"/>
          <w:highlight w:val="none"/>
        </w:rPr>
        <w:t xml:space="preserve">11.证明投标人及投标标的符合招标文件规定的文件</w:t>
      </w:r>
      <w:bookmarkEnd w:id="101"/>
      <w:r/>
      <w:bookmarkEnd w:id="102"/>
      <w:r/>
      <w:bookmarkEnd w:id="103"/>
      <w:r/>
      <w:bookmarkEnd w:id="104"/>
      <w:r/>
      <w:bookmarkEnd w:id="105"/>
      <w:r/>
      <w:bookmarkEnd w:id="106"/>
      <w:r/>
      <w:bookmarkEnd w:id="107"/>
      <w:r/>
      <w:bookmarkEnd w:id="108"/>
      <w:r/>
      <w:r/>
    </w:p>
    <w:p>
      <w:pPr>
        <w:spacing w:line="440" w:lineRule="exact"/>
        <w:rPr>
          <w:rFonts w:hint="eastAsia" w:ascii="宋体" w:hAnsi="宋体" w:eastAsia="宋体"/>
          <w:sz w:val="24"/>
          <w:highlight w:val="none"/>
        </w:rPr>
      </w:pPr>
      <w:r>
        <w:rPr>
          <w:rFonts w:hint="eastAsia" w:ascii="宋体" w:hAnsi="宋体" w:eastAsia="宋体"/>
          <w:sz w:val="24"/>
          <w:highlight w:val="none"/>
        </w:rPr>
        <w:t xml:space="preserve">  11.1投标人应按照招标文件要求提交证明文件，证明其及投标标的符合招标文件规定。</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11.2招标文件对证明文件无明确形式要求的，证明文件可以以文字资料、图纸和数据等形式提交。</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12.投标分项报价表</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12.1投标人应按照招标文件规定格式填报投标分项报价表。</w:t>
      </w:r>
      <w:r/>
    </w:p>
    <w:p>
      <w:pPr>
        <w:spacing w:line="440" w:lineRule="exact"/>
        <w:rPr>
          <w:rFonts w:hint="eastAsia" w:ascii="宋体" w:hAnsi="宋体" w:eastAsia="宋体"/>
          <w:sz w:val="24"/>
          <w:highlight w:val="none"/>
        </w:rPr>
      </w:pPr>
      <w:r>
        <w:rPr>
          <w:rFonts w:hint="eastAsia" w:ascii="宋体" w:hAnsi="宋体" w:eastAsia="宋体"/>
          <w:sz w:val="24"/>
          <w:highlight w:val="none"/>
        </w:rPr>
        <w:t xml:space="preserve">在表中标明本项目所提供的各类服务内容名称、数量、单价、总价。每项服务只允许有一个报价，任何有选择的报价将不予接受。</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12.2标的物</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采购人需求采购的特殊教育学校康复、感统等多功能室建设等。</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12.3有关费用处理</w:t>
      </w:r>
      <w:bookmarkStart w:id="112" w:name="OLE_LINK19"/>
      <w:r/>
      <w:bookmarkStart w:id="113" w:name="_Hlt26954848"/>
      <w:r/>
      <w:bookmarkStart w:id="114" w:name="_Hlt26670486"/>
      <w:r/>
      <w:bookmarkStart w:id="115" w:name="_Hlt26954846"/>
      <w:r/>
      <w:bookmarkStart w:id="116" w:name="_Hlt26954731"/>
      <w:r/>
      <w:bookmarkStart w:id="117" w:name="_Hlt26670482"/>
      <w:r/>
      <w:bookmarkEnd w:id="112"/>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招标报价采用总承包方式，投标报价是指投标人在正确地完全履行合同义务后采购人应支付的服务价格，</w:t>
      </w:r>
      <w:r>
        <w:rPr>
          <w:rFonts w:hint="eastAsia" w:ascii="宋体" w:hAnsi="宋体" w:eastAsia="宋体"/>
          <w:b/>
          <w:bCs/>
          <w:sz w:val="24"/>
          <w:highlight w:val="none"/>
        </w:rPr>
        <w:t xml:space="preserve">应包括</w:t>
      </w:r>
      <w:bookmarkStart w:id="118" w:name="_Hlk195811131"/>
      <w:r>
        <w:rPr>
          <w:rFonts w:hint="eastAsia" w:ascii="宋体" w:hAnsi="宋体" w:eastAsia="宋体"/>
          <w:b/>
          <w:bCs/>
          <w:sz w:val="24"/>
          <w:highlight w:val="none"/>
        </w:rPr>
        <w:t xml:space="preserve">人工费包括（人员工资、社会保险费用、福利费、加班费、差旅费、人身意外伤害险等）、评审费、验收费、会务费、投标费用、招标代理服务费、</w:t>
      </w:r>
      <w:bookmarkStart w:id="119" w:name="OLE_LINK13"/>
      <w:r>
        <w:rPr>
          <w:rFonts w:hint="eastAsia" w:ascii="宋体" w:hAnsi="宋体" w:eastAsia="宋体"/>
          <w:b/>
          <w:bCs/>
          <w:sz w:val="24"/>
          <w:highlight w:val="none"/>
        </w:rPr>
        <w:t xml:space="preserve">审计费、</w:t>
      </w:r>
      <w:bookmarkEnd w:id="119"/>
      <w:r>
        <w:rPr>
          <w:rFonts w:hint="eastAsia" w:ascii="宋体" w:hAnsi="宋体" w:eastAsia="宋体"/>
          <w:b/>
          <w:bCs/>
          <w:sz w:val="24"/>
          <w:highlight w:val="none"/>
        </w:rPr>
        <w:t xml:space="preserve">税金、各类风险费、管理费、利润、国际国内运输等保</w:t>
      </w:r>
      <w:r>
        <w:rPr>
          <w:rFonts w:hint="eastAsia" w:ascii="宋体" w:hAnsi="宋体" w:eastAsia="宋体"/>
          <w:b/>
          <w:bCs/>
          <w:sz w:val="24"/>
          <w:highlight w:val="none"/>
        </w:rPr>
        <w:t xml:space="preserve">险费、环境监测评价费、报关清关、开证、办理全套免税手续费用及其他有关的为完成本项目发生的所有费用</w:t>
      </w:r>
      <w:bookmarkEnd w:id="118"/>
      <w:r>
        <w:rPr>
          <w:rFonts w:hint="eastAsia" w:ascii="宋体" w:hAnsi="宋体" w:eastAsia="宋体"/>
          <w:b/>
          <w:bCs/>
          <w:sz w:val="24"/>
          <w:highlight w:val="none"/>
        </w:rPr>
        <w:t xml:space="preserve">，招标文件中另有规定的除外。</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招标人约定由中标人代为向招标代理机构一次性支付招标代理服务费【依据江苏省招标代理服务收费的指导意见-苏招协[2022]002号文件收取】按人民币44800元收取，投标人须将此费用纳入投标报价中，招标人不另行支付。</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12.4其它费用处理</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招标文件未列明，而投标人认为必需的费用也需列入报价。</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12.5投标货币</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投标文件中的单价和总价无特殊规定的采用人民币报价，以元为单位标注。招标文件中另有规定的按规定执行。</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13.技术要求响应及偏离表、商务要求响应及偏离表</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13.1投标人需对招标文件中的技术要求与商务要求逐项作出响应或偏离，并说明原因。</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13.2投标人可在投标文件中提供认为需要的其他技术文件或说明。</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14.服务承诺、培训计划、人员安排及其他</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14.1投标人需根据招标文件要求提供有关售后服务的管理制度，售后服务机构的分布情况，售后服务人员的数量、素质、技术水平及售后服务的反应能力等。</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14.2投标人需根据招标文件要求提供培训计划。</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14.3投标人需根据招标文件要求提供所投标的的主要组成部分、功能设计、实现思路及关键技术等。</w:t>
      </w:r>
      <w:r/>
    </w:p>
    <w:p>
      <w:pPr>
        <w:ind w:firstLine="480"/>
        <w:spacing w:line="440" w:lineRule="exact"/>
        <w:rPr>
          <w:rFonts w:hint="eastAsia" w:ascii="宋体" w:hAnsi="宋体" w:eastAsia="宋体"/>
          <w:sz w:val="24"/>
          <w:highlight w:val="none"/>
        </w:rPr>
      </w:pPr>
      <w:r/>
      <w:bookmarkStart w:id="120" w:name="_Toc49090510"/>
      <w:r/>
      <w:bookmarkStart w:id="121" w:name="_Toc14577359"/>
      <w:r>
        <w:rPr>
          <w:rFonts w:hint="eastAsia" w:ascii="宋体" w:hAnsi="宋体" w:eastAsia="宋体"/>
          <w:sz w:val="24"/>
          <w:highlight w:val="none"/>
        </w:rPr>
        <w:t xml:space="preserve">15.投标函和开标一览表</w:t>
      </w:r>
      <w:bookmarkEnd w:id="120"/>
      <w:r/>
      <w:bookmarkEnd w:id="121"/>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15.1投标人应按照招标文件中提供的格式完整、正确填写投标函、开标一览表。</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ind w:firstLine="480"/>
        <w:spacing w:line="440" w:lineRule="exact"/>
        <w:rPr>
          <w:rFonts w:hint="eastAsia" w:ascii="宋体" w:hAnsi="宋体" w:eastAsia="宋体"/>
          <w:sz w:val="24"/>
          <w:highlight w:val="none"/>
        </w:rPr>
      </w:pPr>
      <w:r/>
      <w:bookmarkStart w:id="122" w:name="_Toc49090511"/>
      <w:r/>
      <w:bookmarkStart w:id="123" w:name="_Toc14577360"/>
      <w:r>
        <w:rPr>
          <w:rFonts w:hint="eastAsia" w:ascii="宋体" w:hAnsi="宋体" w:eastAsia="宋体"/>
          <w:sz w:val="24"/>
          <w:highlight w:val="none"/>
        </w:rPr>
        <w:t xml:space="preserve">16.投标有效期</w:t>
      </w:r>
      <w:bookmarkEnd w:id="122"/>
      <w:r/>
      <w:bookmarkEnd w:id="123"/>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16.1投标有效期为采购代理机构规定的开标之日后九十（90）天。投标有效期比规定短的将被视为未实质性响应招标文件而予以拒绝。</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17.投标有效期的延长</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482"/>
        <w:spacing w:line="440" w:lineRule="exact"/>
        <w:rPr>
          <w:rFonts w:hint="eastAsia" w:ascii="宋体" w:hAnsi="宋体" w:eastAsia="宋体"/>
          <w:b/>
          <w:bCs/>
          <w:sz w:val="24"/>
          <w:highlight w:val="none"/>
        </w:rPr>
      </w:pPr>
      <w:r/>
      <w:bookmarkStart w:id="124" w:name="_Toc20823296"/>
      <w:r/>
      <w:bookmarkStart w:id="125" w:name="_Toc120614217"/>
      <w:r/>
      <w:bookmarkStart w:id="126" w:name="_Toc513029224"/>
      <w:r/>
      <w:bookmarkStart w:id="127" w:name="_Toc16938540"/>
      <w:r/>
      <w:bookmarkStart w:id="128" w:name="_Hlt26954739"/>
      <w:r/>
      <w:bookmarkStart w:id="129" w:name="_Hlt26954852"/>
      <w:r>
        <w:rPr>
          <w:rFonts w:hint="eastAsia" w:ascii="宋体" w:hAnsi="宋体" w:eastAsia="宋体"/>
          <w:b/>
          <w:bCs/>
          <w:sz w:val="24"/>
          <w:highlight w:val="none"/>
        </w:rPr>
        <w:t xml:space="preserve">四、投标文件的递交</w:t>
      </w:r>
      <w:bookmarkEnd w:id="124"/>
      <w:r/>
      <w:bookmarkEnd w:id="125"/>
      <w:r/>
      <w:bookmarkEnd w:id="126"/>
      <w:r/>
      <w:bookmarkEnd w:id="127"/>
      <w:r/>
      <w:r/>
    </w:p>
    <w:p>
      <w:pPr>
        <w:ind w:firstLine="480"/>
        <w:spacing w:line="440" w:lineRule="exact"/>
        <w:rPr>
          <w:rFonts w:hint="eastAsia" w:ascii="宋体" w:hAnsi="宋体" w:eastAsia="宋体"/>
          <w:sz w:val="24"/>
          <w:highlight w:val="none"/>
        </w:rPr>
      </w:pPr>
      <w:r/>
      <w:bookmarkStart w:id="130" w:name="_Toc16938541"/>
      <w:r/>
      <w:bookmarkStart w:id="131" w:name="_Toc20823297"/>
      <w:r/>
      <w:bookmarkStart w:id="132" w:name="_Toc513029225"/>
      <w:r/>
      <w:bookmarkStart w:id="133" w:name="_Toc462564084"/>
      <w:r>
        <w:rPr>
          <w:rFonts w:hint="eastAsia" w:ascii="宋体" w:hAnsi="宋体" w:eastAsia="宋体"/>
          <w:sz w:val="24"/>
          <w:highlight w:val="none"/>
        </w:rPr>
        <w:t xml:space="preserve">18.电子投标文件</w:t>
      </w:r>
      <w:bookmarkEnd w:id="130"/>
      <w:r/>
      <w:bookmarkEnd w:id="131"/>
      <w:r/>
      <w:bookmarkEnd w:id="132"/>
      <w:r/>
      <w:bookmarkEnd w:id="133"/>
      <w:r>
        <w:rPr>
          <w:rFonts w:hint="eastAsia" w:ascii="宋体" w:hAnsi="宋体" w:eastAsia="宋体"/>
          <w:sz w:val="24"/>
          <w:highlight w:val="none"/>
        </w:rPr>
        <w:t xml:space="preserve">的递交</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18.1投标人应当按照《操作手册》规定，在投标截止时间前制作并上传电子投标</w:t>
      </w:r>
      <w:r/>
    </w:p>
    <w:p>
      <w:pPr>
        <w:spacing w:line="440" w:lineRule="exact"/>
        <w:rPr>
          <w:rFonts w:hint="eastAsia" w:ascii="宋体" w:hAnsi="宋体" w:eastAsia="宋体"/>
          <w:sz w:val="24"/>
          <w:highlight w:val="none"/>
        </w:rPr>
      </w:pPr>
      <w:r>
        <w:rPr>
          <w:rFonts w:hint="eastAsia" w:ascii="宋体" w:hAnsi="宋体" w:eastAsia="宋体"/>
          <w:sz w:val="24"/>
          <w:highlight w:val="none"/>
        </w:rPr>
        <w:t xml:space="preserve">文件。</w:t>
      </w:r>
      <w:bookmarkStart w:id="134" w:name="_Toc20823298"/>
      <w:r/>
      <w:bookmarkEnd w:id="134"/>
      <w:r/>
      <w:bookmarkStart w:id="135" w:name="_Toc16938542"/>
      <w:r/>
      <w:bookmarkEnd w:id="135"/>
      <w:r/>
      <w:bookmarkStart w:id="136" w:name="_Toc513029226"/>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19.投标截止日期</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19.1投标人上传电子投标文件的时间不得迟于招标公告中规定的投标截止时间。</w:t>
      </w:r>
      <w:r/>
    </w:p>
    <w:p>
      <w:pPr>
        <w:spacing w:line="440" w:lineRule="exact"/>
        <w:rPr>
          <w:rFonts w:hint="eastAsia" w:ascii="宋体" w:hAnsi="宋体" w:eastAsia="宋体"/>
          <w:sz w:val="24"/>
          <w:highlight w:val="none"/>
        </w:rPr>
      </w:pPr>
      <w:r>
        <w:rPr>
          <w:rFonts w:hint="eastAsia" w:ascii="宋体" w:hAnsi="宋体" w:eastAsia="宋体"/>
          <w:sz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19.2采购代理机构可以按照规定，通过修改招标文件酌情延长投标截止日期，在此情况下，投标人的所有权利和义务以及投标人受制的截止日期均应以延长后新的截止日期为准。</w:t>
      </w:r>
      <w:r/>
    </w:p>
    <w:p>
      <w:pPr>
        <w:ind w:firstLine="480"/>
        <w:spacing w:line="440" w:lineRule="exact"/>
        <w:rPr>
          <w:rFonts w:hint="eastAsia" w:ascii="宋体" w:hAnsi="宋体" w:eastAsia="宋体"/>
          <w:sz w:val="24"/>
          <w:highlight w:val="none"/>
        </w:rPr>
      </w:pPr>
      <w:r/>
      <w:bookmarkStart w:id="137" w:name="_Toc513029227"/>
      <w:r/>
      <w:bookmarkStart w:id="138" w:name="_Toc16938543"/>
      <w:r/>
      <w:bookmarkStart w:id="139" w:name="_Toc20823299"/>
      <w:r>
        <w:rPr>
          <w:rFonts w:hint="eastAsia" w:ascii="宋体" w:hAnsi="宋体" w:eastAsia="宋体"/>
          <w:sz w:val="24"/>
          <w:highlight w:val="none"/>
        </w:rPr>
        <w:t xml:space="preserve">20.投标文件</w:t>
      </w:r>
      <w:bookmarkEnd w:id="137"/>
      <w:r/>
      <w:bookmarkEnd w:id="138"/>
      <w:r/>
      <w:bookmarkEnd w:id="139"/>
      <w:r>
        <w:rPr>
          <w:rFonts w:hint="eastAsia" w:ascii="宋体" w:hAnsi="宋体" w:eastAsia="宋体"/>
          <w:sz w:val="24"/>
          <w:highlight w:val="none"/>
        </w:rPr>
        <w:t xml:space="preserve">的拒收</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20.1采购代理机构拒绝接收在其规定的投标截止时间后上传的任何投标文件。</w:t>
      </w:r>
      <w:r/>
    </w:p>
    <w:p>
      <w:pPr>
        <w:ind w:firstLine="480"/>
        <w:spacing w:line="440" w:lineRule="exact"/>
        <w:rPr>
          <w:rFonts w:hint="eastAsia" w:ascii="宋体" w:hAnsi="宋体" w:eastAsia="宋体"/>
          <w:sz w:val="24"/>
          <w:highlight w:val="none"/>
        </w:rPr>
      </w:pPr>
      <w:r/>
      <w:bookmarkStart w:id="140" w:name="_Toc16938544"/>
      <w:r/>
      <w:bookmarkStart w:id="141" w:name="_Toc20823300"/>
      <w:r/>
      <w:bookmarkStart w:id="142" w:name="_Toc513029228"/>
      <w:r>
        <w:rPr>
          <w:rFonts w:hint="eastAsia" w:ascii="宋体" w:hAnsi="宋体" w:eastAsia="宋体"/>
          <w:sz w:val="24"/>
          <w:highlight w:val="none"/>
        </w:rPr>
        <w:t xml:space="preserve">21.投标文件的撤回和修改</w:t>
      </w:r>
      <w:bookmarkEnd w:id="140"/>
      <w:r/>
      <w:bookmarkEnd w:id="141"/>
      <w:r/>
      <w:bookmarkEnd w:id="142"/>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21.1投标文件的撤回</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21.1.1电子投标文件的撤回</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投标人可在投标截止时间前，撤回其电子投标文件，具体操作方法见《操作手册》。</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21.1.2投标人撤回电子投标文件，则认为其不再参与本项目投标活动。</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21.2投标文件的修改</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21.2.1投标人可在投标截止时间前，对其电子投标文件进行修改，具体操作方法见《操作手册》。</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21.2.2在投标截止时间之后，投标人不得对其电子投标文件作任何修改。</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21.3在投标截止时间至招标文件中规定的投标有效期满之间的这段时间内，投标人不得撤回其投标。</w:t>
      </w:r>
      <w:r/>
    </w:p>
    <w:p>
      <w:pPr>
        <w:ind w:firstLine="482"/>
        <w:spacing w:line="440" w:lineRule="exact"/>
        <w:rPr>
          <w:rFonts w:hint="eastAsia" w:ascii="宋体" w:hAnsi="宋体" w:eastAsia="宋体"/>
          <w:b/>
          <w:bCs/>
          <w:sz w:val="24"/>
          <w:highlight w:val="none"/>
        </w:rPr>
      </w:pPr>
      <w:r/>
      <w:bookmarkStart w:id="143" w:name="_Toc120614218"/>
      <w:r/>
      <w:bookmarkStart w:id="144" w:name="_Toc20823301"/>
      <w:r/>
      <w:bookmarkStart w:id="145" w:name="_Toc513029229"/>
      <w:r/>
      <w:bookmarkStart w:id="146" w:name="_Toc16938545"/>
      <w:r>
        <w:rPr>
          <w:rFonts w:hint="eastAsia" w:ascii="宋体" w:hAnsi="宋体" w:eastAsia="宋体"/>
          <w:b/>
          <w:bCs/>
          <w:sz w:val="24"/>
          <w:highlight w:val="none"/>
        </w:rPr>
        <w:t xml:space="preserve">五、开标与评标</w:t>
      </w:r>
      <w:bookmarkEnd w:id="143"/>
      <w:r/>
      <w:bookmarkEnd w:id="144"/>
      <w:r/>
      <w:bookmarkEnd w:id="145"/>
      <w:r/>
      <w:bookmarkEnd w:id="146"/>
      <w:r/>
      <w:r/>
    </w:p>
    <w:p>
      <w:pPr>
        <w:ind w:firstLine="480"/>
        <w:spacing w:line="440" w:lineRule="exact"/>
        <w:rPr>
          <w:rFonts w:hint="eastAsia" w:ascii="宋体" w:hAnsi="宋体" w:eastAsia="宋体"/>
          <w:sz w:val="24"/>
          <w:highlight w:val="none"/>
        </w:rPr>
      </w:pPr>
      <w:r/>
      <w:bookmarkStart w:id="147" w:name="_Toc16938546"/>
      <w:r/>
      <w:bookmarkStart w:id="148" w:name="_Toc513029230"/>
      <w:r/>
      <w:bookmarkStart w:id="149" w:name="_Toc20823302"/>
      <w:r>
        <w:rPr>
          <w:rFonts w:hint="eastAsia" w:ascii="宋体" w:hAnsi="宋体" w:eastAsia="宋体"/>
          <w:sz w:val="24"/>
          <w:highlight w:val="none"/>
        </w:rPr>
        <w:t xml:space="preserve">22.开标</w:t>
      </w:r>
      <w:bookmarkEnd w:id="147"/>
      <w:r/>
      <w:bookmarkEnd w:id="148"/>
      <w:r/>
      <w:bookmarkEnd w:id="149"/>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22.1采购代理机构将在招标公告中规定的时间和地点组织公开开标。投标人应当按照《操作手册》规定，参加开标活动和在苏采云系统规定的时间内对投标文件进行解密。</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22.2开标仪式由采购代理机构组织。苏采云系统将自动对项目进行开标，并宣布各投标人名称和投标价格。</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22.3投标人在开标过程中涉及到的投标文件解密、开标结果确认等工作，应按照《操作手册》规定执行。</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22.4投标人如果对开标过程和开标记录有疑义，应当根据《操作手册》规定提出，如苏采云系统中《开标记录表》宣布后5分钟内未提出的，视同认可开标结果。</w:t>
      </w:r>
      <w:r/>
    </w:p>
    <w:p>
      <w:pPr>
        <w:ind w:firstLine="480"/>
        <w:spacing w:line="440" w:lineRule="exact"/>
        <w:rPr>
          <w:rFonts w:hint="eastAsia" w:ascii="宋体" w:hAnsi="宋体" w:eastAsia="宋体"/>
          <w:sz w:val="24"/>
          <w:highlight w:val="none"/>
        </w:rPr>
      </w:pPr>
      <w:r/>
      <w:bookmarkStart w:id="150" w:name="_Toc16938547"/>
      <w:r/>
      <w:bookmarkStart w:id="151" w:name="_Toc20823303"/>
      <w:r/>
      <w:bookmarkStart w:id="152" w:name="_Toc513029231"/>
      <w:r>
        <w:rPr>
          <w:rFonts w:hint="eastAsia" w:ascii="宋体" w:hAnsi="宋体" w:eastAsia="宋体"/>
          <w:sz w:val="24"/>
          <w:highlight w:val="none"/>
        </w:rPr>
        <w:t xml:space="preserve">23.评标委员会</w:t>
      </w:r>
      <w:bookmarkEnd w:id="150"/>
      <w:r/>
      <w:bookmarkEnd w:id="151"/>
      <w:r/>
      <w:bookmarkEnd w:id="152"/>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23.1开标后，采购代理机构将立即组织评标委员会（以下简称评委会）进行评标。</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23.2评委会由采购人代表和有关技术、经济等方面的专家组成，且人员构成符合政府采购有关规定。</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23.3评委会独立工作，负责评审所有投标文件并确定中标候选人。</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24．评标过程的保密与公正</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24.1凡是与审查、澄清、评价和比较投标的有关资料以及授标建议等，采购人、评委、采购代理机构均不得向投标人或与评标无关的其他人员透露。</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24.2在评标过程中，投标人不得以任何行为影响评标过程，否则其投标文件将被作为无效投标文件。</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24.3采购代理机构和评标委员会不向未中标的投标人解释未中标原因，也不公布评标过程中的相关细节。</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24.4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p>
    <w:p>
      <w:pPr>
        <w:ind w:firstLine="480"/>
        <w:spacing w:line="440" w:lineRule="exact"/>
        <w:rPr>
          <w:rFonts w:hint="eastAsia" w:ascii="宋体" w:hAnsi="宋体" w:eastAsia="宋体"/>
          <w:sz w:val="24"/>
          <w:highlight w:val="none"/>
        </w:rPr>
      </w:pPr>
      <w:r/>
      <w:bookmarkStart w:id="153" w:name="_Toc16938548"/>
      <w:r/>
      <w:bookmarkStart w:id="154" w:name="_Toc513029232"/>
      <w:r/>
      <w:bookmarkStart w:id="155" w:name="_Toc20823304"/>
      <w:r>
        <w:rPr>
          <w:rFonts w:hint="eastAsia" w:ascii="宋体" w:hAnsi="宋体" w:eastAsia="宋体"/>
          <w:sz w:val="24"/>
          <w:highlight w:val="none"/>
        </w:rPr>
        <w:t xml:space="preserve">25．投标文件的澄清</w:t>
      </w:r>
      <w:bookmarkEnd w:id="153"/>
      <w:r/>
      <w:bookmarkEnd w:id="154"/>
      <w:r/>
      <w:bookmarkEnd w:id="155"/>
      <w:r/>
      <w:r/>
    </w:p>
    <w:p>
      <w:pPr>
        <w:ind w:firstLine="480"/>
        <w:spacing w:line="440" w:lineRule="exact"/>
        <w:rPr>
          <w:rFonts w:hint="eastAsia" w:ascii="宋体" w:hAnsi="宋体" w:eastAsia="宋体"/>
          <w:sz w:val="24"/>
          <w:highlight w:val="none"/>
        </w:rPr>
      </w:pPr>
      <w:r/>
      <w:bookmarkStart w:id="156" w:name="_Toc513029233"/>
      <w:r/>
      <w:bookmarkStart w:id="157" w:name="_Toc20823305"/>
      <w:r/>
      <w:bookmarkStart w:id="158" w:name="_Toc16938549"/>
      <w:r>
        <w:rPr>
          <w:rFonts w:hint="eastAsia" w:ascii="宋体" w:hAnsi="宋体" w:eastAsia="宋体"/>
          <w:sz w:val="24"/>
          <w:highlight w:val="none"/>
        </w:rPr>
        <w:t xml:space="preserve">25.1评标期间，评委会对投标文件中含义不明确、同类问题表述不一致或者有明显文字和计算错误的内容 ，有权要求投标人作出必要的澄清、说明或者补正。</w:t>
      </w:r>
      <w:bookmarkEnd w:id="156"/>
      <w:r/>
      <w:bookmarkEnd w:id="157"/>
      <w:r/>
      <w:bookmarkEnd w:id="158"/>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投标人的澄清、说明或者补正不得超出投标文件的范围或者改变投标文件的实质性内容。</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评标委员会并非对每个投标人都做澄清要求。</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25.3接到评委会澄清、说明和补正要求的投标人如未按规定做出澄清、说明和补正，其风险由投标人自行承担。</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26.对投标文件的初审</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26.1投标文件初审分为资格审查和符合性审查。</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26.1.1资格审查：依据法律法规和招标文件的规定，由采购人对投标文件中的资格证明文件进行审查。资格审查的结论，采购人以书面形式向评委会进行反馈。</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26.4评委会将对确定为实质性响应的投标进行进一步审核，看其是否有计算上或累加上的算术错误，修正错误的原则如下：</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（1）投标文件中开标一览表内容与投标文件中相应内容不一致的，以开标一览表为准。</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（2）大写金额和小写金额不一致的，以大写金额为准。</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（3）单价金额小数点或者百分比有明显错位的，以开标一览表的总价为准，并修改单价。</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（4）总价金额与按单价汇总金额不一致的，以单价金额计算结果为准。</w:t>
      </w:r>
      <w:r/>
    </w:p>
    <w:p>
      <w:pPr>
        <w:spacing w:line="440" w:lineRule="exact"/>
        <w:rPr>
          <w:rFonts w:hint="eastAsia" w:ascii="宋体" w:hAnsi="宋体" w:eastAsia="宋体"/>
          <w:sz w:val="24"/>
          <w:highlight w:val="none"/>
        </w:rPr>
      </w:pPr>
      <w:r>
        <w:rPr>
          <w:rFonts w:hint="eastAsia" w:ascii="宋体" w:hAnsi="宋体" w:eastAsia="宋体"/>
          <w:sz w:val="24"/>
          <w:highlight w:val="none"/>
        </w:rPr>
        <w:t xml:space="preserve">同时出现两种以上错误的，按照前款规定的顺序修正。</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40" w:lineRule="exact"/>
        <w:rPr>
          <w:rFonts w:hint="eastAsia" w:ascii="宋体" w:hAnsi="宋体" w:eastAsia="宋体"/>
          <w:sz w:val="24"/>
          <w:highlight w:val="none"/>
        </w:rPr>
      </w:pPr>
      <w:r/>
      <w:bookmarkStart w:id="159" w:name="_Toc513029234"/>
      <w:r/>
      <w:bookmarkStart w:id="160" w:name="_Toc20823306"/>
      <w:r/>
      <w:bookmarkStart w:id="161" w:name="_Toc16938550"/>
      <w:r>
        <w:rPr>
          <w:rFonts w:hint="eastAsia" w:ascii="宋体" w:hAnsi="宋体" w:eastAsia="宋体"/>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9"/>
      <w:r/>
      <w:bookmarkEnd w:id="160"/>
      <w:r/>
      <w:bookmarkEnd w:id="161"/>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非单一产品采购项目，招标文件中将载明其中的核心产品。多家投标人提供的核心产品品牌相同的，按前两款规定处理。</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26.7投标人在开、评标全过程中应保持通讯畅通，及时登录苏采云系统查阅、答复相关信息，并安排专人与采购代理机构及评标委员会联系。</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27.无效投标条款和废标条款</w:t>
      </w:r>
      <w:r/>
    </w:p>
    <w:p>
      <w:pPr>
        <w:ind w:firstLine="480"/>
        <w:spacing w:line="440" w:lineRule="exact"/>
        <w:rPr>
          <w:rFonts w:hint="eastAsia" w:ascii="宋体" w:hAnsi="宋体" w:eastAsia="宋体"/>
          <w:sz w:val="24"/>
          <w:highlight w:val="none"/>
        </w:rPr>
      </w:pPr>
      <w:r/>
      <w:bookmarkStart w:id="162" w:name="_Toc513029235"/>
      <w:r/>
      <w:bookmarkStart w:id="163" w:name="_Toc20823307"/>
      <w:r/>
      <w:bookmarkStart w:id="164" w:name="_Toc16938551"/>
      <w:r>
        <w:rPr>
          <w:rFonts w:hint="eastAsia" w:ascii="宋体" w:hAnsi="宋体" w:eastAsia="宋体"/>
          <w:sz w:val="24"/>
          <w:highlight w:val="none"/>
        </w:rPr>
        <w:t xml:space="preserve">27.1无效投标条款</w:t>
      </w:r>
      <w:bookmarkEnd w:id="162"/>
      <w:r/>
      <w:bookmarkEnd w:id="163"/>
      <w:r/>
      <w:bookmarkEnd w:id="164"/>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27.1.1投标人在苏采云系统规定的时间内未成功解密电子投标文件的。</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27.1.2投标人未按照招标文件要求上传电子投标文件的。</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27.1.3同一投标人提交两个（含两个）以上不同的投标报价的。</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27.1.4投标人不具备招标文件中规定资格要求的。</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27.1.5投标人的报价超过了采购预算或最高限价的。</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27.1.6未通过符合性审查的。</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27.1.7不符合招标文件中规定的实质性要求和条件的（本招标文件中斜体且有下划线部分为实质性要求和条件）。</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27.1.9投标文件含有采购人不能接受的附加条件的。</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27.1.12投标文件未按照招标文件要求加盖CA电子公章的。</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27.1.13其他法律、法规及本招标文件规定的属无效投标的情形。</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27.2废标条款</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27.2.1符合专业条件的供应商或者对招标文件作实质响应的供应商不足三家的。</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27.2.2出现影响采购公正的违法、违规行为的。</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27.2.3因重大变故，采购任务取消的。</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27.2.4评标委员会认定招标文件存在歧义、重大缺陷导致评审工作无法进行。</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27.2.5因苏采云系统系统故障原因造成开标不成功的。</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27.3投标截止时间结束后参加投标的供应商不足三家的处理：</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27.3.1如出现投标截止时间结束后参加投标的供应商或者在评标期间对招标文件做出实质响应的供应商不足三家情况，按政府采购相关规定执行。</w:t>
      </w:r>
      <w:r/>
    </w:p>
    <w:p>
      <w:pPr>
        <w:ind w:firstLine="482"/>
        <w:spacing w:line="440" w:lineRule="exact"/>
        <w:rPr>
          <w:rFonts w:hint="eastAsia" w:ascii="宋体" w:hAnsi="宋体" w:eastAsia="宋体"/>
          <w:b/>
          <w:bCs/>
          <w:sz w:val="24"/>
          <w:highlight w:val="none"/>
        </w:rPr>
      </w:pPr>
      <w:r/>
      <w:bookmarkStart w:id="165" w:name="_Toc120614219"/>
      <w:r>
        <w:rPr>
          <w:rFonts w:hint="eastAsia" w:ascii="宋体" w:hAnsi="宋体" w:eastAsia="宋体"/>
          <w:b/>
          <w:bCs/>
          <w:sz w:val="24"/>
          <w:highlight w:val="none"/>
        </w:rPr>
        <w:t xml:space="preserve">六、定标</w:t>
      </w:r>
      <w:bookmarkEnd w:id="165"/>
      <w:r/>
      <w:r/>
    </w:p>
    <w:p>
      <w:pPr>
        <w:ind w:firstLine="480"/>
        <w:spacing w:line="440" w:lineRule="exact"/>
        <w:rPr>
          <w:rFonts w:hint="eastAsia" w:ascii="宋体" w:hAnsi="宋体" w:eastAsia="宋体"/>
          <w:sz w:val="24"/>
          <w:highlight w:val="none"/>
        </w:rPr>
      </w:pPr>
      <w:r/>
      <w:bookmarkStart w:id="166" w:name="_Toc20823310"/>
      <w:r/>
      <w:bookmarkStart w:id="167" w:name="_Toc16938554"/>
      <w:r/>
      <w:bookmarkStart w:id="168" w:name="_Toc513029238"/>
      <w:r>
        <w:rPr>
          <w:rFonts w:hint="eastAsia" w:ascii="宋体" w:hAnsi="宋体" w:eastAsia="宋体"/>
          <w:sz w:val="24"/>
          <w:highlight w:val="none"/>
        </w:rPr>
        <w:t xml:space="preserve">2</w:t>
      </w:r>
      <w:bookmarkEnd w:id="166"/>
      <w:r>
        <w:rPr>
          <w:rFonts w:hint="eastAsia" w:ascii="宋体" w:hAnsi="宋体" w:eastAsia="宋体"/>
          <w:sz w:val="24"/>
          <w:highlight w:val="none"/>
        </w:rPr>
        <w:t xml:space="preserve">8.确定</w:t>
      </w:r>
      <w:bookmarkEnd w:id="167"/>
      <w:r/>
      <w:bookmarkEnd w:id="168"/>
      <w:r>
        <w:rPr>
          <w:rFonts w:hint="eastAsia" w:ascii="宋体" w:hAnsi="宋体" w:eastAsia="宋体"/>
          <w:sz w:val="24"/>
          <w:highlight w:val="none"/>
        </w:rPr>
        <w:t xml:space="preserve">中标单位</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28.1中标候选人的选取原则和数量见招标文件第五章规定。</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28.2采购人应根据评委会推荐的中标候选人确定中标人。</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28.3采购代理机构将在</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中国政府采购网”、“江苏政府采购网”、“盐城市政府采购网”发布中标公告，公告期限为1个工作日。</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28.4若有充分证据证明，中标人出现下列情况之一的，一经查实，将被取消中标资格：</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28.4.1提供虚假材料谋取中标的。</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28.4.2向采购人、采购代理机构行贿或者提供其他不正当利益的。</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28.4.3属于本文件规定的无效条件，但在评标过程中又未被评委会发现的。</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28.4.4与采购人或者其他供应商恶意串通的。</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28.4.5采取不正当手段诋毁、排挤其他供应商的。</w:t>
      </w:r>
      <w:r/>
    </w:p>
    <w:p>
      <w:pPr>
        <w:ind w:firstLine="480"/>
        <w:spacing w:line="440" w:lineRule="exact"/>
        <w:rPr>
          <w:rFonts w:hint="eastAsia" w:ascii="宋体" w:hAnsi="宋体" w:eastAsia="宋体"/>
          <w:sz w:val="24"/>
          <w:highlight w:val="none"/>
        </w:rPr>
      </w:pPr>
      <w:r/>
      <w:bookmarkStart w:id="169" w:name="_Toc200451960"/>
      <w:r>
        <w:rPr>
          <w:rFonts w:hint="eastAsia" w:ascii="宋体" w:hAnsi="宋体" w:eastAsia="宋体"/>
          <w:sz w:val="24"/>
          <w:highlight w:val="none"/>
        </w:rPr>
        <w:t xml:space="preserve">28.5.有下列情形之一的，视为投标人串通投标，投标无效：</w:t>
      </w:r>
      <w:bookmarkEnd w:id="169"/>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28.5.1不同投标人的投标文件由同一单位或者个人编制；</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28.5.2不同投标人委托同一单位或者个人办理投标事宜；</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28.5.3不同投标人的投标文件载明的项目管理成员或者联系人员为同一人；</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28.5.4不同投标人的投标文件异常一致或者投标报价呈规律性差异；</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29.质疑处理</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29.1提出质疑的供应商应当是参与所质疑项目采购活动的供应商。潜在供应商依法获取其可质疑的采购文件的，可以对采购文件提出质疑。</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29.2.1对可以质疑的采购文件提出质疑的，为收到采购文件之日或者采购文件公告期限届满之日；</w:t>
      </w:r>
      <w:r>
        <w:rPr>
          <w:rFonts w:hint="eastAsia" w:ascii="宋体" w:hAnsi="宋体" w:eastAsia="宋体"/>
          <w:sz w:val="24"/>
          <w:highlight w:val="none"/>
        </w:rPr>
        <w:br/>
      </w:r>
      <w:r>
        <w:rPr>
          <w:rFonts w:hint="eastAsia" w:ascii="宋体" w:hAnsi="宋体" w:eastAsia="宋体"/>
          <w:sz w:val="24"/>
          <w:highlight w:val="none"/>
        </w:rPr>
        <w:t xml:space="preserve">29.2.2对采购过程提出质疑的，为各采购程序环节结束之日；</w:t>
      </w:r>
      <w:r>
        <w:rPr>
          <w:rFonts w:hint="eastAsia" w:ascii="宋体" w:hAnsi="宋体" w:eastAsia="宋体"/>
          <w:sz w:val="24"/>
          <w:highlight w:val="none"/>
        </w:rPr>
        <w:br/>
      </w:r>
      <w:r>
        <w:rPr>
          <w:rFonts w:hint="eastAsia" w:ascii="宋体" w:hAnsi="宋体" w:eastAsia="宋体"/>
          <w:sz w:val="24"/>
          <w:highlight w:val="none"/>
        </w:rPr>
        <w:t xml:space="preserve">29.2.3对中标或者成交结果提出质疑的，为中标或者成交结果公告期限届满之日。</w:t>
      </w:r>
      <w:r/>
    </w:p>
    <w:p>
      <w:pPr>
        <w:spacing w:line="440" w:lineRule="exact"/>
        <w:rPr>
          <w:rFonts w:hint="eastAsia" w:ascii="宋体" w:hAnsi="宋体" w:eastAsia="宋体"/>
          <w:sz w:val="24"/>
          <w:highlight w:val="none"/>
        </w:rPr>
      </w:pPr>
      <w:r>
        <w:rPr>
          <w:rFonts w:hint="eastAsia" w:ascii="宋体" w:hAnsi="宋体" w:eastAsia="宋体"/>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采购人及采购代理机构只接收以纸质原件形式送达的质疑,采购人和采购代理机构不接受未填写快递运单的快件。质疑接收部门为盐城载鑫项目管理咨询有限公司，联系地址：盐城市滨海县港城路358号华芳国际花园3号楼202室，联系电话：17705109763。</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29.5以下情形的质疑不予受理</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29.5.1内容不符合《政府采购质疑和投诉办法》第十二条规定的质疑。</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29.5.2超出政府采购法定期限的质疑。</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29.5.3以传真、电子邮件等方式递交的非原件形式的质疑。</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29.5.4未参加投标活动的供应商或在投标活动中自身权益未受到损害的供应商所提出的质疑。</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29.5.5供应商组成联合体参加投标，联合体中任何一方或多方未按要求签字、盖章、加盖公章的质疑。</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30.中标通知书</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30.1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hint="eastAsia" w:ascii="宋体" w:hAnsi="宋体" w:eastAsia="宋体"/>
          <w:b/>
          <w:bCs/>
          <w:sz w:val="24"/>
          <w:highlight w:val="none"/>
        </w:rPr>
      </w:pPr>
      <w:r/>
      <w:bookmarkStart w:id="170" w:name="_Toc16938552"/>
      <w:r/>
      <w:bookmarkStart w:id="171" w:name="_Toc20823308"/>
      <w:r/>
      <w:bookmarkStart w:id="172" w:name="_Toc120614220"/>
      <w:r/>
      <w:bookmarkStart w:id="173" w:name="_Toc513029236"/>
      <w:r>
        <w:rPr>
          <w:rFonts w:hint="eastAsia" w:ascii="宋体" w:hAnsi="宋体" w:eastAsia="宋体"/>
          <w:b/>
          <w:bCs/>
          <w:sz w:val="24"/>
          <w:highlight w:val="none"/>
        </w:rPr>
        <w:t xml:space="preserve">七、授予合同</w:t>
      </w:r>
      <w:bookmarkEnd w:id="170"/>
      <w:r/>
      <w:bookmarkEnd w:id="171"/>
      <w:r/>
      <w:bookmarkEnd w:id="172"/>
      <w:r/>
      <w:bookmarkEnd w:id="173"/>
      <w:r/>
      <w:r/>
    </w:p>
    <w:p>
      <w:pPr>
        <w:ind w:firstLine="480"/>
        <w:spacing w:line="440" w:lineRule="exact"/>
        <w:rPr>
          <w:rFonts w:hint="eastAsia" w:ascii="宋体" w:hAnsi="宋体" w:eastAsia="宋体"/>
          <w:sz w:val="24"/>
          <w:highlight w:val="none"/>
        </w:rPr>
      </w:pPr>
      <w:r/>
      <w:bookmarkStart w:id="174" w:name="_Toc16938553"/>
      <w:r/>
      <w:bookmarkStart w:id="175" w:name="_Toc20823309"/>
      <w:r/>
      <w:bookmarkStart w:id="176" w:name="_Toc513029237"/>
      <w:r>
        <w:rPr>
          <w:rFonts w:hint="eastAsia" w:ascii="宋体" w:hAnsi="宋体" w:eastAsia="宋体"/>
          <w:sz w:val="24"/>
          <w:highlight w:val="none"/>
        </w:rPr>
        <w:t xml:space="preserve">31.签订合同</w:t>
      </w:r>
      <w:bookmarkEnd w:id="174"/>
      <w:r/>
      <w:bookmarkEnd w:id="175"/>
      <w:r/>
      <w:bookmarkEnd w:id="176"/>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31.l中标人应当在中标通知书发出之日起三十日内，按照招标文件确定的事项与采购人签订政府采购合同。</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31.2招标文件、中标人的投标文件及招标过程中有关澄清、承诺文件均应作为合同附件。</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spacing w:line="440" w:lineRule="exact"/>
        <w:rPr>
          <w:rFonts w:hint="eastAsia" w:ascii="宋体" w:hAnsi="宋体" w:eastAsia="宋体"/>
          <w:sz w:val="24"/>
          <w:highlight w:val="none"/>
        </w:rPr>
      </w:pPr>
      <w:r>
        <w:rPr>
          <w:rFonts w:hint="eastAsia" w:ascii="宋体" w:hAnsi="宋体" w:eastAsia="宋体"/>
          <w:sz w:val="24"/>
          <w:highlight w:val="none"/>
        </w:rPr>
        <w:t xml:space="preserve">（备注：项目经办人在发标前应与采购人商定是否允许中标人分包履行合同，确定后该备注删除）</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32.货物（包含与货物相关的服务）的追加</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33.政府采购政策功能落实</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33.1政府采购线上合同信用融资政策</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33.2进口产品</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33.3中小企业、监狱企业及残疾人福利性单位</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33.3.1中小企业定义：</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中小企</w:t>
      </w:r>
      <w:r>
        <w:rPr>
          <w:rFonts w:hint="eastAsia" w:ascii="宋体" w:hAnsi="宋体" w:eastAsia="宋体"/>
          <w:sz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33.3.2供应商提供的货物、工程或者服务符合下列情形的，享受中小企业扶持政策：</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33.3.2.1在货物采购项目中，货物由中小企业制造，即货物由中小企业生产且使用该中小企业商号或者注册商标；</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33.3.2.2在工程采购项目中，工程由中小企业承建，即工程施工单位为中小企业；</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33.3.2.3在服务采购项目中，服务由中小企业承接，即提供服务的人员为中小企业依照《中华人民共和国劳动合同法》订立劳动合同的从业人员。</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33.3.3在货物采购项目中，供应商提供的货物既有中小企业制造货物，也有大型企业制造货物的，不享受中小企业扶持政策。</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33.3.4以联合体形式参加政府采购活动，联合体各方均为中小企业的，联合体视同中小企业。其中，联合体各方均为小微企业的，联合体视同小微企业。</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33.3.6残疾人福利单位定义：享受政府采购支持政策的残疾人福利性单位应当同时满足以下条件：</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33.3.6.1安置的残疾人占本单位在职职工人数的比例不低于25%（含25%），并且安置的残疾人人数不少于10人（含10人）；</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33.3.6.2依法与安置的每位残疾人签订了一年以上（含一年）的劳动合同或服务协议；</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33.3.6.3为安置的每位残疾人按月足额缴纳了基本养老保险、基本医疗保险、失业保险、工伤保险和生育保险等社会保险费；</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33.3.6.4通过银行等金融机构向安置的每位残疾人，按月支付了不低于单位所在区县适用的经省级人民政府批准的月最低工资标准的工资；</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33.3.7本项目是否专门面向中小企业预留采购份额见第一章《招标公告》。</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33.3.8采购标的对应的中小企业划分标准所属行业见第四章《采购需求》。</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33.3.9小微企业价格评审优惠的政策：见第五章《评标方法和评标标准》。</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33.4政府采购节能产品、环境标志产品</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33.4.1严格执行政府采购关于支持</w:t>
      </w:r>
      <w:r>
        <w:rPr>
          <w:rFonts w:hint="eastAsia" w:ascii="宋体" w:hAnsi="宋体" w:eastAsia="宋体"/>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33.5绿色包装</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33.6政府采购创新产品</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采购人优先采购各级政府部门公开发布的有效期内的创新产品、创新服务、首台套、首购首用等《目录》的创新产品。</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33.7绿色数据中心政策</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本文件中若涉及到数据中心采购，采购人应依据《绿色数据中心政府采购需求标准（试行）》（财办库〔2023〕7号）文件精神</w:t>
      </w:r>
      <w:r>
        <w:rPr>
          <w:rFonts w:hint="eastAsia" w:ascii="宋体" w:hAnsi="宋体" w:eastAsia="宋体"/>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33.8履约保证金政策</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确需收取履约保证金的，履约保证金的缴纳形式：</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spacing w:line="440" w:lineRule="exact"/>
        <w:rPr>
          <w:rFonts w:hint="eastAsia" w:ascii="宋体" w:hAnsi="宋体" w:eastAsia="宋体"/>
          <w:sz w:val="24"/>
          <w:highlight w:val="none"/>
        </w:rPr>
      </w:pPr>
      <w:r>
        <w:rPr>
          <w:rFonts w:hint="eastAsia" w:ascii="宋体" w:hAnsi="宋体" w:eastAsia="宋体"/>
          <w:sz w:val="24"/>
          <w:highlight w:val="none"/>
        </w:rPr>
        <w:t xml:space="preserve">如以履约保函（保险）形式缴纳履约保证金，供应商可通过政府采购电子履约保函（保险）平台（www.jsdzbh.com）在线申请履约保函（保险）。</w:t>
      </w:r>
      <w:r/>
    </w:p>
    <w:p>
      <w:pPr>
        <w:spacing w:line="440" w:lineRule="exact"/>
        <w:rPr>
          <w:rFonts w:hint="eastAsia" w:ascii="宋体" w:hAnsi="宋体" w:eastAsia="宋体"/>
          <w:sz w:val="24"/>
          <w:highlight w:val="none"/>
        </w:rPr>
      </w:pPr>
      <w:r>
        <w:rPr>
          <w:rFonts w:hint="eastAsia" w:ascii="宋体" w:hAnsi="宋体" w:eastAsia="宋体"/>
          <w:sz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34.预付款制度</w:t>
      </w:r>
      <w:r/>
    </w:p>
    <w:p>
      <w:pPr>
        <w:ind w:firstLine="480"/>
        <w:spacing w:line="440" w:lineRule="exact"/>
        <w:rPr>
          <w:rFonts w:hint="eastAsia" w:ascii="宋体" w:hAnsi="宋体" w:eastAsia="宋体" w:cs="宋体"/>
          <w:sz w:val="24"/>
          <w:highlight w:val="none"/>
        </w:rPr>
      </w:pPr>
      <w:r>
        <w:rPr>
          <w:rFonts w:hint="eastAsia" w:ascii="宋体" w:hAnsi="宋体" w:eastAsia="宋体"/>
          <w:sz w:val="24"/>
          <w:highlight w:val="none"/>
        </w:rPr>
        <w:t xml:space="preserve">本项目落实预付款制度，预付款比例为30%。在签订合同时，中标、成交供应商明确书面表示无需预付款或者主动要求降低预付款比例的，采购人可就预付款比例作相应调整。</w:t>
      </w:r>
      <w:bookmarkEnd w:id="58"/>
      <w:r/>
      <w:r/>
    </w:p>
    <w:p>
      <w:pPr>
        <w:pStyle w:val="954"/>
        <w:ind w:left="0" w:firstLine="482"/>
        <w:spacing w:after="0" w:line="520" w:lineRule="exact"/>
        <w:rPr>
          <w:rFonts w:ascii="宋体" w:hAnsi="宋体" w:eastAsia="宋体" w:cs="宋体"/>
          <w:sz w:val="24"/>
          <w:highlight w:val="none"/>
        </w:rPr>
      </w:pPr>
      <w:r>
        <w:rPr>
          <w:rFonts w:ascii="宋体" w:hAnsi="宋体" w:eastAsia="宋体" w:cs="宋体"/>
          <w:sz w:val="24"/>
          <w:highlight w:val="none"/>
        </w:rPr>
      </w:r>
      <w:r/>
    </w:p>
    <w:p>
      <w:pPr>
        <w:pStyle w:val="954"/>
        <w:ind w:left="0" w:firstLine="482"/>
        <w:spacing w:after="0" w:line="520" w:lineRule="exact"/>
        <w:rPr>
          <w:rFonts w:ascii="宋体" w:hAnsi="宋体" w:eastAsia="宋体" w:cs="宋体"/>
          <w:sz w:val="24"/>
          <w:highlight w:val="none"/>
        </w:rPr>
      </w:pPr>
      <w:r>
        <w:rPr>
          <w:rFonts w:ascii="宋体" w:hAnsi="宋体" w:eastAsia="宋体" w:cs="宋体"/>
          <w:sz w:val="24"/>
          <w:highlight w:val="none"/>
        </w:rPr>
      </w:r>
      <w:r/>
    </w:p>
    <w:p>
      <w:pPr>
        <w:pStyle w:val="954"/>
        <w:ind w:left="0" w:firstLine="482"/>
        <w:spacing w:after="0"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93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93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93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93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93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93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93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93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93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93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93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93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93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937"/>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ind w:firstLine="883"/>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第三章 合同文本</w:t>
      </w:r>
      <w:r/>
    </w:p>
    <w:p>
      <w:pPr>
        <w:pStyle w:val="937"/>
        <w:ind w:firstLine="482"/>
        <w:jc w:val="both"/>
        <w:spacing w:beforeAutospacing="0" w:afterAutospacing="0" w:line="0" w:lineRule="atLeast"/>
        <w:rPr>
          <w:highlight w:val="none"/>
        </w:rPr>
      </w:pPr>
      <w:r/>
      <w:bookmarkStart w:id="177" w:name="_Toc513029243"/>
      <w:r/>
      <w:bookmarkStart w:id="178" w:name="_Toc16938559"/>
      <w:r/>
      <w:bookmarkStart w:id="179" w:name="_Toc20823315"/>
      <w:r>
        <w:rPr>
          <w:rFonts w:hint="eastAsia" w:ascii="宋体" w:hAnsi="宋体" w:eastAsia="宋体" w:cs="宋体"/>
          <w:color w:val="000000"/>
          <w:highlight w:val="none"/>
        </w:rPr>
        <w:t xml:space="preserve">以下为中标后签定本项目合同的通用条款，中标人不得提出实质性的修改。</w:t>
      </w:r>
      <w:bookmarkEnd w:id="177"/>
      <w:r/>
      <w:bookmarkEnd w:id="178"/>
      <w:r/>
      <w:bookmarkEnd w:id="179"/>
      <w:r/>
      <w:r/>
    </w:p>
    <w:p>
      <w:pPr>
        <w:pStyle w:val="937"/>
        <w:ind w:firstLine="600"/>
        <w:jc w:val="center"/>
        <w:spacing w:before="145" w:beforeAutospacing="0" w:after="145" w:afterAutospacing="0"/>
        <w:rPr>
          <w:highlight w:val="none"/>
        </w:rPr>
      </w:pPr>
      <w:r>
        <w:rPr>
          <w:rFonts w:hint="eastAsia" w:ascii="宋体" w:hAnsi="宋体" w:eastAsia="宋体" w:cs="宋体"/>
          <w:b/>
          <w:color w:val="000000"/>
          <w:sz w:val="30"/>
          <w:szCs w:val="30"/>
          <w:highlight w:val="none"/>
        </w:rPr>
        <w:t xml:space="preserve">盐城市政府采购合同（货物）（合同编号）</w:t>
      </w:r>
      <w:r/>
    </w:p>
    <w:p>
      <w:pPr>
        <w:pStyle w:val="937"/>
        <w:jc w:val="both"/>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                        </w:t>
      </w:r>
      <w:r/>
    </w:p>
    <w:p>
      <w:pPr>
        <w:pStyle w:val="937"/>
        <w:jc w:val="both"/>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项目编号：</w:t>
      </w:r>
      <w:r/>
    </w:p>
    <w:p>
      <w:pPr>
        <w:pStyle w:val="937"/>
        <w:jc w:val="both"/>
        <w:spacing w:before="120" w:beforeAutospacing="0" w:after="120" w:afterAutospacing="0"/>
        <w:rPr>
          <w:highlight w:val="none"/>
        </w:rPr>
      </w:pPr>
      <w:r>
        <w:rPr>
          <w:rFonts w:hint="eastAsia" w:ascii="宋体" w:hAnsi="宋体" w:eastAsia="宋体" w:cs="宋体"/>
          <w:color w:val="000000"/>
          <w:highlight w:val="none"/>
        </w:rPr>
        <w:t xml:space="preserve">甲方：（买方）_________</w:t>
      </w:r>
      <w:r/>
    </w:p>
    <w:p>
      <w:pPr>
        <w:pStyle w:val="937"/>
        <w:jc w:val="both"/>
        <w:spacing w:before="120" w:beforeAutospacing="0" w:after="120" w:afterAutospacing="0"/>
        <w:rPr>
          <w:highlight w:val="none"/>
        </w:rPr>
      </w:pPr>
      <w:r>
        <w:rPr>
          <w:rFonts w:hint="eastAsia" w:ascii="宋体" w:hAnsi="宋体" w:eastAsia="宋体" w:cs="宋体"/>
          <w:color w:val="000000"/>
          <w:highlight w:val="none"/>
        </w:rPr>
        <w:t xml:space="preserve">乙方：（卖方）_________</w:t>
      </w:r>
      <w:r/>
    </w:p>
    <w:p>
      <w:pPr>
        <w:pStyle w:val="937"/>
        <w:ind w:firstLine="480"/>
        <w:jc w:val="both"/>
        <w:spacing w:before="120" w:beforeAutospacing="0" w:after="120" w:afterAutospacing="0"/>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甲、乙双方根据滨海县特殊教育学校</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项目公开招标的结果，签署本合同。</w:t>
      </w:r>
      <w:r/>
    </w:p>
    <w:p>
      <w:pPr>
        <w:pStyle w:val="937"/>
        <w:ind w:firstLine="480"/>
        <w:jc w:val="both"/>
        <w:spacing w:before="120" w:beforeAutospacing="0" w:after="120" w:afterAutospacing="0"/>
        <w:rPr>
          <w:highlight w:val="none"/>
        </w:rPr>
      </w:pPr>
      <w:r>
        <w:rPr>
          <w:rFonts w:hint="eastAsia" w:ascii="宋体" w:hAnsi="宋体" w:eastAsia="宋体" w:cs="宋体"/>
          <w:b/>
          <w:color w:val="000000"/>
          <w:highlight w:val="none"/>
        </w:rPr>
        <w:t xml:space="preserve">一、合同内容</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1.1标的名称：</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1.2标的质量：</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1.3标的数量（规模）：</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1.4履行时间（期限）：</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1.5履行地点：</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1.6履行方式：</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1.7包装方式：</w:t>
      </w:r>
      <w:r/>
    </w:p>
    <w:p>
      <w:pPr>
        <w:pStyle w:val="937"/>
        <w:ind w:firstLine="480"/>
        <w:jc w:val="both"/>
        <w:spacing w:before="120" w:beforeAutospacing="0" w:after="120" w:afterAutospacing="0"/>
        <w:rPr>
          <w:highlight w:val="none"/>
        </w:rPr>
      </w:pPr>
      <w:r>
        <w:rPr>
          <w:rFonts w:hint="eastAsia" w:ascii="宋体" w:hAnsi="宋体" w:eastAsia="宋体" w:cs="宋体"/>
          <w:b/>
          <w:color w:val="000000"/>
          <w:highlight w:val="none"/>
        </w:rPr>
        <w:t xml:space="preserve">二、合同金额</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2.1本合同金额为（大写）：_______圆（___元）人民币或其他币种。</w:t>
      </w:r>
      <w:r/>
    </w:p>
    <w:p>
      <w:pPr>
        <w:pStyle w:val="937"/>
        <w:ind w:firstLine="480"/>
        <w:jc w:val="both"/>
        <w:spacing w:before="120" w:beforeAutospacing="0" w:after="120" w:afterAutospacing="0"/>
        <w:rPr>
          <w:highlight w:val="none"/>
        </w:rPr>
      </w:pPr>
      <w:r>
        <w:rPr>
          <w:rFonts w:hint="eastAsia" w:ascii="宋体" w:hAnsi="宋体" w:eastAsia="宋体" w:cs="宋体"/>
          <w:b/>
          <w:color w:val="000000"/>
          <w:highlight w:val="none"/>
        </w:rPr>
        <w:t xml:space="preserve">三、技术资料</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3.1乙方应按招标文件规定的时间向甲方提供使用货物(包含与货物相关的服务)的有关技术资料。</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7"/>
        <w:ind w:firstLine="482"/>
        <w:jc w:val="both"/>
        <w:spacing w:before="120" w:beforeAutospacing="0" w:after="120" w:afterAutospacing="0"/>
        <w:rPr>
          <w:highlight w:val="none"/>
        </w:rPr>
      </w:pPr>
      <w:r>
        <w:rPr>
          <w:rFonts w:hint="eastAsia" w:ascii="宋体" w:hAnsi="宋体" w:eastAsia="宋体" w:cs="宋体"/>
          <w:b/>
          <w:color w:val="000000"/>
          <w:highlight w:val="none"/>
        </w:rPr>
        <w:t xml:space="preserve">四、知识产权</w:t>
      </w:r>
      <w:r/>
    </w:p>
    <w:p>
      <w:pPr>
        <w:pStyle w:val="937"/>
        <w:ind w:firstLine="480"/>
        <w:jc w:val="both"/>
        <w:spacing w:beforeAutospacing="0" w:afterAutospacing="0" w:line="0" w:lineRule="atLeast"/>
        <w:rPr>
          <w:highlight w:val="none"/>
        </w:rPr>
      </w:pPr>
      <w:r>
        <w:rPr>
          <w:rFonts w:ascii="Times New Roman" w:hAnsi="Times New Roman"/>
          <w:color w:val="000000"/>
          <w:highlight w:val="none"/>
        </w:rPr>
        <w:t xml:space="preserve">4.1乙</w:t>
      </w:r>
      <w:r>
        <w:rPr>
          <w:rFonts w:hint="eastAsia" w:ascii="宋体" w:hAnsi="宋体" w:eastAsia="宋体" w:cs="宋体"/>
          <w:color w:val="000000"/>
          <w:highlight w:val="none"/>
        </w:rPr>
        <w:t xml:space="preserve">方应保证甲方在使用、接受本合同货物</w:t>
      </w:r>
      <w:r>
        <w:rPr>
          <w:rFonts w:ascii="Times New Roman" w:hAnsi="Times New Roman"/>
          <w:color w:val="000000"/>
          <w:highlight w:val="none"/>
        </w:rPr>
        <w:t xml:space="preserve">（包含与货物相关的服务）</w:t>
      </w:r>
      <w:r>
        <w:rPr>
          <w:rFonts w:hint="eastAsia" w:ascii="宋体" w:hAnsi="宋体" w:eastAsia="宋体" w:cs="宋体"/>
          <w:color w:val="000000"/>
          <w:highlight w:val="none"/>
        </w:rPr>
        <w:t xml:space="preserve">或其任何一部分时不受第三方提出侵犯其专利权、版权、商标权和工业设计权等知识产权的起诉。一旦出现侵权，由乙方负全部责任。</w:t>
      </w:r>
      <w:r/>
    </w:p>
    <w:p>
      <w:pPr>
        <w:pStyle w:val="937"/>
        <w:ind w:firstLine="482"/>
        <w:jc w:val="both"/>
        <w:spacing w:before="120" w:beforeAutospacing="0" w:after="120" w:afterAutospacing="0"/>
        <w:rPr>
          <w:highlight w:val="none"/>
        </w:rPr>
      </w:pPr>
      <w:r>
        <w:rPr>
          <w:rFonts w:hint="eastAsia" w:ascii="宋体" w:hAnsi="宋体" w:eastAsia="宋体" w:cs="宋体"/>
          <w:b/>
          <w:color w:val="000000"/>
          <w:highlight w:val="none"/>
        </w:rPr>
        <w:t xml:space="preserve">五、产权担保</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5.1乙方保证所交付的货物（包含与货物相关的服务）的所有权完全属于乙方且无任何抵押、查封等产权瑕疵。</w:t>
      </w:r>
      <w:r/>
    </w:p>
    <w:p>
      <w:pPr>
        <w:pStyle w:val="937"/>
        <w:ind w:firstLine="482"/>
        <w:jc w:val="both"/>
        <w:spacing w:before="120" w:beforeAutospacing="0" w:after="120" w:afterAutospacing="0"/>
        <w:rPr>
          <w:highlight w:val="none"/>
        </w:rPr>
      </w:pPr>
      <w:r>
        <w:rPr>
          <w:rFonts w:hint="eastAsia" w:ascii="宋体" w:hAnsi="宋体" w:eastAsia="宋体" w:cs="宋体"/>
          <w:b/>
          <w:color w:val="000000"/>
          <w:highlight w:val="none"/>
        </w:rPr>
        <w:t xml:space="preserve">六、履约保证金</w:t>
      </w:r>
      <w:r/>
    </w:p>
    <w:p>
      <w:pPr>
        <w:pStyle w:val="937"/>
        <w:ind w:firstLine="480"/>
        <w:jc w:val="both"/>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6.1乙方交纳合同金额的10％，即人民币_________元作为本合同的履约保证金。</w:t>
      </w:r>
      <w:r/>
    </w:p>
    <w:p>
      <w:pPr>
        <w:pStyle w:val="937"/>
        <w:ind w:left="210" w:firstLine="240"/>
        <w:jc w:val="both"/>
        <w:spacing w:before="120" w:beforeAutospacing="0" w:after="120" w:afterAutospacing="0"/>
        <w:rPr>
          <w:rFonts w:hint="eastAsia" w:ascii="宋体" w:hAnsi="宋体" w:eastAsia="宋体" w:cs="宋体"/>
          <w:color w:val="7030a0"/>
          <w:highlight w:val="none"/>
        </w:rPr>
      </w:pPr>
      <w:r>
        <w:rPr>
          <w:rFonts w:hint="eastAsia" w:ascii="宋体" w:hAnsi="宋体" w:eastAsia="宋体" w:cs="宋体"/>
          <w:color w:val="7030a0"/>
          <w:highlight w:val="none"/>
        </w:rPr>
        <w:t xml:space="preserve">（备注：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6.2合同履行结束后，甲方应及时退还交纳的履约保证金。</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6.3履约保证金的退还：</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6.3.1方式：退还至投标人缴纳履约保证金的账户。如为保函，在到期时自行失效。</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6.3.2时间：验收合格且采购人收到发票后10个工作日内。</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6.3.3条件：按合同要求全部履约完成并经采购人验收合格，且采购人收到中标人出具的发票。</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6.3.4不予退还情形：</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除不可抗力情况外，投标人出现下列情形之一的，其履约保证金，招标人将视情节决定不予退还或部分不予退还。</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（1）中标人无正当理由拒绝签订合同的，或者在签订合同时向采购人提出附加条件或者更改合同实质性内容要求的；</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（2）中标人不履行与采购人订立的合同的；</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（3）中标人所供货物或服务不符合招标文件规定要求的；</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（4）中标人采取欺骗、弄虚作假方式投标的或与其它投标人串通投标的；</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（5）中标人将合同内容转包、违法分包的；</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（6）中标人故意捏造事实或伪造证明材料，进行虚假恶意投诉或反映的。</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937"/>
        <w:ind w:firstLine="480"/>
        <w:jc w:val="both"/>
        <w:spacing w:before="145" w:beforeAutospacing="0" w:after="145" w:afterAutospacing="0"/>
        <w:rPr>
          <w:highlight w:val="none"/>
        </w:rPr>
      </w:pPr>
      <w:r>
        <w:rPr>
          <w:rFonts w:hint="eastAsia" w:ascii="宋体" w:hAnsi="宋体" w:eastAsia="宋体" w:cs="宋体"/>
          <w:b/>
          <w:color w:val="000000"/>
          <w:highlight w:val="none"/>
        </w:rPr>
        <w:t xml:space="preserve">七、合同转包或分包</w:t>
      </w:r>
      <w:r/>
    </w:p>
    <w:p>
      <w:pPr>
        <w:pStyle w:val="937"/>
        <w:ind w:firstLine="480"/>
        <w:jc w:val="both"/>
        <w:spacing w:before="145" w:beforeAutospacing="0" w:after="145" w:afterAutospacing="0"/>
        <w:rPr>
          <w:highlight w:val="none"/>
        </w:rPr>
      </w:pPr>
      <w:r>
        <w:rPr>
          <w:rFonts w:hint="eastAsia" w:ascii="宋体" w:hAnsi="宋体" w:eastAsia="宋体" w:cs="宋体"/>
          <w:color w:val="000000"/>
          <w:highlight w:val="none"/>
        </w:rPr>
        <w:t xml:space="preserve">7.1乙方不得将合同标的转包给他人履行。</w:t>
      </w:r>
      <w:r/>
    </w:p>
    <w:p>
      <w:pPr>
        <w:pStyle w:val="937"/>
        <w:ind w:firstLine="480"/>
        <w:jc w:val="both"/>
        <w:spacing w:before="145" w:beforeAutospacing="0" w:after="145" w:afterAutospacing="0"/>
        <w:rPr>
          <w:highlight w:val="none"/>
        </w:rPr>
      </w:pPr>
      <w:r>
        <w:rPr>
          <w:rFonts w:hint="eastAsia" w:ascii="宋体" w:hAnsi="宋体" w:eastAsia="宋体" w:cs="宋体"/>
          <w:color w:val="000000"/>
          <w:highlight w:val="none"/>
        </w:rPr>
        <w:t xml:space="preserve">7.2乙方不得将合同标的分包给他人履行。</w:t>
      </w:r>
      <w:r/>
    </w:p>
    <w:p>
      <w:pPr>
        <w:pStyle w:val="937"/>
        <w:ind w:firstLine="480"/>
        <w:jc w:val="both"/>
        <w:spacing w:before="145" w:beforeAutospacing="0" w:after="145" w:afterAutospacing="0"/>
        <w:rPr>
          <w:highlight w:val="none"/>
        </w:rPr>
      </w:pPr>
      <w:r>
        <w:rPr>
          <w:rFonts w:hint="eastAsia" w:ascii="宋体" w:hAnsi="宋体" w:eastAsia="宋体" w:cs="宋体"/>
          <w:color w:val="000000"/>
          <w:highlight w:val="none"/>
        </w:rPr>
        <w:t xml:space="preserve">7.3乙方如有转包或未经甲方同意的分包行为，甲方有权给予终止合同。</w:t>
      </w:r>
      <w:r/>
    </w:p>
    <w:p>
      <w:pPr>
        <w:pStyle w:val="937"/>
        <w:ind w:firstLine="480"/>
        <w:jc w:val="both"/>
        <w:spacing w:before="120" w:beforeAutospacing="0" w:after="120" w:afterAutospacing="0"/>
        <w:rPr>
          <w:highlight w:val="none"/>
        </w:rPr>
      </w:pPr>
      <w:r>
        <w:rPr>
          <w:rFonts w:hint="eastAsia" w:ascii="宋体" w:hAnsi="宋体" w:eastAsia="宋体" w:cs="宋体"/>
          <w:b/>
          <w:color w:val="000000"/>
          <w:highlight w:val="none"/>
        </w:rPr>
        <w:t xml:space="preserve">八、合同款项支付</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8.1合同款项的支付方式及进度安排</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8．1.1预付款支付时间：</w:t>
      </w:r>
      <w:r>
        <w:rPr>
          <w:rFonts w:hint="eastAsia" w:ascii="宋体" w:hAnsi="宋体" w:eastAsia="宋体" w:cs="宋体"/>
          <w:color w:val="000000"/>
          <w:highlight w:val="none"/>
          <w:u w:val="single"/>
        </w:rPr>
        <w:t xml:space="preserve">合同签订后7日内</w:t>
      </w:r>
      <w:r>
        <w:rPr>
          <w:rFonts w:hint="eastAsia" w:ascii="宋体" w:hAnsi="宋体" w:eastAsia="宋体" w:cs="宋体"/>
          <w:color w:val="000000"/>
          <w:highlight w:val="none"/>
        </w:rPr>
        <w:t xml:space="preserve">，预付款支付比例：</w:t>
      </w:r>
      <w:r>
        <w:rPr>
          <w:rFonts w:hint="eastAsia" w:ascii="宋体" w:hAnsi="宋体" w:eastAsia="宋体" w:cs="宋体"/>
          <w:color w:val="000000"/>
          <w:highlight w:val="none"/>
          <w:u w:val="single"/>
        </w:rPr>
        <w:t xml:space="preserve">合同金额的30%，</w:t>
      </w:r>
      <w:r>
        <w:rPr>
          <w:rFonts w:hint="eastAsia" w:ascii="宋体" w:hAnsi="宋体" w:eastAsia="宋体" w:cs="宋体"/>
          <w:color w:val="000000"/>
          <w:highlight w:val="none"/>
        </w:rPr>
        <w:t xml:space="preserve">（中标人须提供合同总价30%的银行保函）。</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8.1.2尾款支付时间：中标人按要求将货物送到指定地点并完成安装调试且经甲方验收合格后付至审计价的70%，验收合格满一年后付至审计价的85％，验收合格满二年后付至审计价的95%，余款在</w:t>
      </w:r>
      <w:r>
        <w:rPr>
          <w:rFonts w:hint="eastAsia" w:ascii="宋体" w:hAnsi="宋体" w:eastAsia="宋体" w:cs="宋体"/>
          <w:color w:val="000000"/>
          <w:highlight w:val="none"/>
          <w:lang w:eastAsia="zh-CN"/>
        </w:rPr>
        <w:t xml:space="preserve">验收合格满五年后</w:t>
      </w:r>
      <w:r>
        <w:rPr>
          <w:rFonts w:hint="eastAsia" w:ascii="宋体" w:hAnsi="宋体" w:eastAsia="宋体" w:cs="宋体"/>
          <w:color w:val="000000"/>
          <w:highlight w:val="none"/>
        </w:rPr>
        <w:t xml:space="preserve">一次性按审计价结清。（结算时，乙方须提供税务发票。收到发票后10个工作日内结算）。</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8.2当采购数量与实际使用数量不一致时，乙方应根据实际使用量供货，合同的最终结算金额按实际使用量乘以成交单价进行计算。</w:t>
      </w:r>
      <w:r/>
    </w:p>
    <w:p>
      <w:pPr>
        <w:pStyle w:val="937"/>
        <w:ind w:firstLine="480"/>
        <w:jc w:val="both"/>
        <w:spacing w:before="145" w:beforeAutospacing="0" w:after="145" w:afterAutospacing="0"/>
        <w:rPr>
          <w:highlight w:val="none"/>
        </w:rPr>
      </w:pPr>
      <w:r>
        <w:rPr>
          <w:rFonts w:hint="eastAsia" w:ascii="宋体" w:hAnsi="宋体" w:eastAsia="宋体" w:cs="宋体"/>
          <w:b/>
          <w:color w:val="000000"/>
          <w:highlight w:val="none"/>
        </w:rPr>
        <w:t xml:space="preserve">九、税费</w:t>
      </w:r>
      <w:r/>
    </w:p>
    <w:p>
      <w:pPr>
        <w:pStyle w:val="937"/>
        <w:ind w:firstLine="480"/>
        <w:jc w:val="both"/>
        <w:spacing w:before="145" w:beforeAutospacing="0" w:after="145" w:afterAutospacing="0"/>
        <w:rPr>
          <w:highlight w:val="none"/>
        </w:rPr>
      </w:pPr>
      <w:r>
        <w:rPr>
          <w:rFonts w:hint="eastAsia" w:ascii="宋体" w:hAnsi="宋体" w:eastAsia="宋体" w:cs="宋体"/>
          <w:color w:val="000000"/>
          <w:highlight w:val="none"/>
        </w:rPr>
        <w:t xml:space="preserve">9.1本合同执行中相关的一切税费均由乙方负担。</w:t>
      </w:r>
      <w:r/>
    </w:p>
    <w:p>
      <w:pPr>
        <w:pStyle w:val="937"/>
        <w:ind w:firstLine="482"/>
        <w:jc w:val="both"/>
        <w:spacing w:before="120" w:beforeAutospacing="0" w:after="120" w:afterAutospacing="0"/>
        <w:rPr>
          <w:highlight w:val="none"/>
        </w:rPr>
      </w:pPr>
      <w:r>
        <w:rPr>
          <w:rFonts w:hint="eastAsia" w:ascii="宋体" w:hAnsi="宋体" w:eastAsia="宋体" w:cs="宋体"/>
          <w:b/>
          <w:color w:val="000000"/>
          <w:highlight w:val="none"/>
        </w:rPr>
        <w:t xml:space="preserve">十、质量保修范围和保修期及售后服务</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10.1乙方应按招标文件规定的货物性能、技术要求、质量标准向甲方提供未经使用的全新产品。</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10.2乙方提供的货物在质量期内因货物本身的质量问题发生故障，乙方应负责免费更换。对达不到技术要求者，根据实际情况，经双方协商，可按以下办法处理：</w:t>
      </w:r>
      <w:r/>
    </w:p>
    <w:p>
      <w:pPr>
        <w:pStyle w:val="937"/>
        <w:ind w:firstLine="482"/>
        <w:jc w:val="both"/>
        <w:spacing w:before="120" w:beforeAutospacing="0" w:after="120" w:afterAutospacing="0"/>
        <w:rPr>
          <w:highlight w:val="none"/>
        </w:rPr>
      </w:pPr>
      <w:r>
        <w:rPr>
          <w:rFonts w:hint="eastAsia" w:ascii="宋体" w:hAnsi="宋体" w:eastAsia="宋体" w:cs="宋体"/>
          <w:color w:val="000000"/>
          <w:highlight w:val="none"/>
        </w:rPr>
        <w:t xml:space="preserve">⑴更换：由乙方承担所发生的全部费用。</w:t>
      </w:r>
      <w:r/>
    </w:p>
    <w:p>
      <w:pPr>
        <w:pStyle w:val="937"/>
        <w:ind w:firstLine="482"/>
        <w:jc w:val="both"/>
        <w:spacing w:before="120" w:beforeAutospacing="0" w:after="120" w:afterAutospacing="0"/>
        <w:rPr>
          <w:highlight w:val="none"/>
        </w:rPr>
      </w:pPr>
      <w:r>
        <w:rPr>
          <w:rFonts w:hint="eastAsia" w:ascii="宋体" w:hAnsi="宋体" w:eastAsia="宋体" w:cs="宋体"/>
          <w:color w:val="000000"/>
          <w:highlight w:val="none"/>
        </w:rPr>
        <w:t xml:space="preserve">⑵贬值处理：由甲乙双方合议定价。</w:t>
      </w:r>
      <w:r/>
    </w:p>
    <w:p>
      <w:pPr>
        <w:pStyle w:val="937"/>
        <w:ind w:left="420"/>
        <w:jc w:val="both"/>
        <w:spacing w:before="120" w:beforeAutospacing="0" w:after="120" w:afterAutospacing="0"/>
        <w:rPr>
          <w:highlight w:val="none"/>
        </w:rPr>
      </w:pPr>
      <w:r>
        <w:rPr>
          <w:rFonts w:hint="eastAsia" w:ascii="宋体" w:hAnsi="宋体" w:eastAsia="宋体" w:cs="宋体"/>
          <w:color w:val="000000"/>
          <w:highlight w:val="none"/>
        </w:rPr>
        <w:t xml:space="preserve">⑶退货处理：乙方应退还甲方支付的合同款，同时应承担该货物的直接费用（运输、保险、检验、货款利息及银行手续费等）。</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10.3如在使用过程中发生质量问题，乙方在接到甲方通知后在_________小时内到达甲方现场。</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10.4在质保期内，乙方应对货物出现的质量及安全问题负责处理解决并承担一切费用。</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10.5上述的货物免费保修期为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年；系统软件免费保修期为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年（自交货验收合格之日起计），因人为因素出现的故障不在免费保修范围内。超过保修期的机器设备，终生维修，维修时只收部件成本费。</w:t>
      </w:r>
      <w:r/>
    </w:p>
    <w:p>
      <w:pPr>
        <w:pStyle w:val="937"/>
        <w:ind w:firstLine="480"/>
        <w:jc w:val="both"/>
        <w:spacing w:before="120" w:beforeAutospacing="0" w:after="120" w:afterAutospacing="0"/>
        <w:rPr>
          <w:highlight w:val="none"/>
        </w:rPr>
      </w:pPr>
      <w:r>
        <w:rPr>
          <w:rFonts w:hint="eastAsia" w:ascii="宋体" w:hAnsi="宋体" w:eastAsia="宋体" w:cs="宋体"/>
          <w:b/>
          <w:color w:val="000000"/>
          <w:highlight w:val="none"/>
        </w:rPr>
        <w:t xml:space="preserve">十一、项目验收</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11.1甲方依法组织履约验收工作。</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11.3对于实际使用人和甲方分离的项目，甲方邀请实际使用人参与验收。</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11.4如有必要，甲方邀请参加本项目的其他供应商或第三方专业机构及专家参与验收，相关意见将作为验收书的参考资料。</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11.5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11.6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37"/>
        <w:ind w:firstLine="482"/>
        <w:jc w:val="both"/>
        <w:spacing w:before="120" w:beforeAutospacing="0" w:after="120" w:afterAutospacing="0"/>
        <w:rPr>
          <w:highlight w:val="none"/>
        </w:rPr>
      </w:pPr>
      <w:r>
        <w:rPr>
          <w:rFonts w:hint="eastAsia" w:ascii="宋体" w:hAnsi="宋体" w:eastAsia="宋体" w:cs="宋体"/>
          <w:b/>
          <w:color w:val="000000"/>
          <w:highlight w:val="none"/>
        </w:rPr>
        <w:t xml:space="preserve">十二、货物的包装、发运及运输</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12.1乙方应在货物发运前对其进行满足运输距离、防潮、防震、防锈和防破损装卸等要求包装，以保证货物安全运达甲方指定地点。</w:t>
      </w:r>
      <w:r>
        <w:rPr>
          <w:rFonts w:hint="eastAsia" w:ascii="宋体" w:hAnsi="宋体" w:eastAsia="宋体" w:cs="宋体"/>
          <w:color w:val="ff0000"/>
          <w:highlight w:val="none"/>
        </w:rPr>
        <w:t xml:space="preserve">乙方对货物的包装应符合《商品包装政府采购需求标准（试行）》、《快递包装政府采购需求标准（试行）》的规定。</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12.2使用说明书、质量检验证明书、随配附件和工具以及清单一并附于货物内。</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12.3乙方在货物发运手续办理完毕后24小时内或货到甲方48小时前通知甲方，以准备接货。</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12.4货物在交付甲方前发生的风险均由乙方负责。</w:t>
      </w:r>
      <w:r/>
    </w:p>
    <w:p>
      <w:pPr>
        <w:pStyle w:val="937"/>
        <w:ind w:right="26" w:firstLine="480"/>
        <w:jc w:val="both"/>
        <w:spacing w:before="156" w:beforeAutospacing="0" w:after="156" w:afterAutospacing="0"/>
        <w:rPr>
          <w:highlight w:val="none"/>
        </w:rPr>
      </w:pPr>
      <w:r>
        <w:rPr>
          <w:rFonts w:hint="eastAsia" w:ascii="宋体" w:hAnsi="宋体" w:eastAsia="宋体" w:cs="宋体"/>
          <w:color w:val="000000"/>
          <w:highlight w:val="none"/>
        </w:rPr>
        <w:t xml:space="preserve">12.5货物在规定的交付期限内由乙方送达甲方指定的地点视为交付，乙方同时需通知甲方货物已送达。</w:t>
      </w:r>
      <w:r/>
    </w:p>
    <w:p>
      <w:pPr>
        <w:pStyle w:val="937"/>
        <w:ind w:firstLine="480"/>
        <w:jc w:val="both"/>
        <w:spacing w:before="120" w:beforeAutospacing="0" w:after="120" w:afterAutospacing="0"/>
        <w:rPr>
          <w:highlight w:val="none"/>
        </w:rPr>
      </w:pPr>
      <w:r>
        <w:rPr>
          <w:rFonts w:hint="eastAsia" w:ascii="宋体" w:hAnsi="宋体" w:eastAsia="宋体" w:cs="宋体"/>
          <w:b/>
          <w:color w:val="000000"/>
          <w:highlight w:val="none"/>
        </w:rPr>
        <w:t xml:space="preserve">十三、违约责任</w:t>
      </w:r>
      <w:r/>
    </w:p>
    <w:p>
      <w:pPr>
        <w:pStyle w:val="937"/>
        <w:ind w:firstLine="480"/>
        <w:jc w:val="both"/>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13.1甲方无正当理由拒收货物的，甲方向乙方偿付拒收货款总值的百分之五违约金。</w:t>
      </w:r>
      <w:r/>
    </w:p>
    <w:p>
      <w:pPr>
        <w:pStyle w:val="937"/>
        <w:ind w:firstLine="480"/>
        <w:jc w:val="both"/>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13.2甲方无故逾期验收和办理货款支付手续的,甲方应按逾期付款总额每日千分之六向乙方支付违约金。</w:t>
      </w:r>
      <w:r/>
    </w:p>
    <w:p>
      <w:pPr>
        <w:pStyle w:val="937"/>
        <w:ind w:firstLine="480"/>
        <w:jc w:val="both"/>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13.3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37"/>
        <w:ind w:firstLine="480"/>
        <w:jc w:val="both"/>
        <w:spacing w:before="120" w:beforeAutospacing="0" w:after="120" w:afterAutospacing="0"/>
        <w:rPr>
          <w:highlight w:val="none"/>
        </w:rPr>
      </w:pPr>
      <w:r>
        <w:rPr>
          <w:rFonts w:hint="eastAsia" w:ascii="宋体" w:hAnsi="宋体" w:eastAsia="宋体" w:cs="宋体"/>
          <w:b/>
          <w:color w:val="000000"/>
          <w:highlight w:val="none"/>
        </w:rPr>
        <w:t xml:space="preserve">十四、不可抗力事件处理</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14.1在合同有效期内，任何一方因不可抗力事件导致不能履行合同，则合同履行期可延长，其延长期与不可抗力影响期相同。</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14.2不可抗力事件发生后，应立即通知对方，并寄送有关权威机构出具的证明。</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14.3不可抗力事件延续120天以上，双方应通过友好协商，确定是否继续履行合同。</w:t>
      </w:r>
      <w:r/>
    </w:p>
    <w:p>
      <w:pPr>
        <w:pStyle w:val="937"/>
        <w:ind w:firstLine="480"/>
        <w:jc w:val="both"/>
        <w:spacing w:before="120" w:beforeAutospacing="0" w:after="120" w:afterAutospacing="0"/>
        <w:rPr>
          <w:highlight w:val="none"/>
        </w:rPr>
      </w:pPr>
      <w:r>
        <w:rPr>
          <w:rFonts w:hint="eastAsia" w:ascii="宋体" w:hAnsi="宋体" w:eastAsia="宋体" w:cs="宋体"/>
          <w:b/>
          <w:color w:val="000000"/>
          <w:highlight w:val="none"/>
        </w:rPr>
        <w:t xml:space="preserve">十五、解决争议的方法</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15.1甲乙双方因合同签订、履行而发生的一切争议，应通过友好协商解决。如协商不成由甲方住所地人民法院管辖。</w:t>
      </w:r>
      <w:r/>
    </w:p>
    <w:p>
      <w:pPr>
        <w:pStyle w:val="937"/>
        <w:ind w:firstLine="480"/>
        <w:jc w:val="both"/>
        <w:spacing w:before="120" w:beforeAutospacing="0" w:after="120" w:afterAutospacing="0"/>
        <w:rPr>
          <w:highlight w:val="none"/>
        </w:rPr>
      </w:pPr>
      <w:r>
        <w:rPr>
          <w:rFonts w:hint="eastAsia" w:ascii="宋体" w:hAnsi="宋体" w:eastAsia="宋体" w:cs="宋体"/>
          <w:b/>
          <w:color w:val="000000"/>
          <w:highlight w:val="none"/>
        </w:rPr>
        <w:t xml:space="preserve">十六、合同生效及其它</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16.1合同经双方法定代表人或授权委托代表人签字并加盖单位公章后生效。</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16.2本合同未尽事宜，遵照《民法典》、《政府采购法》有关条文执行。</w:t>
      </w:r>
      <w:r/>
    </w:p>
    <w:p>
      <w:pPr>
        <w:pStyle w:val="937"/>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16.3本合同正本一式五份，具有同等法律效力，甲方、乙方各执二份，招标代理公司执一份。</w:t>
      </w:r>
      <w:r/>
    </w:p>
    <w:p>
      <w:pPr>
        <w:pStyle w:val="937"/>
        <w:ind w:firstLine="240"/>
        <w:jc w:val="both"/>
        <w:spacing w:before="120" w:beforeAutospacing="0" w:after="120" w:afterAutospacing="0" w:line="0" w:lineRule="atLeast"/>
        <w:rPr>
          <w:rFonts w:eastAsia="宋体"/>
          <w:highlight w:val="none"/>
        </w:rPr>
      </w:pPr>
      <w:r>
        <w:rPr>
          <w:rFonts w:hint="eastAsia" w:ascii="宋体" w:hAnsi="宋体" w:eastAsia="宋体" w:cs="宋体"/>
          <w:color w:val="000000"/>
          <w:highlight w:val="none"/>
        </w:rPr>
        <w:t xml:space="preserve">甲方：               乙方：</w:t>
      </w:r>
      <w:r/>
    </w:p>
    <w:p>
      <w:pPr>
        <w:pStyle w:val="937"/>
        <w:jc w:val="both"/>
        <w:spacing w:before="120" w:beforeAutospacing="0" w:after="120" w:afterAutospacing="0" w:line="0" w:lineRule="atLeast"/>
        <w:rPr>
          <w:rFonts w:eastAsia="宋体"/>
          <w:highlight w:val="none"/>
        </w:rPr>
      </w:pPr>
      <w:r>
        <w:rPr>
          <w:rFonts w:hint="eastAsia" w:ascii="宋体" w:hAnsi="宋体" w:eastAsia="宋体" w:cs="宋体"/>
          <w:color w:val="000000"/>
          <w:highlight w:val="none"/>
        </w:rPr>
        <w:t xml:space="preserve"> 地址：               地址：</w:t>
      </w:r>
      <w:r/>
    </w:p>
    <w:p>
      <w:pPr>
        <w:pStyle w:val="937"/>
        <w:jc w:val="both"/>
        <w:spacing w:before="120" w:beforeAutospacing="0" w:after="120" w:afterAutospacing="0" w:line="0" w:lineRule="atLeast"/>
        <w:rPr>
          <w:highlight w:val="none"/>
        </w:rPr>
      </w:pPr>
      <w:r>
        <w:rPr>
          <w:rFonts w:hint="eastAsia" w:ascii="宋体" w:hAnsi="宋体" w:eastAsia="宋体" w:cs="宋体"/>
          <w:color w:val="000000"/>
          <w:highlight w:val="none"/>
        </w:rPr>
        <w:t xml:space="preserve"> 法定代表人或授权代表：       法定代表人或授权代表：</w:t>
      </w:r>
      <w:r/>
    </w:p>
    <w:p>
      <w:pPr>
        <w:pStyle w:val="937"/>
        <w:ind w:firstLine="240"/>
        <w:jc w:val="both"/>
        <w:spacing w:before="120" w:beforeAutospacing="0" w:after="120" w:afterAutospacing="0" w:line="0" w:lineRule="atLeast"/>
        <w:rPr>
          <w:rFonts w:eastAsia="宋体"/>
          <w:highlight w:val="none"/>
        </w:rPr>
      </w:pPr>
      <w:r>
        <w:rPr>
          <w:rFonts w:hint="eastAsia" w:ascii="宋体" w:hAnsi="宋体" w:eastAsia="宋体" w:cs="宋体"/>
          <w:color w:val="000000"/>
          <w:highlight w:val="none"/>
        </w:rPr>
        <w:t xml:space="preserve">联系电话：             联系电话：         </w:t>
      </w:r>
      <w:r/>
    </w:p>
    <w:p>
      <w:pPr>
        <w:pStyle w:val="937"/>
        <w:ind w:firstLine="422"/>
        <w:jc w:val="center"/>
        <w:spacing w:before="120" w:beforeAutospacing="0" w:after="120" w:afterAutospacing="0" w:line="0" w:lineRule="atLeast"/>
        <w:rPr>
          <w:rFonts w:eastAsia="宋体"/>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highlight w:val="none"/>
        </w:rPr>
        <w:t xml:space="preserve">  </w:t>
      </w:r>
      <w:r/>
    </w:p>
    <w:p>
      <w:pPr>
        <w:pStyle w:val="937"/>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签订日期：     年  月  日</w:t>
      </w:r>
      <w:r/>
    </w:p>
    <w:p>
      <w:pPr>
        <w:pStyle w:val="937"/>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937"/>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937"/>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937"/>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937"/>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937"/>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937"/>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937"/>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937"/>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937"/>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937"/>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937"/>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937"/>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937"/>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937"/>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937"/>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ind w:firstLine="883"/>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第四章采购需求</w:t>
      </w:r>
      <w:r/>
    </w:p>
    <w:p>
      <w:pPr>
        <w:pStyle w:val="937"/>
        <w:jc w:val="both"/>
        <w:spacing w:beforeAutospacing="0" w:afterAutospacing="0" w:line="0" w:lineRule="atLeast"/>
        <w:rPr>
          <w:rFonts w:hint="eastAsia" w:ascii="宋体" w:hAnsi="宋体" w:eastAsia="宋体" w:cs="宋体"/>
          <w:color w:val="000000"/>
          <w:highlight w:val="none"/>
        </w:rPr>
      </w:pPr>
      <w:r/>
      <w:bookmarkStart w:id="180" w:name="_Toc49090575"/>
      <w:r/>
      <w:bookmarkStart w:id="181" w:name="_Toc26554093"/>
      <w:r>
        <w:rPr>
          <w:rFonts w:hint="eastAsia" w:ascii="宋体" w:hAnsi="宋体" w:eastAsia="宋体" w:cs="宋体"/>
          <w:color w:val="000000"/>
          <w:highlight w:val="none"/>
        </w:rPr>
        <w:t xml:space="preserve">项目属性:货物类项目。</w:t>
      </w:r>
      <w:bookmarkEnd w:id="180"/>
      <w:r/>
      <w:bookmarkEnd w:id="181"/>
      <w:r/>
      <w:r/>
    </w:p>
    <w:p>
      <w:pPr>
        <w:ind w:firstLine="482"/>
        <w:rPr>
          <w:rFonts w:hint="eastAsia" w:ascii="宋体" w:hAnsi="宋体"/>
          <w:b/>
          <w:sz w:val="24"/>
          <w:highlight w:val="none"/>
        </w:rPr>
      </w:pPr>
      <w:r>
        <w:rPr>
          <w:rFonts w:hint="eastAsia" w:ascii="宋体" w:hAnsi="宋体"/>
          <w:b/>
          <w:sz w:val="24"/>
          <w:highlight w:val="none"/>
        </w:rPr>
        <w:t xml:space="preserve">一、项目设计要求：</w:t>
      </w:r>
      <w:r/>
    </w:p>
    <w:p>
      <w:pPr>
        <w:ind w:firstLine="480"/>
        <w:rPr>
          <w:rFonts w:hint="eastAsia" w:ascii="宋体" w:hAnsi="宋体"/>
          <w:sz w:val="24"/>
          <w:highlight w:val="none"/>
        </w:rPr>
      </w:pPr>
      <w:r>
        <w:rPr>
          <w:rFonts w:hint="eastAsia" w:ascii="宋体" w:hAnsi="宋体"/>
          <w:sz w:val="24"/>
          <w:highlight w:val="none"/>
        </w:rPr>
        <w:t xml:space="preserve">1.‌功能性‌：功能室的设计需紧密围绕其特定的教学或活动需求展开，确保设施设备的布局合理、功能完善且使用方便。通过精准定位各功能室的使用目的，实现空间的最大化利用与功能的最优化发挥。</w:t>
      </w:r>
      <w:r/>
    </w:p>
    <w:p>
      <w:pPr>
        <w:ind w:firstLine="480"/>
        <w:rPr>
          <w:rFonts w:hint="eastAsia" w:ascii="宋体" w:hAnsi="宋体"/>
          <w:sz w:val="24"/>
          <w:highlight w:val="none"/>
        </w:rPr>
      </w:pPr>
      <w:r>
        <w:rPr>
          <w:rFonts w:hint="eastAsia" w:ascii="宋体" w:hAnsi="宋体"/>
          <w:sz w:val="24"/>
          <w:highlight w:val="none"/>
        </w:rPr>
        <w:t xml:space="preserve">2.‌安全性‌：安全是功能室设计的首要前提。所有材料与设备均需符合国家安全标准，避免使用尖锐边角与易碎物品，并设置必要的安全防护措施。同时，还需考虑紧急疏散与救援通道的设置，确保在紧急情况下师生能够迅速安全撤离。</w:t>
      </w:r>
      <w:r/>
    </w:p>
    <w:p>
      <w:pPr>
        <w:ind w:firstLine="480"/>
        <w:rPr>
          <w:rFonts w:hint="eastAsia" w:ascii="宋体" w:hAnsi="宋体"/>
          <w:sz w:val="24"/>
          <w:highlight w:val="none"/>
        </w:rPr>
      </w:pPr>
      <w:r>
        <w:rPr>
          <w:rFonts w:hint="eastAsia" w:ascii="宋体" w:hAnsi="宋体"/>
          <w:sz w:val="24"/>
          <w:highlight w:val="none"/>
        </w:rPr>
        <w:t xml:space="preserve">3.‌舒适性‌：创造一个舒适、宜人的学习环境对于提高学生的学习效率与身心健康至关重要。设计需注重照明、通风、温度与湿度等环境因素的调节与控制，确保室内环境符合人体工学原理与卫生标准。</w:t>
      </w:r>
      <w:r/>
    </w:p>
    <w:p>
      <w:pPr>
        <w:ind w:firstLine="480"/>
        <w:rPr>
          <w:rFonts w:hint="eastAsia" w:ascii="宋体" w:hAnsi="宋体"/>
          <w:sz w:val="24"/>
          <w:highlight w:val="none"/>
        </w:rPr>
      </w:pPr>
      <w:r>
        <w:rPr>
          <w:rFonts w:hint="eastAsia" w:ascii="宋体" w:hAnsi="宋体"/>
          <w:sz w:val="24"/>
          <w:highlight w:val="none"/>
        </w:rPr>
        <w:t xml:space="preserve">4.‌美观性‌：设计美感不仅能够激发学生的学习兴趣与创造力，还能与学校的整体文化氛围相协调，形成独特的校园风貌。设计中应注重色彩搭配、材质选择与装饰元素的运用，力求营造出既美观又富有启发性的学习环境。</w:t>
      </w:r>
      <w:r/>
    </w:p>
    <w:p>
      <w:pPr>
        <w:rPr>
          <w:rFonts w:hint="eastAsia" w:ascii="宋体" w:hAnsi="宋体"/>
          <w:sz w:val="24"/>
          <w:highlight w:val="none"/>
        </w:rPr>
      </w:pPr>
      <w:r>
        <w:rPr>
          <w:rFonts w:hint="eastAsia" w:ascii="宋体" w:hAnsi="宋体"/>
          <w:sz w:val="24"/>
          <w:highlight w:val="none"/>
        </w:rPr>
        <w:t xml:space="preserve">‌灵活性原则‌：随着教育理念的不断更新与教学需求的不断变化，功能室的设计需具备一定的灵活性与可扩展性。通过采用模块化设计、可移动家具与智能化系统等手段，实现空间布局与功能配置的快速调整与优化，以适应未来可能的变化与需求。</w:t>
      </w:r>
      <w:r/>
    </w:p>
    <w:p>
      <w:pPr>
        <w:pStyle w:val="925"/>
        <w:ind w:left="0" w:firstLine="480"/>
        <w:rPr>
          <w:rFonts w:ascii="宋体" w:hAnsi="宋体"/>
          <w:sz w:val="24"/>
          <w:szCs w:val="24"/>
          <w:highlight w:val="none"/>
        </w:rPr>
      </w:pPr>
      <w:r>
        <w:rPr>
          <w:rFonts w:ascii="宋体" w:hAnsi="宋体"/>
          <w:sz w:val="24"/>
          <w:szCs w:val="24"/>
          <w:highlight w:val="none"/>
        </w:rPr>
        <w:t xml:space="preserve">5.本项目需要设计的有以下（包括但不限于，最终以现场踏勘为准）：</w:t>
      </w:r>
      <w:r>
        <w:rPr>
          <w:rFonts w:ascii="宋体" w:hAnsi="宋体"/>
          <w:b/>
          <w:bCs/>
          <w:sz w:val="24"/>
          <w:szCs w:val="24"/>
          <w:highlight w:val="none"/>
        </w:rPr>
        <w:t xml:space="preserve">校史馆</w:t>
      </w:r>
      <w:r>
        <w:rPr>
          <w:rFonts w:ascii="宋体" w:hAnsi="宋体"/>
          <w:sz w:val="24"/>
          <w:szCs w:val="24"/>
          <w:highlight w:val="none"/>
        </w:rPr>
        <w:t xml:space="preserve">。</w:t>
      </w:r>
      <w:r/>
    </w:p>
    <w:p>
      <w:pPr>
        <w:ind w:firstLine="480"/>
        <w:rPr>
          <w:rFonts w:hint="eastAsia" w:ascii="宋体" w:hAnsi="宋体"/>
          <w:b/>
          <w:sz w:val="24"/>
          <w:highlight w:val="none"/>
        </w:rPr>
      </w:pPr>
      <w:r>
        <w:rPr>
          <w:rFonts w:hint="eastAsia" w:ascii="宋体" w:hAnsi="宋体"/>
          <w:b/>
          <w:sz w:val="24"/>
          <w:highlight w:val="none"/>
        </w:rPr>
        <w:t xml:space="preserve">二</w:t>
      </w:r>
      <w:r>
        <w:rPr>
          <w:rFonts w:ascii="宋体" w:hAnsi="宋体"/>
          <w:b/>
          <w:sz w:val="24"/>
          <w:highlight w:val="none"/>
        </w:rPr>
        <w:t xml:space="preserve">、</w:t>
      </w:r>
      <w:r>
        <w:rPr>
          <w:rFonts w:hint="eastAsia" w:ascii="宋体" w:hAnsi="宋体"/>
          <w:b/>
          <w:sz w:val="24"/>
          <w:highlight w:val="none"/>
        </w:rPr>
        <w:t xml:space="preserve">施工</w:t>
      </w:r>
      <w:r>
        <w:rPr>
          <w:rFonts w:ascii="宋体" w:hAnsi="宋体"/>
          <w:b/>
          <w:sz w:val="24"/>
          <w:highlight w:val="none"/>
        </w:rPr>
        <w:t xml:space="preserve">要求：</w:t>
      </w:r>
      <w:r/>
    </w:p>
    <w:p>
      <w:pPr>
        <w:ind w:firstLine="482"/>
        <w:rPr>
          <w:rFonts w:hint="eastAsia" w:ascii="宋体" w:hAnsi="宋体"/>
          <w:sz w:val="24"/>
          <w:highlight w:val="none"/>
        </w:rPr>
      </w:pPr>
      <w:r>
        <w:rPr>
          <w:rFonts w:hint="eastAsia" w:ascii="宋体" w:hAnsi="宋体"/>
          <w:sz w:val="24"/>
          <w:highlight w:val="none"/>
        </w:rPr>
        <w:t xml:space="preserve">1.中标人图纸施工前须经学校确认；</w:t>
      </w:r>
      <w:r/>
    </w:p>
    <w:p>
      <w:pPr>
        <w:ind w:firstLine="482"/>
        <w:rPr>
          <w:rFonts w:hint="eastAsia" w:ascii="宋体" w:hAnsi="宋体"/>
          <w:sz w:val="24"/>
          <w:highlight w:val="none"/>
        </w:rPr>
      </w:pPr>
      <w:r>
        <w:rPr>
          <w:rFonts w:hint="eastAsia" w:ascii="宋体" w:hAnsi="宋体"/>
          <w:sz w:val="24"/>
          <w:highlight w:val="none"/>
        </w:rPr>
        <w:t xml:space="preserve">2.装潢施工前材料须先送样确认，并保证材料达到招标文件要求；</w:t>
      </w:r>
      <w:r/>
    </w:p>
    <w:p>
      <w:pPr>
        <w:ind w:firstLine="482"/>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中标供应商</w:t>
      </w:r>
      <w:r>
        <w:rPr>
          <w:rFonts w:ascii="宋体" w:hAnsi="宋体"/>
          <w:sz w:val="24"/>
          <w:highlight w:val="none"/>
        </w:rPr>
        <w:t xml:space="preserve">在实施过程中所有</w:t>
      </w:r>
      <w:r>
        <w:rPr>
          <w:rFonts w:ascii="宋体" w:hAnsi="宋体"/>
          <w:sz w:val="24"/>
          <w:highlight w:val="none"/>
        </w:rPr>
        <w:t xml:space="preserve">货物（含装饰装修材料等）须经采购人</w:t>
      </w:r>
      <w:r>
        <w:rPr>
          <w:rFonts w:ascii="宋体" w:hAnsi="宋体"/>
          <w:sz w:val="24"/>
          <w:highlight w:val="none"/>
        </w:rPr>
        <w:t xml:space="preserve">确认后方可进场施工。</w:t>
      </w:r>
      <w:r/>
    </w:p>
    <w:p>
      <w:pPr>
        <w:ind w:firstLine="480"/>
        <w:rPr>
          <w:rFonts w:hint="eastAsia" w:ascii="黑体" w:hAnsi="宋体" w:eastAsia="黑体" w:cs="黑体"/>
          <w:color w:val="000000"/>
          <w:sz w:val="44"/>
          <w:szCs w:val="44"/>
          <w:highlight w:val="none"/>
        </w:rPr>
      </w:pPr>
      <w:r>
        <w:rPr>
          <w:rFonts w:hint="eastAsia" w:ascii="宋体" w:hAnsi="宋体"/>
          <w:b/>
          <w:sz w:val="24"/>
          <w:highlight w:val="none"/>
        </w:rPr>
        <w:t xml:space="preserve">三、项目技术参数明细：</w:t>
      </w:r>
      <w:bookmarkStart w:id="182" w:name="_Toc16938590"/>
      <w:r/>
      <w:bookmarkStart w:id="183" w:name="_Toc462564139"/>
      <w:r/>
      <w:bookmarkStart w:id="184" w:name="_Toc479757211"/>
      <w:r/>
      <w:bookmarkStart w:id="185" w:name="_Hlt16619350"/>
      <w:r/>
      <w:bookmarkStart w:id="186" w:name="_Toc20823346"/>
      <w:r/>
      <w:bookmarkStart w:id="187" w:name="_Toc120614244"/>
      <w:r/>
      <w:bookmarkStart w:id="188" w:name="_Hlt16619369"/>
      <w:r/>
      <w:bookmarkEnd w:id="182"/>
      <w:r/>
      <w:bookmarkEnd w:id="183"/>
      <w:r/>
      <w:bookmarkEnd w:id="184"/>
      <w:r/>
      <w:bookmarkEnd w:id="185"/>
      <w:r/>
      <w:bookmarkEnd w:id="186"/>
      <w:r/>
      <w:bookmarkEnd w:id="187"/>
      <w:r/>
      <w:r/>
    </w:p>
    <w:tbl>
      <w:tblPr>
        <w:tblStyle w:val="917"/>
        <w:tblW w:w="9749" w:type="dxa"/>
        <w:tblInd w:w="-6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96"/>
        <w:gridCol w:w="6361"/>
        <w:gridCol w:w="808"/>
        <w:gridCol w:w="784"/>
      </w:tblGrid>
      <w:tr>
        <w:trPr>
          <w:trHeight w:val="600"/>
        </w:trPr>
        <w:tc>
          <w:tcPr>
            <w:tcW w:w="1796"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设备名称</w:t>
            </w:r>
            <w:r/>
          </w:p>
        </w:tc>
        <w:tc>
          <w:tcPr>
            <w:tcW w:w="6361"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w:t>
            </w:r>
            <w:r/>
          </w:p>
        </w:tc>
        <w:tc>
          <w:tcPr>
            <w:tcW w:w="808"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W w:w="784"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r>
      <w:tr>
        <w:trPr>
          <w:trHeight w:val="6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认知能力评估与训练室</w:t>
            </w:r>
            <w:r/>
          </w:p>
        </w:tc>
      </w:tr>
      <w:tr>
        <w:trPr>
          <w:trHeight w:val="12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特殊儿童认知评估与训练系统</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产品组成：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1.系统软件1套；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2.主控设备1台；</w:t>
            </w:r>
            <w:r>
              <w:rPr>
                <w:rFonts w:hint="eastAsia" w:ascii="宋体" w:hAnsi="宋体" w:eastAsia="宋体" w:cs="宋体"/>
                <w:color w:val="auto"/>
                <w:sz w:val="24"/>
                <w:szCs w:val="24"/>
                <w:highlight w:val="none"/>
                <w:lang w:val="en-US" w:eastAsia="zh-CN"/>
              </w:rPr>
              <w:t xml:space="preserve">CPU≥2.5GHz</w:t>
            </w:r>
            <w:r>
              <w:rPr>
                <w:rFonts w:hint="eastAsia" w:ascii="宋体" w:hAnsi="宋体" w:eastAsia="宋体" w:cs="宋体"/>
                <w:color w:val="auto"/>
                <w:sz w:val="24"/>
                <w:szCs w:val="24"/>
                <w:highlight w:val="none"/>
                <w:lang w:eastAsia="zh-CN"/>
              </w:rPr>
              <w:t xml:space="preserve">，运行内存：</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8G，固态硬盘：</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512G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液晶</w:t>
            </w:r>
            <w:r>
              <w:rPr>
                <w:rFonts w:hint="eastAsia" w:ascii="宋体" w:hAnsi="宋体" w:eastAsia="宋体" w:cs="宋体"/>
                <w:color w:val="auto"/>
                <w:sz w:val="24"/>
                <w:szCs w:val="24"/>
                <w:highlight w:val="none"/>
              </w:rPr>
              <w:t xml:space="preserve">显示器1台；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23寸</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4.触控</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1台；触摸显示器尺寸≥21英寸，支持10点及以上触控；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5.平板电脑1台；</w:t>
            </w:r>
            <w:r>
              <w:rPr>
                <w:rFonts w:hint="eastAsia" w:ascii="宋体" w:hAnsi="宋体" w:eastAsia="宋体" w:cs="宋体"/>
                <w:color w:val="auto"/>
                <w:sz w:val="24"/>
                <w:szCs w:val="24"/>
                <w:highlight w:val="none"/>
                <w:lang w:val="en-US" w:eastAsia="zh-CN"/>
              </w:rPr>
              <w:t xml:space="preserve">触控平板≥10英寸；分辨率≥1920x1080；内存≥8G；存储容量≥128G；含平板保护套、触控笔；</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A4</w:t>
            </w:r>
            <w:r>
              <w:rPr>
                <w:rFonts w:hint="eastAsia" w:ascii="宋体" w:hAnsi="宋体" w:eastAsia="宋体" w:cs="宋体"/>
                <w:color w:val="auto"/>
                <w:sz w:val="24"/>
                <w:szCs w:val="24"/>
                <w:highlight w:val="none"/>
              </w:rPr>
              <w:t xml:space="preserve">彩色喷墨打印机</w:t>
            </w:r>
            <w:r>
              <w:rPr>
                <w:rFonts w:hint="eastAsia" w:ascii="宋体" w:hAnsi="宋体" w:eastAsia="宋体" w:cs="宋体"/>
                <w:color w:val="auto"/>
                <w:sz w:val="24"/>
                <w:szCs w:val="24"/>
                <w:highlight w:val="none"/>
                <w:lang w:val="en-US" w:eastAsia="zh-CN"/>
              </w:rPr>
              <w:t xml:space="preserve">1台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复印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打印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扫描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连接方式：支持</w:t>
            </w:r>
            <w:r>
              <w:rPr>
                <w:rFonts w:hint="eastAsia" w:ascii="宋体" w:hAnsi="宋体" w:eastAsia="宋体" w:cs="宋体"/>
                <w:color w:val="auto"/>
                <w:sz w:val="24"/>
                <w:szCs w:val="24"/>
                <w:highlight w:val="none"/>
                <w:lang w:val="en-US" w:eastAsia="zh-CN"/>
              </w:rPr>
              <w:t xml:space="preserve">无线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USB</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接口类型：USB、wifi</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打印速速</w:t>
            </w:r>
            <w:r>
              <w:rPr>
                <w:rFonts w:hint="eastAsia" w:ascii="宋体" w:hAnsi="宋体" w:eastAsia="宋体" w:cs="宋体"/>
                <w:color w:val="auto"/>
                <w:sz w:val="24"/>
                <w:szCs w:val="24"/>
                <w:highlight w:val="none"/>
                <w:lang w:eastAsia="zh-CN"/>
              </w:rPr>
              <w:t xml:space="preserve">：黑白</w:t>
            </w:r>
            <w:r>
              <w:rPr>
                <w:rFonts w:hint="eastAsia" w:ascii="宋体" w:hAnsi="宋体" w:eastAsia="宋体" w:cs="宋体"/>
                <w:color w:val="auto"/>
                <w:sz w:val="24"/>
                <w:szCs w:val="24"/>
                <w:highlight w:val="none"/>
                <w:lang w:val="en-US" w:eastAsia="zh-CN"/>
              </w:rPr>
              <w:t xml:space="preserve">不低于17</w:t>
            </w:r>
            <w:r>
              <w:rPr>
                <w:rFonts w:hint="eastAsia" w:ascii="宋体" w:hAnsi="宋体" w:eastAsia="宋体" w:cs="宋体"/>
                <w:color w:val="auto"/>
                <w:sz w:val="24"/>
                <w:szCs w:val="24"/>
                <w:highlight w:val="none"/>
                <w:lang w:eastAsia="zh-CN"/>
              </w:rPr>
              <w:t xml:space="preserve">页/分钟、彩色</w:t>
            </w:r>
            <w:r>
              <w:rPr>
                <w:rFonts w:hint="eastAsia" w:ascii="宋体" w:hAnsi="宋体" w:eastAsia="宋体" w:cs="宋体"/>
                <w:color w:val="auto"/>
                <w:sz w:val="24"/>
                <w:szCs w:val="24"/>
                <w:highlight w:val="none"/>
                <w:lang w:val="en-US" w:eastAsia="zh-CN"/>
              </w:rPr>
              <w:t xml:space="preserve">不低于10</w:t>
            </w:r>
            <w:r>
              <w:rPr>
                <w:rFonts w:hint="eastAsia" w:ascii="宋体" w:hAnsi="宋体" w:eastAsia="宋体" w:cs="宋体"/>
                <w:color w:val="auto"/>
                <w:sz w:val="24"/>
                <w:szCs w:val="24"/>
                <w:highlight w:val="none"/>
                <w:lang w:eastAsia="zh-CN"/>
              </w:rPr>
              <w:t xml:space="preserve">页/分钟；最大分辩率：</w:t>
            </w:r>
            <w:r>
              <w:rPr>
                <w:rFonts w:hint="eastAsia" w:ascii="宋体" w:hAnsi="宋体" w:eastAsia="宋体" w:cs="宋体"/>
                <w:color w:val="auto"/>
                <w:sz w:val="24"/>
                <w:szCs w:val="24"/>
                <w:highlight w:val="none"/>
                <w:lang w:val="en-US" w:eastAsia="zh-CN"/>
              </w:rPr>
              <w:t xml:space="preserve">不低于4800</w:t>
            </w:r>
            <w:r>
              <w:rPr>
                <w:rFonts w:hint="eastAsia" w:ascii="宋体" w:hAnsi="宋体" w:eastAsia="宋体" w:cs="宋体"/>
                <w:color w:val="auto"/>
                <w:sz w:val="24"/>
                <w:szCs w:val="24"/>
                <w:highlight w:val="none"/>
                <w:lang w:eastAsia="zh-CN"/>
              </w:rPr>
              <w:t xml:space="preserve">x 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0 dpi；进纸容量：</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lang w:eastAsia="zh-CN"/>
              </w:rPr>
              <w:t xml:space="preserve">100页A4</w:t>
            </w:r>
            <w:r>
              <w:rPr>
                <w:rFonts w:hint="eastAsia" w:ascii="宋体" w:hAnsi="宋体" w:eastAsia="宋体" w:cs="宋体"/>
                <w:color w:val="auto"/>
                <w:sz w:val="24"/>
                <w:szCs w:val="24"/>
                <w:highlight w:val="none"/>
                <w:lang w:val="en-US" w:eastAsia="zh-CN"/>
              </w:rPr>
              <w:t xml:space="preserve">纸张；液晶屏幕不小于1.4英寸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.摄像头1个；</w:t>
            </w:r>
            <w:r>
              <w:rPr>
                <w:rFonts w:hint="eastAsia" w:ascii="宋体" w:hAnsi="宋体" w:eastAsia="宋体" w:cs="宋体"/>
                <w:color w:val="auto"/>
                <w:sz w:val="24"/>
                <w:szCs w:val="24"/>
                <w:highlight w:val="none"/>
                <w:lang w:val="en-US" w:eastAsia="zh-CN"/>
              </w:rPr>
              <w:t xml:space="preserve">接口USB、内置麦克风，即插即用，分辨率：1080P、清晰语音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.操作台1台</w:t>
            </w:r>
            <w:r>
              <w:rPr>
                <w:rFonts w:hint="eastAsia" w:ascii="宋体" w:hAnsi="宋体" w:eastAsia="宋体" w:cs="宋体"/>
                <w:color w:val="auto"/>
                <w:sz w:val="24"/>
                <w:szCs w:val="24"/>
                <w:highlight w:val="none"/>
                <w:lang w:eastAsia="zh-CN"/>
              </w:rPr>
              <w:t xml:space="preserve">：ABS材质，美观大方，环保材料</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功能要求：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1.产品功能：档案管理、认知能力评估、认知能力训练、成绩查看。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2.档案管理：可对使用机构、机构所有班级、康复师、被测人员进行档案编辑和管理。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3.认知能力评估：内含注意能力评估、听理解评估、思维想象评估、数的能力评估、记忆能力评估、感知能力评估、表达能力评估七项能力进行认知评估，每项能力由易到难分为5个等级。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认知能力训练：根据被测人员所处在的能力等级，进行由易到难5个级别级别能力训练，分别是注意能力训练、思维想象训练、数的能力训练、记忆能力训练、感知能力训练、表达能力训练不少于3000条训练题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5.成绩查看：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5.1.评估成绩查看：即可在系统内，同时也可在机构后台进行评估成绩查看，评估成绩可分为思维导图模式、折线图模式以及详细成绩单三种模式进行查看，评估成绩可进行查询、导出、保存、打印、编辑等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5.2.训练成绩查看：被测人员所有训练均可查询、导出、保存、打印等操作。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6.评估训练多样性：设备配备便携平板电脑，使用台式设备的同时也可使用便携式平板电脑进行送教上门、入户指导等工作。</w:t>
            </w:r>
            <w:r/>
          </w:p>
        </w:tc>
        <w:tc>
          <w:tcPr>
            <w:tcW w:w="808"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12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认知发展课程资源</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产品组成：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平面材料和视频：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（1）平面材料至少包含808张图卡包含：配对、物品区辨、人物、身体部位、动词、情绪等，呈现形式真实、卡通、简笔画。</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（2）视频：包含动词、蔬菜变化、水果变化、眼神和肢体动词等，视频数量不少于152个动态视频。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立体操作材料：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（1）互动书（内容包含：关联配对、整体与局部\动物喜好、颜色、形状、多少\大小、高矮\长短\粗细、弯直\干净脏\新旧\冷热\干湿、眼神识别互动书）至少9本。</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（2）立体材料包含（喂熊宝宝、高矮大作战、打地鼠、冷热试管、水果模型、蔬菜模型、仿真洋娃娃、形状触摸盒、镜子等）至少9套。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3.课程资源实施方案：课程至少有9个单元，涵盖不少于35个游戏主题。每个主题都有清楚的目标建议、教学目标以及教学步骤等环节，包含以下内容：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相同配对、动物喜好配对、生活用品、水果、动物、交通工具、蔬菜、服饰、食物、电器、人物、肢体动词、固定动词、复合动词、颜色、形状、多与少、大与小、高与矮、长与短、粗与细、弯与直、干净与脏、新与旧、冷与热、干与湿、粗糙与光滑、软与硬、分类、眼神识别、情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4.素材清单包含：</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事物特征区辩①、事物特征区辩②、事物特征区辩③、事物特征区辩④、事物特征区辩⑤、事物特征区辩⑥、事物特征区辩⑦、人物/物品区辩①、物品区辩②、物品区辩③、物品区辩④、配对①、配对②、趣味洞洞卡、眼神识别/情绪区辩、身体部位区辩、综合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w:t>
            </w:r>
            <w:bookmarkStart w:id="189" w:name="OLE_LINK2"/>
            <w:r>
              <w:rPr>
                <w:rFonts w:hint="eastAsia" w:ascii="宋体" w:hAnsi="宋体" w:eastAsia="宋体" w:cs="宋体"/>
                <w:color w:val="auto"/>
                <w:sz w:val="24"/>
                <w:szCs w:val="24"/>
                <w:highlight w:val="none"/>
              </w:rPr>
              <w:t xml:space="preserve">产品符合GB6675-2014《玩具安全》标准</w:t>
            </w:r>
            <w:bookmarkEnd w:id="189"/>
            <w:r>
              <w:rPr>
                <w:rFonts w:hint="eastAsia" w:ascii="宋体" w:hAnsi="宋体" w:eastAsia="宋体" w:cs="宋体"/>
                <w:color w:val="auto"/>
                <w:sz w:val="24"/>
                <w:szCs w:val="24"/>
                <w:highlight w:val="none"/>
              </w:rPr>
              <w:t xml:space="preserve">。</w:t>
            </w:r>
            <w:r/>
          </w:p>
        </w:tc>
        <w:tc>
          <w:tcPr>
            <w:tcW w:w="808"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12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储物柜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特点：多功能组合款式多样，可收纳不同物品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材质：采用≥18mmAA樟子松实木或橡木，喷漆:水性环保漆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尺寸：≥120*30*80cm</w:t>
            </w:r>
            <w:r/>
          </w:p>
        </w:tc>
        <w:tc>
          <w:tcPr>
            <w:tcW w:w="808"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12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团体活动桌</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材质：樟子松实木喷漆：水性环保漆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尺寸：桌子长：≥120cm宽：≥60cm高：≥50cm，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椅子长：≥28cm宽：≥30cm高：≥51cm，坐高：≥28cm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特点：圆角设计防止磕碰对孩子造成伤害，主要用于孩子团体活动课。</w:t>
            </w:r>
            <w:r/>
          </w:p>
        </w:tc>
        <w:tc>
          <w:tcPr>
            <w:tcW w:w="808"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6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语言发展评估与训练室</w:t>
            </w:r>
            <w:r/>
          </w:p>
        </w:tc>
      </w:tr>
      <w:tr>
        <w:trPr>
          <w:trHeight w:val="12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构音语音评估干预系统</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1.评估内容：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构音评估采用词表进行主观评估。要求被试儿童每个音发三遍，间隔至少1s。为诱导出自发语音，教师可采用提问、提示或模仿的形式，要求儿童发出目标音。最终通过教师的主观听觉感知来判断实际发音正确与否，并实时记录。</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针对21个声母系统能够使儿童能够舒适、清晰、流利地发出21个声母音位，以及由以上几个音位组合而成的音节。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2.评估报告：</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本软件可以快速产生一份内容详实丰富、训练要素完整的评估报告，包含基本信息、评估结果和康复建议，评估报告可下载打印。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选择已进行评估的儿童查看评估报告，评估结果中显示需要干预的目标音、测试词及结果，标注正常儿童生理发育该阶段应习得的音位，依据评估结果给予教师/康复师干预康复的建议。每个目标音的训练策略包含不少于3个方向策略要点：音位习得、音位对比、语音训练。点击评估报告中训练版块内容，可直接进行该项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3.训练模块：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构音语音训练包括发音诱导、音位习得、音位对比和语音训练四个部分。将21个声母干预训练根据儿童习得年龄及难易程度分为五个阶段，可自主选择相对应阶段的目标音进行干预，也可根据训练方式进行个性化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发音诱导中包含声母音位特征和相关口部运动两部分，是通过学习目标音位的发音部位和发音方式，训练版块内具有真人录制讲解实操的视频学习，教师了解目标音的发音要点及训练方法，诱导出儿童未习得的目标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音位习得包含21个声母单音节词、双音节（前后）词及三音节（前后）词的声韵组合素材，自主选择需要干预训练的内容，通过音频及图片的感知觉提示帮助儿童练习发音；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音位对比是针对患者出现的音位发生混淆现象的治疗，通过21个声母中容易混淆的音位不同的发音部位或者不同的发音方式进行对比，来帮助患者更好的区分两个音位；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语音训练包含与21个声母相关的语音重复、语音切换和语音轮替的训练。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硬件配置参数：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1.计算机1套：电脑主机参数：处理器不低于i5，运行内存：≥8G，固态硬盘：≥512G，液晶显示器：≥23英寸，含键盘鼠标无线套装。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2.触摸显示器1个：≥21英寸</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A4</w:t>
            </w:r>
            <w:r>
              <w:rPr>
                <w:rFonts w:hint="eastAsia" w:ascii="宋体" w:hAnsi="宋体" w:eastAsia="宋体" w:cs="宋体"/>
                <w:color w:val="auto"/>
                <w:sz w:val="24"/>
                <w:szCs w:val="24"/>
                <w:highlight w:val="none"/>
              </w:rPr>
              <w:t xml:space="preserve">彩色喷墨打印机</w:t>
            </w:r>
            <w:r>
              <w:rPr>
                <w:rFonts w:hint="eastAsia" w:ascii="宋体" w:hAnsi="宋体" w:eastAsia="宋体" w:cs="宋体"/>
                <w:color w:val="auto"/>
                <w:sz w:val="24"/>
                <w:szCs w:val="24"/>
                <w:highlight w:val="none"/>
                <w:lang w:val="en-US" w:eastAsia="zh-CN"/>
              </w:rPr>
              <w:t xml:space="preserve">1台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复印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打印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扫描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连接方式：支持</w:t>
            </w:r>
            <w:r>
              <w:rPr>
                <w:rFonts w:hint="eastAsia" w:ascii="宋体" w:hAnsi="宋体" w:eastAsia="宋体" w:cs="宋体"/>
                <w:color w:val="auto"/>
                <w:sz w:val="24"/>
                <w:szCs w:val="24"/>
                <w:highlight w:val="none"/>
                <w:lang w:val="en-US" w:eastAsia="zh-CN"/>
              </w:rPr>
              <w:t xml:space="preserve">无线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USB</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接口类型：USB、wifi</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打印速速</w:t>
            </w:r>
            <w:r>
              <w:rPr>
                <w:rFonts w:hint="eastAsia" w:ascii="宋体" w:hAnsi="宋体" w:eastAsia="宋体" w:cs="宋体"/>
                <w:color w:val="auto"/>
                <w:sz w:val="24"/>
                <w:szCs w:val="24"/>
                <w:highlight w:val="none"/>
                <w:lang w:eastAsia="zh-CN"/>
              </w:rPr>
              <w:t xml:space="preserve">：黑白</w:t>
            </w:r>
            <w:r>
              <w:rPr>
                <w:rFonts w:hint="eastAsia" w:ascii="宋体" w:hAnsi="宋体" w:eastAsia="宋体" w:cs="宋体"/>
                <w:color w:val="auto"/>
                <w:sz w:val="24"/>
                <w:szCs w:val="24"/>
                <w:highlight w:val="none"/>
                <w:lang w:val="en-US" w:eastAsia="zh-CN"/>
              </w:rPr>
              <w:t xml:space="preserve">不低于17</w:t>
            </w:r>
            <w:r>
              <w:rPr>
                <w:rFonts w:hint="eastAsia" w:ascii="宋体" w:hAnsi="宋体" w:eastAsia="宋体" w:cs="宋体"/>
                <w:color w:val="auto"/>
                <w:sz w:val="24"/>
                <w:szCs w:val="24"/>
                <w:highlight w:val="none"/>
                <w:lang w:eastAsia="zh-CN"/>
              </w:rPr>
              <w:t xml:space="preserve">页/分钟、彩色</w:t>
            </w:r>
            <w:r>
              <w:rPr>
                <w:rFonts w:hint="eastAsia" w:ascii="宋体" w:hAnsi="宋体" w:eastAsia="宋体" w:cs="宋体"/>
                <w:color w:val="auto"/>
                <w:sz w:val="24"/>
                <w:szCs w:val="24"/>
                <w:highlight w:val="none"/>
                <w:lang w:val="en-US" w:eastAsia="zh-CN"/>
              </w:rPr>
              <w:t xml:space="preserve">不低于10</w:t>
            </w:r>
            <w:r>
              <w:rPr>
                <w:rFonts w:hint="eastAsia" w:ascii="宋体" w:hAnsi="宋体" w:eastAsia="宋体" w:cs="宋体"/>
                <w:color w:val="auto"/>
                <w:sz w:val="24"/>
                <w:szCs w:val="24"/>
                <w:highlight w:val="none"/>
                <w:lang w:eastAsia="zh-CN"/>
              </w:rPr>
              <w:t xml:space="preserve">页/分钟；最大分辩率：</w:t>
            </w:r>
            <w:r>
              <w:rPr>
                <w:rFonts w:hint="eastAsia" w:ascii="宋体" w:hAnsi="宋体" w:eastAsia="宋体" w:cs="宋体"/>
                <w:color w:val="auto"/>
                <w:sz w:val="24"/>
                <w:szCs w:val="24"/>
                <w:highlight w:val="none"/>
                <w:lang w:val="en-US" w:eastAsia="zh-CN"/>
              </w:rPr>
              <w:t xml:space="preserve">不低于4800</w:t>
            </w:r>
            <w:r>
              <w:rPr>
                <w:rFonts w:hint="eastAsia" w:ascii="宋体" w:hAnsi="宋体" w:eastAsia="宋体" w:cs="宋体"/>
                <w:color w:val="auto"/>
                <w:sz w:val="24"/>
                <w:szCs w:val="24"/>
                <w:highlight w:val="none"/>
                <w:lang w:eastAsia="zh-CN"/>
              </w:rPr>
              <w:t xml:space="preserve">x 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0 dpi；进纸容量：</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lang w:eastAsia="zh-CN"/>
              </w:rPr>
              <w:t xml:space="preserve">100页A4</w:t>
            </w:r>
            <w:r>
              <w:rPr>
                <w:rFonts w:hint="eastAsia" w:ascii="宋体" w:hAnsi="宋体" w:eastAsia="宋体" w:cs="宋体"/>
                <w:color w:val="auto"/>
                <w:sz w:val="24"/>
                <w:szCs w:val="24"/>
                <w:highlight w:val="none"/>
                <w:lang w:val="en-US" w:eastAsia="zh-CN"/>
              </w:rPr>
              <w:t xml:space="preserve">纸张；液晶屏幕不小于1.4英寸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4.音响1个：失真限制的输出功率：2.5w+2.5w，额定声频率响应范围：80Hz-20KHz、噪声声级：≤25dB(A)、输入：5V-1A，内置声卡即插即连、蓝牙5.3传输。</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5.PT凳1个：外形尺寸（直径×高）：≥40×48.材质：皮+钢制、高度调节范围43～53cm、360°旋转、静音设计万向滚轮。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6.工作台车1台：ABS材质，美观大方，环保材料。</w:t>
            </w:r>
            <w:r/>
          </w:p>
        </w:tc>
        <w:tc>
          <w:tcPr>
            <w:tcW w:w="808"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1200"/>
        </w:trPr>
        <w:tc>
          <w:tcPr>
            <w:tcW w:w="1796" w:type="dxa"/>
            <w:vAlign w:val="center"/>
            <w:textDirection w:val="lrTb"/>
            <w:noWrap w:val="false"/>
          </w:tcPr>
          <w:p>
            <w:pPr>
              <w:jc w:val="center"/>
              <w:spacing w:line="276"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语言智能化评估干预系统</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产品组成：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1.系统软件1套；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2.主控设备1台；</w:t>
            </w:r>
            <w:r>
              <w:rPr>
                <w:rFonts w:hint="eastAsia" w:ascii="宋体" w:hAnsi="宋体" w:eastAsia="宋体" w:cs="宋体"/>
                <w:color w:val="auto"/>
                <w:sz w:val="24"/>
                <w:szCs w:val="24"/>
                <w:highlight w:val="none"/>
                <w:lang w:val="en-US" w:eastAsia="zh-CN"/>
              </w:rPr>
              <w:t xml:space="preserve">CPU≥2.5GHz</w:t>
            </w:r>
            <w:r>
              <w:rPr>
                <w:rFonts w:hint="eastAsia" w:ascii="宋体" w:hAnsi="宋体" w:eastAsia="宋体" w:cs="宋体"/>
                <w:color w:val="auto"/>
                <w:sz w:val="24"/>
                <w:szCs w:val="24"/>
                <w:highlight w:val="none"/>
                <w:lang w:eastAsia="zh-CN"/>
              </w:rPr>
              <w:t xml:space="preserve">，运行内存：</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8G，固态硬盘：</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512G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液晶</w:t>
            </w:r>
            <w:r>
              <w:rPr>
                <w:rFonts w:hint="eastAsia" w:ascii="宋体" w:hAnsi="宋体" w:eastAsia="宋体" w:cs="宋体"/>
                <w:color w:val="auto"/>
                <w:sz w:val="24"/>
                <w:szCs w:val="24"/>
                <w:highlight w:val="none"/>
              </w:rPr>
              <w:t xml:space="preserve">显示器1台；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23寸</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4.触控</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1台；触摸显示器尺寸≥21英寸，支持10点及以上触控；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5.平板电脑1台；</w:t>
            </w:r>
            <w:r>
              <w:rPr>
                <w:rFonts w:hint="eastAsia" w:ascii="宋体" w:hAnsi="宋体" w:eastAsia="宋体" w:cs="宋体"/>
                <w:color w:val="auto"/>
                <w:sz w:val="24"/>
                <w:szCs w:val="24"/>
                <w:highlight w:val="none"/>
                <w:lang w:val="en-US" w:eastAsia="zh-CN"/>
              </w:rPr>
              <w:t xml:space="preserve">触控平板≥10英寸；分辨率≥1920x1080；内存≥8G；存储容量≥128G；含平板保护套、触控笔；</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A4</w:t>
            </w:r>
            <w:r>
              <w:rPr>
                <w:rFonts w:hint="eastAsia" w:ascii="宋体" w:hAnsi="宋体" w:eastAsia="宋体" w:cs="宋体"/>
                <w:color w:val="auto"/>
                <w:sz w:val="24"/>
                <w:szCs w:val="24"/>
                <w:highlight w:val="none"/>
              </w:rPr>
              <w:t xml:space="preserve">彩色喷墨打印机</w:t>
            </w:r>
            <w:r>
              <w:rPr>
                <w:rFonts w:hint="eastAsia" w:ascii="宋体" w:hAnsi="宋体" w:eastAsia="宋体" w:cs="宋体"/>
                <w:color w:val="auto"/>
                <w:sz w:val="24"/>
                <w:szCs w:val="24"/>
                <w:highlight w:val="none"/>
                <w:lang w:val="en-US" w:eastAsia="zh-CN"/>
              </w:rPr>
              <w:t xml:space="preserve">1台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复印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打印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扫描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连接方式：支持</w:t>
            </w:r>
            <w:r>
              <w:rPr>
                <w:rFonts w:hint="eastAsia" w:ascii="宋体" w:hAnsi="宋体" w:eastAsia="宋体" w:cs="宋体"/>
                <w:color w:val="auto"/>
                <w:sz w:val="24"/>
                <w:szCs w:val="24"/>
                <w:highlight w:val="none"/>
                <w:lang w:val="en-US" w:eastAsia="zh-CN"/>
              </w:rPr>
              <w:t xml:space="preserve">无线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USB</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接口类型：USB、wifi</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打印速速</w:t>
            </w:r>
            <w:r>
              <w:rPr>
                <w:rFonts w:hint="eastAsia" w:ascii="宋体" w:hAnsi="宋体" w:eastAsia="宋体" w:cs="宋体"/>
                <w:color w:val="auto"/>
                <w:sz w:val="24"/>
                <w:szCs w:val="24"/>
                <w:highlight w:val="none"/>
                <w:lang w:eastAsia="zh-CN"/>
              </w:rPr>
              <w:t xml:space="preserve">：黑白</w:t>
            </w:r>
            <w:r>
              <w:rPr>
                <w:rFonts w:hint="eastAsia" w:ascii="宋体" w:hAnsi="宋体" w:eastAsia="宋体" w:cs="宋体"/>
                <w:color w:val="auto"/>
                <w:sz w:val="24"/>
                <w:szCs w:val="24"/>
                <w:highlight w:val="none"/>
                <w:lang w:val="en-US" w:eastAsia="zh-CN"/>
              </w:rPr>
              <w:t xml:space="preserve">不低于17</w:t>
            </w:r>
            <w:r>
              <w:rPr>
                <w:rFonts w:hint="eastAsia" w:ascii="宋体" w:hAnsi="宋体" w:eastAsia="宋体" w:cs="宋体"/>
                <w:color w:val="auto"/>
                <w:sz w:val="24"/>
                <w:szCs w:val="24"/>
                <w:highlight w:val="none"/>
                <w:lang w:eastAsia="zh-CN"/>
              </w:rPr>
              <w:t xml:space="preserve">页/分钟、彩色</w:t>
            </w:r>
            <w:r>
              <w:rPr>
                <w:rFonts w:hint="eastAsia" w:ascii="宋体" w:hAnsi="宋体" w:eastAsia="宋体" w:cs="宋体"/>
                <w:color w:val="auto"/>
                <w:sz w:val="24"/>
                <w:szCs w:val="24"/>
                <w:highlight w:val="none"/>
                <w:lang w:val="en-US" w:eastAsia="zh-CN"/>
              </w:rPr>
              <w:t xml:space="preserve">不低于10</w:t>
            </w:r>
            <w:r>
              <w:rPr>
                <w:rFonts w:hint="eastAsia" w:ascii="宋体" w:hAnsi="宋体" w:eastAsia="宋体" w:cs="宋体"/>
                <w:color w:val="auto"/>
                <w:sz w:val="24"/>
                <w:szCs w:val="24"/>
                <w:highlight w:val="none"/>
                <w:lang w:eastAsia="zh-CN"/>
              </w:rPr>
              <w:t xml:space="preserve">页/分钟；最大分辩率：</w:t>
            </w:r>
            <w:r>
              <w:rPr>
                <w:rFonts w:hint="eastAsia" w:ascii="宋体" w:hAnsi="宋体" w:eastAsia="宋体" w:cs="宋体"/>
                <w:color w:val="auto"/>
                <w:sz w:val="24"/>
                <w:szCs w:val="24"/>
                <w:highlight w:val="none"/>
                <w:lang w:val="en-US" w:eastAsia="zh-CN"/>
              </w:rPr>
              <w:t xml:space="preserve">不低于4800</w:t>
            </w:r>
            <w:r>
              <w:rPr>
                <w:rFonts w:hint="eastAsia" w:ascii="宋体" w:hAnsi="宋体" w:eastAsia="宋体" w:cs="宋体"/>
                <w:color w:val="auto"/>
                <w:sz w:val="24"/>
                <w:szCs w:val="24"/>
                <w:highlight w:val="none"/>
                <w:lang w:eastAsia="zh-CN"/>
              </w:rPr>
              <w:t xml:space="preserve">x 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0 dpi；进纸容量：</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lang w:eastAsia="zh-CN"/>
              </w:rPr>
              <w:t xml:space="preserve">100页A4</w:t>
            </w:r>
            <w:r>
              <w:rPr>
                <w:rFonts w:hint="eastAsia" w:ascii="宋体" w:hAnsi="宋体" w:eastAsia="宋体" w:cs="宋体"/>
                <w:color w:val="auto"/>
                <w:sz w:val="24"/>
                <w:szCs w:val="24"/>
                <w:highlight w:val="none"/>
                <w:lang w:val="en-US" w:eastAsia="zh-CN"/>
              </w:rPr>
              <w:t xml:space="preserve">纸张；液晶屏幕不小于1.4英寸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.摄像头1个；</w:t>
            </w:r>
            <w:r>
              <w:rPr>
                <w:rFonts w:hint="eastAsia" w:ascii="宋体" w:hAnsi="宋体" w:eastAsia="宋体" w:cs="宋体"/>
                <w:color w:val="auto"/>
                <w:sz w:val="24"/>
                <w:szCs w:val="24"/>
                <w:highlight w:val="none"/>
                <w:lang w:val="en-US" w:eastAsia="zh-CN"/>
              </w:rPr>
              <w:t xml:space="preserve">接口USB、内置麦克风，即插即用，分辨率：1080P、清晰语音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.操作台1台</w:t>
            </w:r>
            <w:r>
              <w:rPr>
                <w:rFonts w:hint="eastAsia" w:ascii="宋体" w:hAnsi="宋体" w:eastAsia="宋体" w:cs="宋体"/>
                <w:color w:val="auto"/>
                <w:sz w:val="24"/>
                <w:szCs w:val="24"/>
                <w:highlight w:val="none"/>
                <w:lang w:eastAsia="zh-CN"/>
              </w:rPr>
              <w:t xml:space="preserve">：ABS材质，美观大方，环保材料</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功能要求：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1.产品功能：档案管理、早期语言评估、早期语言训练、成绩查看。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2.档案管理：可对使用机构、机构所有班级、康复师、被测人员进行档案编辑和管理。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3.早期语言评估：系统内含主观的量表评估和客观的功能评估两类评估，功能评估通过词语理解、词组理解、句子理解、短文理解与表达、语言表达不少于5项内容对被测试人员进行语言能力评估。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训练内容丰富且可进行语音对比：丰富多样的训练内容，根据并遵循有关语言发展的规律、理论，内置语言发育不同阶段的大量重要、关键的基础词语、词组、句子和短文；包括词语学习、词组学习、句子学习、短文学习，通过辨认，识别，语言韵律测量，情景运用，语句综合应用等不同形式题型的设置激发儿童的训练兴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5.早期语言康复训练内含：词语理解与表达能力训练、语言成分理解与表达训练、句子理解与表达能力训练、短文理解与表达能力训练、语言表达能力5大项能力不少于30个分项目标不少于3000条训练内容。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自动化评估并推荐训练内容：被测人员在康复师的指导下使用该系统进行完评估后，系统自动生成评估报告以及评语并且推荐训练建议，同时康复师也可根据被测试被测人员的实际情况对评语和训练计划进行修改、保存、打印等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7.报表查看：多种方式查看评估报表。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7.1.系统内即可查看被测人员的评估成绩与训练成绩。</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7.2.通过机构后台可查看被测人员的评估和训练成绩并可导出报表进行编辑、存档、打印、编辑等。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8.评估训练多样性：设备配备便携平板电脑，使用台式设备的同时也可使用便携式平板电脑进行送教上门、入户指导等工作。</w:t>
            </w:r>
            <w:r/>
          </w:p>
        </w:tc>
        <w:tc>
          <w:tcPr>
            <w:tcW w:w="808"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12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语言功能评估与训练用具</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语言功能评估与训练用具应具有语言功能评估功能，包括词语理解能力评估、词组理解评估（并列词组、动宾词组、主谓词组、偏正词组和介宾词组）、句子理解能力评估（存现句、是字句、被字句、把字句）、短文理解能力评估，词句段训练。</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包括语言理解能力评估、词语的简单训练、语法的简单训练、句子的简单训练、会话的简单训练。主要组成：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语言康复训练实用手册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语言训练用具：词语篇、语法篇、会话篇</w:t>
            </w:r>
            <w:r/>
          </w:p>
        </w:tc>
        <w:tc>
          <w:tcPr>
            <w:tcW w:w="808"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12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口部构音语音运动训练器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口部构音语音运动训练器应具有口部运动训练、构音运动训练、构音语音训练功能。具有被动训练、自主训练，实时语音自反馈训练三种模式，用于提高唇肌、舌肌、下颌肌、悬雍垂肌的力量，矫正异常口部运动模式，建立正确的构音运动模式，最终为精确构建构音语音运动服务。有助于增强唇、舌、软腭和面颊的肌力和运动范围，促进神经肌肉的协调，提高言语和吞咽能力。</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口部运动训练功能：包含下颌运动；舌的刺激：向上使舌尖发痒、横向使舌尖发痒、从前向后使舌尖发痒、从后向前使舌尖发痒、使舌的两侧发痒、“一，二，三，拍打我”；舌的强化：左右两半、舌与脸颊相碰、舌尖向上抬、舌部抬起、舌左右倾</w:t>
            </w:r>
            <w:r>
              <w:rPr>
                <w:rFonts w:hint="eastAsia" w:ascii="宋体" w:hAnsi="宋体" w:eastAsia="宋体" w:cs="宋体"/>
                <w:color w:val="auto"/>
                <w:sz w:val="24"/>
                <w:szCs w:val="24"/>
                <w:highlight w:val="none"/>
              </w:rPr>
              <w:t xml:space="preserve">斜、舌尖侧推运动、舌部下压、舌尖后推；舌的运动：吮吸运动（弹舌"咯咯"发声）、吮吸运动（滴客－滴客－滴客）、吮吸运动（舌部吮吸发声）、伸展运动（舌部伸展）、伸展运动（碰触下巴）、伸展运动（捉迷藏）、舌尖上升运动（舌的推进）、舌尖上升运动（咿呀语）、舌尖上升运动（舌尖翘起）、打扫运动（舔硬颚）、打扫运动（舌尖顶脸颊）、打扫运动（舌尖碰嘴角）、打扫运动（舌尖洗牙面）、打扫运动（舌尖洗牙）、舌部向后运动（发k音）；唇的强化和运动：发笑、感觉酸的表情、亲吻或微笑、亲吻或皱眉、夹住压舌板、开始出声的吻、夹住吹哨管和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主要组成：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口部构音语音运动训练用具22件：</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功能咀嚼器1个、鼻夹1个、鼻塞器2个、唇刺激器1个、纽扣型唇肌训练器4个、圆唇训练器2个、唇舌分离训练器1个、口部感知觉刺激刷1个、纱布方巾1块、压舌板2根、刷舌器1把、指套型乳牙刷1个、舌尖训练器1个、舌前训练器1个、舌根训练器1个、安全扣1个。</w:t>
            </w:r>
            <w:r/>
          </w:p>
        </w:tc>
        <w:tc>
          <w:tcPr>
            <w:tcW w:w="808"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12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语言智能康复助手</w:t>
            </w:r>
            <w:r/>
          </w:p>
        </w:tc>
        <w:tc>
          <w:tcPr>
            <w:tcW w:w="6361"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一、听能学习模块分为听能训练、听能测试和声临其境要求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（一）听能训练</w:t>
            </w:r>
            <w:bookmarkStart w:id="190" w:name="OLE_LINK5"/>
            <w:r>
              <w:rPr>
                <w:rFonts w:hint="eastAsia" w:ascii="宋体" w:hAnsi="宋体" w:eastAsia="宋体" w:cs="宋体"/>
                <w:color w:val="auto"/>
                <w:sz w:val="24"/>
                <w:szCs w:val="24"/>
                <w:highlight w:val="none"/>
              </w:rPr>
              <w:t xml:space="preserve">要求</w:t>
            </w:r>
            <w:bookmarkEnd w:id="190"/>
            <w:r>
              <w:rPr>
                <w:rFonts w:hint="eastAsia" w:ascii="宋体" w:hAnsi="宋体" w:eastAsia="宋体" w:cs="宋体"/>
                <w:color w:val="auto"/>
                <w:sz w:val="24"/>
                <w:szCs w:val="24"/>
                <w:highlight w:val="none"/>
              </w:rPr>
              <w:t xml:space="preserve">包含以下内容：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1.听觉察知：包含声音启蒙、音乐察知、情景察知和听觉基础训练。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a）声音启蒙：以游戏的形式点击屏幕中的声母、家居日常、户外日常及韵母，学习其发音的频率和强度，并在屏幕背景中标注了其声音大小及频率高低的数值。</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b)音乐察知：泡泡浴游戏形式，一共不少于10个关卡，用手戳破泡泡可得分和听到动人的旋律。玩乐器游戏的形式，一共不少于3个关卡，在规定时间内，点击乐器图片，即可得分和聆听旋律。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C)情景察知：放牧的游戏形式，一共有不少于个关卡，按照听动物叫声进行游戏。家庭生活场景的声音察知，一共不少于5个关卡。小猫钓鱼游戏形式，按照水花的声音来钓鱼，一共不少于5个关卡。赛龙舟的游戏形式，通过敲击打鼓来控制游戏，一共不少于5个关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D)听觉基础训练：包含林氏六音、乐器类、动物类、人体类、动物类和自然环境类。林氏六音具有学习模式和察知模式，并可以进行男女声音的切换。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2.听觉感知：包括异同分辨、响度感知、时长感知、节拍感知、音高感知、旋律感知、空间感知和声源定位训练方式，训练方式具有高阶和低阶的难度选择，训练内容有乐音、啭音和纯音三种方式。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3.听觉认知：语义理解、逻辑推理、短时记忆和关联分析的内容。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4.语音识别训练：包含韵母识别、声母识别、声调识别和词语识别的内容，训练方式具有高阶和低阶的难度选择，并可进行1/2/3/4等级的设置。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听觉记忆训练：包含一项记忆、二项记忆、三项记忆和四项记忆的内容，训练方式具有高阶和低阶的难度选择，并可进行1/2/3/4/5等级的设置，听觉题目数据不少于500份。听觉记忆训练可构建12种噪声环境。有慢、中、快三种语速可供调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（二）听能测试要求包含以下内容：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1.感知测试：包括异同分辨、响度感知、时长感知、节拍感知、音高感知、旋律感知和空间感知训练，测试方式具有高阶和低阶的难度选择，训练内容有乐音、啭音和纯音三种方式。感知内容不少于120种。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2.语音识别测试：包括韵母识别、声母识别、声调识别和词语识别，测试具有高阶和低阶的难度选择，并可进行1/2/3/4等接的设置。语音识别内容不少于180种。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3.听觉记忆测试：包含一项记忆、二项记忆、三项记忆和四项记忆的内容，测试方式具有高阶和低阶的难度选择，并可进行1/2/3/4等接的设置。测试数据不少于500份。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4.历史测试成绩：测试结果可以自动保存，包含时间、类别、难度、时长及正确率等数据。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（三）声临其境要求：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1.声临其境包含三大模块：优美人声、音乐欣赏和场景实录；</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2.优美人声：包含不少于100个少儿故事，不少于100个儿童歌曲，不少于19个诗词朗诵。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3.音乐欣赏：包含不少于20首舒缓音乐、11首动感音乐、18首古风音乐、15首古典音乐的内容。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4.场景实录：包含不少于10首自然森林声音实录、10首海边声音实录、10首街道声音实录、10首学校声音实录、10首车厢声音实录、10首餐馆声音实录。</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二、语言学习模块，包括语言训练、语言测试和发音视频要求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（一）语言训练要求包含以下内容：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1.发声基础训练：包含呼吸训练和发声训练。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a)呼吸训练：以游戏的方式进行，对着麦克风吹气，一口气吹气时间越长，游戏中的物体前进越远，游戏不少于10个关卡。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B)最长声时训练：以游戏的方式进行，对着麦克风发声，发声的时间越长，游戏中的物体前进越远，游戏不少于10个关卡。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C)响度控制：用发声的响度来控制游戏中的角色，响度越大跳得越高，不少于10个关卡。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D)音高控制：使用按钮进行飞行训练。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2.语言发展训练：包含韵母训练、声母训练、声调训练、词语训练、短句训练和视听反馈训练。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a)韵母训练、声母训练、声调训练、词语训练和短句训练都包含了高阶和低阶的训练内容，可通过麦克风采集用户发音，进行人工智能语音打分，从声母、韵母、声调3个维度更直观的反应出用户的发音问题。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b)视听训练：训练方式以动画的形式呈现出单字或词语的音量和音调，学生录制语音后，可以进行动态的对比，然后得出分数。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构音训练：包含构音一阶、构音二阶、构音三阶、构音四阶、构音五阶和构音六阶，训练内容包括单字、词语和句子；训练方式：可以播放视频进行嘴型对比，也能进行每个文字读音的打分，也有单独的真人发音视频讲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4.词语训练：包含名词、形容词、动词、数词和量词。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A)名词包含至少8个分类：人物职业类、身体器官类、动植物类、食品饮料类、日常用品类、衣物家具类、工具场景类和天体时间类，总名词量不得少于160个。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b)名词的训练方式：具有名词的视频、口型对比视频、名词例句和该名词的绘画板，录制语音后，可以进行人工智能对比打分。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C)形容词：配置有不少于32个形容词。形容词的训练方式：具有形容词的视频、口型对比视频、形容词例句和该形容词的绘画板，录制语音后，可以进行人工智能对比打分。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d)动词：配置有不少于42个动词。动词的训练方式：具有该动词的视频、口型对比视频、动词例句和该动词的绘画板，录制语音后，可以进行人工智能对比打分。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e)数词：配置有不少于20个数词。数词的训练方式：具有该数词的视频、口型对比视频、数词例句和该数词的绘画板，录制语音后，可以进行人工智能对比打分。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f)量词：配置有不少于30个量词。量词的训练方式：具有该量词的视频、口型对比视频、量词例句和该量词的绘画板，录制语音后，可以进行人工智能对比打分。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5.句型训练：包含简单句和复合句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a)简单句中包含不少于10种不同句型，且每种句型种有2~7种不同句式。句型的训练方式：具有声音提示和动画提示功能，且做完一组题目会有答题情况汇总显示。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6.绘本仿说：拥有不少于40本绘本，孩子可对绘本中的语言进行发音仿说，对孩子的发音进行智能语音评分。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（二）语言测试要求包含以下内容：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1.呼吸测试：以游戏的形式进行最长声时的测试。</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2.发音测试：包含韵母测试、声母测试、声调测试、词语测试和短句测试。</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a)韵母测试：包含低段和高阶两个阶段，每个阶段有5个级别；韵母的测试方法为学生按照提示进行录音，系统根据输入的语音进行打分，分别呈现声母、韵母和声调的测试结果，并得出总分数，也可回放录制声音。测试完成后会得出做题情况表，包含题目、题目得分等信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b)声母测试：包含低段和高阶两个阶段，每个阶段有5个级别；声母的测试方法为学生按照提示进行录音，系统根据输入的语音进行打分，分别呈现声母、韵母和声调的测试结果，并得出总分数，也可回放录制声音。测试完成后会得出做题情况表，包含题目、题目得分等信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c)声调测试：包含低段和高阶两个阶段，每个阶段有不少于4个级别和综合测试；声调的测试方法为学生按照提示进行录音，系统根据输入的语音进行打分，分别呈现声母、韵母和声调的测试结果，并得出总分数，也可回放录制声音。测试完成后会得出做题情况表，包含题目、题目得分等信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d)词语测试：包含低段和高阶两个阶段，低阶段有不少于4个级别和综合测试，一共测试不少于74个词语；高阶段有不少于5个级别和综合测试，一共测试不少于123个词语，词语的测试方法为学生按照提示进行录音，系统根据输入的语音进行打分，分别呈现声母、韵母和声调的测试结果，并得出总分数，也可回放录制声音。测试完成后会得出做题情况表，包含题目、题目得分等信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e)短句测试：包含低段和高阶两个阶段，低阶段有不少于4个级别，高阶不少于5个级别，短句的测试方法为学生按照提示进行录音，系统根据输入的语音进行打分，分别呈现每个字的测试结果，并得出总分数，也可回放录制声音。测试完成后会得出做题情况表，包含题目、题目得分等信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3.构音测试：构音测试包含构音一阶、构音二阶、构音三阶、构音四阶、构音五阶和构音六阶，以单字、词语和句子的形式呈现；测试内容包含y/w/b/m/d/h/p/t/g/k/n/f/j/q/z/l/z/s/r/c/zh/ch/sh。</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（三）发音视频要求包含以下内容：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1.发音视频包含韵母演示、声母演示和声调演示视频，视频数量不少于48个。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2.韵母演示视频包含内容：a/o/e/i/u/ü/ai/an/ang/ao/ei/en/eng/er/ia/ie/in/ing/iu/ong/ou/ua/üe/ui/un/ün/uo的演示动画视频。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3.声母演示视视频内容：b/p/m/f/d/t/n/l/g/k/h/j/q/x/zh/ch/sh/r/z/c/s的演示动画视频。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三、沟通助手模块要求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沟通助手模块一种扩大或替代口语表达的沟通方式，可协助语言障碍学生利用多重管道的沟通认知策略，获得与人互动沟通的技能。本系统是根据辅助沟通系统的理念进行设计的，旨在提供一种有效且便利的沟通方法，辅助特殊需要儿童的沟通训练以及认知康复训练。对个案的作用主要表现在：促进接受性语言能力的发展；提高个案认知能力、促进自发性沟通的形成、激发沟通动机；增强个案的自我控制与自我选择能力。</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1.沟通符号分为人物类、日常动作、食物、意见表达、情绪状态、玩具活动、地垫、衣物穿戴、日常用品、交通工具、天气、身体器官等不少于12个大类，不少于190个核心沟通词汇。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2.组句栏有不少于4个词汇，一次性发声沟通不少于4个词汇。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四、快速评估模块要求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通过问卷调查的形式，获得用户的基本情况，智能评测用户当前言语语言发育情况。根据评估结果，制定出个性化训练方案。</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（一）听能快速评估模块要求：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通过快速评估可以自动呈现训练的方案，并建议出每天的训练时间、频率及内容：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1.基础训练方案：评估后自动生成基础训练的内容，学生的能力应基本覆盖基础训练的内容，基础训练方案起到巩固知识的作用。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2.目标训练方案：评估后自动生成目标训练的内容，目标训练方案为该学生应重点关注的训练内容，建议按照推荐训练进行训练。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3.拓展训练方案：评估后自动生成拓展训练的内容，拓展训练方案暂时超过该学生的能力范围，建议在重新评估后，再进行拓展内容的训练。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4.快速评估的方式：以答题选择的方式进行，如果作答者对用户的某能力不确定，可以点击“测试一下”，进入实题测试阶段，根据测试的结果来作答选择。</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（二）语言快速评估模块要求：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通过快速评估可以自动呈现训练的方案，并建议出每天的训练时间、频率及内容：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1.基础训练方案：评估后自动生成基础训练的内容，学生的能力应基本覆盖基础训练的内容，基础训练方案起到巩固知识的作用。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2.目标训练方案：评估后自动生成目标训练的内容，目标训练方案为该学生应重点关注的训练内容，建议按照推荐训练进行训练。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3.拓展训练方案：评估后自动生成拓展训练的内容，拓展训练方案暂时超过该学生的能力范围，建议在重新评估后，再进行拓展内容的训练。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4.快速评估的方式：以答题选择的方式进行，如果作答者对学生的某能力不确定，可以选择视频学习，进入训练视频演示阶段，根据视频演示来做参考。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五、学习记录模块要求：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记录用户注册使用之后所有学习记录，包括时长，项目，频率等等。还显示远程教学模块（见下）的预约教学频次。可通过柱状图，饼状图，列表等形式展现。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六、任务管理要求：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任务管理具有康复训练的任务管理功能。由不少于3个模块组成：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1.智能康复方案推荐：根据用户评估结果，系统每日智能推荐4个训练任务，也可以刷新更换同等难度训练项目；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2.自定义任务：用户可以最多自行布置不少于4个任务，点击任务图标即可直接进入训练。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3.老师任务：可通过教师端最多布置不少于4个任务给用户，可显示昨日布置的任务。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七、远程教学要求：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1.用户通过平台可以预约绑定老师的课程，选择适合自己的课程时间和内容。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2.具有录像管理的功能，老师可以分享线下课堂视频内容。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3.用户可向绑定的老师提问，老师可对用户的学习情况进行点评，回答用户的提问。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八、老师模块要求：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显示用户当下绑定的老师，可通过搜索机构、专业、地理位置、教学经验选择合适的老师进行绑定。绑定后可进行远程教学。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九、系统管理要求：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1.具有姓名、地址、出生年月和联系方式等信息的录入功能；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2.具有拍照上传头像功能；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3.具有家长管理功能，家长可通过微信关注相应公众号绑定用户，绑定之后家长微信可收到用户做的相应练习的反馈。</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十、一体化声场设计要求：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配置双侧不少于2个不小于5瓦高保真扬声器，扬声器内嵌在设备中，一体化设计，出声口面向使用者，便于聆听，最高音量可达100分贝。</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十一、硬件参数要求：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1.外型尺寸不小于32*26*12cm，外壳为ABS材料，可以防摔；</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2.内置不少于5600mAh电池。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3.电源按钮和音量按钮嵌入到外壳中，便于操作和防摔。</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4.存储：≥32GB+云存储。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5.一体化扬声器：配置2个各5瓦高保真扬声器。</w:t>
            </w:r>
            <w:r/>
          </w:p>
        </w:tc>
        <w:tc>
          <w:tcPr>
            <w:tcW w:w="808"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社交沟通课程资源A</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主要组成：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1.平面操作材料：至少包含32张场景图卡，至少22个视频，至少8张故事图卡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2.立体游戏材料：至少包含25组游戏材料，至少包含：啄木鸟捉</w:t>
            </w:r>
            <w:r>
              <w:rPr>
                <w:rFonts w:hint="eastAsia" w:ascii="宋体" w:hAnsi="宋体" w:eastAsia="宋体" w:cs="宋体"/>
                <w:color w:val="auto"/>
                <w:sz w:val="24"/>
                <w:szCs w:val="24"/>
                <w:highlight w:val="none"/>
              </w:rPr>
              <w:t xml:space="preserve">虫、灭虫大战、小兔拔萝卜、情景配对拼图、叠叠乐、情景剧场、小鸡快跳、花瓣鼓、神奇的帽子、揪尾巴背心、地盘争夺、寻宝之旅、我爱接龙、百变货车、北极熊钓鱼、迷宫天地、排排乐、分分乐、青蛙吃豆、小兔乖乖、拔萝卜、龟兔赛跑、快乐幼儿园、小天使、综合教具等。通过不少于25组游戏材料对游戏活动的设计会让学生感受到参与感的乐趣，可以提升学生的兴趣与主动性，激发沟通的欲望与动机，提高或发展沟通技巧，有助于发展学生的相互调控能力，让学生体会不同感情，从而学会控制自己的情绪。在各种假扮与角色扮演中，学生的思维转换能力得到锻炼。</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课程资源实施方案：</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（1）社交游戏课程：包含独立游戏、平行游戏、轮流游戏、竞争游戏、合作游戏、假象游戏、规则游戏和对话游戏等不少于8个主题。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社交技巧课程：包含关注他人、倾听、执行指令、学会等待、物权概念、打招呼与道别、自我介绍与认识他人、礼貌行为、非语言沟通、分享、加入活动、邀请、夸赞与接受夸赞、寻求帮助、开启话题、参与话题、结束话题、鼓励他人、提供帮助、合作、接受意见、拒绝等不少于22个主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（3）课程资源包括了完善的教学流程和教学指导，每个主题都有清楚的目标建议、教学目标以及教学步骤等环节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社交技巧：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关注他人、倾听、执行指令、学会等待、物权概念、打招呼与道别、自我介绍与认识他人、礼貌行为、非语言沟通、分享、加入活动、邀请、夸赞与接受夸赞、寻求帮助、开启话题、参与话题、结束话题、鼓励他人、提供帮助、合作、接受意见、拒绝</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3.产品符合GB6675-2014《玩具安全》标准。</w:t>
            </w:r>
            <w:r/>
          </w:p>
        </w:tc>
        <w:tc>
          <w:tcPr>
            <w:tcW w:w="808"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bookmarkStart w:id="191" w:name="_Toc4051"/>
            <w:r>
              <w:rPr>
                <w:rFonts w:hint="eastAsia" w:ascii="宋体" w:hAnsi="宋体" w:eastAsia="宋体" w:cs="宋体"/>
                <w:b/>
                <w:bCs/>
                <w:color w:val="auto"/>
                <w:sz w:val="24"/>
                <w:szCs w:val="24"/>
                <w:highlight w:val="none"/>
              </w:rPr>
              <w:t xml:space="preserve">室内感觉统合训练室</w:t>
            </w:r>
            <w:bookmarkEnd w:id="191"/>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A字架吊缆系列</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A字架尺寸：≥长264cm；≥宽144cm；≥高184cm，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产品材质：48mm钢管+彩色布套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横抱筒直径：≥28cm长度：≥90cm，PU皮+珍珠绵。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竖抱筒直径：≥65cm长度：≥65cm，外层PU皮、内填充珍珠绵。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插棍吊袋：≥130*60*155cm，帆布+榉木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训练目的：调节固有前庭感觉统合功能,发展平衡能力,促进身体协调感统器材配套,可结合横抱筒、竖抱筒、插棍吊袋使用</w:t>
            </w:r>
            <w:r/>
          </w:p>
        </w:tc>
        <w:tc>
          <w:tcPr>
            <w:tcW w:w="808"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攀爬墙</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总长度：≥300cm高度：≥240cm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材质：实木多层板+桦木纹实木贴面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攀爬墙3块每块规格：≥100cm*240cm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增强儿童青少年的信心，培养他们不怕困难，不畏艰险的精神。也可以增强体质，提高集中力，增强进取心，提高身体的协调感和柔软度，增强平衡感。</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大滑梯</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产品功能：体验滑行的快感促进前庭神经，提高身体平衡能力，促进全身血液循环，增强儿童体质。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产品尺寸：≥320*82*55cm；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团队协力板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功能：锻炼动作发展能力及团队合作的协调性,培养团队的默契和同伴互助的关系，携带方便，不受空间限制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产品尺寸：≥39*11*2cm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组成</w:t>
            </w:r>
            <w:r>
              <w:rPr>
                <w:rFonts w:hint="eastAsia" w:ascii="宋体" w:hAnsi="宋体" w:eastAsia="宋体" w:cs="宋体"/>
                <w:color w:val="auto"/>
                <w:sz w:val="24"/>
                <w:szCs w:val="24"/>
                <w:highlight w:val="none"/>
              </w:rPr>
              <w:t xml:space="preserve">：4双</w:t>
            </w:r>
            <w:r>
              <w:rPr>
                <w:rFonts w:hint="eastAsia" w:ascii="宋体" w:hAnsi="宋体" w:eastAsia="宋体" w:cs="宋体"/>
                <w:b/>
                <w:bCs/>
                <w:color w:val="auto"/>
                <w:sz w:val="24"/>
                <w:szCs w:val="24"/>
                <w:highlight w:val="none"/>
                <w:lang w:val="en-US" w:eastAsia="zh-CN"/>
              </w:rPr>
              <w:t xml:space="preserve">/套</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四级跳箱</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材质：PU皮+木框架+海绵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产品尺寸：≥80*90*60cm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软体彩虹桶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材质：PU+木架+海绵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规格：≥70*60CM，筒口直径≥40cm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做滚筒游戏需要头、手、脚的协作，促进前庭觉的发展和触觉刺激，促进身体协调能力。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圆形滑车</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规格：≥50*46cm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可坐着或者趴卧在滑板上，双人共乘、连接车阵、手搭肩、搬运等玩法变化多样。可增进平衡感、协调能力及促进同伴互助的良好关系。</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88轨道</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产品功能：锻炼手部肌肉发展；锻炼动作协调性与灵活度；可以训练孩子手、眼、脑的统筹运动。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1.外形尺寸：≥34*21*4cm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2.材质：环保塑料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3.外表面：表面牢固、光滑、无明显杂质、流挂和起泡。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4.拼接缝处误差≤1mm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平衡鱼</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尺寸：≥25*21cm，厚度≥2.9cm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路径较浅，无盖子，以鱼眼睛让球在路径运转，尽量保持不掉落。促进手腕稳定操作能力，提升手眼协调能。</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阳光隧道组合</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材质：钢丝+涤纶布；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规格：≥47*70cm（6通），整体直径≥210cm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适合于动作不协调，注意力不集中，平衡感差，容易跌倒的儿童。</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独脚凳</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1.材质：安全塑料；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2.尺寸：≥23*22cm；4个</w:t>
            </w:r>
            <w:r>
              <w:rPr>
                <w:rFonts w:hint="eastAsia" w:ascii="宋体" w:hAnsi="宋体" w:eastAsia="宋体" w:cs="宋体"/>
                <w:color w:val="auto"/>
                <w:sz w:val="24"/>
                <w:szCs w:val="24"/>
                <w:highlight w:val="none"/>
                <w:lang w:val="en-US" w:eastAsia="zh-CN"/>
              </w:rPr>
              <w:t xml:space="preserve">/套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3.功能：锻炼平衡能力，协调身体，控制重力感，建立庭感觉机能</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团队协力板/4人</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尺寸：≥38.5*11.5*2.3cm，每套4双；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材质：环保塑料；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用于学生下肢平衡以及身体协调能力训练，同时可进行团队训练，锻炼团体的凝聚力等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彩虹伞</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产品功能：色彩丰富，提高孩子的好奇心，增强孩子对于颜色的认知8色彩虹伞不仅仅是好玩；感受团队游戏带来的乐趣，耐磨材质，经得起孩子随意折腾。</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产品尺寸：≥3.6米直径；</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儿童车轮滚滚</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尺寸：≥800*75cm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主要用于团队运动,发展孩子协调能力。室内室外场地不限</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拳击沙袋</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产品组成要求：10个沙袋、10副手套；尺寸：长度约≥84m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乌龟壳</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产品功能：乌龟壳的造型设计，让孩子发挥天马行空的想象力，可以背着，拿着，想怎么玩就怎么玩色彩的鲜艳度+七彩的缤纷度+高级的质感度+明了的颜色搭配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启启叠叠高的积木配色；一套至少6个</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大象套圈</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产品功能特点：柔和边角边角柔和过度，光滑无毛刺；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产品尺寸：≥31*24*12cm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圈：≥12.5cm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摸石过河</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产品功能：防滑材质，黄金切割与科学长宽比例；EVA传，搞压性好，不易变形；闭孔发泡结构，不吸水，防潮；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产品尺寸：≥22.5*14*7cm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r>
      <w:tr>
        <w:trPr>
          <w:trHeight w:val="300"/>
        </w:trPr>
        <w:tc>
          <w:tcPr>
            <w:tcW w:w="1796" w:type="dxa"/>
            <w:vAlign w:val="center"/>
            <w:textDirection w:val="lrTb"/>
            <w:noWrap w:val="false"/>
          </w:tcPr>
          <w:p>
            <w:pPr>
              <w:ind w:firstLine="240"/>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上下转盘</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材质：塑料</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产品尺寸：≥18*28cm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至少配5个小球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将球放置在轨道上并慢慢地转动转盘，尽量不掉落，可提高孩子的专注力及手、眼脑的配合能力，特别是视神经的追踪能力，对左右脑功能分化不良的孩子作用更大。</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按摩球</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尺寸：5cm、6cm、7cm、8cm、9cm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能：①用于全身按摩，可刺激触觉发展、稳定情绪。②透过挤、抓、握、小肌肉及触觉训练。③滚动球，可以增强视觉追随，手眼协调的能力。④可透过抛、丢、掷游戏，适度促进触觉防御能力发展。⑤做投篮或你丢我捡的游戏，控制大小肌肉及手眼协调。</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万象组合套装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产品功能：为学生进行体能训练，锻炼手眼协调能力；帮助学生快速成长，有效改善学生感统失调问题。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1.配置</w:t>
            </w:r>
            <w:r>
              <w:rPr>
                <w:rFonts w:hint="eastAsia" w:ascii="宋体" w:hAnsi="宋体" w:eastAsia="宋体" w:cs="宋体"/>
                <w:color w:val="auto"/>
                <w:sz w:val="24"/>
                <w:szCs w:val="24"/>
                <w:highlight w:val="none"/>
              </w:rPr>
              <w:t xml:space="preserve">清单半砖：高级塑胶PP/PE/ABS,数量12个；全砖：高级塑胶PP/PE/ABS,数量8个；平衡桥：髙级塑胶PP/PE/ABS,数量4个;体能环：高级塑胶PP/PE/ABS,直径35cm,数量：4个；体能环：高级塑胶PP/PE/ABS,直径59cm,数4个;体能棒：高级塑胶PP/PE/ABS,长35cm,数量：16根；体能棒：髙级塑胶PP/PE/ABS,长70cm,数量：8根;棒夹：高级塑胶PP/PE/ABS,数量：12个；环夹：高级塑胶PP/PE/ABS,数量：12个；豆袋：布制+塑料粒子、数量：3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2.外表面：表面牢固、光滑、无明显杂质、流挂和起泡。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3.平衡桥承受力不小于35公斤；</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平衡触觉板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组成：由塑料横杆组成的步道，8片曲线+8片直线，4个连接器。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特点：可根据训练要求自由组合各种图形。通过不同形式训练提供触觉、平衡的双层刺激，促进平衡杆、肢体协调动作的发展。</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彩色接龙</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数量：19件/套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材质：帆布+全海绵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组成：大圆4个、小圆4个、半圆4个、圆凳6个、圆桶1个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特点：软体彩虹接龙是集钻、爬于一体感统体能训练，适合于动作不协调，注意力不集中，平衡感差，容易跌倒的儿童</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塑棍步道</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材质：塑胶</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尺寸：≥150*28.5cm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组件明细：每套四串四种颜色</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让幼儿在上面尽情爬、走、跑、跳，刺激孩子脚底神经及全身触觉感官的发展。</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跷跷板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S形轨道</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尺寸：≥57*20*13cm，配6个球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训练平衡能力，对前庭固有感觉及身体姿势的强化有很大的作用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摇滚大陀螺</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材质：滚塑，</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尺寸：≥直径80*29.5cm，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孩子可蹲坐在其中，双手可以扶着大陀螺的边缘，身体还可以靠在边缘，因此会感到比较安全，可以自由放松的接受信息的刺激，对固有前庭感觉的输入和调整有很大的帮助，助于平衡和姿势的健全发展。</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木质平衡板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尺寸：≥84*42*16cm，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木质平衡踩踏板中间由15根木条组合拼接，孩子们可以在这个外形别致的木质跷跷板上或坐或站，而且可以两边摇晃。翻过来就变成一座小桥，孩子们可以在上面攀越，锻炼了孩子们的身体平衡性。</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大龙球</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尺寸：直径≥100cm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材质：橡胶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颜色：蓝色</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组成：包含一个打气筒</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特点：多种训练方式，训练不同感觉能力。可以趴在大龙球上训练平衡，推着大龙球越过障碍物训练手眼脚的协调能力等。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青蛙跳砖</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材质：新型橡胶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至少5种颜色可选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拉力带长≥40cm，可随意拉伸</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防滑手柄设计，方便抓握，玩耍放心防止手滑。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高回弹踏垫，承重力强，柔软厚实，防滑性好。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包装尺寸：≥14.5*13.5*24.5cm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蜗牛平衡板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尺寸：直径≥36*46cm，至少附3颗球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材质：高级塑料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承重量：</w:t>
            </w:r>
            <w:bookmarkStart w:id="192" w:name="OLE_LINK7"/>
            <w:r>
              <w:rPr>
                <w:rFonts w:hint="eastAsia" w:ascii="宋体" w:hAnsi="宋体" w:eastAsia="宋体" w:cs="宋体"/>
                <w:color w:val="auto"/>
                <w:sz w:val="24"/>
                <w:szCs w:val="24"/>
                <w:highlight w:val="none"/>
              </w:rPr>
              <w:t xml:space="preserve">≥</w:t>
            </w:r>
            <w:bookmarkEnd w:id="192"/>
            <w:r>
              <w:rPr>
                <w:rFonts w:hint="eastAsia" w:ascii="宋体" w:hAnsi="宋体" w:eastAsia="宋体" w:cs="宋体"/>
                <w:color w:val="auto"/>
                <w:sz w:val="24"/>
                <w:szCs w:val="24"/>
                <w:highlight w:val="none"/>
              </w:rPr>
              <w:t xml:space="preserve">60公斤</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利用身体左右两侧的平衡与全身动作的协调感，带动球在蜗牛板上运转，提升孩子的动作灵巧性和平衡感，大人也可一起体验平衡力。平衡板中间是蜗牛造型路径，玩法有趣，挑战性高</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触觉训练套装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材质：橡胶、布制眼罩、软胶、PVC材质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组成：大触觉板5片，小触觉板5片，眼罩一只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功能：提升幼儿触觉强度刺激，增加本体觉空间方位判断能力。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精细动作训练仪</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通过掌握抓、握、拍、打、拧等动作，训练手部的灵活性、准确性、手眼协调能力。</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（1）环保塑料及电子元件，内置电池可更换电池保持使用；</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（2）通过内置声音提示引导完成训练内容，提升听觉注意力和精细动作能力；</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（3）进阶挑战式训练，根据音效反馈完成任务，操作错误重新进行挑战训练；</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（4）具有不少于四种不同的模式可选择，每个模式难度由易到难进阶；</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（5）精细动作训练挑战，训练难度不少于四个等级，难易程度逐渐提升，符合多种能力阶段学生的训练需求；</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（6）训练包含不少于六种难度，难度等级越高，语音提示任务速度越快；</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（7）记忆力训练，包含不少于五种难度，训练难度等级越高，语音提示任务越多；</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（8）训练不少于100个语音指令，完成指令后取得对应得分；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（9）社交训练，可多人轮流参与训练挑战，根据语音指令进行轮换操作；</w:t>
            </w:r>
            <w:r/>
          </w:p>
          <w:p>
            <w:pPr>
              <w:spacing w:line="276"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★（10）玩具和玩具部件中可迁移元素的测试结果校正值应符合；</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（11）玩具不应含有易燃气体、高度易燃液体、易燃液体和易燃凝胶体；</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（12）其他驱动结构：玩具的发条、电池、惯性驱动或动力驱动机构应加以封闭，不应露出可触及锐利边缘或锐利尖端或其他压伤手指或身体其他部位的危险部件；</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（13）玩具销售时采用的包装不应存在任何勒死或因堵塞口鼻腔外部呼吸道而导致的窒息危险；</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（14）材料质量目视检查应清洁干净，无污染；</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（15）温升测试在周围无风、温度为21±5℃的环境中，最大输入操作达到平衡温度，不会着火；</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（16）环境控制系统应满足特定用户指令的功能要求。所用方式应满足感觉、认知障碍者的需求；</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（17）设备的设计应使其在断电情况下功能设置不遭到破坏。设备的电池供电故障测试：断开电池，如果适用,断开电力网供电,5min后重新接通电池，按照生产商说明,验证所有功能可运行；</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（18）电池盒应便于更换电池，不内嵌充电器的以电池为电源的设备可在不使用工具的情况下取出电池。</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四分之一圆</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整圆尺寸：≥133*42cm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材质：环保材料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特点：进行感觉统合训练能促进大脑功能的发展和成熟，提高孩子的学习技能能和体能。</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过河石</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组成：过河石11件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材质：环保塑料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颜色：红/黄/蓝/绿/紫/橙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特点：将过河石排成不同方式，让孩子从上面走过去，训练孩子的平衡能力。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拱形平衡板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规格：长≥62cm，宽≥25cm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材质：PE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功能：踩脚处卡通防滑纹理，光滑圆角，多种玩法提升专注力，训练平衡协调性，锻炼四肢力量。</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平衡踩踏石</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数量：3对/套，重</w:t>
            </w:r>
            <w:r>
              <w:rPr>
                <w:rFonts w:hint="eastAsia" w:ascii="宋体" w:hAnsi="宋体" w:eastAsia="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0.9kg，尺寸：≥15*8cm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特点：一次成型，加厚耐磨耐用，不易损坏，表面磨砂纹，具有一定的防滑作用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彩虹桥</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规格：≥200*80*80cm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软体海绵彩虹桥色彩鲜艳、光滑柔软、不易破损、安全耐用，易清洗。色彩鲜艳,锻炼小孩子的旋转能力,安全舒适。训练全身肢体协调功能力，平衡能力。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体感花生球</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尺寸：≥90*45cm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材质：环保塑料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颜色：蓝色</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特点：调节感统失调问题的同时，也可培养团队合作的能力。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海星过河石</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产品功能：环保印染，色彩亮丽，鲜艳的颜色可以刺激宝宝的视觉感知，在与朋友的玩耍过程中加强辨别色彩的能力；</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产品尺寸：≥41*7*32cm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圆形转盘</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尺寸：直径≥50cm,总高≥12cm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功能：训练儿童专注力,锻炼平衡能力,促进身体协调。</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羊角球</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尺寸：直径≥60cm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颜色：黄色或绿色</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特点：可进行下肢力度训练，也可以进行本体觉训练。</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S型平衡木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规格：≥200*15*24cm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材质：PU皮+木架+海绵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功能：用于强化行走平衡能力、前庭觉及本体觉训练、全身运动协调性训练。在不规则延伸平衡木上行走，建立身体平衡能力。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触觉平衡木岛屿10件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10件：5桥+5墩(大岛2个/中岛2个/小岛2个)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功能：触觉独木桥能调节平衡感和触觉感知可自由组合，表面触点刺激儿童的足部肌肤，增强孩子的四肢协调平衡性增强团队使用意识，加强专注力。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步行隧道组合</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长*宽*高≥210*70*90cm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材质：PU皮+木框架+海绵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特点：色彩鲜艳、光滑柔软。能够引导孩子认知色彩、形状，培养孩子创造力想象力,提高孩子身体素质。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滚轴</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尺寸：≥35.5cm，直径≥29.5cm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滚轴两边橡胶减速减震，横面橡胶增大儿童触觉，更安全。控制速度，掌控平衡。</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跳床</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产品规格：跳床直径≥100cm，加上软包后直径≥110cm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产品材质：钢管+尼龙网布+弹簧+软包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产品说明：带软包使用安全，提高儿童的弹跳能力和平衡能力。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智能互动训练仪</w:t>
            </w:r>
            <w:r/>
          </w:p>
        </w:tc>
        <w:tc>
          <w:tcPr>
            <w:tcW w:w="6361" w:type="dxa"/>
            <w:vAlign w:val="center"/>
            <w:textDirection w:val="lrTb"/>
            <w:noWrap w:val="false"/>
          </w:tcPr>
          <w:p>
            <w:pPr>
              <w:numPr>
                <w:ilvl w:val="0"/>
                <w:numId w:val="2"/>
              </w:numPr>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互动仪采用最新的体感控制技术，让儿童无需任何手持设备即可操作，通过设备抓取人物，通过肢体运动操作系统。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系统至少包含交通标识、小小消防员、学数数等不少于50个训练版块，通过亲身参与，肢体操作训练游戏，让儿童在感知觉、听觉、视觉、手眼协调等方面得到综合训练，从而提高使用者的注意力、认知能力、逻辑思维能力、身体协调性，大运动及精细运动的能力。</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一、产品功能：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1.认知能力训练：系统提供多类游戏化主题教学内容，具有交互性及娱乐性的游戏教育活动能增加儿童参与教学的积极性，虚实结合的教学形式，更好的辅助儿童进行认知功能的康复学习。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2.运动辅助训练：通过传感器捕捉三维空间中的运动，让儿童与虚拟角色实现互动，训练儿童蹲下、跳起、走路等生活中常规动作，让儿童通过人机互动的形式，引起儿童训练兴趣，实现儿童主动训练。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3.手眼协调训练：利用肢体操作游戏的方式，依靠传感器捕捉三维空间中的运动，从而控制游戏角色进行游戏训练，提升手眼协调能力和身体协调性。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4.逻辑思维能力：数理逻辑系列类主题，通过身体游戏来学习数理知识，训练儿童左右大脑的协调性，提升儿童数学方面的认知能力。</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二、硬件部分：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1.产品硬件参数：</w:t>
            </w:r>
            <w:r/>
          </w:p>
          <w:p>
            <w:pPr>
              <w:numPr>
                <w:ilvl w:val="0"/>
                <w:numId w:val="0"/>
              </w:num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显示屏：</w:t>
            </w:r>
            <w:r>
              <w:rPr>
                <w:rFonts w:hint="eastAsia" w:ascii="宋体" w:hAnsi="宋体" w:eastAsia="宋体" w:cs="宋体"/>
                <w:color w:val="auto"/>
                <w:sz w:val="24"/>
                <w:szCs w:val="24"/>
                <w:highlight w:val="none"/>
              </w:rPr>
              <w:t xml:space="preserve">≥55寸高清液晶屏，背光</w:t>
            </w:r>
            <w:r>
              <w:rPr>
                <w:rFonts w:hint="eastAsia" w:ascii="宋体" w:hAnsi="宋体" w:eastAsia="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rPr>
              <w:t xml:space="preserve">LED</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屏幕分辨率：超高清4K。</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2.内置红外热感应人体骨架扫描仪，通过肢体动作控制互动游戏（无需任何手持设备即可操作）</w:t>
            </w:r>
            <w:r>
              <w:rPr>
                <w:rFonts w:hint="eastAsia" w:ascii="宋体" w:hAnsi="宋体" w:eastAsia="宋体" w:cs="宋体"/>
                <w:color w:val="auto"/>
                <w:sz w:val="24"/>
                <w:szCs w:val="24"/>
                <w:highlight w:val="none"/>
                <w:lang w:eastAsia="zh-CN"/>
              </w:rPr>
              <w:t xml:space="preserve">。</w:t>
            </w:r>
            <w:r/>
          </w:p>
          <w:p>
            <w:pPr>
              <w:numPr>
                <w:ilvl w:val="0"/>
                <w:numId w:val="3"/>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内置主机硬件：CPU不低于i3，运行内存：≥8G，固态硬盘：≥120G，独立显卡</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4、台车</w:t>
            </w:r>
            <w:r>
              <w:rPr>
                <w:rFonts w:hint="eastAsia" w:ascii="宋体" w:hAnsi="宋体" w:eastAsia="宋体" w:cs="宋体"/>
                <w:color w:val="auto"/>
                <w:sz w:val="24"/>
                <w:szCs w:val="24"/>
                <w:highlight w:val="none"/>
              </w:rPr>
              <w:t xml:space="preserve">底部带滑轮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通过训练系统虚拟环境，对儿童进行肢体协调性训练、提升儿童认知能力。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便携式情景互动系统</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产品功能要求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1.内容系统包含不少于80个项目，分为（1）多人竞技，（2）逻辑思维，（3）趣味游戏，（4）情景互动，（5）情绪舒缓，（6）沉浸体验六大类。</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受训者在特定感应区域内，置身于其中，根据场景内容，做相应的动作，如跑、跳、走等动作，从而达到、认知、理解、模仿、平衡协调等训练效果；采用多感观干预训练、多元智能互动，融合多学科康复理论，专注技术与文化教育的相互渗透与整合，实现特殊儿童整体康复的特殊教育理论和实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精彩的画面、悦耳的音乐、无拘束的操作与特殊儿童康复目标相融合，有效改善特殊儿童上下肢功能、社交合作能力、认知能力、情绪控制、触觉、前庭觉等功能的恢复与重组。实现大脑与身体各种机能的联系与协调，促进大脑与身体的发育；</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4.软件支持在无网络情况下能正常使用；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5.内容可自由设置不同时长，如1分钟，2分钟等。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★6.反应训练设备通过蓝牙连接组成网络，集成远近距离接近传感器和震动传感器，能产生多种交互形式。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7.根据不同的训练环境可自定义调整安装方式进行训练。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8.几种反应训练模式可进行自定义编程，自动优化冲突的模式。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9.反应训练数据可以根据颜色和数字灯进行分类查看，可导出数据保存至桌面。</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产品配置要求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1.高清超短焦投影机：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亮度：3700ANSI流明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标准分辨率：1280*800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屏幕比例：16：9(W*GA)</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投影芯片：3LCDChips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数据模式：最大1600*1200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投射比：0.20：1(D：W)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投射尺寸：210×130cm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数字梯形校正：水平&amp;垂直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电源：360瓦100V-240V</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2.主机：CPU：不低于</w:t>
            </w:r>
            <w:r>
              <w:rPr>
                <w:rFonts w:hint="eastAsia" w:ascii="宋体" w:hAnsi="宋体" w:eastAsia="宋体" w:cs="宋体"/>
                <w:color w:val="auto"/>
                <w:sz w:val="24"/>
                <w:szCs w:val="24"/>
                <w:highlight w:val="none"/>
                <w:lang w:val="en-US" w:eastAsia="zh-CN"/>
              </w:rPr>
              <w:t xml:space="preserve">i</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内存：≥8GB</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硬盘：≥120G</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固态显卡：≥2G支持WIN10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带遥控开关机功能。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3.平板尺寸：≥10.4英寸，内存：≥4+128G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4.采用高精度精准雷达捕捉，感应响应时间≤2ms，使用寿命≥20000小时；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5.高清数字成像设备，音响，控制主机，雷达互动捕捉设备与控制机柜集成一体设计，通过反射投影于地面，无需吊挂走线；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6.机柜配置万向轮，投影和互动感应区域可跟随移动，无需重新设置参数；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7.地面成像可不借助任何辅助设备，通过人体的肢体动作实现实时动作捕捉，进行互动训练。</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儿童感觉统合能力评估系统</w:t>
            </w:r>
            <w:r/>
          </w:p>
        </w:tc>
        <w:tc>
          <w:tcPr>
            <w:tcW w:w="6361" w:type="dxa"/>
            <w:vAlign w:val="center"/>
            <w:textDirection w:val="lrTb"/>
            <w:noWrap w:val="false"/>
          </w:tcPr>
          <w:p>
            <w:pPr>
              <w:numPr>
                <w:ilvl w:val="0"/>
                <w:numId w:val="0"/>
              </w:num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功能要求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感觉统合测试系统须包括学生管理、评估版块、感统资料等版块，通过对感统评估测试试题的作答，为特需儿童感觉统合前庭功能、触觉功能和本体感等方面能力进行测评，并根据评估结果自动生成评估报告，报告介绍儿童当前感觉统合可能存在的问题并给予相关训</w:t>
            </w:r>
            <w:r>
              <w:rPr>
                <w:rFonts w:hint="eastAsia" w:ascii="宋体" w:hAnsi="宋体" w:eastAsia="宋体" w:cs="宋体"/>
                <w:color w:val="auto"/>
                <w:sz w:val="24"/>
                <w:szCs w:val="24"/>
                <w:highlight w:val="none"/>
              </w:rPr>
              <w:t xml:space="preserve">练建议，根据评估结果及建议直接选择系统性的感统训练教案，方便教师进行教学，提高教学效率。系统内还须包含重要的、必备的感统训练项目的介绍及感统课程教案参考，教师可对感统教案进行管理，具有自定义修改添加等操作，更加贴合个别化教学的需求。感觉统合测试系统可使感统测评及训练更加系统的进行，且成为一个连续的过程，对儿童及教师双方均有益处，能够了解儿童的学习与发展状况，进行感统训练课程，以促进儿童未来的发展。并协助教师检视教学活动与儿童的能力是否适宜，包括训练活动的内容、组织的方法是否适合儿童的能力、需要、以及兴趣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二、硬件配置：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电脑主机1台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CPU：</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lang w:eastAsia="zh-CN"/>
              </w:rPr>
              <w:t xml:space="preserve">i5，运行内存：</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8G，固态硬盘：</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512G </w:t>
            </w:r>
            <w:r/>
          </w:p>
          <w:p>
            <w:pPr>
              <w:numPr>
                <w:ilvl w:val="0"/>
                <w:numId w:val="0"/>
              </w:num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无线键盘鼠标1套</w:t>
            </w:r>
            <w:r>
              <w:rPr>
                <w:rFonts w:hint="eastAsia" w:ascii="宋体" w:hAnsi="宋体" w:eastAsia="宋体" w:cs="宋体"/>
                <w:color w:val="auto"/>
                <w:sz w:val="24"/>
                <w:szCs w:val="24"/>
                <w:highlight w:val="none"/>
                <w:lang w:eastAsia="zh-CN"/>
              </w:rPr>
              <w:t xml:space="preserve">；</w:t>
            </w:r>
            <w:r/>
          </w:p>
          <w:p>
            <w:pPr>
              <w:numPr>
                <w:ilvl w:val="0"/>
                <w:numId w:val="0"/>
              </w:num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液晶显示器1台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尺寸≥</w:t>
            </w:r>
            <w:r>
              <w:rPr>
                <w:rFonts w:hint="eastAsia" w:ascii="宋体" w:hAnsi="宋体" w:eastAsia="宋体" w:cs="宋体"/>
                <w:color w:val="auto"/>
                <w:sz w:val="24"/>
                <w:szCs w:val="24"/>
                <w:highlight w:val="none"/>
              </w:rPr>
              <w:t xml:space="preserve">23寸</w:t>
            </w:r>
            <w:r>
              <w:rPr>
                <w:rFonts w:hint="eastAsia" w:ascii="宋体" w:hAnsi="宋体" w:eastAsia="宋体" w:cs="宋体"/>
                <w:color w:val="auto"/>
                <w:sz w:val="24"/>
                <w:szCs w:val="24"/>
                <w:highlight w:val="none"/>
                <w:lang w:eastAsia="zh-CN"/>
              </w:rPr>
              <w:t xml:space="preserve">；</w:t>
            </w:r>
            <w:r/>
          </w:p>
          <w:p>
            <w:pPr>
              <w:numPr>
                <w:ilvl w:val="0"/>
                <w:numId w:val="0"/>
              </w:num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4.A4</w:t>
            </w:r>
            <w:r>
              <w:rPr>
                <w:rFonts w:hint="eastAsia" w:ascii="宋体" w:hAnsi="宋体" w:eastAsia="宋体" w:cs="宋体"/>
                <w:color w:val="auto"/>
                <w:sz w:val="24"/>
                <w:szCs w:val="24"/>
                <w:highlight w:val="none"/>
              </w:rPr>
              <w:t xml:space="preserve">彩色喷墨打印机</w:t>
            </w:r>
            <w:r>
              <w:rPr>
                <w:rFonts w:hint="eastAsia" w:ascii="宋体" w:hAnsi="宋体" w:eastAsia="宋体" w:cs="宋体"/>
                <w:color w:val="auto"/>
                <w:sz w:val="24"/>
                <w:szCs w:val="24"/>
                <w:highlight w:val="none"/>
                <w:lang w:val="en-US" w:eastAsia="zh-CN"/>
              </w:rPr>
              <w:t xml:space="preserve">1台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复印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打印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扫描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连接方式：支持</w:t>
            </w:r>
            <w:r>
              <w:rPr>
                <w:rFonts w:hint="eastAsia" w:ascii="宋体" w:hAnsi="宋体" w:eastAsia="宋体" w:cs="宋体"/>
                <w:color w:val="auto"/>
                <w:sz w:val="24"/>
                <w:szCs w:val="24"/>
                <w:highlight w:val="none"/>
                <w:lang w:val="en-US" w:eastAsia="zh-CN"/>
              </w:rPr>
              <w:t xml:space="preserve">无线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USB</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接口类型：USB、wifi</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打印速速</w:t>
            </w:r>
            <w:r>
              <w:rPr>
                <w:rFonts w:hint="eastAsia" w:ascii="宋体" w:hAnsi="宋体" w:eastAsia="宋体" w:cs="宋体"/>
                <w:color w:val="auto"/>
                <w:sz w:val="24"/>
                <w:szCs w:val="24"/>
                <w:highlight w:val="none"/>
                <w:lang w:eastAsia="zh-CN"/>
              </w:rPr>
              <w:t xml:space="preserve">：黑白</w:t>
            </w:r>
            <w:r>
              <w:rPr>
                <w:rFonts w:hint="eastAsia" w:ascii="宋体" w:hAnsi="宋体" w:eastAsia="宋体" w:cs="宋体"/>
                <w:color w:val="auto"/>
                <w:sz w:val="24"/>
                <w:szCs w:val="24"/>
                <w:highlight w:val="none"/>
                <w:lang w:val="en-US" w:eastAsia="zh-CN"/>
              </w:rPr>
              <w:t xml:space="preserve">不低于17</w:t>
            </w:r>
            <w:r>
              <w:rPr>
                <w:rFonts w:hint="eastAsia" w:ascii="宋体" w:hAnsi="宋体" w:eastAsia="宋体" w:cs="宋体"/>
                <w:color w:val="auto"/>
                <w:sz w:val="24"/>
                <w:szCs w:val="24"/>
                <w:highlight w:val="none"/>
                <w:lang w:eastAsia="zh-CN"/>
              </w:rPr>
              <w:t xml:space="preserve">页/分钟、彩色</w:t>
            </w:r>
            <w:r>
              <w:rPr>
                <w:rFonts w:hint="eastAsia" w:ascii="宋体" w:hAnsi="宋体" w:eastAsia="宋体" w:cs="宋体"/>
                <w:color w:val="auto"/>
                <w:sz w:val="24"/>
                <w:szCs w:val="24"/>
                <w:highlight w:val="none"/>
                <w:lang w:val="en-US" w:eastAsia="zh-CN"/>
              </w:rPr>
              <w:t xml:space="preserve">不低于10</w:t>
            </w:r>
            <w:r>
              <w:rPr>
                <w:rFonts w:hint="eastAsia" w:ascii="宋体" w:hAnsi="宋体" w:eastAsia="宋体" w:cs="宋体"/>
                <w:color w:val="auto"/>
                <w:sz w:val="24"/>
                <w:szCs w:val="24"/>
                <w:highlight w:val="none"/>
                <w:lang w:eastAsia="zh-CN"/>
              </w:rPr>
              <w:t xml:space="preserve">页/分钟；最大分辩率：</w:t>
            </w:r>
            <w:r>
              <w:rPr>
                <w:rFonts w:hint="eastAsia" w:ascii="宋体" w:hAnsi="宋体" w:eastAsia="宋体" w:cs="宋体"/>
                <w:color w:val="auto"/>
                <w:sz w:val="24"/>
                <w:szCs w:val="24"/>
                <w:highlight w:val="none"/>
                <w:lang w:val="en-US" w:eastAsia="zh-CN"/>
              </w:rPr>
              <w:t xml:space="preserve">不低于4800</w:t>
            </w:r>
            <w:r>
              <w:rPr>
                <w:rFonts w:hint="eastAsia" w:ascii="宋体" w:hAnsi="宋体" w:eastAsia="宋体" w:cs="宋体"/>
                <w:color w:val="auto"/>
                <w:sz w:val="24"/>
                <w:szCs w:val="24"/>
                <w:highlight w:val="none"/>
                <w:lang w:eastAsia="zh-CN"/>
              </w:rPr>
              <w:t xml:space="preserve">x 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0 dpi；进纸容量：</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lang w:eastAsia="zh-CN"/>
              </w:rPr>
              <w:t xml:space="preserve">100页A4</w:t>
            </w:r>
            <w:r>
              <w:rPr>
                <w:rFonts w:hint="eastAsia" w:ascii="宋体" w:hAnsi="宋体" w:eastAsia="宋体" w:cs="宋体"/>
                <w:color w:val="auto"/>
                <w:sz w:val="24"/>
                <w:szCs w:val="24"/>
                <w:highlight w:val="none"/>
                <w:lang w:val="en-US" w:eastAsia="zh-CN"/>
              </w:rPr>
              <w:t xml:space="preserve">纸张；液晶屏幕不小于1.4英寸</w:t>
            </w:r>
            <w:r>
              <w:rPr>
                <w:rFonts w:hint="eastAsia" w:ascii="宋体" w:hAnsi="宋体" w:eastAsia="宋体" w:cs="宋体"/>
                <w:color w:val="auto"/>
                <w:sz w:val="24"/>
                <w:szCs w:val="24"/>
                <w:highlight w:val="none"/>
                <w:lang w:eastAsia="zh-CN"/>
              </w:rPr>
              <w:t xml:space="preserve">；</w:t>
            </w:r>
            <w:r/>
          </w:p>
          <w:p>
            <w:pPr>
              <w:numPr>
                <w:ilvl w:val="0"/>
                <w:numId w:val="0"/>
              </w:num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工作台车1台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材质：</w:t>
            </w:r>
            <w:r>
              <w:rPr>
                <w:rFonts w:hint="eastAsia" w:ascii="宋体" w:hAnsi="宋体" w:eastAsia="宋体" w:cs="宋体"/>
                <w:color w:val="auto"/>
                <w:sz w:val="24"/>
                <w:szCs w:val="24"/>
                <w:highlight w:val="none"/>
                <w:lang w:eastAsia="zh-CN"/>
              </w:rPr>
              <w:t xml:space="preserve">ABS材质，环保材料。</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防撞墙垫</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外层防水环保PU皮，内层珍珠棉；防水高级EVA合成墙垫采用弹度材质制作，除可减轻墙垫厚度及重量；亦确保游戏者的安全外，更同时可保护游戏者。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技术参数：尺寸（±2）：厚≥4*高≥50*宽≥20cm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功能：保护与整体环境装饰，防止儿童互动游戏时撞伤</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防摔地垫</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无毒、环保产品，尺寸≥100*100*2.5cm安装简便，直接拼在地面即可。EVA发泡材料，表面有物理压花，无毒，环保，防滑。超强回弹，防水易清理。可以有效缓冲宣泄时的回弹，保持宣泄室清洁。</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bookmarkStart w:id="193" w:name="_Toc15047"/>
            <w:r>
              <w:rPr>
                <w:rFonts w:hint="eastAsia" w:ascii="宋体" w:hAnsi="宋体" w:eastAsia="宋体" w:cs="宋体"/>
                <w:b/>
                <w:bCs/>
                <w:color w:val="auto"/>
                <w:sz w:val="24"/>
                <w:szCs w:val="24"/>
                <w:highlight w:val="none"/>
              </w:rPr>
              <w:t xml:space="preserve">户外操场大型感统</w:t>
            </w:r>
            <w:bookmarkEnd w:id="193"/>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奥尔特系列滑滑梯</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1.立柱：采用不低于Φ11.4cm国标镀锌管，厚度2.0mm，整体加工后经特殊工艺除锈，抛砂。表面处理：室外聚脂系（polyesr/TGICsystem）树脂粉体涂装烤漆，高温固化，表面光滑，抗紫外线，色彩鲜艳，不易脱落。</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平台采用厚度≥2.0mm的冷扎钢板冲孔折弯成型，冲孔直径≥8mm，整体氩弧焊焊接成，整体加工成型后经专业技术人员进行除油、磷化、抛砂处理后，表面在喷涂美国杜邦户外环保聚酯粉末，高温固话，表面光滑，抗紫外线强，耐腐蚀</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3.钢管配件材质：外径25/32/38/48/60/厚度≥1.5mm焊管表面处理：室外聚脂系（polyesr/TGICsystem）树脂粉体涂装烤漆。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4.塑料件材质：有色塑料，滑梯类厚：≥6mm,低密度聚乙烯添加抗紫外线稳定剂及静电防止剂，强度大，表面光滑，安全环保，耐候性好，不易褪色。表面处理：模铸面。</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5.柱盖材质：铸铝合金表面处理：室外聚脂系（polyesr/TGICsystem）树脂粉体涂装烤漆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6.五金零件材质：316不锈钢半圆头，T型平头螺丝表面处理：机械抛光</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7.扣件材质：扣件采用不锈钢螺丝连接，并对扣与柱接接触点加以橡胶垫块，及机米紧固螺丝，更增强其安全性。</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8.尺寸：</w:t>
            </w:r>
            <w:r>
              <w:rPr>
                <w:rFonts w:hint="eastAsia" w:ascii="宋体" w:hAnsi="宋体" w:eastAsia="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1000*620*350cm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八角沙池</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产品尺寸：≥300*300*30cm</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包装尺寸：≥108.5*40*48cm</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材质：芬兰云杉</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颜色：金棕色</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油漆：户外水性漆，表面涂层平整</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设备包含：沙池*1底布*1防雨盖布*1无菌海沙400kg挖沙玩具一套</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胡萝卜四人转椅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尺寸：≥140*160cm</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材质：塑料</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儿童足球门沙包双用玩具</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尺寸：≥80*58*88cm</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工艺：滚塑</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材质：塑料</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四人跷跷板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尺寸：≥280*35*70cm</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材料：主管114镀锌钢管，烤漆</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精灵隧道</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材质：环保PE塑料</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商品尺寸：≥180*100*105cm</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商品特点：安全无毒可清洗</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移动式单臂篮球架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1.产品技术规格、产品用材要求</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篮球架伸臂长≥2.25m，篮圈上沿离地面≥3.05m，篮架底座尺寸长*宽≥2.0*1（m）。球架立柱采用定制口≥150*150*4mm大圆角方管制作，圆角R30mm，造型美观，安全性高；篮架伸臂采用δ3铁板一次冲压成型后在专用折边机上折边，保持产品的美</w:t>
            </w:r>
            <w:r>
              <w:rPr>
                <w:rFonts w:hint="eastAsia" w:ascii="宋体" w:hAnsi="宋体" w:eastAsia="宋体" w:cs="宋体"/>
                <w:color w:val="auto"/>
                <w:sz w:val="24"/>
                <w:szCs w:val="24"/>
                <w:highlight w:val="none"/>
              </w:rPr>
              <w:t xml:space="preserve">观性和统配性，伸臂上拉杆固定孔均采用冲压成型后焊接内置非标螺母，篮架立柱底板和伸臂头部组件均采用精密铸钢件制作，造型美观大方，性能安全可靠，篮架上拉杆采用≥Φ48圆管在弯管机上一次成型，通过精密铸钢件接头与铝压铸篮板耳片连接，下拉杆采用口≥50×40×2.5mm方管在弯管机上一次而成，避免了电焊及焊渣易引起生锈的隐患，通过调节上拉杆，可调节篮板的平面度和垂直度，通过调节下拉杆，可调节篮圈与地面的平行度。球架底座轮廓采用特制内卷槽钢一次拼焊成型，为了增强球架的使用安全性，单只球架可放置配重物不少于510kg。</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2.篮板</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规格：≥1800*1050（mm），篮板配用国际通用的高强度安全玻璃篮板，具有透明度高、耐侯性好、抗老化、耐腐蚀、不易模糊等特点，并在篮板下沿及侧面覆盖有保护条，能保护运动员扣篮时不受伤害。</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3.篮圈</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篮圈采用≥φ17实心圆钢制作，圈下焊有冲压成型的圆弧形网钩，十二段均匀分布留适当间隙，配篮网。篮圈抗弯性能好，水平固定在篮板上，与篮架连接的钢板和篮圈盖板均采用钢板一次冲压成型，造型美观。</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4.紧固件</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篮架所有紧固件均采用表面热镀锌处理，能保证长年不生锈。</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5.移动</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篮架置有走轮，配有方向操纵杆和轮子升降操纵杆，操作方便，仅需一人操作就可轻松移动篮架。</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6.防护措施</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篮架前立柱、底座前部配有专用护套，能有效地保护运动员免受撞击，底座下部设有防震垫，能有效的保证使用时的安全性及美观性。</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7.表面处理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所有钢制件表面均经酸洗、磷化等初级处理后在自动喷涂线上采用杜邦静电环氧基粉末喷涂完成最后表面处理，涂层厚度70—80um，铅笔硬度达3H+。</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8.整体包含</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（1）篮架2只</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（2）护套2个</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（3）配重块用于两个球架</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副</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踏步桥</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规格：≥250*100*113cm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bookmarkStart w:id="194" w:name="_Toc6115"/>
            <w:r>
              <w:rPr>
                <w:rFonts w:hint="eastAsia" w:ascii="宋体" w:hAnsi="宋体" w:eastAsia="宋体" w:cs="宋体"/>
                <w:b/>
                <w:bCs/>
                <w:color w:val="auto"/>
                <w:sz w:val="24"/>
                <w:szCs w:val="24"/>
                <w:highlight w:val="none"/>
              </w:rPr>
              <w:t xml:space="preserve">资源中心</w:t>
            </w:r>
            <w:bookmarkEnd w:id="194"/>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筛查安置管理</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一、筛查安置</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1.筛查安置流程</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能够根据以下流程进行在线筛查安置。</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（1）筛查上报，教师可在线填写学生基本信息、表现现状等信息，实时在线上报。</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（2）筛查审批，指导中心教师可在线进行上报数据的审批，能够看到上报学生数量，能够在线处理通过或拒绝。</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（3）发展评估，选择所需量表并完成评估，留存评估记录和上传评估附件。</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（4）转衔安置，完成筛查上报、在线评估后，可进行转衔安置，选择安置学校等信息，最终完成安置。</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2.筛查上报</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通过平台可上报</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学生基础信息（学生照片、姓名、性别、出生年月、身份证信息、负责老师、学籍号、就读状态、所在学校、年级、班级、家庭住址、就读方式、残疾类型(根据学校的残疾类型设定)、残疾程度、残疾证号、是否做过医学诊断、残疾证、疑似障碍描述、家庭信息等）</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（2）附件上传</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（3）医学鉴定结果上传</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（4）其他附件上传等</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3.发展评估</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在教师完成筛查上报并审核通过后，可对上报学生进行发展评估，选择量表，进行在线评估。</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评估方式：题目以选择题的方式，同时结合图片、视频、音频等辅助形式进行评估。</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评估量表：平台会提供相关量表供教师选择，选择好对应量表后即可进行评估。</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评估结果：根据学生得分能够自动生成部分结论，同时根据学生评估情况生成报表及统计图表。</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评估导出：一键导出并打印。</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4.转衔安置</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在教师完成发展评估后，可对上报学生进行转衔安置</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（1）填写安置意见。</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（2）选择学生未来转衔学校、年级、班级等信息。</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（3）同时学生学籍将自动转入转衔学校内。</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（4）完成最终转衔流程，提供一键导出功能。</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5.申诉</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单独申诉界面，选择信息中心中的学生进行申诉，提交相关意见书。撤销对于学生的随班就读认定/特殊教育需要认定，移出随班就读或相关教育行列。（根据学校模版进行意见书上传）</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6.权限</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（1）管理员、校领导账号、分管领导账号，可查看全部筛查安置学生情况，包括进行到什么步骤，以及上传的相关材料。</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（2）指导中心负责人，能够查看所有上报学生情况及在线审核功能，可对所有上报学生进行在线编辑、在线管理等权限。</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（3）上报教师、上报负责人，能够查看自己上报的学生信息、进度、审核情况，能够对自己上报的学生进行数据的上传和编辑。</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一生一案管理平台</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1.学生管理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（1）学生康复记录：可对每个学生进行康复记录的上传，能够在线查看每次的康复情况，可查看时间、地点，以及康复内容。</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（2）学生成绩管理：可对学生的成绩进行管理，可对学生成绩进行录入，并在线查看不同学期的成绩情况。</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（3）学生才艺记录：可对学生的才艺情况进行记录，可在线上传视频、图片等多种形式的记录文件，并进行未来查看与展示。</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（4）学生日常生活记录：可对学生的日常生活进行记录，并在线查看日常生活照片、视频等多种形式的记录文件，添加描述。可对记录进行在线新增、编辑、删除。</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（5）家校共育：家长可通过手机端对学生的家庭成长记录进行上传，教师可进行评价及打星，能够通过家长和教师的共同管理促进学生多方面发展。</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（6）积分管理：学生能够通过教师评价获得积分，能够查询积分记录和在线兑换相关奖励。</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2.IEP个别化教育管理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IEP信息内容记录：具备完善的IEP个别化教育流程内容，并可填写学生基本情况、家庭状况、生长发育史、医疗史与康复训练史、教育史、日常表现概述、学期初IEP会议记录、学期末IEP会议记录等，同时可填写学生教育诊断结果及分析、课程评估结果及分析、发展障碍对学校常规课程学习的影响及特殊的教育需要、学科/领域学期教育/康复目标、教育支持与服务等内容</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（2）教育诊断结果及分析：包含领域填写、方法与工具、教育诊断结果、优弱势分析、教育/康复重点与建议</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（3）课程评估结果及分析：包含学科填写、评估工具、评估人员、评估日期、评估结果</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（4）发展障碍对学校常规课程学习的影响及特殊的教育需要：包含障碍对学校课程学习的影响、其他的特殊需要、辅助设备需要、评价方式及依据</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（5）学科/领域学期教育/康复目标：包含学科/领域学期教育/康复目标的填写、现有表现水平的填写、学习目标、长期目标、短期目标的填写</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（6）教育支持与服务等内容：包含服务项目的填写、服务人员、时间/频率/周期/地点、开始日期、结束日期的填写</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（7）导出报告：根据教师所填内容自动规整IEP个别化教育计划报告，实现自动排版，实时导出，一键打印</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3.小程序管理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（1）家长端：家长能够通过手机端查看学生档案，包含学生才艺记录、成绩记录、康复记录、IEP个别化教育记录等，同时家长也可通过小程序端上传学生的家庭成长情况。</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（2）教师端：教师可通过小程序端在线查看和上传学生一生一案的相关信息，实现手机端和电脑端同步管理。</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云服务器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CPU不低于4核8G、不低于10M带宽，不低于500G硬盘。</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智慧讲台</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一、整机参数：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1.电子白板尺寸≥27英寸，使用4KA级硬屏。显示比例16：9，图像分辨率达3840*2160，可视角度178°，对比度≥1000：1，亮度≥350cd/㎡；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2.采用一体化设计，除电源线外，外部无任何内部功能模块的连接线。讲台带电动升降系统，满足不同演讲者的需求，可支持1130mm-1326mm范围升降。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3.采用电容触摸屏，支持20点触控，响应时间≤14ms。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4.整机采用全贴合技术，钢化玻璃和液晶显示层无间隙，减少显示面板与玻璃间的偏光、散射，画面显示更加清晰通透、可视角度更广、视差更小。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5.环境适应：工作温度0℃~40℃，储藏温度-10℃~60℃，工作湿度20%~80%，储藏湿度10%~80%；海拔5000米以下可正常使用。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6.采用触控大屏操作系统，CPU不低于8核，RAM≥8G，ROM≥64G。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7.支持蓝牙功能，可通过外接蓝牙设备实现蓝牙传输。</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8.整机内置无线WIFI模组，双WIFI设定，共模双频，一路作为WIFI连接网络，另一路作为热点投屏，且两路WIFI支持2.4G/5.8G双频段。整机内置隐藏天线，无外置显露天线，保证使用安全；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9.内置2个鹅颈麦，可满足会场或教学拾音需求，无损声音传输。</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10.为方便使用，面板上设置电源键，支持一键开关机待机；麦克风按键，支持一键开关麦克风，方便使用；电动升降按键，满足不同身高使用需求。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11.为方便使用，整机上配备书本托，可以有效承托住书本等，避免滑落；整机上配备杯架，可放置水杯，闲置时可翻转收回。</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12.整机接口：Type-C≥1，USB3.0≥2，HDMIIN≥1，HDMIOUT≥1，LAN≥1，DCIN≥1。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13.可通过飞享应用，实现手机传输图片、视频、文档等给智慧讲台，并可在智慧讲台进行打开、保存、插入白板等操作。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14.多屏扩展显示：实现信号环接功能，支持HDMI通道画面输出，将画面信号传输到其它设备上显示，支持会议平板、智慧黑板、拼接屏等配合使用；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15.可通过智能检测功能，检测网络连通情况、网速、机器硬件设备故障问题。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16.音量调整：通过触控的方式，可在侧边栏调整音量大小，并带数值和声音提示；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17.亮度调整：通过触控的方式，可在侧边栏调整亮度大小，并带数值显示；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18.可以定义负一屏快捷功能，主页右滑可设置为进入某一信源或某一应用；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二、无线传屏参数：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1.整机内部直接发射WIFI热点，无需外接设备；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2.实现外部电脑音视频高清信号实时传输到讲台上；</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3.手机传屏不需接任何外部设备，只需连接机器内部发射的WiFi热点即可；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4.同屏传输：利用手机充当麦克风，通过手机声音输入传输到教育平板的音响系统，实现声音的放大，同时可打开摄像头，把摄像头画面同屏到机器上；</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5.同屏快照：通过手机上的APP按键，可以把演讲者投屏在显示设备上的内容快照下来，并传输回自己的手机，存放在指定位置，从而形成完整笔记；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6.同屏无线操控：可把手机用作会议平板的鼠标、遥控器、键盘、飞鼠等。；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7.多屏显示：四分屏功能：同时连接多个设备时，可以自由选择显示画面，单屏、双屏、四分屏都支持，适用于不同场景需求。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8.多分屏时，每个窗口都具备一个控制条，可针对每个分屏画面进行声音有无或关闭页面的操作。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9.开启显示主控小球后，在同屏页面左上角可显示同屏设备数及主控功能操作：锁定投屏、无线快照、无线发言、镜像等分的操作。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三、控制软件功能部分：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1.主页面简洁大方，4+1的4KUI设计，简单快捷</w:t>
            </w:r>
            <w:r>
              <w:rPr>
                <w:rFonts w:hint="eastAsia" w:ascii="宋体" w:hAnsi="宋体" w:eastAsia="宋体" w:cs="宋体"/>
                <w:bCs/>
                <w:color w:val="auto"/>
                <w:sz w:val="24"/>
                <w:szCs w:val="24"/>
                <w:highlight w:val="none"/>
              </w:rPr>
              <w:t xml:space="preserve">，提供主页面软件著作权证书复印件，并加盖生产企业公章；</w:t>
            </w:r>
            <w:r>
              <w:rPr>
                <w:rFonts w:hint="eastAsia" w:ascii="宋体" w:hAnsi="宋体" w:eastAsia="宋体" w:cs="宋体"/>
                <w:bCs/>
                <w:color w:val="auto"/>
                <w:sz w:val="24"/>
                <w:szCs w:val="24"/>
                <w:highlight w:val="none"/>
              </w:rPr>
              <w:br/>
            </w:r>
            <w:r>
              <w:rPr>
                <w:rFonts w:hint="eastAsia" w:ascii="宋体" w:hAnsi="宋体" w:eastAsia="宋体" w:cs="宋体"/>
                <w:color w:val="auto"/>
                <w:sz w:val="24"/>
                <w:szCs w:val="24"/>
                <w:highlight w:val="none"/>
              </w:rPr>
              <w:t xml:space="preserve">2.侧边栏：显示屏两侧均有可显示/可隐藏/可切换为悬浮球的侧边栏，支持手势呼出功能，实现返回，切回主页，设置，任意通道批注，进程管理等系统操作，提供悬浮球软件著作权证书复印件，并加盖生产企业公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3.本地会议白板功能，为保证软硬件兼容性，不接受第三方书写软件，提供本产品原厂书写软件著作权证书复印件，并加盖生产企业公章；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a.支持单点书写，多点书写，笔锋书写，可自由切换书写模式；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b.具备漫游功能，根据手势识别功能可扩大或缩小书写区域；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c.具备笔迹识别功能，可将手写文字转换为宋体或行书，支持中文、英文和中英混写；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d.手势识别：单点接触书写，两点放大缩小，多点漫游，面接触自动识别板擦功能，如手背贴上时，自动识别橡皮擦功能，快速擦除书写内容；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e.支持6种图形插入，图片插入，图片插入可自定义插入路径；</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f.具备智能图形绘制功能，可手绘圆型、矩形、三角形、直线、虚线和箭头并识别为标准图形；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g.具备智能表格功能，可默认插入2*2的表格，通过划线可增删行列，行高列宽根据书写内容自适应，可手动拖动行高列宽，可一键自适应内容；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h.支持流程图绘制，可插入圆角矩形、菱形、矩形和连接箭头；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i.书写时可以增加多个页面，并可对每个页面内容进行编辑，最多支持99个页面保存；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j.支持手机扫码保存、U盘保存、本地保存（可自定义命名、自定义目录、自定义保存文件格式）；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k.支持白板文件直接打印，无需转化PDF等其他格式文件；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l.具备搜索功能，可插入百度搜索页面。还可配合笔迹识别、选择等功能实现直接对手写体文字进行关键词搜索；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m.文件保存有三种格式可选择：图片、PDF、白板文件；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n.支持白板文件二次编辑；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o.支持无书写加页；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p.支持退出时可选择是否保存白板；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q.可将插入的图片进行角度翻转；</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r.支持插入4K视频；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s.白板隔页复制功能，可将当前页选中内容复制到其他页；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t.白板文字图钉功能，选中内容可在每页相同位置显示；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4.文件演示，视频播放，可直接打开U盘或者本地保存的PPT，Word，Excel，图片，4K视频，PPT演示过程中可翻页，在线编辑，批注，批注可以截图的形式保存；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5.任意通道批注，支持十点书写批注，方便多人同步演示，批注内容可以截图的形式保存在白板中，实现二次批注；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欢迎界面：内置多种背景模板，方便多种场景快速开启欢迎模式，支持插入背景音乐，渲染会场气氛，一键开启签名墙模式，禁止修改书写内容，防止后人签名时擦除前人的笔记，支持保存签名文件；内置微信抽奖及照片抽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7.文件管理器能自动识别文件格式并进行分类，方便查找；</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8.会议投票软件，匿名或公开的方式进行扫码投票，提供单项或者多项的选择，最后结果以图表形式展现；可进行评分，可设置候选人数和评分细项进行扫码评分，最后结果以图表形式展现；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9.为保证与大屏的适配性和操作体验，采用专用输入法软件；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10.产品支持在线OTA软件升级，保证软件实时更新；</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实木会议桌</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1、尺寸：≥6800*2200*760</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2、颜色：胡桃色。</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3、面材：采用0.6mm胡桃木木皮饰面，选料必须无腐、无裂痕、无虫眼和死节，纹理自然，并经过烘干、防虫、防腐处理；双面贴木皮，防止因环境温差引起的变形甚至开裂。</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4、基材：采用中密度纤维板，所有材料经过防虫、防腐处理，干燥性能好，不易变形，比重合理，甲醛含量达到国家E1级环保标准。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5、油漆：采用PU聚脂环保面漆，经6次以上油漆喷涂、打磨，流平性好、附着力强、透明度高、耐磨性好、色泽柔和、手感舒适。采用底漆为（PE）不饱和树脂漆，自然风干，无尘工艺。</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会议椅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1、颜色：黑色</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2、饰面：PU仿皮，柔软贴手，透气性好、应无色差，表面无龟裂、破损，无油腻感。</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3、海绵：采用高密度定型海绵，密度为25KG/M3以上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软硬适中。</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4、椅板：依据人体工程学原理设计，曲木板材经模具八层高频热压成型，板材厚度12-16mm，板材承受压力达300KG。</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5、椅架：采用橡胶木实木制作，木材干燥至9%含水率并经防腐、防蛀处理。</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把</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会议平板（含支架）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1.LED液晶屏体，显示尺寸≥86英寸，屏幕使用4K屏幕</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2.显示比例：16：9，产品分辨率：3840*2160，4K超高清显示，对比度：≥1200：1；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3.可视角度：178°（H）/178°（V）；</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4.亮度：≥380cd/㎡，使用寿命≥30000hrs，面板亮度均匀度≥75%；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5.整机表面采用3.2mmAG防眩光钢化玻璃，莫氏硬度7级，可承受（1.0±0.04）kg钢球1.5m高度自由下落撞击玻璃表面无损伤破裂；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6.音响下置，内置输出功率2*16W音响，共六个发声单元；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7.内置5000万像素的摄像头；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8.内置8阵列线性麦克风，有效拾音距离≤8米，拾音角度180°；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9.采用CortexA55四核CPU（主频1.8GHZ以上），Mali-G52GPU，RAM≥4GB，ROM≥64G，且内嵌自有品牌的专用软件和独特UI</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10.整机内置无线WIFI模组，双WIFI设定，共模双频，一路作为WIFI连接网络，另一路作为热点投屏，且两路WIFI支持2.4G/5.8G双频段。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11.双网口设计，支持网络桥接功能，可以为下一级设备提供网络，在高保密场合无需外接其他网络设备；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12.本地会议白板功能具备笔迹识别功能、“手势擦除”功能、智能图形绘制功能、智能表格功能、流程图绘制等，</w:t>
            </w:r>
            <w:r>
              <w:rPr>
                <w:rFonts w:hint="eastAsia" w:ascii="宋体" w:hAnsi="宋体" w:eastAsia="宋体" w:cs="宋体"/>
                <w:bCs/>
                <w:color w:val="auto"/>
                <w:sz w:val="24"/>
                <w:szCs w:val="24"/>
                <w:highlight w:val="none"/>
              </w:rPr>
              <w:t xml:space="preserve">为保证软硬件兼容性；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13.本地会议白板具备白板协同功能，不使用视频会议软件，可通过创建/加入会议室的方式进行协同办公，各方书写可同步显示，可进行音/视频通话，具备全场静音功能、请出会议室功能、锁定会议室功能；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14.文件管理器能自动识别文件格式，并且进行分类，方便查找；</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15.支持集控功能，可通过后台远程进行语言切换、触摸控制、背景更改、开机LOGO更改、开机信源更改、软件安装、系统升级、开机、关机、锁屏、定时开关机等功能；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16.支持最多同时连接9只同屏器，可以自由选择显示画面，单屏、双屏、四分屏、六分屏、九分屏，适用于不同场景需求；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17.支持扩展屏同屏，可将电脑的扩展屏投屏到会议平板上；</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18.支持窗口同屏，为保护用户的隐私，可以进行窗口投屏，将需要投屏的应用投到会议平板上，其他内容则不进行投屏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19.支持BYOM功能，可通过电脑调用大屏摄像头、麦克风，在电脑端开启视频会议；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20.支持屏幕群组功能，可通过该功能将大屏画面共享至多台支持该功能的大屏上，最多支持屏幕群组数量128个。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21.整机接口参数：前置接口：USB3.0*2；后置接口：HDMIIN*2.DPIN*1.USB2.0*1.USB3.0*1.TOUCH2.0*3.OPS*1.MICIN*1.AUDIOOUT*1.SPDIF*1.LAN*2.RS232*1。</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bookmarkStart w:id="195" w:name="_Toc29423"/>
            <w:r>
              <w:rPr>
                <w:rFonts w:hint="eastAsia" w:ascii="宋体" w:hAnsi="宋体" w:eastAsia="宋体" w:cs="宋体"/>
                <w:b/>
                <w:bCs/>
                <w:color w:val="auto"/>
                <w:sz w:val="24"/>
                <w:szCs w:val="24"/>
                <w:highlight w:val="none"/>
              </w:rPr>
              <w:t xml:space="preserve">学生阅览室</w:t>
            </w:r>
            <w:bookmarkEnd w:id="195"/>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电子阅览机</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软件要求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1.可以定制模块分类。</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2.在线电子图书≥30000本，并且定期更新图书。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3.离线电子图书≥12000本.</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4.种类≥40种+包含天文学，地球科学，国学专题，生物科学等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5.视频在线≥2000+集，包含古诗典籍，历史传记，阅读中国等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6.音频≥10000+小时音频资源，音频主要分类包含：党政党史，心理哲学，文学名著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7.报纸资源800+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8.报纸分类：中央到地方的重要报纸</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9.期刊≥300+期刊分类：包含体育、金融、法律、政治、文教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硬件要求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1.尺寸：≥65寸</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2.主机：内存≥4G+32GTF卡，分辨率：1080*1920dpi</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3.软件：电子借阅机软件，在线版</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4.采用铝型材边框、防尘、超薄设计；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5.内件采用钣金结构件，整体设计坚固耐用；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6.机柜环保美观，外表烤漆，防锈、防磁、防静电处理；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7.主控采用嵌入式设计，保证全天候安全、稳定、高效运行。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8.安装方式：落地式；</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阅读沙发</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规格：≥168*70*63cm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面料：纳帕真皮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座包：天然水洗乳胶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框架：实木框架</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豆袋</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规格：≥90*100cm。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材质：棉麻布+环保填充粒子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外观形状类似座椅，同时训练了孩子的视觉和触觉。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墙上书柜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1.材质：采用≥18mm环保级E1环保颗粒板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2.含五金</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70</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文化墙布置</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文化墙介绍，装饰画，管理条例</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bookmarkStart w:id="196" w:name="_Toc2231"/>
            <w:r>
              <w:rPr>
                <w:rFonts w:hint="eastAsia" w:ascii="宋体" w:hAnsi="宋体" w:eastAsia="宋体" w:cs="宋体"/>
                <w:b/>
                <w:bCs/>
                <w:color w:val="auto"/>
                <w:sz w:val="24"/>
                <w:szCs w:val="24"/>
                <w:highlight w:val="none"/>
              </w:rPr>
              <w:t xml:space="preserve">党员活动室</w:t>
            </w:r>
            <w:bookmarkEnd w:id="196"/>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无线话筒一拖四</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四通道音量独立可调,四通道音频输出独立可控。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发射器中会议/手持/领夹可以混搭使用。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背光式LED显示屏指示了RF和AF信号强度，频率,频道等工作状态。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由于采用UHF频率，使得干扰极大地减少，信号更稳定。</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专业级别的相位锁定电路，配合杂讯锁定静噪控制，保证了对干扰信号的有效阻隔。</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系统参数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工作频率：UHF600-690MHz（可选）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调制方式：FM（数字压缩插展）</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频率稳定度：±0.005％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最大屏移：±45KHZ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动态范围：96dB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工作距离：60m（空旷地区）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中频：数字压缩比扩展</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灵敏度：12dBuV</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发射机参数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①、内置天线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②、输出功率：10mw可调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③、杂散抑制：﹣60dB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④、供电：2节5号1.5V碱性电池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⑤、电池寿命：正常发射时大约5小时左右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⑤、电池寿命：正常发射时大约5小时左右</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8寸专业箱</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音箱配置多点吊挂和支撑杆座，安装灵活，吊装便利，以适应各种安装条件；音色细致完美，低频强劲厚实，大气有力，中频饱满圆润，通透，高频细腻清晰富穿透力。</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系统类型：≥8英寸，2分频，低频反射式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频率范围(-10dB)1：50Hz-20KHz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频率响应(±3dB)1：85Hz-20KH</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灵敏度(1w/1m)1：92dB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额定阻抗：8Ohms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最大声压级输出：120dB(峰值：128dB)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额定输入功率2：150W/300W(连续/峰值)</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覆盖角：70°x100°(HxV)</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低音单元：1个8英寸34芯120磁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高音单元：1个34芯90磁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输入连接器：2个NeutrikSpeakonNL4MP</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箱体结构：梯形，15mm厚板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箱体尺寸：高宽深385*255*230mm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四通道数字功放</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1．输出功率：(8Ω)：4x200W/(4Ω)：4x350W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2.频率响应：20Hz-20KHz.+/-0.5dB@1W@8R</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3.谐波失真度(THD)：0.02@1KHz/8R)</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4.信噪比(A计权)：≥105dB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5.阻尼系数：≥250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6输入灵敏度：0.775V/1.0V</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7.转换速率：17V/uS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8.输入阻抗：20K平衡输入,10K不平衡输入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9.分离度(串音)：75dB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10.保护功能：直流,短路,超温,开关机冲击</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11.电平显示方式液晶显示屏,音量增益/温度显示(LED灯显示：信号/电源/失真/保护)</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12.散热方式：二级强风,隧道式,向后板吹风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13.连接端子：卡侬</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14.电源电压：AC110~120V、50/60Hz，AC220~240V、50/60Hz(利用内部跳线切换)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15.使用环境的温度范围：0~50℃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适用范围：KTV,教学，会议室多功能厅,婚庆,娱乐等扩声。</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调音台</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超薄型设计,6路单声,通道三段均衡,一组辅助发送,一组效果发送,内置数字效果器,60mm精密推拉电位器。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最大输出电平：19dBm(1KHz,THD=0.5%)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剩余噪声：-105dB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信噪比：≥80dB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等效噪声源输入电动势：-115dBm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耳机输出功率：100mw(1KHz,THD=0.5%,200Ω)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均衡：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低频80Hz±15dB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中频2.5KHz±15dB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高频12KHz±15dB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增益控制：MONO(单声道)-60dB~-40dB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TAPE(磁带卡座)-∞~0dB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频率响应：20Hz~20KHz(±3dB)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总谐波失真+噪声：≤0.03%(1KHz,0.775V)</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反馈抑制器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1.自动调节强力抑制回声，提升系统增益</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2.额定电压：220V±10%50Hz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3.频率响应：125Hz~15KHz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4.失真：＜0.1%@1KHz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5.信噪比：＞90dB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6.输入阻抗：20KΩ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7.输出阻抗（平衡）：200Ω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8.温度范围：-10~55℃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9.重量：3.5kg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10.尺寸：</w:t>
            </w:r>
            <w:r>
              <w:rPr>
                <w:rFonts w:hint="eastAsia" w:ascii="宋体" w:hAnsi="宋体" w:eastAsia="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480×220×44mm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11.四进一出带48V幻想供电</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时序器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最大输入功率：30A</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最大输出总功率：5000W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单路输出功率：13A2000W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输出电源插座：铜万能插座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输出路数：8路受控，1路直通</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间隔时间：1秒</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供电方案：变压器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电源线：3*4㎡的电缆线，电缆线配置长度为1米（带插头）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产品尺寸：≥482*250*48.5mm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实木会议桌</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1、尺寸：≥6800*2200*760</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2、颜色：胡桃色。</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3、面材：采用0.6mm胡桃木木皮饰面，选料必须无腐、无裂痕、无虫眼和死节，纹理自然，并经过烘干、防虫、防腐处理；双面贴木皮，防止因环境温差引起的变形甚至开裂。</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4、基材：采用中密度纤维板，所有材料经过防虫、防腐处理，干燥性能好，不易变形，比重合理，甲醛含量达到国家E1级环保标准。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5、油漆：采用PU聚脂环保面漆，经6次以上油漆喷涂、打磨，流平性好、附着力强、透明度高、耐磨性好、色泽柔和、手感舒适。采用底漆为（PE）不饱和树脂漆，自然风干，无尘工艺。</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会议椅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1、颜色：黑色</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2、饰面：PU仿皮，柔软贴手，透气性好、应无色差，表面无龟裂、破损，无油腻感。</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3、海绵：采用高密度定型海绵，密度为25KG/M3以上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软硬适中。</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4、椅板：依据人体工程学原理设计，曲木板材经模具八层高频热压成型，板材厚度12-16mm，板材承受压力达300KG。</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5、椅架：采用橡胶木实木制作，木材干燥至9%含水率并经防腐、防蛀处理。</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把</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bookmarkStart w:id="197" w:name="_Toc7422"/>
            <w:r>
              <w:rPr>
                <w:rFonts w:hint="eastAsia" w:ascii="宋体" w:hAnsi="宋体" w:eastAsia="宋体" w:cs="宋体"/>
                <w:b/>
                <w:bCs/>
                <w:color w:val="auto"/>
                <w:sz w:val="24"/>
                <w:szCs w:val="24"/>
                <w:highlight w:val="none"/>
              </w:rPr>
              <w:t xml:space="preserve">自习室</w:t>
            </w:r>
            <w:bookmarkEnd w:id="197"/>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平面石膏板吊顶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1.钢筋混凝土钢筋混凝土楼板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2.ϕ8钢筋吊杆，双向吊点，900-1200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3.轻钢主次龙骨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4.9.5mm厚石膏板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5.刮白胶腻子找平二遍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6.刷抗碱度漆一遍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7.刷乳胶漆二遍</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边柜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1.尺寸：≥720*310cm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2.材质：采用≥18mm环保级E1环保颗粒板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3.含五金</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沙发</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规格：≥168*70*63cm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面料：纳帕真皮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座包：天然水洗乳胶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框架：实木框架</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会议平板（含支架）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1.LED液晶屏体，显示尺寸≥86英寸，屏幕使用4K屏幕</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2.显示比例：16：9，产品分辨率：3840*2160，4K超高清显示，对比度：≥1200：1；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3.可视角度：178°（H）/178°（V）；</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4.亮度：≥380cd/㎡，使用寿命≥30000hrs，面板亮度均匀度≥75%；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5.整机表面采用3.2mmAG防眩光钢化玻璃，莫氏硬度7级，可承受（1.0±0.04）kg钢球1.5m高度自由下落撞击玻璃表面无损伤破裂；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6.音响下置，内置输出功率2*16W音响，共六个发声单元；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7.内置5000万像素的摄像头，视频会议软件可实现视频拍摄功能；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8.内置8阵列线性麦克风，有效拾音距离≤8米，拾音角度180°；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9.采用CortexA55四核CPU（主频1.8GHZ以上），Mali-G52GPU，RAM≥4GB，ROM≥64G，且内嵌自有品牌的专用软件和独特UI</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10.整机内置无线WIFI模组，双WIFI设定，共模双频，一路作为WIFI连接网络，另一路作为热点投屏，且两路WIFI支持2.4G/5.8G双频段。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11.双网口设计，支持网络桥接功能，可以为下一级设备提供网络，在高保密场合无需外接其他网络设备；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12.本地会议白板功能具备笔迹识别功能、“手势擦除”功能、智能图形绘制功能、智能表格功能、流程图绘制等；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13.本地会议白板具备白板协同功能，不使用视频会议软件，可通过创建/加入会议室的方式进行协同办公，各方书写可同步显示，可进行音/视频通话，具备全场静音功能、请出会议室功能、锁定会议室功能；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14.文件管理器能自动识别文件格式，并且进行分类，方便查找；</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15.支持集控功能，可通过后台远程进行语言切换、触摸控制、背景更改、开机LOGO更改、开机信源更改、软件安装、系统升级、开机、关机、锁屏、定时开关机等功能；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16.支持最多同时连接9只同屏器，可以自由选择显示画面，单屏、双屏、四分屏、六分屏、九分屏，适用于不同场景需求；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17.支持扩展屏同屏，可将电脑的扩展屏投屏到会议平板上；</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18.支持窗口同屏，为保护用户的隐私，可以进行窗口投屏，将需要投屏的应用投到会议平板上，其他内容则不进行投屏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19.支持BYOM功能，可通过电脑调用大屏摄像头、麦克风，在电脑端开启视频会议；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20.支持屏幕群组功能，可通过该功能将大屏画面共享至多台支持该功能的大屏上，最多支持屏幕群组数量128个。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21.整机接口参数：前置接口：USB3.0*2；后置接口：HDMIIN*2.DPIN*1.USB2.0*1.USB3.0*1.TOUCH2.0*3.OPS*1.MICIN*1.AUDIOOUT*1.SPDIF*1.LAN*2.RS232*1。</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bookmarkStart w:id="198" w:name="_Toc25394"/>
            <w:r>
              <w:rPr>
                <w:rFonts w:hint="eastAsia" w:ascii="宋体" w:hAnsi="宋体" w:eastAsia="宋体" w:cs="宋体"/>
                <w:b/>
                <w:bCs/>
                <w:color w:val="auto"/>
                <w:sz w:val="24"/>
                <w:szCs w:val="24"/>
                <w:highlight w:val="none"/>
              </w:rPr>
              <w:t xml:space="preserve">多感官训练室</w:t>
            </w:r>
            <w:bookmarkEnd w:id="198"/>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旋转镜球</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功能要求：透过镜球旋转反射的光影，可带动对视觉感官较弱的游戏者，加强留意四周环境空间的关注，有助对空间判断及沟通能力的提升。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采用针对弱能人士的特慢旋转速镜球，此器材需与4色射灯或单色射灯互相配合使用，220V。</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4色射灯（七彩射灯）</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功能要求：透过4色射灯的投射光影，刺激游戏者的视觉感官，加强留意四周环境空间的关注，有助对空间判断及沟通能力的提升。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此器材需与旋转镜球互相配合使用，220V。</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换色效果器镜球</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功能要求：刺激游戏者的视觉感官,加强留意四周环境空间的关注,有助对空间的判断及沟通能力的提升。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参数要求：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1.不少于6种颜色，具有声控自走、遥控控制的功能；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2.输入电压：220VAC；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3.功率：大于25W。</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手势颜色训练器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功能要求：通过手势感应来训练儿童的视觉的颜色认识、颜色分辨、颜色记忆，通过内置各类音乐或视频来训练听觉，由于本设备引入了音乐疗法，对行为障碍儿童的情绪起到舒缓的作用。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1.操作控制面板可查看产品使用说明书及操作视频，并可进行模式等功能切换。控制面板采用7'触摸LCD液晶屏。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2.本设备至少有8种功能模式。分别为：自动播放模式、手势跟弹模式（追踪模式）、音乐模式、色彩认识模式、色彩配对模式、连接模式、闯关模式及记忆模式。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3.具体功能如下：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模式一：自动播放模式，该模式下，可以通屏上菜单进行选择音乐和视频播放。在音乐和视频菜单中内置了各种素材，如中国古代五音疗法的音乐，适合多动症、脑瘫、自闭症等特殊儿童的音乐或视频。在播放音乐或视频时显示区的七个方块会随音乐的变化而闪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模式二：手势跟弹模式（追踪模式），内置四首歌曲，通过显示屏选择曲目，设备上7个LED显示方块分别代表音乐中的哆到唏，LED显示方块点亮，当用手感应到方块下面的感应头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时，会发出音乐的声音，下一方块点亮，依次循环，可以根据点亮的方块跟弹出一首完整歌曲。</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模式三：音乐模式：该模式下7个LED显示方块分别代表音乐中的哆到唏，显示屏上会显示歌曲的乐谱，当手势感应到音阶时，该音阶的LED方块会被点亮，并播放该音阶的声音。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模式四：色彩认识模式：该模式下，7个LED显示块会随机显示一种颜色，并播报该颜色的名称，当手势感应到7个感应模块中的任意一个时，LED显示块会切换到下一颜色，并播报该颜色的名称。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模式五：色彩配对模式：该模式下，显示屏上随机显示一种颜色，7个感应块上也随机显示7种颜色，当手势感应到与显示屏上相同颜色时为正确，并给予激励的音乐，感应错误时，会出现失败的音乐，并进入下一回合，显示屏上又随机显示一种颜色，7个感应块上也随机显示7种颜色。依此类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模式六：连接模式：可与蓝牙连接，播放手机（或者可连接的蓝牙设备）中的音乐，7块LED显示区灯光会随音乐的变化而变化。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模式七：闯关模式：当手挥动至任意模块对应的感应模块时，倒计时开始，游戏开始，开始时会提示目标颜色，一旦音乐开始，目标颜色开始随机点亮，在色块上快带挥手以捕捉颜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色。游戏会记录捕捉的正确次数或错过的次数及捕捉了错误颜色的次数，并在显示屏上进行显示。闯关成功后，加大难度，并有语音播报闯关成功，加大难度，进入下一难度的闯关。共四关。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模式八：记忆模式，当手挥动至任意模块对应的感应模块时，倒计时开始。七块色块中其中一块点亮，随后将所有色块点亮并闪烁（单色），然后熄灭。找出对应色块的位置，正确给出激励的声音，错误时给出失败的声音，若在规定时间内完成，则会增加难度。色块变多，时间缩短。若失败，公布成绩。</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参数要求：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4.材质：ABS与PMMA复合材料。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5.工艺：一体成型，表面无油漆。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6.工作电压：12VDC。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7.额定功率：小于40W。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8.规格：≥550*400*70mm。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9.手势感应距离10-50毫米。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10.训练面板色彩种类：不少于7种。</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动感彩轮</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功能要求：动感彩轮训练学生的视觉系统和注意力，吸引游戏者的视觉感官专注及追视，训练游戏者手眼协调的基本眼球追踪能力。</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参数要求：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1.木质电子箱1件；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2.阻燃材料软包保护套1件；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3.输入电压：220VAC工作电压：12VDC；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4.额定功率：小于40W；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5.尺寸：≥600*900*120mm；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6.可控制动感彩轮的颜色变换及转动快慢速度、方向，训练视觉感知能力，四个按钮控制。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7.支持USB热插拔，音乐可更换。</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立体颜色视觉训练器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w:t>
            </w:r>
            <w:bookmarkStart w:id="199" w:name="OLE_LINK16"/>
            <w:r>
              <w:rPr>
                <w:rFonts w:hint="eastAsia" w:ascii="宋体" w:hAnsi="宋体" w:eastAsia="宋体" w:cs="宋体"/>
                <w:color w:val="auto"/>
                <w:sz w:val="24"/>
                <w:szCs w:val="24"/>
                <w:highlight w:val="none"/>
              </w:rPr>
              <w:t xml:space="preserve">要求</w:t>
            </w:r>
            <w:bookmarkEnd w:id="199"/>
            <w:r>
              <w:rPr>
                <w:rFonts w:hint="eastAsia" w:ascii="宋体" w:hAnsi="宋体" w:eastAsia="宋体" w:cs="宋体"/>
                <w:color w:val="auto"/>
                <w:sz w:val="24"/>
                <w:szCs w:val="24"/>
                <w:highlight w:val="none"/>
              </w:rPr>
              <w:t xml:space="preserve">：训练儿童的色彩辨别，色彩记忆及视觉追踪等能力。</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参数要求：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1.输入电压：220VAC工作电压：12VDC。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2.规格尺寸：</w:t>
            </w:r>
            <w:bookmarkStart w:id="200" w:name="OLE_LINK18"/>
            <w:r>
              <w:rPr>
                <w:rFonts w:hint="eastAsia" w:ascii="宋体" w:hAnsi="宋体" w:eastAsia="宋体" w:cs="宋体"/>
                <w:color w:val="auto"/>
                <w:sz w:val="24"/>
                <w:szCs w:val="24"/>
                <w:highlight w:val="none"/>
              </w:rPr>
              <w:t xml:space="preserve">≥</w:t>
            </w:r>
            <w:bookmarkEnd w:id="200"/>
            <w:r>
              <w:rPr>
                <w:rFonts w:hint="eastAsia" w:ascii="宋体" w:hAnsi="宋体" w:eastAsia="宋体" w:cs="宋体"/>
                <w:color w:val="auto"/>
                <w:sz w:val="24"/>
                <w:szCs w:val="24"/>
                <w:highlight w:val="none"/>
              </w:rPr>
              <w:t xml:space="preserve">600*900*120mm。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3.产品共有四个模式：色彩认知、视觉追踪、色彩辨别、色彩记忆。</w:t>
            </w:r>
            <w:r/>
          </w:p>
          <w:p>
            <w:pPr>
              <w:numPr>
                <w:ilvl w:val="0"/>
                <w:numId w:val="4"/>
              </w:num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不同模式下的声音不一样。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模式一为色彩认知训练模式：在不按下三个功能按键的情况下，LED全亮，当按下红、绿、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蓝、黄四个按键时，分别显示红、绿、蓝、红+绿的显示颜色。进行不同视觉刺激及颜色认知训练，产品发出相对的颜色语音播报。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模式二为色彩辨别模式，面板上显示一种颜色，按下与该颜色相同的按键为正确，按下其它按键会提示错误，并告知应按下哪种颜色的按键。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模式三为视觉追踪训练模式：在不按下三个功能按键的情况下，LED全亮，当按下红色按键时，两个LED灯圈同时闪烁，并播报“烟花爆开”的声音，当按下绿色按键时，两个LED灯圈轮流闪烁，并播报多个烟花爆开的声音。当按下蓝色按键时，两个LED灯圈红色、绿色、蓝色依次点亮，并播报“烟花爆开”的声音。当按下黄色按键时，灯圈暂停，再按一下黄色按键时，取消暂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模式四为色彩记忆模式，灯圈上会闪烁显示颜色1秒钟，然后熄灭，受训者在3秒钟以内按相对应的颜色，若按下正确的按键，产品会播报正确的声音，发出鼓励的音乐。若按错或者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3秒钟没有按下，则播放错误性的音乐，并显示另外一种颜色。</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5.支持USB热插拔，教师可根据训练内容更换音乐。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6.立体颜色：单色至少3种，多色至少4种（混色）。</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7.串口一个。</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声控颜色变速游戏箱</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功能要求：面板颜色变化，在视觉上形成音调高低和音色差异的感知；提高图案认知和颜色认知能力，提升音色和音调的辨识能力，互动训练增强社会交际能力。</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参数要求：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1.木质电子箱体1件；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2.无线麦克风2只；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3.软包保护套1件；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4.输入电压：220VAC工作电压：12VDC；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5.额定功率：小于40W；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6.尺寸：≥600*900*120mm；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7.产品共2种模式，依据游戏者音色的不同调整灵敏度调节旋钮至合适的位置，灵敏度顺时针调大，逆时针调小。变色面板变化时，唱歌音量自然为宜。</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视觉注意力训练模块</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功能要求：训练的儿童的视觉及注意力，包括视觉分辩、视觉记忆、视觉追踪。可改善儿童持续性记忆力的训练、选择型注意力的训练和分配型注意力的训练。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参数要求：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1.材质：ABS与PMMA复合材料。配件：不少于6张亚克力舒尔特训练卡片；</w:t>
            </w:r>
            <w:r/>
          </w:p>
          <w:p>
            <w:pPr>
              <w:numPr>
                <w:ilvl w:val="0"/>
                <w:numId w:val="5"/>
              </w:num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工艺：一体成型，表面无油漆，安全环保。</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3.规格：</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本体：≥550*400*70mm；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配件尺寸：≥286*252*3mm；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4.操作控制面板采用7''触摸LCD液晶屏；训练面板采用12'触摸屏；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5.自动识别卡片功能，当插舒尔特训练卡片，设备智能识别该卡片。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6.训练面板采用多点触摸控制；LED多点显示，可显示矩阵数为：3*3；4*4；5*5；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7.音频输出方式：2.1声道；</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8.功率：小于50W；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9.输入电压：220VAC；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10.信噪比：大于85DB；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11.产品至少有四种训练模式，分别是：视觉追踪引导模式、视觉追踪训练模式、注意力训练引导模式、注意力训练测试模式。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12.每种模式下的背景音乐可选，以满足不同使用者的需要。背景音乐数量：4种。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13.视觉追踪引导模式下具有5种难度可调；注意力训练测试模式具有计时和倒计时功能。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14.注意力训练引导模式和注意力训练测试模式中具有不少于3个层级的功能，每一个层级需插入一张舒尔特训练卡片，可提供6张舒尔特训练卡片进行训练使用。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钢琴地垫</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功能要求：琴键声音刺激听觉神经，不同琴键颜色锻炼颜色辨识能力；提高视听感官能力，增强声音辨识能力，训练身体协调能力、空间控制能力。</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参数要求：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1.控制箱1件，采用ABS与PMMA复合材料，一体成型工艺，表面无油漆，安全环保；</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2.琴键地垫1套(长方形地垫2块共8键)；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3.AC220V电源线1根；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4.输入电压：220VAC工作电压：12VDC；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5.额定功率：小于40W；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6.支持USB热插拔，教师可根据训练内容更换音乐；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7.尺寸：地垫：≥1500*400*50mm(2块)，控制箱：≥550*400*70mm；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8.产品至少3种模式，代表钢琴音高、低、中的三个音阶；通过踩踏琴键就会有相应的琴音响起；</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幻彩波波池(小)</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底部震动及波波球给予特殊需要儿童必要的身体触感体验，底部灯光刺激儿童的视觉感官；音乐训练听觉并让使用者放松身心，舒缓焦虑的情绪。与光纤帘形成一个独立的空间，使学习时进入自我的空间，发挥其想象力，配合荧光画板，发挥其创造力。对自闭和多动症的干预治疗有辅助作用，加强儿童的触觉感官刺激的同时提高儿童本体感和身体协调能力，促进感觉及运动功能的恢复。底部隐藏式按键，引导学生去探索，达到多感官主动探索的训练目的。</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1.软垫球池、平台内置至少4色LED灯，外置至少4个圆形按键，每个按键对应一种声音,每个模式同一个按键声音不同,至少32种声音；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2.尺寸：≥1500*1500*640mm；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3.内置震动器一个；底部内置触觉开关至少4个。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4.支持USB热插拔，可更换音乐；</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音乐软件楼梯（四阶楼梯）</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当游戏者步行楼梯时，踏上每级楼梯都会传出声音，此游戏活动主要是以听觉感官刺激，通过楼梯训练下肢大肌肉群肌力以及腰部肌力，协调平衡能力，不同声音刺激听觉神经，给予不同的感觉体验，提高听觉感官能力和上下楼梯能力。此器材配合灯光游戏球池组合使用，效果更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参数要求：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1.共4种模式；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2.尺寸：≥1000*750*640mm；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3.支持USB热插拔，教师可根据训练内容更换音乐；</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音乐斜坡（声乐斜坡）</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功能要求：通过从滑坡滑下发出声音刺激听觉神经，引导进行大肌肉的训练活动，提高前庭协调能力和听觉感官能力，增强大肌肉群肌力。产品至少有4种模式，每个模式有1种声音。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参数要求：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1.斜坡电子箱体1件；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2.AC220V电源线1根；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3.输入电压：220VAC工作电压：12VDC；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4.额定功率：小于40W；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5.尺寸：≥1000*750*640mm；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震动训练椅（震动海象）</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功能要求：通过震动产生同频谐振，促进新陈代谢，提高机体免疫力和自愈能力。舒缓音乐营造舒适的感受，舒缓情绪。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参数要求：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游戏者躺或坐在海象上便可产生震动效果，游戏者离开海象便停止震动；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1.震动海象1件；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2.输入电压：AC220V，工作电压：12VDC；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3.额定功率：小于40W；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4.尺寸：≥940*730*400mm；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5.两种模式，每种模式震动强度不一样</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颗粒触觉椅（豆袋）</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功能要求：软而不塌的造型给予舒适的坐姿体验，放松神经、舒缓情绪。</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1.尺寸：≥直径900mm，高900mm；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2.表面PU皮，内部采用白色绸布，填充发泡颗粒。质轻、柔软、舒适。</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嗅觉感知训练器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嗅觉模块整合至少4个香味传播器，以训练气味识别为主。通过受训者自己控制按钮使预置的香味飘散出来，激发受训者主动认知事物的兴趣从而训练受训者的嗅觉与物件关系的辨别能力。可配合联动多媒体感官教学系统软件使用，采用无线通讯技术。</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1.输入电压：220VAC工作电压：12VDC；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2.规格尺寸：≥600*900*120mm；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3.至少含各种香味精油4-6种，和操控系统联动，可以控制电脑、投影之间切换；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4.产品有无声模式和有声模式，至少有4种声音；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5.支持USB热插拔，教师可根据训练内容更换音乐；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6.按钮点亮后对应此按钮的预置气味将通过飘香器散发出来，刺激学生的嗅觉，引起他（她）的兴趣。同时在投影仪上显示与此香味相关的图片声音或视频（需增配电脑控制系统和投影仪才能实现）。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7.产品共至少有2种模式，至少4个按键，每个按键控制一种飘香器的开与关。</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多感官创意涂鸦板（荧光画板）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功能要求：不同颜色丰富视觉感知，锻炼视觉感知能力；增强兴趣和互动积极性，提高运动企划能力、认知能力以及思维能力，提升沟通交际能力。调到合适的灯光模式后，就可以在绘图区域内涂鸦教学。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参数要求：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1.内置红绿蓝LED灯珠；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2.模式控制器1个；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3.配套DC12V1A适配器1个；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4.输入电压：220VAC工作电压：12VDC；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5.额定功率：小于40W；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6.各色荧光笔1套；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7.产品尺寸：≥650*850*30mm；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视觉创意几何拼板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功能要求：训练儿童的认知和创造性思维，增强儿童的记忆和开发智力的能力。</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1.背板：木材+金属材料，高弹力发泡软包+表面皮革。</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2.拼图软件：主体采用高弹力发泡软包造型，内部嵌有强力磁钢，表面荧光布，在适当的光线下会自发光，手感舒适，色彩柔和。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3.尺寸：≥2000*1000*35mm(±10mm）；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4.用柔软的积木触感来强化儿童的手掌抓握能力，促进触觉信息的调试。可以双人训练，增加互动交流，对人际关系的强化也有帮助。适用人群：触觉敏感过度，自闭症。</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横行式肌肉运动训练箱</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不同轨道变化不断改变推力方向、手臂施力方向，以此锻炼手部肌肉、腕关节、肘关节、手臂等部位的肌力能力与灵活性，不断闪烁的感应光效有序的刺激视觉神经，不同音、乐有序的刺激听觉神经；持续训练会对增强手臂的横向力量，提高手指抓握能力和视、听感官能力起到显著效果。</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1.木质电子箱1件；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2.软包保护套1件；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3.输入电压：220VAC工作电压：12VDC；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4.额定功率：小于40W；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5.尺寸：≥1200*900*120mm；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圆环投射灯光音乐跳（地垫式）</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导师可根据游戏者的体能及心智需求，选择不同的游戏、时间和模式，以视、听觉刺激吸引游戏者的身体移动，达到训练游戏者的大肌肉活动、空间控制及身体平衡能力等。圆环式方位设置可训练游戏者对身体四周的空间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参数要求：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1.4种游戏模式包括：顺序模式、全亮模式、全灭模式、自由模式。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.速度、音量可调节；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.支持USB热插拔，可更换音乐；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.输入电压：220VAC工作电压：12VDC；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.圆环尺寸：≥ø1600mm，地垫尺寸：≥2000*2000*50mm；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.控制箱1件，采用ABS与PMMA复合材料，一体成型工艺，表面无油漆，安全环保，尺寸：≥550*400*70mm。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小鱼触摸变色捉灯游戏箱</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功能要求：训练手眼协调，増强视觉感官能力，情绪舒缓。</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参数参数：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1.木质电子箱1件；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2.软包保护套1件；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3.输入电压：220VAC工作电压：12VDC；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4.额定功率：小于40W；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5.尺寸：≥1200*900*120mm；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6.产品至少4种模式，游戏过程中，用手掌触摸面板上小鱼来玩游戏，同时伴随声音，当长时间触摸同一个鱼时，鱼的灯光会有渐变色。</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7.支持USB热插拔，可更换音乐。</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豆袋</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功能要求：放松神经、舒缓情绪。</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1.规格：≥ø900*900mm；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2.材质：外层：PU皮，软体：EPE高分子发泡棉；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墙面图案</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功能要求：营造良好的空间氛围，增强和丰富良好的视觉感官。</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根据不同训练室的特性和实际需求，按特定空间尺寸制定和设计不同的各类情景画面（墙面须为白色乳胶漆墙面），无毒环保颜料。</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造型吊顶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功能要求：营造良好的空间氛围，增强和丰富良好的视觉感官，提升训练室的整全性和趣味性，打造一个适合儿童开展相关训练的完善空间。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参数要求：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1.整体石膏板造型吊顶设计与施工（具体造型结合现场实际设计实施）；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2.吊顶表面乳胶漆处理；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3.吊顶相关照明和氛围灯光效果及相关线路铺设（具体结合实际和效果实施）。</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单色墙垫</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功能要求：保护和整体环境装饰作用，墙垫采用环保高弹力软体材质和高级木材组合制作，除可减轻重量外也控制了最佳的厚度；确保游戏者的训练安全。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参数要求：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1.规格：≥1200*800*40mm；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2.材质：面皮革中间海绵底板密度板，复白板，多层板</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单色地垫</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保护和整体环境装饰作用，地垫采用环保高弹力软体材质制作，除可减轻重量外也控制了最佳的厚度；确保游戏者在训练过程中的安全外，同时可保护游戏者在地垫上跑动的稳定性。地垫与地垫间底部可魔术粘贴连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参数要求：</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1.标准规格：</w:t>
            </w:r>
            <w:r>
              <w:rPr>
                <w:rFonts w:hint="eastAsia" w:ascii="宋体" w:hAnsi="宋体" w:eastAsia="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1000*1000*50mm（特殊区域根据需求定制）；</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2.材质：外层：PU皮革，软体：EPE高分子发泡材料。</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个训室</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情绪与行为障碍干预系统</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主要功能要求：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★1.视听渲染版块提供六连屏模式和双屏模式两种模式。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1.1分别融合不同属性的音乐、动感虚拟的视觉特效和三重灯光，充分利用视听感知觉刺激，提高视觉处理能力，应对不同来访者，激发情绪状态，进行情绪调节。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六连屏模式中六屏弧形排列，画面由线条轮廓特效过渡到现实画面，通过六屏使来访者进行知觉过渡，提高感知觉异常来访者对现实环境的适应能力，改善感知觉异常带来的情绪问题，用于感觉统合障碍、情绪行为障碍、注意力障碍的可视化音乐治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3.六个屏幕弧形排列，具有定制版视听音乐训练柜，配套蛋椅可根据不同的使用需求，选择不同播放形式及音乐素材，进行一对一或一对多小组教学训练。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4.可视化音乐治疗方式中包含了音乐素材、视觉素材和灯光等多重刺激，从多感觉通道入手，调节不良情绪，建立良好情绪。</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4.1视听诱导以画面为主体，结合音色、旋律、节奏、色彩、灯光变幻等视听效果。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双屏模式可根据需求选择视听效果（现实+虚拟），视觉素材运用镜像、素描、三基色、滚屏和浮雕画面等效果，提供丰富的视觉变换，提高视觉处理能力，改善因感知觉异常带来的情绪问题。帮助来访者在视听欣赏中得到情绪的宣泄与疏导。</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6.音乐素材包括正性曲、中性曲、负性曲三个部分，三种音乐类型应对不同来访者调节情绪。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6.1正性包含动感色彩、山川河流、鸟语花香、卡通世界等，中性包含四季小屋、绿森林、彩色梦幻世界等，负性包括神秘花园、飞舞天使、雪中小镇等。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灯光素材包含三种颜色，红色、绿色、蓝色，不同的颜色营造出不同的氛围，红色环境氛围让来访者感受到热情、活泼、激情，易鼓舞人心，可以刺激和兴奋来访者神经系统；绿色属于居中的颜色，绿色环境具有平衡来访者心境和情绪的作用；蓝色属于冷色，蓝色环境氛围能让来访者感受到低沉、郁闷和孤独，与红色相对应。灯光颜色的刺激能影响来访者的情绪，起到调节情绪的作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情绪调节通过表情识别、情绪体验、减压游戏、绘画心理分析等版块，表情识别与减压游戏可选择难易程度进行，包含心理分析的具体说明，系统通过特定的方法和手段进行调节干预，提升来访者对自己和他的情绪状态识别和理解、对情绪产生后的表情认知、情绪的外在行为表现等各方面的能力。</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音乐治疗综合能力评估版块针对来访者基础信息进行填写，评估活动内容含有初、中、高三个等级，针对感知能力、运动能力、听觉能力、认知能力、语言能力以及社会交往能力六个方面进行活动设计，治疗师可根据儿童情况选择不同难度进行评估测评。</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音乐治疗能力训练方案版块，训练内容由易到难，以音乐治疗为核心，围绕感知觉运动能力、认知语言能力、社会交往能力三方面进行干预，具有针对性的治疗方案，可对来访者进行一对一个训或团体训练，达到提升来访者能力的目的。</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11.音乐治疗版块配套所需的案例指导手册、用具、音频、视频，方便教师直接使用，提升效率。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12.来访者情况评估至少包含7个评定量表，可进行情绪和行为上的评估，评估结果可直接打印，使教师初步了解来访者情绪行为可能存在的问题，更有针对性地对来访者进行后期个别化训练计划的制定。</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13.来访者管理提供来访者新建、修改、删除功能，可记录来访者基本档案信息(姓名、年龄等），便于教师管理来访者。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三、主要组成：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1.情绪与行为障碍干预软件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2.显示屏：≥6台、尺寸≥23寸</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3.触摸显示屏：≥1台、尺寸≥21英寸，支持10点及以上触控</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4.六连屏机柜：≥1组、ABS工程塑料</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5.万向轮台车：≥1台、ABS工程塑料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6.主机：CPU不低于i3.独立显卡≥1G、固态硬盘≥256GB、内存≥</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GB</w:t>
            </w:r>
            <w:r/>
          </w:p>
          <w:p>
            <w:p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A4</w:t>
            </w:r>
            <w:r>
              <w:rPr>
                <w:rFonts w:hint="eastAsia" w:ascii="宋体" w:hAnsi="宋体" w:eastAsia="宋体" w:cs="宋体"/>
                <w:color w:val="auto"/>
                <w:sz w:val="24"/>
                <w:szCs w:val="24"/>
                <w:highlight w:val="none"/>
              </w:rPr>
              <w:t xml:space="preserve">彩色喷墨打印机</w:t>
            </w:r>
            <w:r>
              <w:rPr>
                <w:rFonts w:hint="eastAsia" w:ascii="宋体" w:hAnsi="宋体" w:eastAsia="宋体" w:cs="宋体"/>
                <w:color w:val="auto"/>
                <w:sz w:val="24"/>
                <w:szCs w:val="24"/>
                <w:highlight w:val="none"/>
                <w:lang w:val="en-US" w:eastAsia="zh-CN"/>
              </w:rPr>
              <w:t xml:space="preserve">1台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复印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打印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扫描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连接方式：支持</w:t>
            </w:r>
            <w:r>
              <w:rPr>
                <w:rFonts w:hint="eastAsia" w:ascii="宋体" w:hAnsi="宋体" w:eastAsia="宋体" w:cs="宋体"/>
                <w:color w:val="auto"/>
                <w:sz w:val="24"/>
                <w:szCs w:val="24"/>
                <w:highlight w:val="none"/>
                <w:lang w:val="en-US" w:eastAsia="zh-CN"/>
              </w:rPr>
              <w:t xml:space="preserve">无线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USB</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接口类型：USB、wifi</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打印速速</w:t>
            </w:r>
            <w:r>
              <w:rPr>
                <w:rFonts w:hint="eastAsia" w:ascii="宋体" w:hAnsi="宋体" w:eastAsia="宋体" w:cs="宋体"/>
                <w:color w:val="auto"/>
                <w:sz w:val="24"/>
                <w:szCs w:val="24"/>
                <w:highlight w:val="none"/>
                <w:lang w:eastAsia="zh-CN"/>
              </w:rPr>
              <w:t xml:space="preserve">：黑白</w:t>
            </w:r>
            <w:r>
              <w:rPr>
                <w:rFonts w:hint="eastAsia" w:ascii="宋体" w:hAnsi="宋体" w:eastAsia="宋体" w:cs="宋体"/>
                <w:color w:val="auto"/>
                <w:sz w:val="24"/>
                <w:szCs w:val="24"/>
                <w:highlight w:val="none"/>
                <w:lang w:val="en-US" w:eastAsia="zh-CN"/>
              </w:rPr>
              <w:t xml:space="preserve">不低于17</w:t>
            </w:r>
            <w:r>
              <w:rPr>
                <w:rFonts w:hint="eastAsia" w:ascii="宋体" w:hAnsi="宋体" w:eastAsia="宋体" w:cs="宋体"/>
                <w:color w:val="auto"/>
                <w:sz w:val="24"/>
                <w:szCs w:val="24"/>
                <w:highlight w:val="none"/>
                <w:lang w:eastAsia="zh-CN"/>
              </w:rPr>
              <w:t xml:space="preserve">页/分钟、彩色</w:t>
            </w:r>
            <w:r>
              <w:rPr>
                <w:rFonts w:hint="eastAsia" w:ascii="宋体" w:hAnsi="宋体" w:eastAsia="宋体" w:cs="宋体"/>
                <w:color w:val="auto"/>
                <w:sz w:val="24"/>
                <w:szCs w:val="24"/>
                <w:highlight w:val="none"/>
                <w:lang w:val="en-US" w:eastAsia="zh-CN"/>
              </w:rPr>
              <w:t xml:space="preserve">不低于10</w:t>
            </w:r>
            <w:r>
              <w:rPr>
                <w:rFonts w:hint="eastAsia" w:ascii="宋体" w:hAnsi="宋体" w:eastAsia="宋体" w:cs="宋体"/>
                <w:color w:val="auto"/>
                <w:sz w:val="24"/>
                <w:szCs w:val="24"/>
                <w:highlight w:val="none"/>
                <w:lang w:eastAsia="zh-CN"/>
              </w:rPr>
              <w:t xml:space="preserve">页/分钟；最大分辩率：</w:t>
            </w:r>
            <w:r>
              <w:rPr>
                <w:rFonts w:hint="eastAsia" w:ascii="宋体" w:hAnsi="宋体" w:eastAsia="宋体" w:cs="宋体"/>
                <w:color w:val="auto"/>
                <w:sz w:val="24"/>
                <w:szCs w:val="24"/>
                <w:highlight w:val="none"/>
                <w:lang w:val="en-US" w:eastAsia="zh-CN"/>
              </w:rPr>
              <w:t xml:space="preserve">不低于4800</w:t>
            </w:r>
            <w:r>
              <w:rPr>
                <w:rFonts w:hint="eastAsia" w:ascii="宋体" w:hAnsi="宋体" w:eastAsia="宋体" w:cs="宋体"/>
                <w:color w:val="auto"/>
                <w:sz w:val="24"/>
                <w:szCs w:val="24"/>
                <w:highlight w:val="none"/>
                <w:lang w:eastAsia="zh-CN"/>
              </w:rPr>
              <w:t xml:space="preserve">x 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0 dpi；进纸容量：</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lang w:eastAsia="zh-CN"/>
              </w:rPr>
              <w:t xml:space="preserve">100页A4</w:t>
            </w:r>
            <w:r>
              <w:rPr>
                <w:rFonts w:hint="eastAsia" w:ascii="宋体" w:hAnsi="宋体" w:eastAsia="宋体" w:cs="宋体"/>
                <w:color w:val="auto"/>
                <w:sz w:val="24"/>
                <w:szCs w:val="24"/>
                <w:highlight w:val="none"/>
                <w:lang w:val="en-US" w:eastAsia="zh-CN"/>
              </w:rPr>
              <w:t xml:space="preserve">纸张；液晶屏幕不小于1.4英寸</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br/>
            </w:r>
            <w:r>
              <w:rPr>
                <w:rFonts w:hint="eastAsia" w:ascii="宋体" w:hAnsi="宋体" w:eastAsia="宋体" w:cs="宋体"/>
                <w:color w:val="auto"/>
                <w:sz w:val="24"/>
                <w:szCs w:val="24"/>
                <w:highlight w:val="none"/>
              </w:rPr>
              <w:t xml:space="preserve">8.蛋椅（内置音响）：≥1个</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材质：外壳玻璃钢，内饰植绒布，</w:t>
            </w:r>
            <w:r>
              <w:rPr>
                <w:rFonts w:hint="eastAsia" w:ascii="宋体" w:hAnsi="宋体" w:eastAsia="宋体" w:cs="宋体"/>
                <w:color w:val="auto"/>
                <w:sz w:val="24"/>
                <w:szCs w:val="24"/>
                <w:highlight w:val="none"/>
              </w:rPr>
              <w:t xml:space="preserve">内置音响</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9.PT凳（含靠背）：≥2个</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外形尺寸（直径×高）：40×48、材质：皮+钢制、高度调节范围43～53cm、</w:t>
            </w:r>
            <w:r/>
          </w:p>
          <w:p>
            <w:p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360°旋转、静音设计万向滚轮</w:t>
            </w:r>
            <w:r>
              <w:rPr>
                <w:rFonts w:hint="eastAsia" w:ascii="宋体" w:hAnsi="宋体" w:eastAsia="宋体" w:cs="宋体"/>
                <w:color w:val="auto"/>
                <w:sz w:val="24"/>
                <w:szCs w:val="24"/>
                <w:highlight w:val="none"/>
                <w:lang w:eastAsia="zh-CN"/>
              </w:rPr>
              <w:t xml:space="preserve">。</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语听注意力评测与训练系统</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系统包含硬件和软件两个部分，至少包含6个类别的配套教学用具，供教师和学生使用。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一、软件要求：系统至少包括了学习中心、学生管理、评估中心、训练中心、训练结果、训练记录和系统管理等模块，可以高效有序地使用、记录、管理训练的全部过程并且长期记录观测一个孩子的语言能力成长过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1.学习中心：</w:t>
            </w:r>
            <w:bookmarkStart w:id="201" w:name="OLE_LINK20"/>
            <w:r>
              <w:rPr>
                <w:rFonts w:hint="eastAsia" w:ascii="宋体" w:hAnsi="宋体" w:eastAsia="宋体" w:cs="宋体"/>
                <w:color w:val="auto"/>
                <w:sz w:val="24"/>
                <w:szCs w:val="24"/>
                <w:highlight w:val="none"/>
              </w:rPr>
              <w:t xml:space="preserve">至少</w:t>
            </w:r>
            <w:bookmarkEnd w:id="201"/>
            <w:r>
              <w:rPr>
                <w:rFonts w:hint="eastAsia" w:ascii="宋体" w:hAnsi="宋体" w:eastAsia="宋体" w:cs="宋体"/>
                <w:color w:val="auto"/>
                <w:sz w:val="24"/>
                <w:szCs w:val="24"/>
                <w:highlight w:val="none"/>
              </w:rPr>
              <w:t xml:space="preserve">包含教学视频，主要从训练步骤和分级训练级别等方面进行展示，帮助老师尽快地理解训练的操作流程和具体步骤</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2.学生管理：帮助老师记录学生基本情况，高效管理。包含学生基本信息和个人表现等，可记录学生基本情况和学生训练情况，便于教师管理并制定教学计划。</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3.评估中心：测量发声有困难的词汇“使用”能力，可对学生的语言理解能力进行初始评估。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训练中心：系统包含难易程度不同的训练题型，学生可直接进行训练操作，具有正听反说、听词语做动作、复数句子等版块。在训练过程中，能够提升儿童的精细动作、注意力、认知能力、语言表达能力等多种能力。训练内容不少于5个模块，训练题不少于70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5.训练结果：教师可以查看学生的训练结果，提供训练结果的对比，根据训练结果对比制定每一次教学内容，便于了解学生训练效果。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6.训练记录：记录学生训练的过程，包括训练时间、训练主题、训练参与人员、训练过程以及训练情况的总结。</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7.系统管理：可修改系统密码，操作说明为教师提供使用指导。</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二、辅助教具要求：包括训练道具、训练指导任务书等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1.训练道具：定制亚克力材质，主要包含数学、语文、自然、人际交往、交通工具、食物6类，提供非常丰富的语言资源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2.训练指导任务书：供教师学习的教学用书，为教师提供训练示例，包括不同训练难度的划分，和不同训练主题的展示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三、硬件部分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1.显示屏尺寸：</w:t>
            </w:r>
            <w:bookmarkStart w:id="202" w:name="OLE_LINK22"/>
            <w:r/>
            <w:bookmarkStart w:id="203" w:name="OLE_LINK23"/>
            <w:r>
              <w:rPr>
                <w:rFonts w:hint="eastAsia" w:ascii="宋体" w:hAnsi="宋体" w:eastAsia="宋体" w:cs="宋体"/>
                <w:color w:val="auto"/>
                <w:sz w:val="24"/>
                <w:szCs w:val="24"/>
                <w:highlight w:val="none"/>
              </w:rPr>
              <w:t xml:space="preserve">≥</w:t>
            </w:r>
            <w:bookmarkEnd w:id="202"/>
            <w:r/>
            <w:bookmarkEnd w:id="203"/>
            <w:r>
              <w:rPr>
                <w:rFonts w:hint="eastAsia" w:ascii="宋体" w:hAnsi="宋体" w:eastAsia="宋体" w:cs="宋体"/>
                <w:color w:val="auto"/>
                <w:sz w:val="24"/>
                <w:szCs w:val="24"/>
                <w:highlight w:val="none"/>
              </w:rPr>
              <w:t xml:space="preserve">14寸</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2.处理器：不低于i5处理器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3.内存：运行内存≥16G，硬盘存储≥512G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4.分辨率1920×1080dpi</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训练桌</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材质：樟子松实木喷漆：水性环保漆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尺寸：桌子长：≥120cm宽：≥60cm高：≥50cm，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椅子长：≥28cm宽：≥30cm高：≥51cm，坐高≥28cm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特点：圆角设计防止磕碰对孩子造成伤害，主要用于孩子团体活动课。</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教具柜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特点：多功能组合款式多样，可收纳不同物品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材质：采用≥18mmAA樟子松实木或橡木，喷漆:水性环保漆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尺寸：≥120*30*80cm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bookmarkStart w:id="204" w:name="OLE_LINK24"/>
            <w:r>
              <w:rPr>
                <w:rFonts w:hint="eastAsia" w:ascii="宋体" w:hAnsi="宋体" w:eastAsia="宋体" w:cs="宋体"/>
                <w:color w:val="auto"/>
                <w:sz w:val="24"/>
                <w:szCs w:val="24"/>
                <w:highlight w:val="none"/>
              </w:rPr>
              <w:t xml:space="preserve">特需儿童专用教学辅具</w:t>
            </w:r>
            <w:bookmarkEnd w:id="204"/>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（1）感知觉类</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须具备多种类型操作材料，通过感知觉的干预，让特需儿童认识常见的动植物，能注意并发现周围的动植物是多种多样的，课程化教学让儿童感知发现物体和材料的软硬、光滑和粗糙等特性，以及动植物的生长变化等。发展儿童感知觉能力，提升专注力。（包括但不限于彩色的拥抱、神奇的生命、摸一摸等，具有嵌板、动植物生长过程圆片、收纳袋、沙包、积木、透光片、眼镜等操作材料。）</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（2）情绪行为类</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须具备多种类型操作材料，教师通过自身良好的情绪状态影响儿童，利用教学用具引导儿童与人分享自己情绪，并恰当表达和调控情绪，儿童在引导下能缓解情绪减少刻板行为、攻击性行为等不当行为，并通过音乐感知、音乐活动，进行情绪调节等。（包括但不限于叮当音乐会、情绪辨别、这样做对吗等，具有长方体表情积木、椭圆形表情、情绪类操作书、表情底板、行为指导卡、乐器等操作材料。）</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（3）生活适应类</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须具备多种类型操作材料，利用教具开展多种教学活动，鼓励儿童做力所能及的事情，参与日常的生活活动，引导他们学习和掌握生活自理的基本方法，例如穿衣、刷牙、打扫等，教学用具与生活环境相结合，帮助儿童能够提升生活自理的能力，并学习使用简单的劳动工具。（包括但不限于家务小帮手、我会穿衣服、垃圾分类等，具有牙模具、除尘器、扫帚、收纳架等操作材料。）</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（4）精细动作类</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须具备多种类型操作材料，用多种不同操作形式，创建手部精细运动训练专区，通过捏、拿、拧、揉、搓等手部动作操作材料，提升手部精细动作能力和手眼协调能力。（包括但不限于小小修理工、漂亮的篮子、小蘑菇、彩虹糖等，具有操作台、组装推车、花篮、木制箱子、拼插纸、镂空底板、珠子等操作材料。）</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（5）语言与沟通类</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须具备多种类型操作材料，教师可以引导儿童与他人沟通讨论，并运用已习得的语言词汇进行故事叙述、重复等，语言教学贯穿于所有的教学活动，通过更具针对性的教具，开展特色化语言活动，增强儿童的语言表达能力和沟通能力。（包括但不限于故事创作、“皮”一下很有“影”、3个“W”、快乐生活等，具有故事卡片、互动贴、相反木质卡片、干什么操作书、用什么操作书等操作材料。）</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（6）认知发展类</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须具备多种类型操作材料，通过认知类教具进行基本认知教学，例如形状、方向、空间、大小、数量等，通过教具引导儿童认识周边事物的形状，能将物品结合颜色、大小、数量要求有序的进行摆放，引导儿童发现生活中很多问题都会用到这些知识，让儿童将认知与实际生活相结合，提升并巩固他们的认知能力。（包括但不限于藏起来了、这是谁啊、动物学数数等，具有木质动物、积木、动物砝码、场景板、木制小车框、形状柱、形状嵌板、动物题板等操作材料。）</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（7）社会交往类</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须具备多种类型操作材料，将教学用具设计多种互动教学活动，引导儿童与不同的人进行，使他们适应新环境及新的人际关系，并通过教学活动游戏过程，激发他们与人沟通交流，锻炼他们社会交往的能力。（包括但不限于猜猜我是谁、逛超市、动物排排队等，具有动物卡片、不织布文字、智能收银机、购物车、3D立体书、手偶等操作材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★（8）专用教学辅具包含生活自理、精细动作、认知学习、语言沟通、情绪行为等7类不少于32组操作辅具。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为了教学方便，产品需配备纸质版特需儿童专用教学辅具课程手册，且在特需儿童专用教学辅具课程手册中找到相应使用教案（教程）。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（9）产品符合GB6675-2014《玩具安全》标准。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bookmarkStart w:id="205" w:name="_Toc27872"/>
            <w:r>
              <w:rPr>
                <w:rFonts w:hint="eastAsia" w:ascii="宋体" w:hAnsi="宋体" w:eastAsia="宋体" w:cs="宋体"/>
                <w:b/>
                <w:bCs/>
                <w:color w:val="auto"/>
                <w:sz w:val="24"/>
                <w:szCs w:val="24"/>
                <w:highlight w:val="none"/>
              </w:rPr>
              <w:t xml:space="preserve">评估室</w:t>
            </w:r>
            <w:bookmarkEnd w:id="205"/>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后台管理系统</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系统要求：</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1）测评端实现智能评估功能、机构介绍、康复师介绍等；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2）科室（机构负责人）端实时查看整体运营数据和线上推广活动发布；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3）家长端实时查询孩子评估档案，实现家庭训练和业务学习；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4）康复师端可以进行家训指导、排课消课、档案查询和记录等功能；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5）云后台管理系统包括资源管理、客户管理、员工管理、课件管理、排课管理、作业管理、机构（科室）宣传管理、班级管理、课程管理、运营数据等。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感统评估模块</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系统要求：</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感觉统合是指大脑对个体从视、听、嗅、前庭、本体等不同感觉通路输入的感觉信息进行选择、解释、联系和统一的神经心理过程，是个体进行日常生活，学习和工作的基础。儿童感觉统合能力的发展与学习、情绪有密切关系。感觉统合测评旨在帮助2-12岁儿童评测感觉统合功能的发展状况，测评量表分为问卷测评和运动测评两部分。问卷测评不少于80题（3.5岁以上，测评8项能力）或60题（3</w:t>
            </w:r>
            <w:r>
              <w:rPr>
                <w:rFonts w:hint="eastAsia" w:ascii="宋体" w:hAnsi="宋体" w:eastAsia="宋体" w:cs="宋体"/>
                <w:color w:val="auto"/>
                <w:sz w:val="24"/>
                <w:szCs w:val="24"/>
                <w:highlight w:val="none"/>
              </w:rPr>
              <w:t xml:space="preserve">.5岁以下，测评6项能力），其中触觉调节测评不少于10题、前庭觉调节测评不少于10题、本体觉调节测评不少于10题、视听觉调节测评不少于10题、姿势控制能力测评不少于10题、两侧整合与运用肢体能力测评不少于10题、触觉区辩与精细操作能力测评不少于10题、视听觉区辩能力测评不少于10题；运动测评包含视觉追踪、木琴、转头、触觉刷、跪趴姿势、走直线、触觉盘等，系统会根据儿童年龄自动推送相应的测评题目，至多推送12道题。通过问卷测评和运动测评两部分对感觉统合能力进行综合评估后，系统会自动生成测评报告，并匹配教学视频。</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言语构音模块</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系统要求：</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包括：声母构音测评:声母、韵母、声调、韵母构音测评:单韵母、复韵母、鼻韵母、口部运动测评:下颌、唇、舌、本测评，测评时请先听示范录音，每题要求跟读三遍，自动生成专业的训练方案、并通过数据化测评结果监控训练效果儿童言语构音综合能力评估</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（1）测试的题目中须至少包含了32个题目标音为声母，34个题目标音为韵母，4个题目标音为声调，测评过程中主要判断目标音正确与否，根据目标音的发音情况选择相应选项。</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语言沟通评估:须至少包含词语理解能力、词语命名能力、认知理解能力、句子理解能力、句子仿说能力、言语-语言交互训练、呼吸训练软件、发音诱导训练软件、言语构音训练软件、语音巩固训练软件、语音重复训练软件、语音切换训练软件、语音轮替训练软件、语言理解与表达训练软件--词语言与词组，言语构音、韵母构音、口部运动的训练视频、语言认知模块。</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2.一键自动生成检测的评估报告，打印测评报告；</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3.根据测评报告自动生成个性化IEP方案,儿童强弱项呈现不同颜色展示（含真人教学视频和交互性软件），复训测评支持自定义选择测试时间做数据对比。</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儿童8大领域发展评估</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1.系统可以对儿童认知能力发展领域进行评估；</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（1）语言沟通：主要针对发展年龄在1.5-6岁儿童的早期语言沟通能力进行评估，本测评共不少于120题；</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（2）认知测评:主要针对发展年龄在1.5-6岁儿童的认知能力进行测评，本测评不少于60题；</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（3）社会交往测评主要针对发展年龄在1-6岁儿童的社会交往能力进行测评，本测评不少于75题；</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（4）生活自理测评主要针对发展年龄在1-6岁儿童的生活自理能力进行测评，本测评不少于60题；</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（5）精细运动测评主要针对发展年龄在1-6岁儿童的小肌肉运动能力进行测评，本测评不少于80题；</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（6）粗大运动测评主要针对发展年龄在1-6岁儿童的大肌肉运动能力进行测评，本测评不少于80题；</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（7）感知觉测评主要针对发展年龄在1-6岁儿童的感知觉能力进行测评，本测评不少于35题；</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（8）情绪行为测评主要针对发展年龄在1-6岁儿童的情绪行为进行测评，本测评不少于40题。</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依据儿童认知发展规律，进行系统评估，从而得出儿童各方面认知能力的发展年龄，并自动生成数据化测评报告。</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2.采用智能化人机互动测评模式，支持儿童在线操作测评题目；</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3.一键自动生成检测的评估报告，打印测评报告；</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4.根据测评报告自动生成个性化IEP方案（含教学视频和交互性软件），可由评估师调整训练方案；</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5.支持自定义选择单项测评模块生成评估报告，也可以自定义测评时间生成指8大领域综合报告。</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孤独症心理教育评估</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孤独症儿童心理教育评估（发展及行为测试）至少可测量六项儿童发展能力（认知、语言表达、语言理解、精细动作、粗大动作、模仿）和至少四项儿童不良行为（情感表达、社交互动、语言及非语言的行为特征）。</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孤独症儿童心理教育评估（发展及行为测试）不少于170题，其中儿童发展能力不少于120题，包含认知能力测评不少于30题、语言表达测评不少于20题、语言理解测评不少于15题、精细动作测评不少于20题、粗大动作测评不少于15题、模仿能力测评不少于10题，儿童不良行为不少于45题，包含情感表达测评不少于10题、社交互动测评不少于10题、行为特征-语言测评不少于10题、行为特征-非语言测评不少于15题。</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儿童照顾者评估在线扫码同步完成测评，家长孩子同步完成测评，测评完成后可一键生成各项测试原始分、百分比级数、发展年龄以及发展程度，同时根据测评结果自动匹配建议的康复训练目标，为后续制定康复训练方案和实施康复训练活动提供参考。</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孤独症儿童发展能力评估（8大项）</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1.孤独症儿童发展能力评估采用观察、测试、访谈等方法对0-6岁孤独症儿童及其它广泛发育障碍儿童的发展现状及康复需要进行评估，为开展针对性的教育康复提供依据。</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量表由感知觉不少于55题、粗大动作不少于70题、精细动作不少于65题、语言与沟通不少于75题、认知不少于55题、社会交往不少于45题、生活自理不少于65题以及情绪与行为不少于50题，8个评估领域组成，每个领域都可以独立进行评估且不受其它评估领域的影响，整套量表可以按领域分开评估。</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注意力评估模块</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本测评软件主要用于测试3-12岁的儿童及青少年的注意力情况。该测评由问卷和操作测评两部分。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问卷测评包括注意力不集中、多动/冲动、对立违抗三部分，根据年龄分为3-6岁儿童和6岁以上儿童，系统会根据儿童年龄自动推送相应的问卷，主要用于确定孩子是否存在多动症的症状、严重程度以及对他们的损害程度。测评完成后系统会自动生成数据化测评报告。</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操作测评主要分为听觉注意力和视觉注意力两部分，分别从注意力的稳定性、注意力的分配、注意力的转移、注意力的广度以及记忆力等多个维度进行测评。操作测评旨在更详细地了解孩子注意力的具体表现，以便老师/家长明确孩子注意力的问题所在，能够为改善注意力提供指导方向。测评完成后系统会自动生成数据化测评报告。</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0-6岁儿童发育评估量表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-6岁儿童发育行为评估适用于0-6岁（未满7周岁）儿童发育行为水平的评估，用于测查儿童发育行为状况，评估其发育程度。本量表分为28个年龄组，不少于261个测查项目，包括大运动、精细动作、语言、适应能力和社会行为五大能区，其中大动作不少于50题，精细动作不少于50题，不少于适应能力55题，不少于语言50题，社会行为不少于52题，每个月龄组包含8-10个测评项目。系统会根据儿童年龄自动推送相应的测评项目，并自动生成数据化测评报告及IEP训练方案，为后续制定康复训练方案和实施康复训练活动提供参考。</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多功能台车</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台车参数要求：</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1.规格：≥1400*730*1050mm；</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2.显示屏仓：尺寸左右≥560mm，前后≥400mm，高度≥320mm，内底部通风设计，内设防盗锁装置，并设置外接电源插座；</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3.台面高度：≥720mm；</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4.整车材质：采用ABS工程塑料注塑一次成型，表面磨砂喷涂处理。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5.脚轮：超静音材料，转向灵活，轮带卡刹</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电脑配置要求：</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产品尺寸：≥489mmX387mm</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CPU：≥2.0GHz内存：≥8G</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固态硬盘：≥256GBSSD网卡：无线网卡</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显示器：≥23.6英寸高清显示器</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分辨率：≥1920*1080dpi(全高清）鼠标键盘：原装</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内置蓝牙、WIFI、音响、摄像头、HDMI接口</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触摸一体机</w:t>
            </w:r>
            <w:r>
              <w:rPr>
                <w:rFonts w:hint="eastAsia" w:ascii="宋体" w:hAnsi="宋体" w:eastAsia="宋体" w:cs="宋体"/>
                <w:color w:val="auto"/>
                <w:sz w:val="24"/>
                <w:szCs w:val="24"/>
                <w:highlight w:val="none"/>
                <w:lang w:val="en-US" w:eastAsia="zh-CN"/>
              </w:rPr>
              <w:t xml:space="preserve">1台</w:t>
            </w:r>
            <w:r>
              <w:rPr>
                <w:rFonts w:hint="eastAsia" w:ascii="宋体" w:hAnsi="宋体" w:eastAsia="宋体" w:cs="宋体"/>
                <w:color w:val="auto"/>
                <w:sz w:val="24"/>
                <w:szCs w:val="24"/>
                <w:highlight w:val="none"/>
              </w:rPr>
              <w:t xml:space="preserve">：≥4G+64G</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8.A4</w:t>
            </w:r>
            <w:r>
              <w:rPr>
                <w:rFonts w:hint="eastAsia" w:ascii="宋体" w:hAnsi="宋体" w:eastAsia="宋体" w:cs="宋体"/>
                <w:color w:val="auto"/>
                <w:sz w:val="24"/>
                <w:szCs w:val="24"/>
                <w:highlight w:val="none"/>
              </w:rPr>
              <w:t xml:space="preserve">彩色喷墨打印机</w:t>
            </w:r>
            <w:r>
              <w:rPr>
                <w:rFonts w:hint="eastAsia" w:ascii="宋体" w:hAnsi="宋体" w:eastAsia="宋体" w:cs="宋体"/>
                <w:color w:val="auto"/>
                <w:sz w:val="24"/>
                <w:szCs w:val="24"/>
                <w:highlight w:val="none"/>
                <w:lang w:val="en-US" w:eastAsia="zh-CN"/>
              </w:rPr>
              <w:t xml:space="preserve">1台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复印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打印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扫描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连接方式：支持</w:t>
            </w:r>
            <w:r>
              <w:rPr>
                <w:rFonts w:hint="eastAsia" w:ascii="宋体" w:hAnsi="宋体" w:eastAsia="宋体" w:cs="宋体"/>
                <w:color w:val="auto"/>
                <w:sz w:val="24"/>
                <w:szCs w:val="24"/>
                <w:highlight w:val="none"/>
                <w:lang w:val="en-US" w:eastAsia="zh-CN"/>
              </w:rPr>
              <w:t xml:space="preserve">无线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USB</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接口类型：USB、wifi</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打印速速</w:t>
            </w:r>
            <w:r>
              <w:rPr>
                <w:rFonts w:hint="eastAsia" w:ascii="宋体" w:hAnsi="宋体" w:eastAsia="宋体" w:cs="宋体"/>
                <w:color w:val="auto"/>
                <w:sz w:val="24"/>
                <w:szCs w:val="24"/>
                <w:highlight w:val="none"/>
                <w:lang w:eastAsia="zh-CN"/>
              </w:rPr>
              <w:t xml:space="preserve">：黑白</w:t>
            </w:r>
            <w:r>
              <w:rPr>
                <w:rFonts w:hint="eastAsia" w:ascii="宋体" w:hAnsi="宋体" w:eastAsia="宋体" w:cs="宋体"/>
                <w:color w:val="auto"/>
                <w:sz w:val="24"/>
                <w:szCs w:val="24"/>
                <w:highlight w:val="none"/>
                <w:lang w:val="en-US" w:eastAsia="zh-CN"/>
              </w:rPr>
              <w:t xml:space="preserve">不低于17</w:t>
            </w:r>
            <w:r>
              <w:rPr>
                <w:rFonts w:hint="eastAsia" w:ascii="宋体" w:hAnsi="宋体" w:eastAsia="宋体" w:cs="宋体"/>
                <w:color w:val="auto"/>
                <w:sz w:val="24"/>
                <w:szCs w:val="24"/>
                <w:highlight w:val="none"/>
                <w:lang w:eastAsia="zh-CN"/>
              </w:rPr>
              <w:t xml:space="preserve">页/分钟、彩色</w:t>
            </w:r>
            <w:r>
              <w:rPr>
                <w:rFonts w:hint="eastAsia" w:ascii="宋体" w:hAnsi="宋体" w:eastAsia="宋体" w:cs="宋体"/>
                <w:color w:val="auto"/>
                <w:sz w:val="24"/>
                <w:szCs w:val="24"/>
                <w:highlight w:val="none"/>
                <w:lang w:val="en-US" w:eastAsia="zh-CN"/>
              </w:rPr>
              <w:t xml:space="preserve">不低于10</w:t>
            </w:r>
            <w:r>
              <w:rPr>
                <w:rFonts w:hint="eastAsia" w:ascii="宋体" w:hAnsi="宋体" w:eastAsia="宋体" w:cs="宋体"/>
                <w:color w:val="auto"/>
                <w:sz w:val="24"/>
                <w:szCs w:val="24"/>
                <w:highlight w:val="none"/>
                <w:lang w:eastAsia="zh-CN"/>
              </w:rPr>
              <w:t xml:space="preserve">页/分钟；最大分辩率：</w:t>
            </w:r>
            <w:r>
              <w:rPr>
                <w:rFonts w:hint="eastAsia" w:ascii="宋体" w:hAnsi="宋体" w:eastAsia="宋体" w:cs="宋体"/>
                <w:color w:val="auto"/>
                <w:sz w:val="24"/>
                <w:szCs w:val="24"/>
                <w:highlight w:val="none"/>
                <w:lang w:val="en-US" w:eastAsia="zh-CN"/>
              </w:rPr>
              <w:t xml:space="preserve">不低于4800</w:t>
            </w:r>
            <w:r>
              <w:rPr>
                <w:rFonts w:hint="eastAsia" w:ascii="宋体" w:hAnsi="宋体" w:eastAsia="宋体" w:cs="宋体"/>
                <w:color w:val="auto"/>
                <w:sz w:val="24"/>
                <w:szCs w:val="24"/>
                <w:highlight w:val="none"/>
                <w:lang w:eastAsia="zh-CN"/>
              </w:rPr>
              <w:t xml:space="preserve">x 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0 dpi；进纸容量：</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lang w:eastAsia="zh-CN"/>
              </w:rPr>
              <w:t xml:space="preserve">100页A4</w:t>
            </w:r>
            <w:r>
              <w:rPr>
                <w:rFonts w:hint="eastAsia" w:ascii="宋体" w:hAnsi="宋体" w:eastAsia="宋体" w:cs="宋体"/>
                <w:color w:val="auto"/>
                <w:sz w:val="24"/>
                <w:szCs w:val="24"/>
                <w:highlight w:val="none"/>
                <w:lang w:val="en-US" w:eastAsia="zh-CN"/>
              </w:rPr>
              <w:t xml:space="preserve">纸张；液晶屏幕不小于1.4英寸</w:t>
            </w:r>
            <w:r>
              <w:rPr>
                <w:rFonts w:hint="eastAsia" w:ascii="宋体" w:hAnsi="宋体" w:eastAsia="宋体" w:cs="宋体"/>
                <w:color w:val="auto"/>
                <w:sz w:val="24"/>
                <w:szCs w:val="24"/>
                <w:highlight w:val="none"/>
              </w:rPr>
              <w:t xml:space="preserve">。</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教具柜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特点：多功能组合款式多样，可收纳不同物品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材质：采用≥18mmAA樟子松实木或橡木，喷漆:水性环保漆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尺寸：≥120*30*80cm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特殊教育资料</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针对特殊教育学生的老师及家长使用的资料，资料涉及心理、康复、教育等方面不少于50份。</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bookmarkStart w:id="206" w:name="_Toc32601"/>
            <w:r>
              <w:rPr>
                <w:rFonts w:hint="eastAsia" w:ascii="宋体" w:hAnsi="宋体" w:eastAsia="宋体" w:cs="宋体"/>
                <w:b/>
                <w:bCs/>
                <w:color w:val="auto"/>
                <w:sz w:val="24"/>
                <w:szCs w:val="24"/>
                <w:highlight w:val="none"/>
              </w:rPr>
              <w:t xml:space="preserve">墙面康复游戏</w:t>
            </w:r>
            <w:bookmarkEnd w:id="206"/>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墙面游戏—磁的吸引力</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尺寸：≥39.5*59.5CM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材质：桦木夹板，环保水性漆；无毒，无味，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通过该款玩具可以使小朋友了解到生活中磁力的作用，以及磁铁正反极相斥相吸的原理</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墙面游戏—天然气采集</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尺寸：≥60cm*40cm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材质：桦木夹板，环保水性漆；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让小朋友了解天然气作为一种气态化石燃料可以通过采集、运输、净化、调压以及天然气管道输送到千家万户，并通过燃气灶和热水器的使用给人们的烹饪和洗浴带来方便。</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墙面游戏—风力太阳能发电</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尺寸：≥60cm*40cm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材质：桦木夹板，环保水性漆；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通过太阳能电池板汇聚太阳光和热能太阳能的转化为电能和利用风力带动风车叶片旋转把机械能转化为电能的两种发电方式，让小朋友了解太阳能发电和风力发电是重要的可再生绿色新能源。</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墙面游戏—迷宫</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尺寸：≥40*40*1.8cm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材质：E1级中密度纤维板，环保水性漆；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巧妙的透过双手运动及操作来促进全脑的潜能开发，幼儿先进行迷宫游戏中可以抵达终点的路径，用手仿真出黄色凹面圆形钮可移动的路径，透过观察及表达观察的结论后，依照自己观察的路径进行移动操作，移动的速度先缓慢进行，让手部操作配合脑部思考及眼部的移动，直到达到终点。抵达终点后再换成左手，以同样的路径回到起点，不但训练幼儿将来在汉字书写所需要的动手能力和手部运用的技巧外，透过玩具操作引导幼儿空间及视知觉训练，进而促进幼儿将来书写能力需要的手眼协调与精细动的手部动作能力预备。</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墙面游戏—几何形状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尺寸：≥40*40*1.6cm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材质：E1级中密度纤维板，环保水性漆；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针对幼儿空间观念的启蒙，以常见图形建立空间的观念，游戏中不仅是形状认知，以嵌入式的操作游戏，进行虚（形状积木的位置）与实（形状积木），形成空间的表象。空间观念是人在空间知觉基础上形成的一种大脑表象，它包含对物体的方向、距离、大小和形状的知觉，透过数学与空间的关系，建立幼儿抽象与具象思维的经验，促使幼儿认识与觉察几何图形，形状是如何透过维度及点、线、面被具体形成的。</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墙面游戏—螃蟹</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尺寸：≥40*40*4cm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材质：E1级中密度纤维板，环保水性漆；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让幼儿先观察以线条所</w:t>
            </w:r>
            <w:r>
              <w:rPr>
                <w:rFonts w:hint="eastAsia" w:ascii="宋体" w:hAnsi="宋体" w:eastAsia="宋体" w:cs="宋体"/>
                <w:color w:val="auto"/>
                <w:sz w:val="24"/>
                <w:szCs w:val="24"/>
                <w:highlight w:val="none"/>
              </w:rPr>
              <w:t xml:space="preserve">形成的螃蟹图案，螃蟹的主要特征两只附属肢，螃蟹的大钳里有三个圆形的沟漕，圆形沟漕线条就是凸的地方，珠子可以滚动的地方就是凹面，让幼儿观察凹凸深浅，及每个沟漕里的珠子，是如何进行物理运动。透过探索观察，发现钉在墙上的螃蟹会不会动？再利用抓握的手部动作，过转动右下角的小转盘，产生上下、左右、画圆等空间动作，透过转动将位螃蟹身体里不同地方的6颗珠子，滚动聚集连成一线，然后控制转动的力量与速度进行迷宫轨道的移动，幼儿面对只要一对作就会造成环境的变化，时常在变，环境中的任何变化，都会对幼儿形成刺激感觉统合的协调作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墙面游戏—三个排成行</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尺寸：≥40*40*3.5cm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以三色三图案的积木钮方式进行轨道上的移动，游戏设计上除了空间及数理逻辑智能的训练外，提升手部训练较高难度的动作设计，在短距离的轨道移动过程，将汉字70％的笔画动作，潜移默化的运用到游戏操作过程中，对于即将进入大班即将小学阶段的幼儿而言，在视知觉、视觉追视、视觉记忆、手眼协调、专注力上都能带来很大的帮助。</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墙面游戏—毛毛虫</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尺寸：≥200*55*13cm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材质：E1级中密度纤维板，环保水性漆；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「毛毛虫(1)」头部是以铁丝曲线透过手眼协调将不同形状木珠的移动来训练动手能力。「毛毛虫(</w:t>
            </w:r>
            <w:r>
              <w:rPr>
                <w:rFonts w:hint="eastAsia" w:ascii="宋体" w:hAnsi="宋体" w:eastAsia="宋体" w:cs="宋体"/>
                <w:color w:val="auto"/>
                <w:sz w:val="24"/>
                <w:szCs w:val="24"/>
                <w:highlight w:val="none"/>
              </w:rPr>
              <w:t xml:space="preserve">2)」以精细动作结合科学，运用木棒上的磁铁将珠子移动到蜜蜂造型天平，提升科学智能，以及数学概念中的计数及＂=″的认知，促进手脑协作。「毛毛虫(3)」以手部画圆旋转运动，结合齿轮及力的科学概念，透过转动有手握柄的橙色转盘，带动其他轮盘的转动，促进孩子进行积极思维。「毛毛虫(4)」以生活结合时间的概念，透过四季以及一日生活，以及自由拨弄时钟上的指针，将生活经验与抽象的时间概念做结合，进而对时间想像活动。「毛毛虫(5)」是以木棒上的磁铁来带动珠子的移动，并结合三个手握式转盘，强化手眼协调，以及空间转换的操作经验。</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墙面游戏—山峰、波浪、蝴蝶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尺寸：≥60*50*1.5cm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材质：E1级中密度纤维板，环保水性漆；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以人体或一般生物体的运动理论基础，促进幼儿神经系统、肌肉系统和骨骼系统共同联合发展所设计，针对幼儿足部肌肉训练运动的系列墙面游戏之一。游戏时幼儿采仰卧或坐卧姿势，以手肘或手掌支撑上身，并腿提脚离地，只以臀侧厚肉处着地，将足套入在滑板上，先由右脚控制右向左移动，再由左脚控制左向右移动，交换使用达到跨中线运动刺激左右脑。2.波浪」这款墙面游戏情境，游戏时幼儿采仰卧或坐卧姿势，以手肘或手掌支撑上身，并腿提脚离地，只以臀侧厚肉处着地，将足套入在滑板上。由右脚控制右向左上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以双膝凌空划图形，做最少半分钟。再以另一边臀侧着</w:t>
            </w:r>
            <w:r>
              <w:rPr>
                <w:rFonts w:hint="eastAsia" w:ascii="宋体" w:hAnsi="宋体" w:eastAsia="宋体" w:cs="宋体"/>
                <w:color w:val="auto"/>
                <w:sz w:val="24"/>
                <w:szCs w:val="24"/>
                <w:highlight w:val="none"/>
              </w:rPr>
              <w:t xml:space="preserve">地，由左脚控制左向右下移动，重复上述动作最少半分钟，透过下肢运动刺激身体与大脑协作，双脚交换达到跨中线运动，非常有效的刺激活化到左右脑。3.幼儿想像自己变成蝴蝶，但用脚来模拟蝴蝶飞行的动线。游戏时幼儿采仰卧或坐卧姿势，以手肘或手掌支撑上身，并腿提脚离地，只以臀侧厚肉处着地，将足套入在滑板上，做出幼儿教育肌动学中移动、屈和伸、收和展、旋转、环转等运动动作，透过墙面机械式滑板游戏设计，达到按摩大腿后侧肌群及臀肌群。以圆弧及旋涡形线条进行教育肌动学基本动作，利用腿部运动能量和深化运动，刺激上下脑范畴活化大脑区块。</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墙面游戏—快乐的大鳄鱼</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尺寸：≥200*55*13cm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材质：E1级中密度纤维板，环保水性漆；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大鳄鱼1」头部造型，灵动的鳄鱼眼睛让幼儿可以在单独玩时，也能透过想象在大鳄鱼的身上做游戏。「大鳄鱼1」以「身体运动智能」及「空间智能」为主进行的游戏设计，同时将铁线串珠、手抓驱动型圆型积木钮、手握转动盘等不同形式的手部精细动作和手眼协调运动，整合在同一个平面上，感受不同的手部操作经验对物件移动的影响与结果，满足幼儿操控的自主权，并大大提升了幼儿的专注力与创造力。「大鳄鱼2」以「数学逻辑智能」及「自我认知智能</w:t>
            </w:r>
            <w:r>
              <w:rPr>
                <w:rFonts w:hint="eastAsia" w:ascii="宋体" w:hAnsi="宋体" w:eastAsia="宋体" w:cs="宋体"/>
                <w:color w:val="auto"/>
                <w:sz w:val="24"/>
                <w:szCs w:val="24"/>
                <w:highlight w:val="none"/>
              </w:rPr>
              <w:t xml:space="preserve">」、「人际智能」、「自然认知智能」等四个较抽象的智能，以时间为主题，透过生活中观察，人的生活与自然的变化，从四季、月、周、日(早、晚)与气候（阴、晴、多云、风、雪等）的对应，再转化到幼儿个人的生活经验中，形成自我概念，了解人在时间的作用下，影响到所能进行的不同活动，建立时间相关名词，感受和注意时间的长短和更替，从数学概念学习中除了认知外，在情感上要学习到爱惜时间。「大鳄鱼3」以「语言智能」发展设计，提供中英文对照双语模式，并且利用手部操作选项板进行上下翻动，同时加上学习自然认知，启发幼儿中英文读写兴趣。「大</w:t>
            </w:r>
            <w:r>
              <w:rPr>
                <w:rFonts w:hint="eastAsia" w:ascii="宋体" w:hAnsi="宋体" w:eastAsia="宋体" w:cs="宋体"/>
                <w:color w:val="auto"/>
                <w:sz w:val="24"/>
                <w:szCs w:val="24"/>
                <w:highlight w:val="none"/>
              </w:rPr>
              <w:t xml:space="preserve">鳄鱼4」以鲜明的颜色及大小不一的齿轮造型，齿轮上彩绘图案通过转动，会产生视觉刺激，促进幼儿视知觉的发展，让「自然认知」与视觉感官，进行了专注力的大脑神经系统训练。「大鳄鱼5」)」参考奥尔夫打击乐所使用的乐器，进行2-5岁幼儿手部动作能力可以做到，设计有一根合适幼儿手部敲打操作的敲击棒，幼儿可以通过这一根敲击棒进行乐器的自由探索，刮板（刮刮响）鼓、锣、琴等打击乐器，促进幼儿表现出对音乐（节奏、音调、音色、旋律）的敏感，鼓励幼儿通过律动、演奏、歌唱等表达对音乐的喜爱及能力，激发幼儿「音乐智能」所设计的墙面游戏。</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墙面游戏—隔空取电</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尺寸：≥60cm*40cm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材质：桦木夹板，环保水性漆；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隔空取电采用电磁感应原理，通过线圈进行能量耦合实现能量的传递。通过二个电感线圈耦合能量，次级线圈输出的电流经接受转换电路变化成直流电为LED灯供电</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墙面游戏—光电盘</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尺寸：≥60cm*40cm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材质：桦木夹板，环保水性漆；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采用模块化手摇发电机构和稳压稳流技术供电，采用微电流升压技术，使光电盘中心产生安全的高电压，并使气体分子电离，激发荧光物产生断续的彩色弧光；用手触摸盘面，弧光的图案会发生相应的改变。不使用AC220V电源，确保操作的安全性。</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墙面游戏—机械转动之美</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尺寸：≥60cm*40cm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材质：桦木夹板，环保水性漆；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通过摇动摇柄使齿轮转动，其中一个齿轮有个曲柄臂连接到要发射的火箭上，将齿轮旋转运动变为火箭的往复运动，火箭上下运动被控制住了，因此火箭只能在竖直方向运动。观察三齿轮的转数变化，齿数和转数关系，中齿轮上有一一个曲柄臂连接到要发射的火箭上，注意齿轮旋转变为火箭的往复运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墙面游戏—人体导电</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尺寸：≥60cm*40cm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材质：桦木夹板，环保水性漆；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采用模块化手摇发电机构和稳压稳流技术供电，当面板上的两个金属球有导体连接时（人体左右手触摸），蜂鸣器发声、LED发光。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墙面游戏—尖端放电</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尺寸：≥60cm*40cm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材质：桦木夹板，环保水性漆；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采用模块化手摇发电机构和稳压稳流技术供电，经低电流升压技术使针尖两端产生高压静电，产生尖端放电现象。不使用AC220V电源，确保操作的安全。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墙面游戏—人体电池</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尺寸：≥60cm*40cm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w:t>
            </w:r>
            <w:r>
              <w:rPr>
                <w:rFonts w:hint="eastAsia" w:ascii="宋体" w:hAnsi="宋体" w:eastAsia="宋体" w:cs="宋体"/>
                <w:color w:val="auto"/>
                <w:sz w:val="24"/>
                <w:szCs w:val="24"/>
                <w:highlight w:val="none"/>
                <w:lang w:eastAsia="zh-CN"/>
              </w:rPr>
              <w:t xml:space="preserve">桦木夹板</w:t>
            </w:r>
            <w:r>
              <w:rPr>
                <w:rFonts w:hint="eastAsia" w:ascii="宋体" w:hAnsi="宋体" w:eastAsia="宋体" w:cs="宋体"/>
                <w:color w:val="auto"/>
                <w:sz w:val="24"/>
                <w:szCs w:val="24"/>
                <w:highlight w:val="none"/>
              </w:rPr>
              <w:t xml:space="preserve">，环保水性漆；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两手分别接触面板上的铜、铝金属块，电流计的指针偏转。</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墙面游戏—风力发电</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尺寸：≥60cm*40cm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材质：桦木夹板，环保水性漆；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主要展示器件安装于新西兰</w:t>
            </w:r>
            <w:r>
              <w:rPr>
                <w:rFonts w:hint="eastAsia" w:ascii="宋体" w:hAnsi="宋体" w:eastAsia="宋体" w:cs="宋体"/>
                <w:color w:val="auto"/>
                <w:sz w:val="24"/>
                <w:szCs w:val="24"/>
                <w:highlight w:val="none"/>
                <w:lang w:eastAsia="zh-CN"/>
              </w:rPr>
              <w:t xml:space="preserve">桦木夹板</w:t>
            </w:r>
            <w:r>
              <w:rPr>
                <w:rFonts w:hint="eastAsia" w:ascii="宋体" w:hAnsi="宋体" w:eastAsia="宋体" w:cs="宋体"/>
                <w:color w:val="auto"/>
                <w:sz w:val="24"/>
                <w:szCs w:val="24"/>
                <w:highlight w:val="none"/>
              </w:rPr>
              <w:t xml:space="preserve">上；板厚为12mm，桦木夹板可用6颗GB99-86(ST-M5*80)圆头自攻螺钉固定于墙体上；背板装有吸塑膜防尘保护罩。采用模块化手摇发电机构和稳压稳流技术供电，使小风机工作，吹动装有发电机的小风扇转动发电，并使LED发光和音乐声。</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墙面游戏—音乐喷泉</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尺寸：≥60cm*40cm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材质：桦木夹板，环保水性漆；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采用模块化手摇发电机构和稳压稳流技术供电，驱动音乐电路、功放电路、变频电路、微型水泵等正常工作。利用变频电路将音乐的节奏和强度转变为控制信号，使水泵的的转速随音乐的音调、节奏和强弱的变化而变化，形成不同的水柱，同时点亮七彩的LED灯光，使喷泉更具动感</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墙面游戏—发电轮</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尺寸：≥60cm*40cm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材质：桦木夹板，环保水性漆；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当铝环从上部自由下落，逐个穿过亚克力管内的磁铁，在铝环内产生感应电流，感应电流产生的磁场与磁铁相反，迫使铝环缓慢地落下。</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bookmarkStart w:id="207" w:name="_Toc15460"/>
            <w:r>
              <w:rPr>
                <w:rFonts w:hint="eastAsia" w:ascii="宋体" w:hAnsi="宋体" w:eastAsia="宋体" w:cs="宋体"/>
                <w:color w:val="auto"/>
                <w:sz w:val="24"/>
                <w:szCs w:val="24"/>
                <w:highlight w:val="none"/>
              </w:rPr>
              <w:t xml:space="preserve">情境训练室</w:t>
            </w:r>
            <w:bookmarkEnd w:id="207"/>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情景超市训练模块</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功能要求：模拟生活超市通过完全仿真的形式,将日常生活中经常所需要面对的各种生活小技能在模拟</w:t>
            </w:r>
            <w:r>
              <w:rPr>
                <w:rFonts w:hint="eastAsia" w:ascii="宋体" w:hAnsi="宋体" w:eastAsia="宋体" w:cs="宋体"/>
                <w:color w:val="auto"/>
                <w:sz w:val="24"/>
                <w:szCs w:val="24"/>
                <w:highlight w:val="none"/>
              </w:rPr>
              <w:t xml:space="preserve">超市中进行学习，让学生快速的了解购物流程、认识商品、挑选商品、价格认知、钱币与商品交换等各种常见生活技能操作流程。促使学生更加全面掌握生活中所需的日常知识和技能。根据模拟现实生活中的超市场景，将学生的“学习”融入“生活”，模型造型美观，有创意，接近现代生活，能达到一边玩一边学习的效果。有玩的过程中对新事物充满着好奇心而不断认知，不断学习。造型色彩艳丽，能有效的提高小朋友的色彩识别感，既美化了教学环境，又激发了学生的智力发展，增强了学生的生活能力和社会实践能力。整体教育设备以环保材料为主，以真实购物情景为主。</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配置要求：1.超市整体框架搭建，模拟环境装修，门面用石膏板做隔断，批刮腻子找平后做乳胶漆；；门面及内部墙面有部分做喷绘写真图案喷绘装饰海报1套；</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2.电子迎宾器。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3.超市双面货架2套，尺寸每组为：≥900*700*1350mm；单面货架4套，尺寸每组为：≥900*380*1350mm，根据现场实际情况安装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4.打价机1台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5.电子秤1台，计量称重，称重范围：小于等于30公斤</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6.收银台1套，尺寸：≥1800*850*850mm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7.收银机1件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8.蔬果架套，水果蔬菜货架4套，可放置仿真蔬菜和水果，规格：≥80*80*80cm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9.购物车2台，规格：≥470*320*650mm,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10.购物篮5个，规格：≥350*280*210mm,、仿真水果及蔬菜3套，每套水果蔬菜各10个品种。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11.超市商用展示冰柜1台。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12.饮品2套，每套10个品种。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13.仿真货币4套，超市内模拟购买货物，币值分别为纸币1角、5角、1元、5元、10元、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20元、50元、100元；硬币1分、2分、5分、1角、5角、1元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14.超市促销贴纸一套</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bookmarkStart w:id="208" w:name="_Toc13101"/>
            <w:r>
              <w:rPr>
                <w:rFonts w:hint="eastAsia" w:ascii="宋体" w:hAnsi="宋体" w:eastAsia="宋体" w:cs="宋体"/>
                <w:b/>
                <w:bCs/>
                <w:color w:val="auto"/>
                <w:sz w:val="24"/>
                <w:szCs w:val="24"/>
                <w:highlight w:val="none"/>
              </w:rPr>
              <w:t xml:space="preserve">蒙氏教室</w:t>
            </w:r>
            <w:bookmarkEnd w:id="208"/>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插座圆柱体</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尺寸：长≥46cm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由4组圆柱体组成。培养儿童辨别大小、高低、粗细、深浅的触觉、视觉能力，依圆柱体顺序对应培养逻辑思考敏锐观察能力；把握圆柄可作握笔练习和写字前准备。</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彩色圆柱</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尺寸：长≥46cm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由4组圆柱体组成。培养儿童辨别大小、高低、粗细、深浅的触觉、视觉能力，依圆柱体顺序对应培养逻辑思考敏锐观察能力；把握圆柄可作握笔练习和写字前准备。</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长棒</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尺寸：长≥46cm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由4组圆柱体组成。培养儿童辨别大小、高低、粗细、深浅的触觉、视觉能力，依圆柱体顺序对应培养逻辑思考敏锐观察能力；把握圆柄可作握笔练习和写字前准备。</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棕色梯</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尺寸：最大≥10*10*20cm，最小1*1*20cm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由10块长方体组成。透过触觉、视觉的辨别在知觉上对等次的差异有充分的认识，发展眼、手、肌肉的动作协调；了解递进、递减的关系；学习长方体的概念；培养逻辑思考〔顺序性和专注观察能力。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粉红塔</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尺寸：最大≥10cm，最小≥1cm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10块立方体组成。透过视觉正确获得对三维空间差别变化的知觉；了解递进、递减的关系；培养立方体的概念、手眼协调和肌肉运动的控制力；积高时敏锐的观察力；数学教育（理解十进位法）的间接准备；逻辑思考（顺序性）的能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嗅觉筒</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尺寸：底板≥19.2*12cm，瓶子≥8.8*4cm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通过嗅觉筒的配对操作，训练嗅觉器官辨别各种气味的能力，利用嗅觉器官感知事物的经验。</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音筒</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尺寸：盒子≥13*9.5*7cm，音筒长≥8cm，直径≥3cm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两个木箱中各有6个木制圆筒组成，圆简内装有石子、沙子、壳类、米粒、米糠等不同材料，摇动时发出强弱不同的声音。培养辨别声音强弱的听觉能力，发展腕部的肌肉运动。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味觉瓶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尺寸：≥20*10cm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由8个滴瓶组成。品尝各式味道，培养辨别基本味觉的能力。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温量板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尺寸：≥12.5*13*6.8cm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由金属、石材、木质、地毯片各2块组成，培养对温度的感觉,辨别温度的差异。</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铁制几何嵌板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尺寸：≥70*16cm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金属几何嵌板是书写能力的直接预备,练习金属嵌板不仅强化三指抓的能力，加强腕肌的协调力，而且透过描绘的练习，更可增强笔触力道的熟练度，重叠描绘不同的几何图形板使图形变化无穷。</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构成三角形</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等边三角形：边长≥20cm1个，等边六边形：边长≥12.7cm和11.4cm各1个，长方形≥26*17.5cm2个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由5盒不同的三角形块组成。透过视觉认识三角形，通过对多边形的组合与分解了解三角形与多边形的几何关系和相等概念。</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几何立体组</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长方体、正方体、球体、椭球体、卵形体、三角柱、圆柱、圆椎、三角椎、四角椎，另有11枚与上述几何体的一个侧面相等的投影板组成。培养儿童对实体的感觉，认识各种几何体，了解其特征；进入几何学的准备，刺激肌肉的感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重量板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尺寸：≥28*10*7cm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实木6组12个。培养辨别轻重的感觉和判断力。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触觉板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尺寸：≥26.5*14cm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由13块表面粗糙和光滑程度不同的木板组成。培养粗糙与光滑的触觉感和分析、比较的思维能力。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几何图形嵌板柜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尺寸：≥46*31*20cm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由几何嵌板操作1个屉、6层几何嵌板橱1个、几何嵌板36块、几何图形卡片99张组成。通过肌肉和触觉的联合，帮助视觉认识平面几何图形；发展手眼协调、注意力和观察力；平面几何学的预备。</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二项式</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尺寸：≥11.5*11.5*10.5cm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木制立方体和长方体共8块组成。培养视觉对立体空间的认识和数学思考能力，可作为计算体积(a+b)的代数教具。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(a+b)3=a³+3a²b+3ab²+b³</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三项式</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尺寸：≥11.5*11.5*11.5cm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木制立方体和长方体共27块组成。培养视觉对三次元的辨别能力，数学的思考能力，可作为三项式（a+b+c)³的代数教具使用。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(a+b+c)³=a³+3a²b+3a²c+b³+3ab²+3b²c+c³+3ac²+3bc²+6abc</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色板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尺寸：大≥23*23cm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由大、中、小3盒各种颜色的小色板组成。培养分辨颜色的对色彩的美感，颜色的对比及组合的预备。</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手眼协调掷圈</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尺寸：高≥12cm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由5个可组装的锣口木柱和5个麻绳套圈组成,锻炼手眼协调能力。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圆圆板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由100个彩色圆组成。可做颜色的排序、对应。</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几何体支柱</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尺寸：≥17*17*4.5cm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由1个插板盒、3个圆柱、3个三棱柱、3个四方柱组成。培养儿童对实体的感觉，认识几何体特征，可作颜色分类，高-&gt;低比较，排序。</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立体四子棋</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尺寸：≥18*18cm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由16组64颗棋子组成,分成两组,锻炼观察与逻辑分析能力。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圆柱体阶梯</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尺寸：最长≥8.5cm，最短≥4.5cm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由1个插板，25个高低、颜色不同的圆柱组成。可作颜色分类,高-&gt;低比较，排序。</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塞根板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材质：椴木、榉木、塑料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由4块板、18块数字片组成。对于11到19的数能正确的做名称练习；能把握连续数的排列，体会连续数的顺序关系；了解10位与个位数的关系；学习量与代表数量的符号（数字)的一致性。</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1-100连续数板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儿童将活动数字卡片排列在一定的方格板上，认识1-100的排列并认识数的连续性。</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加、减法板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加数最大为9的加法练习，熟练后可导入加法心算；用于呈现被减数最到为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18的减法运算练习，熟练后可导入减法心算。</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数棒</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由从短到长10根红、蓝相同的木棒和从1到10的10块数字片组成。数棒是代表连续“量”的教具。认识、了解数的及数词，记忆1到10，十进位法的预备，导入数的概念。</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邮票游戏</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幼儿通过银行游戏认识十进位法以后,即可进入邮票游戏的操作，熟悉数位的转换关系，并进行大数量的四则运算，培养数学思考能力。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二倍数</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由7个木块组成。培养2倍的概念，认识简单的倍数关系，导入㎡概念。</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分数小人</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由1个木座、小人4组10块组成。知道1个整体（=1）如何分成若干部分，作为进入分数的预备。</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乘除法板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进行得数最大为100的乘法题目，熟练后可导入乘法心算。练习被除数最大为81以内除法题目，从感官上认识平均分配的概念，熟练后可导入除法心算。</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立方体</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由1000颗边长为1厘米的立方块组成，学习立方的概念。</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十进位法及银行游戏</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由10颗单珠、10根珠棒、10个100珠板、9个1000珠阵、4套136张数字卡片组成。了解十进位法的排列与形成，学习交换的规则，可做大数目四则运算。</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数字与筹码</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尺寸：≥17.5*10*6cm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由55个圆片，10张1到10数字卡片组成。了解数与量的关系，认识奇数与偶数。</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100串珠链</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培养儿童练习1-100以内连续数，并熟悉十进法，培养分析综合能力和独立思维能力。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体积组</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认识整体与部分的关系,建立不同几何立体的体积可以换算的概念，发展儿童对空间的概念。</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三倍数</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用立方体或长方体等实物来显示三倍数之间的关系。</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灰色串珠棒</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尺寸：≥22*14*3.6cm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熟悉十以内数量、数字与名称，为学习减法运算做准备。</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黑色串珠棒</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尺寸：≥22*14*3.6cm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加深了解十以内的数量的概念，体会等量交换的概念，可用于进行加减法运算练习。</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彩色串珠棒</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尺寸：≥22*14*3.6cm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熟悉十以内数量、数字与名称,为学习㎡、立方做间接准备。</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㎡珠链</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由10串珠链(55个珠棒〉组成。加强以1为单位的数的连续概念；学习平方的概念；乘算的预备。</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立方珠链及柜架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由1个框架、55串珠链（385根珠棒〉组成。学习立方的概念和学乘法的预备。</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接龙、减龙游戏</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尺寸：≥12*12*1.5cm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练习加减混合运算，增加儿童对数学的兴趣，培养孩子的逻辑思考能力。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1000串珠链</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由100根（每根10颗珠）珠棒串成一条组成。加强对数的认识；熟悉连续数及其顺序；与100串珠板、1000的立方体珠块比较，培养差别的印象，加强十进位法的知识，培养专注力与独立性。</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砂数学板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由0到9数字长板1块，0到9数字单板10块组成。培养认识О到9的数字，练习书写数字，是写前的预备。</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黄色串珠棒</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认识数与量等量交换的概念，为进行银行游戏做准备。</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纺棰棒箱</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尺寸：大箱≥29.5*19.5*5.2cm，小箱≥9.8*19*5.2cm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由2个整理箱、45根纺棰棒，10块数字片组成。指导О的概念，加强数与量集合的概念。</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数字拼板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尺寸：≥17.5*10*6cm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熟悉数字，理解数与量的关系，培养数学学习兴趣。</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加减乘除矩阵盘</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由10档彩色算珠组成，每档10个算珠，学习加减乘除。</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不规则拼盘</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由不规则几何图形嵌板组成，认识几何图形与锻炼观察能力。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数数棒组</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学习0-10的概念、10以内的加减法。</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算数尺</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由刻度为1公分的连接尺组成，学习加减运算方法。</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彩色小数棒</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学习0-10的概念、10以内的加减法。</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几何图形板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认识几何图形，为学习几何知识打基础。</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1公分方块组</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由标有1公分刻度的尺子组成，可进行加减法的运算。</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称盘组</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由天平、称盘与彩色木珠组成，学习数量与平衡的关系。</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算术天平组</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由天平、木棍与彩色串珠组成，学习数量、加减与平衡的关系。</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十进位组</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由1公分方块与10块连接条，以及10㎡连接块组成，学习十进位制的关系。</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圆形分数板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由软性彩色23片圆形分数板、1个双面钉板组成。认识分数,了解部分与整体的关系，增进组合概念。利用钉板背面，配二长短、颜色不同的橡皮筋，可发挥幼儿的想像力与创造力。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几何体阶梯</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实木</w:t>
            </w:r>
            <w:r>
              <w:rPr>
                <w:rFonts w:hint="eastAsia" w:ascii="宋体" w:hAnsi="宋体" w:eastAsia="宋体" w:cs="宋体"/>
                <w:color w:val="auto"/>
                <w:sz w:val="24"/>
                <w:szCs w:val="24"/>
                <w:highlight w:val="none"/>
              </w:rPr>
              <w:t xml:space="preserve">5组，可作颜色分类，三种几何图形，感官学习，高→低比较、排序。</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四方拼盘</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由三角形、正方形、平行四边形木块组成，学习几何图形与关系。</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组合几何体盘</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由正5边形、正方形、正三角形、长方形与圆形的面积分解组合，学习分数、面积的关系。</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分解几何盘</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由1个木座、9组多种几何图形组成。是进入分数的预备。</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数数看</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由1-5彩色算珠架组成。可进行分类、集合、分解、量的学习。</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双字母砂字板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尺寸：≥17.3*12.3*7.6cm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熟悉汉语拼音的组成及发音，练习书写。</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活动字母箱</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尺寸：≥33.*34cm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熟悉字母，练习单词的拼写。</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印刷字母卡</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尺寸：≥15*24.7*4cm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由大小写印刷字母各5套、布袋2个组成（照片仅供参考)。认识英文字母大小写的印刷体。</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拼音结构练习</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尺寸：≥25*9.5*6.5cm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练习汉语拼音的正确组合，掌握拼音拼读规</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砂纸字母板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尺寸：≥22*11*5.5cm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由大小写砂纸字母板各26块组成。通过触摸认识英文字母，为书写做预备。</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中国地图嵌板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由1套嵌板组成。了解中国的位置，认识各省、直辖市、自治区和省会城市的位置；培养空间思维。</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亚洲地图嵌板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认识亚洲各个国家的位置、名称及风土人情,初步认识地理的空间概念。</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世界洲际地图嵌板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由1套嵌板组成。建立地图概念，从地图上认识世界上7大洲和4大洋的位置，培养空思维。</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活动时钟</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直观认识时钟的构成,了解时间概念,为看生活中的表打基础。</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太阳九大行星嵌板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由1套嵌板组成，认识太阳系，了解九大行星位置，培养空间思维。</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树叶嵌板柜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由14块树叶嵌板,4层木橱1个组成。学习识别各种树叶、植物。</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植物卡片</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学习识别各种植物。</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动物卡片</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学习识别各种动物。</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鸟嵌板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尺寸：≥23.8*23.8*0.9cm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培养手眼协作及独立性提高观察分析能力和专注力，了解动物的鸟的各个部分的基本构造。</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蚂蚁嵌板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尺寸：≥23.8*23.8*0.9cm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培养手眼协作及独立性提高观察分析能力和专注力，了解动物的蚂蚁的各个部分的基本构造。</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树叶嵌板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尺寸：≥23.8*23.8*0.9cm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培养手眼协作及独立性提高观察分析能力和专注力，了解植物的叶的各个部分的基本构造。</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鱼嵌板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尺寸：≥23.8*23.8*0.9cm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培养手眼协作及独立性提高观察分析能力和专注力，了解动物的鱼的各个部分的基本构造。</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乌龟嵌板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尺寸：≥23.8*23.8*0.9cm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培养手眼协作及独立性提高观察分析能力和专注力，了解动物的乌龟的各个部分的基本构造。</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花嵌板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尺寸：≥23.8*23.8*0.9cm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培养手眼协作及独立性提高观察分析能力和专注力，了解植物的花的各个部分的基本构造。</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马嵌板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尺寸：≥23.8*23.8*0.9cm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培养手眼协作及独立性提高观察分析能力和专注力，了解动物的马的各个部分的基本构造。</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树嵌板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尺寸：≥23.8*23.8*0.9cm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培养手眼协作及独立性提高观察分析能力和专注力，了解植物的树的各个部分的基本构造。</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青蛙嵌板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尺寸：≥23.8*23.8*0.9cm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培养手眼协作及独立性提高观察分析能力和专注力，了解动物的青蛙的各个部分的基本构造。</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苍蝇嵌板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尺寸：≥23.8*23.8*0.9cm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培养手眼协作及独立性提高观察分析能力和专注力，了解动物的苍蝇的各个部分的基本构造。</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公鸡嵌板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尺寸：≥23.8*23.8*0.9cm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培养手眼协作及独立性提高观察分析能力和专注力，了解动物的鸡的各个部分的基本构造。</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种子发芽嵌板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尺寸：≥23.8*23.8*0.9cm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培养手眼协作及独立性提高观察分析能力和专注力，了解种子发芽的各个部分的基本构造。</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动植物嵌板柜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尺寸：≥26*22*11.5cm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三层嵌板柜，用于存放动植物嵌板</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二指抓</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材质：木质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由1个插座板、9个小人组成。锻练两指抓物的能力，提高手眼协调能力。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工作地毯</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尺寸：≥110*70cm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材质：棉线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多股棉线编制成毯子，用棉布包包裹边缘，更为美观，用于儿童早教划分工作区域，</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衣饰及衣饰架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材质：榉木、布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由1个架、12个框、12件衣饰组成。学会各种绳带、纽扣的系法，锻练手指灵活性，培养适应日常生活的自理能力。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操作托盘</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小号：≥25*20*3cm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中号：≥33*25*3cm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大号：≥40*30*3cm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直角转角柜四层</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基材：</w:t>
            </w:r>
            <w:r>
              <w:rPr>
                <w:rFonts w:hint="eastAsia" w:ascii="宋体" w:hAnsi="宋体" w:eastAsia="宋体" w:cs="宋体"/>
                <w:color w:val="auto"/>
                <w:sz w:val="24"/>
                <w:szCs w:val="24"/>
                <w:highlight w:val="none"/>
                <w:lang w:val="en-US" w:eastAsia="zh-CN"/>
              </w:rPr>
              <w:t xml:space="preserve">松木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涂装：水性漆</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扇形转角柜（松木）四层（扇形）</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基材：新西兰松AA级材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涂装：水性漆</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嵌板柜（松木）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基材：新西兰松AA级材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涂装：水性漆</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水杯架20格</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基材：新西兰松AA级材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涂装：水性漆</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工作毯架12格（松木）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基材：新西兰松AA级材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涂装：水性漆</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教具柜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特点：多功能组合款式多样，可收纳不同物品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材质：采用≥18mmAA樟子松实木或橡木，喷漆:水性环保漆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尺寸：≥120*30*80cm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2114"/>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活动桌</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材质：樟子松实木喷漆：水性环保漆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尺寸：桌子长：≥120cm宽：≥60cm高：≥50cm，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椅子长：≥28cm宽：≥30cm高：≥51cm，坐高≥28cm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特点：圆角设计防止磕碰对孩子造成伤害，主要用于孩子团体活动课。</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组成：一张桌子，配有4把儿童靠背椅</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蒙氏教具使用手册</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蒙氏教具使用手册</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本</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bookmarkStart w:id="209" w:name="_Toc29485"/>
            <w:r>
              <w:rPr>
                <w:rFonts w:hint="eastAsia" w:ascii="宋体" w:hAnsi="宋体" w:eastAsia="宋体" w:cs="宋体"/>
                <w:b/>
                <w:bCs/>
                <w:color w:val="auto"/>
                <w:sz w:val="24"/>
                <w:szCs w:val="24"/>
                <w:highlight w:val="none"/>
              </w:rPr>
              <w:t xml:space="preserve">手工室</w:t>
            </w:r>
            <w:bookmarkEnd w:id="209"/>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教师桌</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1.规格：≥1800*700*750mm。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2.桌面：边缘加厚至60mm厚实木板，桌面配置透明桌垫，防水防划防磨.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3.支架采用加厚≥1.4mm钢管，桌腿为≥50*50mm方钢管，表面经过除油酸化，磷化，离子抛光等工艺处理，支撑腿底部配置脚垫，圆形面接地，稳固立地，确保桌身的平稳底面软脚垫，有效的防摩擦。</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教师椅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1.规格：高度≥950mm，座面≥500mm*465mm，靠背高度≥530mm，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2.结构：整体采用工字型结构；</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3.材质：椅面四面编织网布，透气性强、结实无异味；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座垫采用高密度定型棉，回弹性好、不易变形，不老化；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扶手采用PP加纤材质，不易碎。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椅架采用≥1.6mm厚铁架，黑色烤漆，弯曲处双层套管；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边框采用PP加纤出框，结实耐用。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4.特点：依人体坐姿特别设计，符合人体工学，工字造型扶手</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学生工作台</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1.规格：≥1200*1200*750mm。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2.桌面：边缘加厚至≥60mm厚实木板，桌面配置透明桌垫，防水防划防磨。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3.支架采用加厚≥1.4mm钢管，桌腿为≥50*50mm方钢管，表面经过除油酸化，磷化，离子抛光等工艺处理，支撑腿底部配置脚垫，圆形面接地，稳固立地，确保桌身的平稳底面软脚垫，有效的防摩擦。</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学生凳</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1.规格：≥330*240*440mm。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2.结构：钢木结构，板材凳面，钢制凳架。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3.材质：凳面为≥18mm厚板材注塑包边，凳腿为25方管，壁厚≥1.2mm，凳撑为20方管，壁厚≥1.0mm。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4.性能：所用方管均应经酸洗磷化处理后，用环保亚光粉粉沫静电喷塑，焊接口均匀，结构坚固、耐用。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r>
      <w:tr>
        <w:trPr>
          <w:trHeight w:val="9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边柜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1.规格：≥1200*400*900mm；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2.结构：实木结构，传统工艺，结构牢固。横向放置两层层板，竖向放置两块隔板；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3.材质：采用≥17mm厚松木/橡木材质，实木制作，材料经熏蒸处理，虫不蛀，不变形，不开裂。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4.配件：采用五金配件，结构牢固，经久耐用。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5.性能：环保水性漆，精工打磨不伤手，长时间不变色，易清洁，经久耐用。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收纳柜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1.规格尺寸：≥430*340*640mm。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2.结构：全木结构，三层三格，每格配置可抽拉PP材质收纳盒，配备可移动万向轮；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3.材质：柜身材料采用≥18mm厚E1级双贴面三聚氰胺板；板材所有截面均经全自动封边机封边处理，所用封边条分别为（0.8-1）mm（内嵌）、（1.5-2）mm（外露）厚PVC封边条,热熔胶一次成型；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4.性能：绿色环保、美观大方、安全实用、操作方便。</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300"/>
        </w:trPr>
        <w:tc>
          <w:tcPr>
            <w:shd w:val="clear" w:color="auto" w:fill="auto"/>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非遗手工艺教学系统</w:t>
            </w:r>
            <w:r/>
          </w:p>
        </w:tc>
        <w:tc>
          <w:tcPr>
            <w:shd w:val="clear" w:color="auto" w:fill="auto"/>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开发环境：基于.net平台h5,c#混合开发；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应用类型：计算机桌面应用程序；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运行模式：嵌入式浏览器app模式运行(窗体自适应)；</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数据格式：静态数据json格式；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视频格式支持：mp4；</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视频解码：videojs；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分辨率：高清1920*1080；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加密方式：nodejs分片加密；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功能要求：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前端界面：主窗口，菜单分级，资源接入等；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快速检索：输入关键词，联想搜索。自动分类动态更新搜索结果更新菜单和视频资源。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资源维护：更新资源，手动添加视频资源，运行配置程序自动更新主程序模块。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安装和更新：免安装集成软件包，即刻运行，静默更新。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白板功能：可实现基本的批注功能，标注颜色可以三色选择</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翻页笔功能：以无线方式直接远程遥控软件，实现幻灯片的自由翻页和随意演示。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3.基本模块：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该套课程体系包含纸艺类手工课程，不少于32课时以及体验拓展课。每课时配有专业人员的演示操作高清视频以及配套课程教案资源模块，课程共覆盖1-6年级。教师可以根据自己的教学特点和习性，自由组织教学，满足教师的个性化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4.传统手工课程教学指导用书1册：传统手工纸艺课程教案，亦教师指导用书，共1册，配套传统手工课程教学系统使用。</w:t>
            </w:r>
            <w:r/>
          </w:p>
        </w:tc>
        <w:tc>
          <w:tcPr>
            <w:shd w:val="clear" w:color="auto" w:fill="ffffff"/>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shd w:val="clear" w:color="auto" w:fill="ffffff"/>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纸艺材料包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课程根据《教育部义务教育劳动课程标准（2022版）》设置，纸艺材料包不少于32课时。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一、教学内容：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熟悉、学习各种纸艺手工。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二、教学功能：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提高学生动手、动脑能力以及对艺术的鉴赏能力，并将传统故事以及非遗技艺的精髓融入课程内，让学生在动手操作的过程中加深对传统文化的认识。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三、配置说明：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每课独立包装，可满足4人小组使用，每个课时配置独立的纸质操作说明书，方便学生操作。每1套材料包配置4本学生用书《非遗手工文化体验教程-纸艺》，书中涵盖了完善的课程体系和评价机制。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小船和飞机：A4彩色常规卡纸不少于1包；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上衣和裤子：A4彩色常规卡纸不少于1包；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小企鹅：A4彩色常规卡纸不少于1包；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小兔子：A4彩色常规卡纸不少于1包；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千纸鹤：A4彩色常规卡纸不少于1包；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硬纸牌：A4彩色常规卡纸不少于1包；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菠萝笔筒：A4彩色常规卡纸不少于1包；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蝴蝶：小样4张、A4红宣纸不少于20张、剪纸相框不少于4个；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课时9：春字吊饰：小样4张、A4红宣纸不少于20张、穗子不少于4个；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两剪双喜：A4红宣纸不少于20张、剪纸相框不少于4个；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三角折剪：小样图不少于4张、A4红宣纸不少于20张、剪纸相框不少于4个；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四折剪：小样图不少于4张、A4红宣纸不少于20张、剪纸相框不少于4个；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五角折剪：小样图不少于8张、A4红宣纸不少于20张、剪纸相框不少于4个；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六角折剪：小样图不少于8张、A4红宣纸不少于20张、剪纸相框不少于4个；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不忘初心：小样图不少于4张、A4常规复印纸不少于20张、剪纸相框不少于4个；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太极八卦：小样图不少于4张、A4复印纸不少于20张、黑白硬卡纸各不少于4张、剪纸相框不少于4个；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门笺：小样图不少于4张、A4红宣纸不少于20张、剪纸相框不少于4个；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八仙：小样图不少于2种共不少于4张、A4红宣纸不少于20张、剪纸相框不少于4个；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凤凰：小样图不少于4张、A4红宣纸不少于20张、剪纸相框不少于4个；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刻纸-喜上眉梢：小样图不少于4张、A4红宣纸不少于20张、剪纸相框不少于4个；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谷雨即景：小样图不少于4张、A4红宣纸不少于20张、剪纸相框不少于4个；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小鱼：A4彩色常规卡纸不少于1包、双面胶不少于1卷；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国旗：A4彩色常规卡纸不少于1包、双面胶不少于1卷；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花瓣：小样图不少于4张、衍纸不少于2包、双面胶不少于1卷、复印纸不少于20张；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小鸡、乌龟：衍纸不少于2包、双面胶不少于1卷、复印纸不少于20张；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灯笼：A4彩色常规卡纸不少于1包、双面胶不少于1卷；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纸伞：A4彩色常规卡纸不少于1包、双面胶不少于1卷；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折扇：扇骨不少于4个、扇面不少于4个、双面胶不少于1卷、毛笔不少于2支、墨碟不少于2个；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风筝：每套包含（画笔不少于2支、颜料不少于1条、双面胶不少于1卷、手柄线圈不少于1个、面不少于1张、骨架、彩带不少于2根），一组不少于2套；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方形灯笼制作：每套包含（双面胶、木棍、专用纸不少于1张、电子灯、中国结、线），一组不少于2套；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京剧花脸：小样4份-每份不少于3张、卡纸不少于12张、双面胶不少于1卷；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走马灯-夸父追日：小样不少于4张、黑色硬卡纸不少于4张、圆盘不少于4个、圆竹签不少于4根、双面胶不少于1卷；</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纸艺专用工具</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一、剪刀不少于4把</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1.产品规格：剪刀总长度≥170mm；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2.产品特点：（1）不锈钢刀刃，淬火处理，刀口锋利；（2）顺滑转轴，使用方便；（3）剪柄人性化设计；（4）手柄内置包胶，使用舒适；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产品性能：家用办公多功能裁纸剪刀。</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二、雕刻笔刀4把</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1.产品规格：刻刀长≥145mm，笔帽长≥40mm；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2.产品特点：（1）精致做工的锋利刀头；（2）刀头与刀柄两处加长防滑设计，握笔舒适，有效防滑；（3）刀杆采用PP材质制成，弹性好手感好，不易摔坏；（4）金属笔头；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3.产品性能：橡皮章雕刻、模型组装和切割、纸艺切割等各种特殊场合.</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三、刀片4盒</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1.产品规格：刀片角度为30度，不少于12片装；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2.产品特点：高硬度刀片，锋利耐用；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3.产品性能：符合纸模型和细小零件的切割.</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四、切割垫板4张</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1.产品规格：≥300*220mm；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2.产品特点：（1）切割垫板不反光，不会打滑；（2）双面印制多功能标尺网格线，双面都能用于切割使用；（3）不脱色持久如新；（4）切割垫板PVC材质不易断，重复切割耐用结实；</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3.产品性能：切割垫、模型垫、手工垫等，一垫多用途；</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五、订书机1个</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1.产品规格：尺寸≥65*40*30mm；ABS+金属材质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2.产品特点：（1）省力结构设计，外形坚固，装订便捷；（2）流线型机身，软质外壳，手感舒适；（3）弹道设计，简单方便；（4）可钉12张80克复印纸；（5）钉槽能放40枚订书针；（6）小巧实用，方便携带；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3.产品性能：日常生活和工作时的装订纸张；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六、订书钉1盒</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1.产品规格：每盒≥1000枚；</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2.产品特点：（1）不易腐蚀；（2）尖头针脚，强穿透力；（3）</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3.产品性能：通用型；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七、笔形固体胶1个</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1.产品规格：笔形胶棒尺寸≥115*12mm；替换芯尺寸≥53*11mm；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2.产品特点：（1）ACR材质；（2）笔形设计，小巧便捷；（2）粘度高，涂抹顺滑；（3）克替换芯设计，简单方便；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3.产品性能：适合于各种手工、纸张、发票、卡片等；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纸艺工具材料补充包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根据《教育部义务教育劳动课程标准（2022版）》设置，通用工具耗材：双面胶不少于60卷、刻刀刀片不少于2盒、订书钉不少于2盒、胶棒替换芯不少于12套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课时耗材包，以下为四人一组配置数量作为一套，本材料包配置不少于12套，满足48人使用。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小船和飞机：A4彩色常规卡纸不少于8张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上衣和裤子：A4彩色常规卡纸不少于8张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小企鹅：黑白色150mm不少于4张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小兔子：A4彩色常规卡纸不少于4张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千纸鹤：A4彩色常规卡纸不少于4张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硬纸牌：A4彩色常规卡纸不少于4张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菠萝笔筒：A4彩色常规卡纸不少于50张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蝴蝶：小样4张、A4红宣纸不少于8张、剪纸相框不少于4个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春字吊饰：小样不少于4张、A4红宣纸不少于4张、穗子不少于4个、7号线不少于2米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两剪双喜：A4红宣纸不少于4张、剪纸相框不少于4个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三角折剪：小样图不少于1张、A4红宣纸不少于4张、剪纸相框不少于4个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四角折剪：小样图不少于1张、A4红宣纸不少于4张、剪纸相框不少于4个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五角折剪：小样图不少于2张、A4红宣纸不少于12张、剪纸相框不少于4个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六角折剪：小样图不少于2张、A4红宣纸不少于8张、剪纸相框不少于4个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不忘初心：小样图不少于4张、A4常规复印纸不少于8张、剪纸相框不少于4个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太极八卦：小样图不少于4张、A4复印纸不少于4张、黑白硬卡纸各不少于2张（A4）、剪纸相框不少于4个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门笺：小样图不少于4张、A4红宣纸不少于12张、剪纸相框不少于4个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八仙：小样图不少于2种共不少于4张、A4红宣纸不少于12张、剪纸相框不少于4个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凤凰：小样图4张、A4红宣纸12张、剪纸相框4个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刻纸-喜上眉梢：小样图不少于4张、A4红宣纸不少于12张、剪纸相框不少于4个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谷雨即景：小样图不少于4张、A4红宣纸不少于12张、剪纸相框不少于4个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小鱼：A4彩色卡纸不少于8张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国旗：A4红色卡纸不少于4张、黄色卡纸不少于8张、A4复印纸不少于1张、圆木棍不少于4根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花瓣：小样图不少于4张、衍纸不少于1包、复印纸不少于4张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小鸡、乌龟：衍纸不少于1包、复印纸不少于4张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灯笼：A4彩色卡纸不少于8张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纸伞：A4彩色常规卡纸不少于12张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折扇：扇骨不少于4个、扇面不少于4个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风筝：每套包含（画笔不少于2支、颜料不少于1条、双面胶不少于1卷、手柄线圈不少于1个、面不少于1张、骨架、彩带不少于2根），一组不少于2套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方形灯笼制作：每套包含（双面胶、木棍不少于14根、画笔不少于2支、颜料、专用纸不少于1张、电子灯、中国结、线），一组不少于2套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京剧花脸：小样不少于4份，每份不少于3张（不少于12张图纸）</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走马灯-夸父追日：小样不少于4张、黑色硬卡纸不少于4张、圆盘不少于4个、圆竹签不少于4根</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软木托底托板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尺寸：≥1200*2400mm，环保E1级高密度出软木材料，软木≥10mm，胶厚≥1mm,环保胶，配置实木边框，厚≥17mm，宽≥35mm，配图钉≥1盒。</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活字印刷术</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木框：尺寸≥230*180mm，实木材质1个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活字：活字尺寸≥20*20*22mm，榉木材质，一首古诗内容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印刷工具：横刷、立刷各1把，3寸砚台1个，100ml墨汁，宣纸≥220*340mm20张</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手工捞纸</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捞纸框：≥190*240mm实木捞纸框2个，加密网眼设计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水盆：≥380*296*110mm1个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木勺：15ml榉木木勺1个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木夹子、麻绳：10个木夹子，2米麻绳1套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搅拌器：1把</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晾晒架：实木材质200*280mm1个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纸浆：50g纸浆5包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干花草5包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亮片：5包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植物造纸胶：100ml1瓶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A5牛皮纸相框：5个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食用色素：红黄蓝绿四色，10ml，1套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替换布：A4,≥250*340mm网+垫布4张</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木板年画</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木雕板：尺寸≥300*200*20mm，实木材质，年年有鱼图案1个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印刷工具：横刷、立刷各1把，3寸砚台1个，100ml墨汁，宣纸≥220*340mm20张</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展示墙</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1.尺寸：≥2520*880mm；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2.材质：PP+软木板；配24个塑料人台，用于展示学生作品。</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伴随服务</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安装，调试，运费</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bookmarkStart w:id="210" w:name="_Toc7982"/>
            <w:r>
              <w:rPr>
                <w:rFonts w:hint="eastAsia" w:ascii="宋体" w:hAnsi="宋体" w:eastAsia="宋体" w:cs="宋体"/>
                <w:b/>
                <w:bCs/>
                <w:color w:val="auto"/>
                <w:sz w:val="24"/>
                <w:szCs w:val="24"/>
                <w:highlight w:val="none"/>
              </w:rPr>
              <w:t xml:space="preserve">扎染教室</w:t>
            </w:r>
            <w:bookmarkEnd w:id="210"/>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教师操作台</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1.尺寸：≥180*80*75cm±1cm；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1.材质：桌面采用30mm厚度AA橡胶木指接板；桌腿采用46*46mm橡胶木。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教师方凳</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1.尺寸：≥50*50*45cm±1cm；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2.材质：17mm厚度AA级橡胶木；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学生操作桌</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尺寸：≥140*80*52cm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1.材质：桌面采用17mm厚度AA橡胶木指接板；桌腿采用46*46mm橡胶木。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学生凳子</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尺寸：≥29.5*29.5*54cm；椅面≥29.5*29.5cm；座椅高≥28cm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1.材质：椅面17mm厚AA橡胶木指接板；椅腿采用橡胶木。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2.工艺：整体榫卯结构，弧形后背，贴合幼儿身体曲线设计，结构稳固，不易倾翻；表面光滑、耐磨、耐污。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3.五金：五金配件，安装更便捷，整体结构牢固安全性高。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4.涂层：环保净味水性漆UV辊涂，三底两面，安全无味、耐磨、易清洁。</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边柜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尺寸：≥93*30*70cm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1.材质：采用17mmAA级橡胶木。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2.工艺：整体拆装结构，表面精细打磨，光滑无毛刺无疤结；边缘处全部做圆弧处理，外露钉均使用内嵌式；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3.五金：五金配件，安装更便捷，整体结构牢固，安全性高。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4.涂层：环保净味水性漆UV辊涂，三底两面，安全无毒。</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印染作品晾晒台</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组合规格：≥L85xW160xH66cm，1规格：≥L85xW40xH66cm，2规格：≥L94xW81.4xH6cm，</w:t>
            </w:r>
            <w:r/>
          </w:p>
          <w:p>
            <w:p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1.材质：多层板贴枫木皮制作。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2.表面耐磨、耐污、耐划伤，易清洁，耐磨测试250R无透底现象。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3.原生态木蜡油封边。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4.五金件选用环保五金，安全无毒。</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5.边角安全防撞设计，各个柜角及板边均充分参考相关标准的要求，对所有的外露面、外漏角进行弧状倒角设计</w:t>
            </w:r>
            <w:r>
              <w:rPr>
                <w:rFonts w:hint="eastAsia" w:ascii="宋体" w:hAnsi="宋体" w:eastAsia="宋体" w:cs="宋体"/>
                <w:color w:val="auto"/>
                <w:sz w:val="24"/>
                <w:szCs w:val="24"/>
                <w:highlight w:val="none"/>
                <w:lang w:eastAsia="zh-CN"/>
              </w:rPr>
              <w:t xml:space="preserve">。</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晾晒柜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尺寸：≥60*40*80cm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1.材质：采用17mmAA级橡胶木。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2.工艺：整体拆装结构，表面精细打磨，光滑无毛刺无疤结；边缘处全部做圆弧处理，外露钉均使用内嵌式；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3.五金：五金配件，安装更便捷，整体结构牢固，安全性高。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4.涂层：环保净味水性漆UV辊涂，三底两面，安全无毒。</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标准急救箱</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碘伏消毒棉签、碘伏棉球、碘伏棉棒、酒精棉片、棉签、棉球、镊子、止血带、创可贴、绷带、胶带、剪刀、烧伤敷料（烫伤膏）、人工呼吸面罩、消防面罩、灭火毯、体温计、手电筒、高频口哨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围裙挂架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1.规格：≥996x60mm，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2.材质：竹制，传统工艺，结构牢固。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3.配件：采用配件，结构牢固，经久耐用。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4.性能：环保漆，精工打磨不伤手，长时间不变色，易清洁，美观大方，经久耐用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儿童围裙</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尺寸：≥52*45cm，桃皮绒面料，颈带可调，附有口袋。参考身高110cm以下，适用于3-7岁幼儿。</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儿童袖套</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尺寸：≥长15cm，桃皮绒面料，适用于3-7岁幼儿。</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成人围裙</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尺寸：≥70*60cm，桃皮绒面料，固定颈带，附带口袋设计，适用于一般成人。</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成人袖套</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尺寸：≥长27cm，桃皮绒面料，适用于一般成人。</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文化介绍展示</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尺寸：≥600*400mm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材质：实木、棉布、综合手工材料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立体手工凸印字体及综合装饰材料纯手工制作，介绍教室文化的由来，加深学生们对于教室所传授的文化意义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立体扎染装饰画</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尺寸：≥300*300mm，一套6副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材质：实木板、综合材料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立体浅浮雕扎染效果环创画，让学生了解中国传统工艺的美学典范，同时也启发学生通过不同元素相互运用来进行创作，激发想象力和创造力。</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立体凸印型糊染装饰画</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尺寸：≥300*300mm，一套6副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材质：实木板、蓝染布、凸印材料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中国传统美学蓝靛型糊染创新美学装饰画，通过浅浮雕的表达形式让学生们认识到中国的传统美学，在美化教学空间的同时，也会启发学生们对美的认知和思考。</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扎染装饰</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尺寸：≥500*200mm，一套6副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材质：实木画框、白族手工扎染布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通过少数民族手工扎染布艺作品，让学生了解布艺扎染的传统图样，对优秀的中国传统工艺产生</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使用管理制度</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尺寸：≥40*50cm，实木相框条，厚3cm，带布质印刷帆布内框，印有区角注意事项。</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储物手推车</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尺寸：≥100*35*70cm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1.材质：采用17mmAA级橡胶木。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2.工艺：整体拆装结构，表面精细打磨，光滑无毛刺无疤结；边缘处全部做圆弧处理，外露钉均使用内嵌式；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3.五金：五金配件，安装更便捷，整体结构牢固，安全性高。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4.涂层：环保净味水性漆UV辊涂，三底两面，安全无毒。</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染缸</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尺寸：直径≥600mm高≥280mm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用途：可用于扎染的容器，盛放染料。</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融蜡器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材质：塑料，金属</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尺寸：长≥240mm，宽≥180mm，高≥184mm，内直径≥110mm（±5mm）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功率：200W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额定电压：220V</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额定功率：100W</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内胆容量：500CC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可调温度：35-140℃与蜂蜡配套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用途：融化蜡烛，用于蜡染，将大块固体蜂蜡融化，方便蜡染时使用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针线盒套装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材质：pp、金属、棉线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尺寸：≥长260mm宽195*厚40mm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用途：可用于刺绣，缝制，编制的工具套装等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斧头夹</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材质：塑料+铁质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尺寸：长≥35mm，宽≥18mm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用途：用于夹持的工具，可用于刺绣时固定绣棚等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夹板--长方形（短）</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材质：木质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尺寸：长≥200mm，宽≥40mm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用途：扎染辅助工具，可用于扎染在染布上制作各种图案</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夹板--长方形（长）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材质：木质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尺寸：长≥300mm，宽≥40mm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用途：扎染辅助工具，可用于扎染在染布上制作各种图案</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夹板--正方形（小）</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材质：木质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尺寸：长≥50mm，宽≥50mm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用途：扎染辅助工具，可用于扎染在染布上制作各种图案</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夹板--正方形（大）</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材质：木质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尺寸：长≥120mm，宽≥120mm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用途：扎染辅助工具，可用于扎染在染布上制作各种图案</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夹板--三角形（小）</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材质：木质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尺寸：长≥80mm，高≥68mm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用途：扎染辅助工具，可用于扎染在染布上制作各种图案</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夹板--三角形（大）</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材质：木质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尺寸：长≥120mm，高≥105mm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用途：扎染辅助工具，可用于扎染在染布上制作各种图案</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夹板--圆形</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材质：木质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尺寸：直径≥80mm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用途：扎染辅助工具，可用于扎染在染布上制作各种图案</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夹板--六边形</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材质：木质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尺寸：长≥49mm，宽≥44mm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用途：扎染辅助工具，可用于扎染在染布上制作各种图案</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蓝印防染剂</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材质：纯天然碳酸钙、黄豆粉、玉米粉、糯米粉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含量：≥100g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用途：用于印染的辅助材料，印染过程中防止染料着色而形成花纹的物质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手套</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材质：塑料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尺寸：长≥250mm，宽≥250mm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标配：M码100只/包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用途：防护工具，用于进行印染时保护手部，防止颜色沾染到手部（不易清洗）</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固色剂</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含量：≥50g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说明：密封冷藏储藏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用途：扎染的辅助材料，植物蓝靛专用助剂</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藏青染料</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含量：≥25g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特性：粉末状染料，需冲泡。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用途：可用于棉，麻，牛仔，粘胶纤维，帆布，真丝的材质的染色</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扎花线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材质：纯棉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尺寸：≥约50米/团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用途：用于缝补，手工，绣花</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刺绣，枕头等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团</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纯棉布</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材质：纯棉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尺寸：幅宽：≥1500mm，长≥1000mm/件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用途：可用于织染的布料</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条</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围巾</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材质：人造棉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尺寸：长≥600mm，宽≥1800mm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用途：可用于织染的材料</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条</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收纳袋</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材质：麻布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尺寸：长≥130mm，宽≥180mm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用途：用途收纳、存储等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锁边方巾</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尺寸：长≥600mm，宽≥600mm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用途：用于织染的布料方巾</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条</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棉绣布</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尺寸：长≥1000mm，宽≥1500mm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用途：用于刺绣、织染的布料等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珍珠棉</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材质：高弹珍珠棉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重量：≥500g/袋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用途：可作为填充物使用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压线模板热消粉</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材质：热消粉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重量：≥100g/盒</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用途：遇热消失，用于织染的辅助材料</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刺子贴布绣</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尺寸：长≥110mm，宽≥110mm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标配：5个/套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用途：用于环创展示</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刮刀</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食品级塑料刮刀，尺寸：≥13*18*12cm，2个一套</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尖嘴瓶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塑料材质，容量≥250ml，12个一套</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扎染网</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1.规格：≥300*400mm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2.材质：金属</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辅助工具-围裙排挂</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1.规格：6勾</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2.材质：木制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3.加工：无</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皮筋</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1.规格：5条中号皮筋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2.材质：皮筋</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颜色染料</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1.规格：≥25g/单色</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2.材质：植物染料</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扎花夹</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1.规格：≥65*22mm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2.材质：金属</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造型木块</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1.规格：12个造型小木块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2.材质：木头</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混色蜡</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1.规格：≥500g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2.材质：石蜡+蜂蜡+使用中蜡</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蜡刀套组</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1.规格：1.3.5.7.9号蜡刀</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2.材质：金属片+木头</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扎染弹珠小</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1.规格：≥1.4cm，一套10个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2.材质：玻璃</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扎染弹珠大</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1.规格：≥2cm，一套5个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2.材质：玻璃</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扎染弹珠星</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1.规格：≥3cm，一套5个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2.材质：玻璃</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扎染勺子</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1.规格：≥22cm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2.材质：秸秆</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小号方形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蜡染绷布框</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1.规格：≥360*230*20mm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2.材质：木制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3.加工：底部四周凹槽设计圆角处理</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蜡染绷布压条</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1.规格：直径≥50mm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2.材质：硅胶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3.加工：固定绣布用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圆形扎染框</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1.尺寸：≥φ200mm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2.材质：木头</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扎染练习布</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1.尺寸：≥400mm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2.材质：土布</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扎染不锈钢夹子</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1.尺寸：≥14g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2.材质：不锈钢</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扎染制版纸</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1.尺寸：≥30*42cm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2.材质：牛皮纸</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扎染刮板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1.尺寸：≥25*35cm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2.材质：塑料+铝合金</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扎染教学布</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1.尺寸：≥70*90cm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2.材质：扎染布</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条</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扎染教学布</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1.尺寸：≥70*90cm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2.材质：扎染布</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条</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草木染漏勺</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1.尺寸：≥30cm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2.材质：不锈钢</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拆线弹簧剪</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1.尺寸：≥11cm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2.材质：不锈钢</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天然染料苏木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1.尺寸：≥100g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2.材质：苏木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天然染料姜黄</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1.尺寸：≥100g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2.材质：姜黄</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天然染料黄柏皮</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1.尺寸：≥100g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2.材质：黄柏皮</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天然染料栀子果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1.尺寸：≥100g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2.材质：栀子果</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蜡染描图水消笔</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1.1套5支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2.材质：水消颜料+塑料</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扎染颜料</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1.8色，每色≥100ml</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儿童防护手套</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手腕部分为复合材质针织而成，</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防割</w:t>
            </w:r>
            <w:r>
              <w:rPr>
                <w:rFonts w:hint="eastAsia" w:ascii="宋体" w:hAnsi="宋体" w:eastAsia="宋体" w:cs="宋体"/>
                <w:color w:val="auto"/>
                <w:sz w:val="24"/>
                <w:szCs w:val="24"/>
                <w:highlight w:val="none"/>
                <w:lang w:val="en-US" w:eastAsia="zh-CN"/>
              </w:rPr>
              <w:t xml:space="preserve">特点</w:t>
            </w:r>
            <w:r>
              <w:rPr>
                <w:rFonts w:hint="eastAsia" w:ascii="宋体" w:hAnsi="宋体" w:eastAsia="宋体" w:cs="宋体"/>
                <w:color w:val="auto"/>
                <w:sz w:val="24"/>
                <w:szCs w:val="24"/>
                <w:highlight w:val="none"/>
              </w:rPr>
              <w:t xml:space="preserve">。</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成人防护手套</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手腕部分为复合材质针织而成，</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防割</w:t>
            </w:r>
            <w:r>
              <w:rPr>
                <w:rFonts w:hint="eastAsia" w:ascii="宋体" w:hAnsi="宋体" w:eastAsia="宋体" w:cs="宋体"/>
                <w:color w:val="auto"/>
                <w:sz w:val="24"/>
                <w:szCs w:val="24"/>
                <w:highlight w:val="none"/>
                <w:lang w:val="en-US" w:eastAsia="zh-CN"/>
              </w:rPr>
              <w:t xml:space="preserve">特点</w:t>
            </w:r>
            <w:r>
              <w:rPr>
                <w:rFonts w:hint="eastAsia" w:ascii="宋体" w:hAnsi="宋体" w:eastAsia="宋体" w:cs="宋体"/>
                <w:color w:val="auto"/>
                <w:sz w:val="24"/>
                <w:szCs w:val="24"/>
                <w:highlight w:val="none"/>
              </w:rPr>
              <w:t xml:space="preserve">。</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热熔胶枪</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1.尺寸：≥120*30*65mm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2.材质：塑料</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L型护板防割手尺子</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1.尺寸：≥200mm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2.材质：铝合金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3.工艺：阳极氧化处理</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安全镊子</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1.尺寸：≥77mm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2.材质：塑料</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安全剪刀</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1.尺寸：≥135mm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2.材质：塑料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提供质检报告</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炫彩立体亮片胶水</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1.含量：≥5ml，共6色</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2.材质：金葱粉+胶水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3.环保材质、可直接涂在产品上面，干了后色彩炫丽</w:t>
            </w:r>
            <w:r>
              <w:rPr>
                <w:rFonts w:hint="eastAsia" w:ascii="宋体" w:hAnsi="宋体" w:eastAsia="宋体" w:cs="宋体"/>
                <w:color w:val="auto"/>
                <w:sz w:val="24"/>
                <w:szCs w:val="24"/>
                <w:highlight w:val="none"/>
                <w:lang w:eastAsia="zh-CN"/>
              </w:rPr>
              <w:t xml:space="preserve">。</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专用果冻胶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1.含量：≥8g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2.材质：固体胶</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手工白胶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1.含量：≥40ml</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2.材质：白胶</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布料海绵纸专用胶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1.含量：≥30ml</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2.材质：酒精胶</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双面胶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1.尺寸：≥5*10000mm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2.材质：棉纸</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卷</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透明胶带</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1.尺寸：≥12*30mm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2.材质：BOPP</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卷</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美纹纸胶带</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1.尺寸：≥6*1500mm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2.材质：棉纸</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卷</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桌面保护垫板防切割</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1.尺寸：≥297*210mm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2.材质：PVC</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纸艺粘贴小眼睛</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1.至少内含700个小眼睛、有背胶</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染纸吹风机</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1.规格：≥230*210*45cm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2.耐高温，快干恒温</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拼图拓印画操作材料包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1.尺寸：≥20*20*3cm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2.材质：松木、ks、丙烯、铜版纸、涂刷笔、拓印材料包。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3.了解中国非遗文化知识，欣赏中国图腾艺术之美、内含木艺、陶艺、食器、国学、年画、皮影等中国传统文化知识。</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编织收纳筐</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w:t>
            </w:r>
            <w:bookmarkStart w:id="211" w:name="OLE_LINK33"/>
            <w:r>
              <w:rPr>
                <w:rFonts w:hint="eastAsia" w:ascii="宋体" w:hAnsi="宋体" w:eastAsia="宋体" w:cs="宋体"/>
                <w:color w:val="auto"/>
                <w:sz w:val="24"/>
                <w:szCs w:val="24"/>
                <w:highlight w:val="none"/>
              </w:rPr>
              <w:t xml:space="preserve">≥</w:t>
            </w:r>
            <w:bookmarkEnd w:id="211"/>
            <w:r>
              <w:rPr>
                <w:rFonts w:hint="eastAsia" w:ascii="宋体" w:hAnsi="宋体" w:eastAsia="宋体" w:cs="宋体"/>
                <w:color w:val="auto"/>
                <w:sz w:val="24"/>
                <w:szCs w:val="24"/>
                <w:highlight w:val="none"/>
              </w:rPr>
              <w:t xml:space="preserve">38*26*13cm，金属框架，丙丝带编织布料，两侧设计有提手。</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非遗操作工具---乳钉纹</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1.尺寸：≥8*8*3cm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2.材质：超硬ks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3.了解中国非遗文化知识，欣赏中国图腾艺术之美</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非遗操作工具---饕餮纹</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1.尺寸：≥10*10*3cm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2.材质：超硬ks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3.了解中国非遗文化知识，欣赏中国图腾艺术之美</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非遗操作工具---藏族佛教</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1.尺寸：≥8*8*3cm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2.材质：超硬ks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3.了解中国非遗文化知识，欣赏中国图腾艺术之美</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肌理球</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1.尺寸：≥φ50mm(±误差15%）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2.材质：泥塑</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肌理刷</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1.尺寸：≥100*60mm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w:t>
            </w:r>
            <w:r>
              <w:rPr>
                <w:rFonts w:hint="eastAsia" w:ascii="宋体" w:hAnsi="宋体" w:eastAsia="宋体" w:cs="宋体"/>
                <w:color w:val="auto"/>
                <w:sz w:val="24"/>
                <w:szCs w:val="24"/>
                <w:highlight w:val="none"/>
                <w:lang w:val="en-US" w:eastAsia="zh-CN"/>
              </w:rPr>
              <w:t xml:space="preserve">松木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入校培训</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教学目标：教师具备开课能力</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1.学习扎染成型/装饰/完整制作流程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2.学习特定适用教学场景的成型及装饰技巧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3.学习教学场景分析，老师如何上好扎染课</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4.学习扎染教育的必要性，扎染教育的开展意义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5.学习扎染教育系统课的运用方法</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次</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扎染劳技课程</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学习扎染艺术可以带来以下几个益处：</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提高创造力：扎染艺术需要学生通过不同的染色技巧来创造独特的图案和颜色，因此可以帮助学生培养创造力和审美能力。</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培养耐心和毅力：扎染需要很多耐心和毅力，因为这个过程需要反复涂染、烘干和加工。这种细致的过程可以帮助学生锻炼耐心和毅力，从而提高学生的自我控制力和自信心。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提高手工艺技能：扎染需要学生掌握染料和工具的使用技巧，因此可以帮助学生提高手工艺技能和手工操作的灵活性。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促进团队合作：扎染需要一些共同的设备和工具，因此可以促进学生之间的团队合作。在共同制作一个扎染作品的过程中，学生可以学会与他人沟通、协调和合作。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增强学习兴趣：扎染艺术是一项富有创意和乐趣的艺术活动，可以帮助学生增强对艺术的兴趣和热情。通过制作精美的扎染作品，学生可以激发自己对艺术的兴趣和热爱，从而提高学生的学习兴趣和积极性。</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伴随服务</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负责产品的运输，搬运、安装及现场保护。</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bookmarkStart w:id="212" w:name="_Toc17757"/>
            <w:r>
              <w:rPr>
                <w:rFonts w:hint="eastAsia" w:ascii="宋体" w:hAnsi="宋体" w:eastAsia="宋体" w:cs="宋体"/>
                <w:b/>
                <w:bCs/>
                <w:color w:val="auto"/>
                <w:sz w:val="24"/>
                <w:szCs w:val="24"/>
                <w:highlight w:val="none"/>
              </w:rPr>
              <w:t xml:space="preserve">书法教室</w:t>
            </w:r>
            <w:bookmarkEnd w:id="212"/>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照相机</w:t>
            </w:r>
            <w:r/>
          </w:p>
        </w:tc>
        <w:tc>
          <w:tcPr>
            <w:tcW w:w="636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传感器与处理器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传感器：3250万像素APS-C画幅全像素双核CMOS传感器，目前APS-C画幅中最高像素记录</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处理器：DIGIC 8数字影像处理器，支持高速连拍与高感降噪</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感光度与画质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ISO范围：静态拍摄ISO 100-25600（可扩展至51200），视频拍摄ISO 100-12800（可扩展至25600）</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动态范围：实测实用范围为+2EV至-4EV，RAW格式支持±5档曝光补偿</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对焦系统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光学取景对焦：45点全十字型自动对焦（中央点支持F2.8双十字对焦）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实时取景对焦：全像素双核CMOS AF，5481个可选对焦点，支持人脸/眼部追踪，最低对焦亮度EV-5.3</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连拍性能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机械快门：最高10张/秒（光学取景器模式）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电子快门：最高11张/秒（实时取景模式）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缓存容量：JPEG约57张，RAW约24张，C-RAW约39张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快门与测光</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快门速度：机械快门1/8000-30秒，电子快门1/16000-30秒（支持B门）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测光系统：22万像素RGB+红外测光模块，支持216分区TTL测光</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视频功能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4K视频：支持无裁切4K 30P，全高清1080P 120P</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视频辅助：耳机监听接口、麦克风接口，支持电子防抖</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存储与续航</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存储介质：单SD卡槽（兼容UHS-I/II）</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电池续航：LP-E6N电池，光学取景续航约800张，实时取景约510张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机身设计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材质与防护：镁铝合金框架，防尘防滴溅设计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显示屏：≥3英寸104万像素可翻转触摸屏，支持触控对焦</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触摸一体机</w:t>
            </w:r>
            <w:r/>
          </w:p>
        </w:tc>
        <w:tc>
          <w:tcPr>
            <w:tcW w:w="636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一、整机设计：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1、整机尺寸不低于86英寸，屏幕采用超高清LED液晶显示屏，显示比例16:9，分辨率3840×2160；屏幕表面采用全物理钢化玻璃，支持防眩光功能，玻璃表面硬度≥9H。</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2、嵌入式系统版本不低于Android 14，内存≥2GB，存储空间≥8GB。</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3、采用红外触控技术，支持Windows系统中进行40点或以上触控，支持在Android系统中进行40点或以上触控。</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整机内置2.2声道扬声器，位于设备上边框，顶置朝前发声，前朝向10W高音扬声器2个，上朝向20W中低音扬声器2个，额定总功率60W；采用缝隙发声技术，喇叭采用槽式开口设计，不大于5.8mm，扬声器在100%音量下，可做到1米处声压级≥88db，10米处声压级≥79dB。</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5、整机内置非独立外扩展阵列麦克风，麦克风拾音距离≥10米。</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6、整机全通道支持纸质护眼模式，可实现画面纹理的实时调整；支持纸质纹理：牛皮纸、素描纸、宣纸、水彩纸、水纹纸；支持透明度调节；支持色温调节。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8、★整机支持发出频率为19kHz-22kHz超声波信号，智能手机通过麦克风接收后，智能手机与整机无需在同一局域网内，可实现配对，一键投屏，用户无需手动输入投屏码或扫码获取投屏码。</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9、★整机支持蓝牙Bluetooth 5.4标准，固件版本号HCI13.0/LMP13.0；Wi-Fi制式支持IEEE 802.11 a/b/g/n/ac/ax，支持版本Wi-Fi6，Wi-Fi及AP热点支持频段2.4GHz/5GHz。</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整机上边框内置非独立摄像头，采用一体化集成设计，摄像头运行时，有指示灯提示，可拍摄≥1300万像素数的照片，可拍摄输出4K分辨率的视频，摄像头对角线视场角≥120度，支持人脸识别、清点人数、随机抽人；识别所有学生，显示标记，然后随机抽选，同时显示标记不少于50人，支持远程巡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11、★整机触控书写功能集成预测算法，在书写速度≥50cm/s，支持笔迹距离笔的距离小于20mm，书写触控延迟≤25ms，触摸响应≤4ms，触摸分辨率32768×32768。</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12、★整机屏幕蓝光占比（有害蓝光415～455nm能量综合）/（整体蓝光400～500能量综合）＜50%；背光系统支持DC调光方式，多级亮度调节，支持白颜色背景下最暗亮度≤100nit，用于提升显示对比度。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整机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开启勿扰模式时，不允许其他人在进行传屏；投屏时可以选择过滤特定应用窗口，如邮件应用窗口。</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14、支持外接信号输入时自动唤醒功能，整机处于关机通电状态，外接电脑显示信号通过HDMI传输线连接至整机时，整机可智能识别外接电脑设备信号输入并自动开机。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15、整机全通道侧边栏快捷菜单包含如下小工具：批注、降半屏、截屏、倒计时、放大镜、日历、聚光灯、秒表、冻屏、倒数日、答题、节拍器；快捷菜单小工具支持自定义，支持设置对应小工具的显示/隐藏。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整机内置触摸中控菜单，在整机全信号源通道下通过手势在屏幕上调取该触摸菜单；支持信号源通道切换、护眼、声音调节功能；支持切换智能息屏、经典护眼模式、纸质护眼模式、自动亮度模式；并可支持调节音量、亮度，支持自动亮度模式，支持点击静音按钮静音。</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二、插拔式电脑模块：</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1、PC模块可抽拉式插入整机，可实现无单独接线的插拔，采用按压式卡扣，无需工具就可快速拆卸电脑模块。</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2、PC模块和整机的连接采用万兆级接口，传输速率≥10Gbps。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3、电脑模块CPU要求：不低于i5 10代处理器；配置要求：不低于 DDR4 8GB内存，256GB SSD硬盘；接口要求：≥1路HDMI，≥3路USB。</w:t>
            </w:r>
            <w:r/>
          </w:p>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交互式数字临摹台</w:t>
            </w:r>
            <w:r/>
          </w:p>
        </w:tc>
        <w:tc>
          <w:tcPr>
            <w:tcW w:w="6361"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1.一体化设计，基于iOS或者Android系统，支持远程升级。高清临摹：支持学生用宣纸、毛笔传统的方式进行高清临摹，能临摹长宽均不大于1cm的电子字帖。</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2.临摹台支持网络供电功能，只需要在临摹台的网络接口插入一根网线，即可实现临摹台的供电和网络接入的功能。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十点触控功能，可用手指直接操控系统；支持分屏触控功能，支持临摹台左边一半能触控，即左边可以播放例字视频，并可以暂停或者快进以及调节音量大小；右边一半不能触控，右边排版好当前播放的例字字帖，可以实现摹帖和临帖；支持手指双击碑帖自动放大缩小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4.高可视角度：＞80/80/80/80 （上下左右）；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5.摹帖屏可承重60kg以上无裂痕；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6.防水：临摹屏支持防水功能；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7.耐磨：临摹区面板可抗击100000次以上自然摩擦无划痕；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8.护眼功能：发光柔和护眼，亮度低于260cd/m2；</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9.支持RJ45接口；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10.支持WiFi连接；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11.摹帖屏显示尺寸：＞45cm×25cm；分辨率：1920×1080；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12.临摹台外置分体式接口：耳机插孔、USB接口、电源开关，并将分体式接口嵌入在临摹桌桌面前侧（学生座位一侧）；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13.支持自主学习模式下的碑帖临摹功能；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14.支持一键自动更新碑帖功能；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15.支持一键系统整体升级功能；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16.上电自动开机，直接进入学生自主学习软件界面，通过学校、班级、账号、密码登录，直接触控操作软件系统；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17.碑帖系统：支持碑帖手指八点触控放大缩小功能，支持临帖电子毛毡功能，电子毛毡能触控放大缩小，位置随意摆放，支持碑帖通过年代、字体、作者搜索选择功能；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18.练习系统：支持字体排版功能，支持书体、作者、字形、笔类、笔画、偏旁、结构排版字体，支持字格数量的设置功能，支持米字格、田字格、九宫格、田回格、大方格多种背景随意变化，支持一键清空功能；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19.名家课堂系统：具备专家视频课程。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20.支持软件方式调节音量和亮度的功能；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21.支持统一授课模式和自主学习模式切换功能，模式切换由老师控制；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22.支持学生通过自己账号登陆书法学习平台，拍照上传自己的书法作品，支持将软笔书写过程进行录制上传，同时支持查看自己的历史作品和书写过程视频记录（该功能需配备教学互动系统）；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23.临摹台的学习书法软件平台有“润笔”和“洗笔”按钮，通过软件触控操作，智能笔洗自动出水。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24.包含颜体1、颜体2、欧、柳、赵5套基本课程，每套课程各128课时，共640课时；每一课都包含“基础知识”、“初步印象”、“继续观察”、“示范讲解”、 “动手体验”、“知识扩展”、 “课堂练习”、“课堂检测”、“回帖学习”等教学环节；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25.教学环节---基础知识：根据本节课的内容设计基础知识的内容，书法知识涉及笔墨纸砚基本工具、书写姿势、握笔姿势基本要求以及书家、书写材料、碑帖知识、书论一系列内容。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26、教学环节---初步印象：根据每节课的核心内容（例如 重点笔画、偏旁部首或者结构）。系统给出4个左右的开放性“印象说法”。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27、教学环节---继续观察：同一个字具有不同的书体，通过观察某一笔画（如撇画）或者某一部件（如女部）在该字的不同书体中的形态，总结出该笔画（如撇画）或者该部件（如女部）的一般规律。同时系统给出参考性答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28.教学环节---示范讲解：包含偏旁、例字的讲解和示范书写。偏旁讲解部分包括书写要点和专</w:t>
            </w:r>
            <w:r>
              <w:rPr>
                <w:rFonts w:hint="eastAsia" w:ascii="宋体" w:hAnsi="宋体" w:eastAsia="宋体" w:cs="宋体"/>
                <w:i w:val="0"/>
                <w:iCs w:val="0"/>
                <w:color w:val="auto"/>
                <w:sz w:val="24"/>
                <w:szCs w:val="24"/>
                <w:highlight w:val="none"/>
                <w:u w:val="none"/>
                <w:lang w:val="en-US" w:eastAsia="zh-CN" w:bidi="ar"/>
              </w:rPr>
              <w:t xml:space="preserve">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29.教学环节---书体对比：在示范讲解环节中要包括例字的书体对比，支持每个例字自动调取欧体、颜体、柳体、赵体、隶书、篆书、行书、草书字帖进行对比，当该字的某书体有多字时支持选字，选出的字帖要包括书体、书家、碑帖名称，选出的所有字帖以放大的方式呈现在屏幕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30.教学环节---动手体验：包含“试一试”、“拼一拼”、“写一写”等环节，在“试一试”环节中，通过单钩、双钩、画轮廓的练习，让学生去感知笔画和结构；在“拼一拼”环节中，将例字分解成几部分推送到学生临摹台，让学生通过拼字游戏进一步对结构进行感知和实践；在“写一写”环节中，让学生进行摹写和临写，并且将笔法图放在最左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31.教学环节---知识扩展：包括本节课典型例字的文字源流，列出甲骨文、篆书、隶书、草书、行书、楷书的图片，同时以文字的方式列出“说文解字”的内容。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32.教学环节---课堂练习：自动生成本节课的主要例字或者偏旁的字帖供学生练习，字帖按照六步临摹法生成（六步临摹法：摹-摹-摹-临-摹-临），在该软件界面中支持一键换书体、一键换底格（米字格、田字格、九宫格、田回格、大方格）、一键换字体颜色、选择其他例字、修改字格数量、收取作业的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33.</w:t>
            </w:r>
            <w:r>
              <w:rPr>
                <w:rFonts w:hint="eastAsia" w:ascii="宋体" w:hAnsi="宋体" w:eastAsia="宋体" w:cs="宋体"/>
                <w:b/>
                <w:bCs/>
                <w:i w:val="0"/>
                <w:iCs w:val="0"/>
                <w:color w:val="auto"/>
                <w:sz w:val="24"/>
                <w:szCs w:val="24"/>
                <w:highlight w:val="none"/>
                <w:u w:val="single"/>
                <w:lang w:val="en-US" w:eastAsia="zh-CN" w:bidi="ar"/>
              </w:rPr>
              <w:t xml:space="preserve">教学环节---课堂检测：通过学生互动终端将练习上传交互式</w:t>
            </w:r>
            <w:r>
              <w:rPr>
                <w:rFonts w:hint="eastAsia" w:ascii="宋体" w:hAnsi="宋体" w:eastAsia="宋体" w:cs="宋体"/>
                <w:b/>
                <w:bCs/>
                <w:i w:val="0"/>
                <w:iCs w:val="0"/>
                <w:color w:val="auto"/>
                <w:sz w:val="24"/>
                <w:szCs w:val="24"/>
                <w:highlight w:val="none"/>
                <w:u w:val="single"/>
                <w:lang w:val="en-US" w:eastAsia="zh-CN" w:bidi="ar"/>
              </w:rPr>
              <w:t xml:space="preserve">数字临摹台（不能通过手机拍照来上传），在交互式数字临摹台能对学生的练习进行智能评测，从笔画、结构、整体自动生成文字型问题描述、配合图片指出问题并给出改进建议；可对练习中单字的每个笔画进行自动智能评价，对有问题的笔画自动突出标识，并可自动将作业中的每个笔画与原帖的笔画进行图片对比，对书写出现问题的每一个笔画都自动描述书写问题，并自动给出指导意见；对结构智能评测时，按照每个字的评价维度，自动描述该字的结构方面出现的每一个问题，并自动给出文字性的指导建议，针对书写出现的每个问题都自动给出指导图片和书写指导视频。（</w:t>
            </w:r>
            <w:r>
              <w:rPr>
                <w:rFonts w:hint="eastAsia" w:ascii="宋体" w:hAnsi="宋体" w:eastAsia="宋体" w:cs="宋体"/>
                <w:b/>
                <w:bCs/>
                <w:color w:val="auto"/>
                <w:sz w:val="24"/>
                <w:szCs w:val="24"/>
                <w:highlight w:val="none"/>
                <w:u w:val="single"/>
                <w:lang w:val="en-US" w:eastAsia="zh-CN"/>
              </w:rPr>
              <w:t xml:space="preserve">演示项</w:t>
            </w:r>
            <w:r>
              <w:rPr>
                <w:rFonts w:hint="eastAsia" w:ascii="宋体" w:hAnsi="宋体" w:eastAsia="宋体" w:cs="宋体"/>
                <w:b/>
                <w:bCs/>
                <w:i w:val="0"/>
                <w:iCs w:val="0"/>
                <w:color w:val="auto"/>
                <w:sz w:val="24"/>
                <w:szCs w:val="24"/>
                <w:highlight w:val="none"/>
                <w:u w:val="single"/>
                <w:lang w:val="en-US" w:eastAsia="zh-CN" w:bidi="ar"/>
              </w:rPr>
              <w:t xml:space="preserve">）</w:t>
            </w:r>
            <w:r>
              <w:rPr>
                <w:rFonts w:hint="eastAsia" w:ascii="宋体" w:hAnsi="宋体" w:eastAsia="宋体" w:cs="宋体"/>
                <w:b/>
                <w:bCs/>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34.教学环节---回帖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    </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教师中控条案</w:t>
            </w:r>
            <w:r/>
          </w:p>
        </w:tc>
        <w:tc>
          <w:tcPr>
            <w:tcW w:w="6361"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1.规格：200cm×80cm×75cm（±1cm），木结构；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2.古典书桌设计，烤漆处理；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3.全部卯榫结构；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4.支持将本方案中的中控、教师手绘屏、直播系统集成在中控条案中；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5.砚台：20cm×13cm×2.5cm（±0.5cm），材质：螺纹石；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6.毛笔笔架：36cm×34cm×10cm（±1cm），材质: 鸡翅木；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7.笔洗：7.5cm×20cm（±1cm），材质：优质陶瓷；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8.砚台水滴：陶瓷；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9.镇尺：加重型黑梓木；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10.笔搁：卧式笔架，材质：实木；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11.毛毡：1×2米（±1cm），可以水洗反复使用；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12.笔筒：12.5cm×9.5cm（±1cm），材质: 黑檀；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13.毛笔套装：笔头材质为纯狼毫；笔杆材质：天然黑湘妃；大号毛笔尺寸：出锋3.8cm、口径1.1cm、全长26.5cm；中号毛笔：出锋3.3cm、口径0.9cm、全长26.0cm；小号毛笔：出锋2.8cm，口径0.8cm，全长25.5cm；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14.配套实木方凳1个。</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书法临摹桌</w:t>
            </w:r>
            <w:r/>
          </w:p>
        </w:tc>
        <w:tc>
          <w:tcPr>
            <w:tcW w:w="6361"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1.仿古设计，弧形腿，框架结构：松木；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2.规格：134cm×60cm×75cm（±1cm）；左右两边两个墨盒孔，长宽：≤13.8cm×7.8cm；左右两边两个临摹台开关孔，长宽：≤7.5cm×1.8cm；洗笔器开关孔直径：≤1.6cm；桌面厚度：≥3.2cm；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3.交互式数字临摹台能无缝嵌入至书法桌，嵌入后临摹台与书法桌表面水平，为一体化设计；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4.书法桌学生一侧具有嵌入式临摹台开关，音频接口，USB接口；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5.专业笔搁；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6.配套实木方凳2个。</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学生互动拍摄及Ai握笔监测系统</w:t>
            </w:r>
            <w:r/>
          </w:p>
        </w:tc>
        <w:tc>
          <w:tcPr>
            <w:tcW w:w="6361" w:type="dxa"/>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single"/>
                <w:lang w:val="en-US" w:eastAsia="zh-CN" w:bidi="ar"/>
              </w:rPr>
              <w:t xml:space="preserve">软笔Ai握笔姿势智能监测硬件和学生互动拍摄硬件融合一体，软笔Ai握笔姿势智能监测系统的监测硬件在互动拍摄架立杆中间偏下位置，学生互动拍摄硬件在互动拍摄架“7”字型横杆的下方，互动拍摄硬件具有笔架功能，支持同时挂三只毛笔。（</w:t>
            </w:r>
            <w:r>
              <w:rPr>
                <w:rFonts w:hint="eastAsia" w:ascii="宋体" w:hAnsi="宋体" w:eastAsia="宋体" w:cs="宋体"/>
                <w:b/>
                <w:bCs/>
                <w:color w:val="auto"/>
                <w:sz w:val="24"/>
                <w:szCs w:val="24"/>
                <w:highlight w:val="none"/>
                <w:u w:val="single"/>
                <w:lang w:val="en-US" w:eastAsia="zh-CN"/>
              </w:rPr>
              <w:t xml:space="preserve">演示项</w:t>
            </w:r>
            <w:r>
              <w:rPr>
                <w:rFonts w:hint="eastAsia" w:ascii="宋体" w:hAnsi="宋体" w:eastAsia="宋体" w:cs="宋体"/>
                <w:b/>
                <w:bCs/>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2.学生端临摹台的软件支持互动拍摄及握笔姿势监测硬件，互动拍摄硬件与现有学生端临摹台的硬件对接；互动拍摄通过USB连接交互式数字临摹台进行供电，USB线在桌面上不外露。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3.拍摄硬件帧速率：24帧。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4.具备学生座位图功能，老师可管理班级、学生，并对学生进行排坐，形成座位图。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5.老师直接双击座位图上的学生姓名即可查看该学生书写过程，支持老师通过控制系统切换每一个学生的书写过程实时传输到大屏和其他同学的临摹台上欣赏查看。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6.一键收取作业:教师在中控台上可一键收取作业，作业按照学生座位图的顺序和位置关系进行排列。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7.支持书写过程分享到本班，老师与同学实时观看其他同学的书写过程及作品。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8.支持老师对任一学生的作品进行查看、讲评，并通过互动系统供其他学生观看讲评。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w:t>
            </w:r>
            <w:r>
              <w:rPr>
                <w:rFonts w:hint="eastAsia" w:ascii="宋体" w:hAnsi="宋体" w:eastAsia="宋体" w:cs="宋体"/>
                <w:b/>
                <w:bCs/>
                <w:i w:val="0"/>
                <w:iCs w:val="0"/>
                <w:color w:val="auto"/>
                <w:sz w:val="24"/>
                <w:szCs w:val="24"/>
                <w:highlight w:val="none"/>
                <w:u w:val="single"/>
                <w:lang w:val="en-US" w:eastAsia="zh-CN" w:bidi="ar"/>
              </w:rPr>
              <w:t xml:space="preserve">当出现握笔姿势错误时，教师端系统能实时监测并出现握笔姿势错误提示，点击提示图标，能显示错误握笔人员所在临摹台的位置信息，能显示握笔姿势的具体错误情况，以文字和图片拍摄方式同时给出监测到的握笔姿势错误，并配有正确姿势的文字和视频讲解。当出现握笔姿势错误时，学生端临摹台屏幕左上角显示握笔姿势错误提示图标。点击提示图标，系统会显示学生的握笔姿势具体的错误情况，以文字和图片拍摄方式同时给出监测到的握笔姿势错误，并配有正确姿势的文字和视频讲解。（</w:t>
            </w:r>
            <w:r>
              <w:rPr>
                <w:rFonts w:hint="eastAsia" w:ascii="宋体" w:hAnsi="宋体" w:eastAsia="宋体" w:cs="宋体"/>
                <w:b/>
                <w:bCs/>
                <w:color w:val="auto"/>
                <w:sz w:val="24"/>
                <w:szCs w:val="24"/>
                <w:highlight w:val="none"/>
                <w:u w:val="single"/>
                <w:lang w:val="en-US" w:eastAsia="zh-CN"/>
              </w:rPr>
              <w:t xml:space="preserve">演示项</w:t>
            </w:r>
            <w:r>
              <w:rPr>
                <w:rFonts w:hint="eastAsia" w:ascii="宋体" w:hAnsi="宋体" w:eastAsia="宋体" w:cs="宋体"/>
                <w:b/>
                <w:bCs/>
                <w:i w:val="0"/>
                <w:iCs w:val="0"/>
                <w:color w:val="auto"/>
                <w:sz w:val="24"/>
                <w:szCs w:val="24"/>
                <w:highlight w:val="none"/>
                <w:u w:val="singl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★10.教师机系统能监测到所有学生的握笔姿势错误情况，并形成记录。可通过查看记录显示错误握笔人员所在临摹台的位置信息，以文字和图片拍摄方式同时给出监测到的握笔姿势错误。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★11.学生端和教师端能监测到握杆错误、食指上翘错误、五指分开错误等多种常见的握笔姿势错误。</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学生互动拍摄系统</w:t>
            </w:r>
            <w:r/>
          </w:p>
        </w:tc>
        <w:tc>
          <w:tcPr>
            <w:tcW w:w="6361"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1.学生端临摹台的软件支持互动拍摄硬件，互动拍摄硬件与现有学生端临摹台的硬件对接，硬件固定到学生书法桌上；互动拍摄硬件具有笔架功能，支持同时挂三只毛笔；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2.通过USB连接交互式数字临摹台进行供电，USB线在桌面上不外露；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3.帧速率不低于24帧；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4.具备学生座位图功能，老师可管理班级、学生，并对学生进行排坐，形成座位图；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5.老师直接双击座位图上的学生姓名即可查看该学生书写过程，支持老师通过控制系统切换每一个学生的书写过程实时传输到大屏和其他同学的临摹台上欣赏查看；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6.一键收取作业:教师在中控台上可一键收取作业，作业按照学生座位图的顺序和位置关系进行排列；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7.支持书写过程分享到本班，老师与同学实时观看其他同学的书写过程及作品；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8.支持老师对任一学生的作品进行查看、讲评，并通过互动系统供其他学生观看讲评。</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智能笔洗系统</w:t>
            </w:r>
            <w:r/>
          </w:p>
        </w:tc>
        <w:tc>
          <w:tcPr>
            <w:tcW w:w="6361"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1.教师端通过书法教学系统软件控制笔洗，具备一键启用、禁用笔洗系统和教师端一键洗笔功能，当启用笔洗系统时，学生可以通过临摹台控制自己座位上的笔洗，当开启一键洗笔功能时，洗笔系统会自动出水；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2.洗笔系统具备临摹台控制模式和教师端系统一键洗笔模式；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3.学生触控临摹台软件界面控制笔洗，可以选择润笔功能、洗笔功能选项，学生可以根据需要进行选择；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4.教师端系统一键洗笔功能下，教师端系统可以一键开启所有临摹台的笔洗，学生获得30秒的洗笔时间，30秒后笔洗自动关闭；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5.笔洗系统启动后，笔洗漏斗内始终保持2cm高水位的存水量；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6.笔洗系统的出水口不超过桌面(在笔洗漏斗的上口平面以下）、笔洗系统的漏斗具有防溢出功能。直径10cm防溢出漏斗1个。</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书画教学展示台</w:t>
            </w:r>
            <w:r/>
          </w:p>
        </w:tc>
        <w:tc>
          <w:tcPr>
            <w:tcW w:w="6361"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1.拍摄架：≥10千克，全金属构架,摄像机竖立的主支架杆须立于拍摄架底座板的左上角；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2.支持清晰拍摄软硬笔、粉笔、美术的书写与绘画；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3.配置3台摄像机从不同角度拍摄；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4.摄像机3台。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（1）拍摄面积：大于A3幅面（距离镜头≥45cm处）；长宽高：≤120 mm×70 mm×70 mm，直播画面分辨率：1920×1080，支持自动亮度调节；支持自动对焦功能。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（2）帧数：≥30FPS，实时输出画面流畅，移动展示物体无明显拖尾、模糊、延迟等现象；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输出接口：RJ45；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电源：DC12V；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5.支持保存镜头位置，支持6个档位设置，需要时可一键调出，自动恢复到相应位置；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6.支持场景式网络课堂教学系统直接调取3台摄像机使用；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7.支持正面摄像机、侧面摄像机拍摄长宽均不大于3毫米的字（可清晰辨识文字内容），拍摄高度不低于65厘米；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8.摄像机机壳为全封闭结构，镜头必须封闭在摄像机机壳内部，防止落尘或者不慎操作损坏镜头；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9.软件界面可调整缩放倍数，并立即展示缩放后的效果。缩放后可全自动对焦清晰显示或通过软件界面手动对焦清晰显示。</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书法教学直播系统</w:t>
            </w:r>
            <w:r/>
          </w:p>
        </w:tc>
        <w:tc>
          <w:tcPr>
            <w:tcW w:w="6361" w:type="dxa"/>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系统支持连接书画教学展示台的三台摄像机同时拍摄直播、录像，其中两台摄像机进行同时拍摄录课，另一台摄像机录制授课特写画面；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软件界面同时显示正面、侧面、特写三个画面，并在画面上进行标识，画面上标识正面、侧面、特写。支持单镜头画面、双镜头画面、三镜头画面、画中画四种录播模式功能，四种显示模式都直接双击切换。支持三台摄像机的视频语音录制功能；支持三个画面同步回放功能；支持播放文件时间显示数字走表功能；支持在软件内直接修改视频、图片文件名，支持拍摄的视频文件自带拍摄年、月、日、时、分、秒信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3.支持快镜头播放、暂停功能；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4.支持慢镜头播放、暂停功能；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5.支持摄像机自动录音功能，软件调节声音大小；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6.支持在画面上任意批注功能；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7.教师在示范书写的时候，可以在界面同时展现要示范的例字的视频、例字多个字体、例字的多个碑帖，显示在软件摄像机拍摄的界面，字帖可随意放大缩小，可随意放在软件界面的任何位置；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8.支持一键抓图、看图功能；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 支持正面、侧面、特写三个镜头具有设置功能；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 支持设置功能包括缩放、指定档位功能；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 缩放：支持鼠标滚轮调节缩放比例功能；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 支持缩放比例自动对焦，调节缩放比例，选择自动对焦，系统依据缩放比例自动对焦。支持教师把调整好的缩放和焦距参数快捷保存到指定档位，下次使用时可以一键选档，一键快捷切换档位时，摄像机缩放和焦距自动调节到本档位的对应参数；支持保存6个档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 支持回放功能，回放功能具有对已录视频进行重命名和删除功能；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 支持回放视频时正面、侧面、特写三个画面同时显示播放功能；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 回放功能支持正面、侧面、特写三个画面任意切换功能；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 回放功能支持正面、侧面、特写三个画面双击全屏功能。</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w:t>
            </w:r>
            <w:r/>
          </w:p>
        </w:tc>
        <w:tc>
          <w:tcPr>
            <w:tcW w:w="6361"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1.开机界面即是智慧书法教学系统平台界面，通过主机系统直接控制书法直播系统、大屏、软件等软硬件；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2.支持统一授课模式，把教师端软件直接同步到学生端交互式数字临摹台；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3.教师在控制系统软件平台上直接可以切换到自主学习模式，学生独立使用临摹台上的学生端软件；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4.支持所有学生端临摹台智能洗笔的统一控制；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5.系统平台有独立的音乐背景模块软件；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6.控制系统硬件规格：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CPU：酷睿I5或以上；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内存：16G或以上；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硬盘：1TB固态或以上；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7.板书专用手写屏规格：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显示尺寸：≥21.5寸（16:9）；</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解析度：≥1920*1080；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对比度：1000:1；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感应方式：电磁式；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分辨率：2000Lpi；</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反应速度：200点/秒；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压感：2048级；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压感笔1支。</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书法分组教学软件</w:t>
            </w:r>
            <w:r/>
          </w:p>
        </w:tc>
        <w:tc>
          <w:tcPr>
            <w:tcW w:w="6361" w:type="dxa"/>
            <w:vAlign w:val="center"/>
            <w:textDirection w:val="lrTb"/>
            <w:noWrap w:val="false"/>
          </w:tcPr>
          <w:p>
            <w:pPr>
              <w:numPr>
                <w:ilvl w:val="0"/>
                <w:numId w:val="8"/>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该软件由智慧书法教学系统界面进入；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点击分组教学，进入分组教学软件界面，点击布局进入班级布局界面，支持新增班级名称、修改班级名称、删除班级功能、新增学生（包括姓名、生日、性别、账号、密码）、修改学生信息、删除学生信息。具备成批录入学生的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3.布局的行、列的数量可以自行设置，具备按行顺序排位、按列顺序排位、按行随机排位、按列随机排位的功能。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新增分组功能要求分组数量、每组人数不受限制，选择改组组员，具有一键全选、一键选取全列、一键选取全行，支持按住鼠标左键任意拖选学生进入分组。点击组名，要求指派任务、重编组员、修改分组组名、解散本组的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5.点击任意一个组名进入指派任务界面，要求能指派该组听课、自学、字帖、碑帖、集创、兴趣体验的功能。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点击任意一个组名进入指派任务界面，选择字帖指派界面，能指派软笔、硬笔字帖，字帖选择范围不少于3种笔类、5种字体、20个作者、30个作品的字帖，支持字帖搜索功能，支持一键重置功能。搜索界面要求界面右边出现搜索字的所有字帖，并标明作者和字帖名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点击任意一个组名进入指派任务界面，选择碑帖指派界面，要求能推送不低于80套古代名家的碑帖，其中要求王羲之的字帖不低于20套，颜真卿的碑帖不低于12套，欧阳询的碑帖不低于8套，赵孟頫的字帖不低于25套，苏轼的字帖不低于20套，支持碑帖搜索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8.点击任意一个组名进入指派任务界面，选择集创指派界面，要求能指派折扇、团扇、条幅、横幅、斗方、对联、中堂不同类型的作品，作品总数不低于150个。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点击任意一个组名进入指派任务界面，选择兴趣体验指派界面，要求能指派“我会识书体”兴趣体验（必须包括“我会识欧体”、“我会识颜体”、“我会识柳体”、“我会识赵体”）、“我会拼字体”兴趣体验（必须包括“我会拼欧体” 、“我会拼颜体”、“我会拼柳体”、“我会拼赵体”）、“碑帖寻美文”、“拓碑”、“辩音识字”兴趣体验教学。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兴趣体验识书体模块：支持欧体、颜体、柳体、赵体四大书体的字体识别，从屏幕上方随机降落单字字帖，要求学生在临摹台点击降落的字帖，系统自动判断“正确”或者“错误”，并自动进入正确和错误的篮子中，正确书体的字帖降落至屏幕底端前未被点击，将判断为“丢失”，要求能查看正确、错误、丢失的个数，以及错误和丢失的详细情况，告知错误的原因。错误或丢失次数达到五次，体验自动结束。体验过程中支持查看本人得分和班级最高分，体验结束后支持查看排名榜，支持学生点击“重新开始”进入体验。字帖下落的速度越来越快。</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兴趣体验拼字体模块：要求欧体、颜体、柳体、赵体每个体不低于100个字供学生进行拼字体验。学生在临摹台上通过触控拖字的方式进行拼字体验，系统将打散的笔画推送到学生临摹台，学生拖动零部件到米字格中，所有部件摆放到米字格内适当位置后点击“完成拼字”，系统自动进行重叠对照和原帖对照，系统自动对比原帖并给出评分，并支持在教师端和学生临摹台实时查看得分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兴趣体验碑帖寻美文模块：支持教师端选择颜体楷书、欧体楷书、柳体楷书、赵体楷书碑帖、隶书碑帖、行书碑帖、篆书碑帖、草书碑帖推送到学生端的临摹台，教师每次支持选择1张或者2张碑帖。学生端临摹台要求能选择折扇、团扇、横幅、条幅、斗方、中堂六类不同模板，每种模板包含不低于五种背景图案。学生手动触控碑帖单字时单字右下角展现本单字的简化字，拖动碑帖上的任意单字放置在模板中组成一幅作品。支持放大缩小单字进行排版。排版完成后支持上传作品，上传作品后，老师在教师端软件内，能实时查看上传的作品，并查看作品对应的学生姓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兴趣体验拓碑模块：支持学生端临摹台观看拓碑过程视频和拓碑过程体验。第一步，清洁碑面，触动碑面，会出现清洁刷；第二步，涂胶，触动碑面出现涂胶滚动工具；第三步，上纸，动画展示上纸过程；第四步，椎拓，触控碑面用鬃刷体验；第五步，上墨，通过手指滑动给碑面全部抹上墨；第六步，取下拓片，展示在临摹台之间，完成体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兴趣体验辩音识字模块：系统推送该模块到学生临摹台后，学生可在临摹台上各自体验“辩音识字”，要求教师可选择任意“开始关卡”对学生进行推送。系统要求不低于50关，识字包括识别繁体字帖和简体字帖，临摹台自动播放字帖声音，学生根据语音识别字帖。识别方式为敲打从地洞举牌跳出来的小动物，举牌上为需要识别的字帖，击打正确得到金币，击打错误会被减分。击打道具不少于5种，小动物的形象类型不少于5种，要求体验过程中有闪电等特效。要求教师端实时查看前三名的金币数量排名，以及体验时长。要求教师可随时终止体验。</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电子点签系统</w:t>
            </w:r>
            <w:r/>
          </w:p>
        </w:tc>
        <w:tc>
          <w:tcPr>
            <w:tcW w:w="6361"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1.可按年级、班级进行自动电子排座；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2.支持自动按行、列随机或者自动排位；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3.支持排位信息自动发布到相对应的交互式数字临摹台，并把学生姓名显示在临摹台上；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4.学生按照临摹台上的姓名就坐，并通过手指触控的方式点击自己的姓名，实现签到功能；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5.老师自动获取学生签到信息，明确知道学生上课考勤情况；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6.支持自动统计学生考勤情况，查看历史详情；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7.支持批量导入学生信息；</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书法字帖排版系统</w:t>
            </w:r>
            <w:r/>
          </w:p>
        </w:tc>
        <w:tc>
          <w:tcPr>
            <w:tcW w:w="6361"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1.支持1-500个字内，任意字体数量排版功能，随意设置字格大小，调节字格的宽、高，支持鼠标滚轮选择模板。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2.支持拼音搜索，可同时输入多字拼音，直接搜索多字；支持多字文本搜索；支持书写字体历史记录。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演示汉字笔顺功能：具备一笔一划功能，每一笔划自动按照顺序排列组成单字。动态笔划功能，每一笔以动画起笔收笔的方式，按照笔划顺序展现。具备笔划分拆功能，每一笔都占一格，书写过的笔划用彩色标识出来，整体直观展现单字笔划过程。每个字的偏旁和非偏旁部分，都是通过两种颜色区分出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4.支持在软件界面直接点播现代书法家书写的颜欧柳赵及字体中偏旁、例字的视频。可以实时同步临摹台显示。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5.支持字帖文件随意排版及混排。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6.支持电子字帖全屏显示，通过调整排版规格可控制每个字的大小和位置。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7.内置篆、隶、楷、行、草五种软笔字体字帖文件，不少于2万字的字帖库资源。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8.支持米字格、回字格、九宫格、田字格、大方格选项。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9.支持进行集字练习；具备一键排版六步教学法。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10.支持边看边练，左边是书法家视频教学，右边是学生临摹书法家字帖功能；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11.支持字体使用的历史记录；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12.支持老师自定义适合自己教学的排版模板；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13.支持一字多体排版；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14.支持硬笔字体排版，学生临摹。</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书法集创系统</w:t>
            </w:r>
            <w:r/>
          </w:p>
        </w:tc>
        <w:tc>
          <w:tcPr>
            <w:tcW w:w="6361"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1.支持折扇、团扇、条幅、横幅、斗方、对联、中堂等模式集字创作功能，从1言到500言随意编辑排版功能，支持字体大小缩放功能；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2.支持自定义创作作品类型功能；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3.支持字体自适应大小功能，后面排版的字体自动适应第一个排版好的字体大小；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4.支持自适应角度调整，字体智能化自动调整摆放角度；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5.支持文件新建、修改、保存、放大缩小、临摹功能；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包含重修三门记、陋室铭、六体千字文、灵隐禅师塔铭、黄庭经、淮云院记、后赤壁赋、归来辞去、道德经、东铭、大学、感兴诗并序、多宝塔碑、颜勤礼碑、颜家庙碑、颜体合成创作、赵体合成创作等多个创作字体模块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7.支持一键还原功能；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8.支持文字和拼音搜索功能；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9.在配置互动模块时，支持老师一键收取学习集创练习作品的功能。</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三笔字板书示范书写软件</w:t>
            </w:r>
            <w:r/>
          </w:p>
        </w:tc>
        <w:tc>
          <w:tcPr>
            <w:tcW w:w="6361"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1.软件支持选用白板、黑板、宣纸和画布四种模式作为背景底纹；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2.软件支持米字格、田字格、田回格、九宫格、方格和无格作为写字用底格；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3.软件排版支持从一字格到十五字格共十种不同排版方式；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4.笔型：支持毛笔、铅笔、钢笔、粉笔、刀笔、水彩笔、艺术笔1、艺术笔2、艺术笔3、艺术笔4、标注、橡皮共12种书写功能。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5.软件支持标注和具有橡皮擦功能；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6.支持笔锋粗细、浓度、锐利可调控；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7.支持色板，颜色可自由设置；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8.具有全屏显示功能；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9.支持在字体排版软件界面、视频资源库软件界面、视频直播软件界面、碑帖查询软件界面、课程讲义软件界面进行批注、点评功能；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10.支持一键清屏功能。</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书法教学视频资源平台</w:t>
            </w:r>
            <w:r/>
          </w:p>
        </w:tc>
        <w:tc>
          <w:tcPr>
            <w:tcW w:w="6361"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1.具备对平台资源进行控制、查询、播放及备课调整功能。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2.内置三年级、四年级、五年级、六年级、初级、中级（一）、中级（二）、高级的高清毛笔书法示范讲解视频。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3.含各年级课时的毛笔示范视频，针对每一个字，每一个笔画都有教学视频。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4.每个视频都配有教学音频讲解。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5.视频资源均为高清拍摄，可观察运笔方式。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6.视频资源按照每一例字的结构、笔画、结体规律进行分类，可以一键式调取任一课时内的视频资料。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7.支持老师管理密码功能。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8.支持批注功能。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9.支持硬笔视频资源。</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书法教学查询系统</w:t>
            </w:r>
            <w:r/>
          </w:p>
        </w:tc>
        <w:tc>
          <w:tcPr>
            <w:tcW w:w="6361"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1.碑帖资源查询可实现通过年代、作者、字帖名字进行智能化检索，并可任意放大缩小拖动字帖。</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2.支持通过原图模式、高光模式、荧光模式、红外模式、3D模式进行碑帖的查看欣赏以及临摹。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3.创作碑帖素材查询可通过关键字检索功能来搜索相应的碑帖素材。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4.支持输入文字、拼音搜索功能，支持临摹、欣赏选项按钮；支持黑白反向功能，原贴是白底黑字的可以直接转换成黑底白字，原贴是黑底白字的可以直接转换成白底黑字。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5.内含中国历代高清碑帖，包含临摹范本全部碑帖，有楷书、隶书、行书；包含欣赏作品全部碑帖，有篆、隶、草、楷、行五种字体。包含其他碑帖，包含篆、隶、草、楷、行五种字体，不少于10000张。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6.支持批注功能。</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场景式网络课堂教学系统</w:t>
            </w:r>
            <w:r/>
          </w:p>
        </w:tc>
        <w:tc>
          <w:tcPr>
            <w:tcW w:w="6361" w:type="dxa"/>
            <w:vAlign w:val="center"/>
            <w:textDirection w:val="lrTb"/>
            <w:noWrap w:val="false"/>
          </w:tcPr>
          <w:p>
            <w:pPr>
              <w:numPr>
                <w:ilvl w:val="0"/>
                <w:numId w:val="9"/>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教师授课端软件：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1.软件必须是从智慧书法教学系统界面直接点击进入。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教师创建自己的直播课程，直播课程中可包含多个章节与课时，每个课时均可独立直播，也可单独设置直播时间。每个直播课程均可进行分类，支持课程定价以及点播时收费，课程可以设置课程名称，可上传图片封面。图片封面支持放大、缩小、剪切，还可实时预览效果，可设置简介，还可增加详细图文介绍。图文介绍包含以下功能：文字加粗，文字倾斜，文字下划线，文字删除线，段落靠左，段落居中，段落靠后，段</w:t>
            </w:r>
            <w:r>
              <w:rPr>
                <w:rFonts w:hint="eastAsia" w:ascii="宋体" w:hAnsi="宋体" w:eastAsia="宋体" w:cs="宋体"/>
                <w:i w:val="0"/>
                <w:iCs w:val="0"/>
                <w:color w:val="auto"/>
                <w:sz w:val="24"/>
                <w:szCs w:val="24"/>
                <w:highlight w:val="none"/>
                <w:u w:val="none"/>
                <w:lang w:val="en-US" w:eastAsia="zh-CN" w:bidi="ar"/>
              </w:rPr>
              <w:t xml:space="preserve">落居中自动调整，支持设置段落编号或设置段落图形，支持设置左右缩进，支持设置文字颜色，文字背景色，支持插入链接，支持插入图形，也可插入网络视频，支持清除格式。创建课程时，支持加入多个章节，每个章节均可独立定义名称。创建章节后，每个章节均可增加多个独立课时。均可自定义本课时名称。课时分为直播、点播两种，点播课时可上传视频文件供点播使用，上传视频文件后可自动计算并展现本课时时长。直播课时可定义直播开始的日期以及时间，支持一键查看当前时间。编辑课时时，支持通过图标区分点播和直播课程。支持课时跨章节直接拖拽调整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教师申请功能，支持通过输入教师姓名、手机号、短信验证、密码设置、个人介绍、头像等信息，提交注册，可查询审核状态，查询时需要手机验证码审核教师身份。支持待审核课程查询，支持通过课程名称查询，支持通过注册时间查询，支持通过审核状态查询。可一键取消课程审核申请。可一键查看审核状态。格评定国家认可委员会颁发的第三方检验检测机构的实验室认可证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可分类查看拥有的所有课程列表，可通过名称或名称简写对课程进行模糊查询。可修改课程。修改内容包括，课程分类，课程名称，课程价格，课程封面，简介与详情，可重新编辑章节，还可重新编辑所有课时，编辑后自动进入</w:t>
            </w:r>
            <w:r>
              <w:rPr>
                <w:rFonts w:hint="eastAsia" w:ascii="宋体" w:hAnsi="宋体" w:eastAsia="宋体" w:cs="宋体"/>
                <w:i w:val="0"/>
                <w:iCs w:val="0"/>
                <w:color w:val="auto"/>
                <w:sz w:val="24"/>
                <w:szCs w:val="24"/>
                <w:highlight w:val="none"/>
                <w:u w:val="none"/>
                <w:lang w:val="en-US" w:eastAsia="zh-CN" w:bidi="ar"/>
              </w:rPr>
              <w:t xml:space="preserve">审核状态。可删除课程。可查看最近的直播情况。支持查看针对某个课程的订单数量以及预估收益，具备一年期间的购买趋势分析图，可查看用户评价，并对不同星级评价分类统计百分比，可按各种星级评价查看该星级下的所有观看者的评价。学校可自定义收费课程，支持课程账户管理，支持银行卡管理，自动计算可提现金额，支持提现到指定银行卡，可查询累计收入，可以直方图方式展示最近一年内的购买趋势。可按照课程名称以及订单时间查询订购记录，对所有提现可按照提现时间列出明细，也可以根据提现时间进行查询，支持用户打赏，可查询一段时间内的打赏明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5.教师现场直播授课时，可切换不同的三维场景，三维场景支持不低于4个不同位置的场景大屏设置，不同的大</w:t>
            </w:r>
            <w:r>
              <w:rPr>
                <w:rFonts w:hint="eastAsia" w:ascii="宋体" w:hAnsi="宋体" w:eastAsia="宋体" w:cs="宋体"/>
                <w:i w:val="0"/>
                <w:iCs w:val="0"/>
                <w:color w:val="auto"/>
                <w:sz w:val="24"/>
                <w:szCs w:val="24"/>
                <w:highlight w:val="none"/>
                <w:u w:val="none"/>
                <w:lang w:val="en-US" w:eastAsia="zh-CN" w:bidi="ar"/>
              </w:rPr>
              <w:t xml:space="preserve">屏可同时播放不同的内容。可将视频设置到三维场景的场景大屏，并在所有学生端同时进行播放。直播授课时，教师能同时调入6个或以上视频、3个或以上的摄像机、以及3个或以上的ppt在同一个界面上进行播放，并且上述的每个画面都可分别进行大小调整，学生端能同时观看上述的所有画面。教师可针对正在授课的任意一个视频设置任意的播放位置，并立即生效。可将教师的实时授课画面设置到三维场景的场景大屏并同时播放，并同步传输至学生端；教师在直播授课时支持随时插入PPT并进行及时播放；在直播授课时能设置字幕动画，并立即生效、学生进行观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课程同时支持直播与点播。支持下载所有课程的视频，支持视频本地编辑后再次上传更新。支持在线预览。现场直播授课的同时，系统可自动录制直播课堂的所有视频或者授课过程，并形成课程供学生进行回放观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7.三维场景支持远景、近景、特写，直播授课过程中教师可以任意切换三</w:t>
            </w:r>
            <w:r>
              <w:rPr>
                <w:rFonts w:hint="eastAsia" w:ascii="宋体" w:hAnsi="宋体" w:eastAsia="宋体" w:cs="宋体"/>
                <w:i w:val="0"/>
                <w:iCs w:val="0"/>
                <w:color w:val="auto"/>
                <w:sz w:val="24"/>
                <w:szCs w:val="24"/>
                <w:highlight w:val="none"/>
                <w:u w:val="none"/>
                <w:lang w:val="en-US" w:eastAsia="zh-CN" w:bidi="ar"/>
              </w:rPr>
              <w:t xml:space="preserve">种方式，切换后学生端立即生效、进行观看。三维场景支持摇臂、进、退的动画模式，直播授课过程中教师可以任意切换三种动画模式，切换后学生端立即生效、进行观看。支持传输控制、减少噪点和减少阴影的设置。支持视频的亮度、对比度、伽马值、色调的设置。支持设置帧率、颜色空间和输出大小。教师授课直播时可切换为画中画方式。直播授课时可设置让图像翻转；支持单独对音频进行音量大小、播放位置的设置。支持字幕编辑功能，并可选择字体、大小、颜色。支持文字和图片的滚动设置，支持设置滚动方向和速度。文字样式可设置加粗、下划线、删除线、倾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在课时详情中一键进入直播。支持一键初始化直播配置。支持修改密码，修改密码时，支持通过手机号进行二次验证。支持设备测试功能，可测试多个摄像头和多个麦克风等设备，展现测试结果，支持重新检测。支持预览所有带摄像头的客户端的实时视</w:t>
            </w:r>
            <w:r>
              <w:rPr>
                <w:rFonts w:hint="eastAsia" w:ascii="宋体" w:hAnsi="宋体" w:eastAsia="宋体" w:cs="宋体"/>
                <w:i w:val="0"/>
                <w:iCs w:val="0"/>
                <w:color w:val="auto"/>
                <w:sz w:val="24"/>
                <w:szCs w:val="24"/>
                <w:highlight w:val="none"/>
                <w:u w:val="none"/>
                <w:lang w:val="en-US" w:eastAsia="zh-CN" w:bidi="ar"/>
              </w:rPr>
              <w:t xml:space="preserve">频，支持与其中某个观众进行视频连线交流，交流期间，其他用户均可观看交互过程。以画中画形式展示双方视频，可切换放大本方或客户端视频。直播期间，可通过微信扫码将视频推送到微信群或微信好友。支持限制转发功能。支持老师禁言或请出的功能。教师现场直播授课时，直播场景内容自动加载上次退出时的配置，可以直播教师端直播系统摄像头拍摄内容，可以直播临摹台学生书写过程，可以共享教师屏幕，支持多显示器一键切换，可以添加全局背景音乐，支持设置背景音乐音量、进度、是否循环播放，更换背景音乐，要求直播讲师端、PC端、移动端这三端互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二、接收客户端软件：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9.客户端软件必须是从智慧书法教学系统界面直接进入。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10.支持查看当前以及即将开播的直播课程，可查看当前的热门课程</w:t>
            </w:r>
            <w:r>
              <w:rPr>
                <w:rFonts w:hint="eastAsia" w:ascii="宋体" w:hAnsi="宋体" w:eastAsia="宋体" w:cs="宋体"/>
                <w:i w:val="0"/>
                <w:iCs w:val="0"/>
                <w:color w:val="auto"/>
                <w:sz w:val="24"/>
                <w:szCs w:val="24"/>
                <w:highlight w:val="none"/>
                <w:u w:val="none"/>
                <w:lang w:val="en-US" w:eastAsia="zh-CN" w:bidi="ar"/>
              </w:rPr>
              <w:t xml:space="preserve">，还可查看全部可用课程。可查询当前以及随后一周内的正在直播的课程，以及待直播的课程。直播课程课程开始前，系统自动为订阅用户发送提醒收看的短信。可查询最新课程和热门课程。可查看课程列表以及课程的详细信息，可查看教师介绍以及课程介绍。教师介绍包括教师的个人详情，还包括教师的所有已开放的在线课程，包括直播与点播课程。课程详情中包含，课程的介绍，以及课程的章节与所有具体课时，每个课时均可显示课程时长，观看完毕后系统可自动记录并调取本课程最后一次所学的课时，支持从此课时后继续学习。可查看本课程的热门程度以及订购费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★11.支持通过课时列表点击后直接进入直播或点播观看界面，在此界面中可以查</w:t>
            </w:r>
            <w:r>
              <w:rPr>
                <w:rFonts w:hint="eastAsia" w:ascii="宋体" w:hAnsi="宋体" w:eastAsia="宋体" w:cs="宋体"/>
                <w:i w:val="0"/>
                <w:iCs w:val="0"/>
                <w:color w:val="auto"/>
                <w:sz w:val="24"/>
                <w:szCs w:val="24"/>
                <w:highlight w:val="none"/>
                <w:u w:val="none"/>
                <w:lang w:val="en-US" w:eastAsia="zh-CN" w:bidi="ar"/>
              </w:rPr>
              <w:t xml:space="preserve">看课程详细信息，包括课程名称，教师，以及所有章节中的课时。查看课程详情时，支持一键进入点播或直播。播放中可随时调整视频质量，包括标清、高清、超清。支持1080P视频播放。观看直播时，可查看直播开始时间、参与人数、教师信息，可切换视频质量，包括标清、高清以及超清，可全屏，可预览本地摄像头，支持举手发言功能。支持视频互动，互动时，可允许主播通过视频方式与本地进行交流。可查看当前在线人数以及用户明细，可以与当前所有在线用户以及教师进行文字聊天，可以发送表情图形。可支持表情与文本混合发送，可支持200字的文本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查看学习历史记录，并可进行复习。可查看个人的所有订单，以及费用明细，可通过课程名称以及订单时间查询订单详情。支持修改个人信息，包括昵称、手机号码以及头像，头像支持放大、缩小、剪切，还可实时预览效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13.客户端学习点播课程可以从上次学习位置开始播放：将课程加入学习后，进入某个点播课程时，自动从上次退出时的播放位置开始播放，比如某个课时上次看了5分钟，那么这次播放时会自动从5分钟开始播放。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14.可查看所有教师以及教师的详细介绍，还可以查看教师的课程列表并播放相应课程。可按照课程分类，课程名称，教师姓名对课程进行搜索。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三、移动客户端软件：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15.支持通过安卓以及IOS的</w:t>
            </w:r>
            <w:r>
              <w:rPr>
                <w:rFonts w:hint="eastAsia" w:ascii="宋体" w:hAnsi="宋体" w:eastAsia="宋体" w:cs="宋体"/>
                <w:i w:val="0"/>
                <w:iCs w:val="0"/>
                <w:color w:val="auto"/>
                <w:sz w:val="24"/>
                <w:szCs w:val="24"/>
                <w:highlight w:val="none"/>
                <w:u w:val="none"/>
                <w:lang w:val="en-US" w:eastAsia="zh-CN" w:bidi="ar"/>
              </w:rPr>
              <w:t xml:space="preserve">微信小程序参与直播或点播。支持轮播图，轮播图中可进入课程详情，课时详情。可显示最近的系统消息，可查看最近一年或更长时间的系统消息。可查看当天进行的直播。可查看近期的热门课程。可按照课程的分类查询以及查看课程详情。可查看课程的封面，介绍，观众星级评价，评价人数，热门程度，可一键将课程或课时分享到微信群或微信好友，可查看课程的章节，以及每个章节下的详细课时。学生可对课程进行星级评价，查看当前的综合评分。查看各种评价的百分比。按照日期查看评价详情。支持通过课程名称，教师姓名对课程进行模糊搜索。保留最近的搜索历史记</w:t>
            </w:r>
            <w:r>
              <w:rPr>
                <w:rFonts w:hint="eastAsia" w:ascii="宋体" w:hAnsi="宋体" w:eastAsia="宋体" w:cs="宋体"/>
                <w:i w:val="0"/>
                <w:iCs w:val="0"/>
                <w:color w:val="auto"/>
                <w:sz w:val="24"/>
                <w:szCs w:val="24"/>
                <w:highlight w:val="none"/>
                <w:u w:val="none"/>
                <w:lang w:val="en-US" w:eastAsia="zh-CN" w:bidi="ar"/>
              </w:rPr>
              <w:t xml:space="preserve">录，可用于快速搜索,支持对最近所有用户的搜索内容进行统计并将最热门的搜索内容提炼为热词，供用户进行快捷搜索。提供对教师的详细介绍，可查看教师的姓名，个人简介，以及此教师的课程列表，在课程列表中，可直接进入直播或点播。可自动记录学习历史并进入复习功能，可显示对课程的学习进度，可统计当日学习时长，以及连续学习天数和累计学习天数。可收藏课时，并在个人中心查看所收藏课时。可将课时加入学习列表。可购买付费课时，并在个人中心查看已购课时，以及订单详情。可修改个人资料包括昵称、手机号，支持通过手机验证码验证用户个人身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要求通过微信扫码进入直播间，并与讲师、PC端用户三方进行文字、表情符号交流。支持进入课时讨论组与PC端用户以及教师同时交流。可在线咨询系统客服。移动端学习点播课程可以从上次学习位置开始播放。</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书法课程讲义系统</w:t>
            </w:r>
            <w:r/>
          </w:p>
        </w:tc>
        <w:tc>
          <w:tcPr>
            <w:tcW w:w="636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1.系统全部课程不少于700课时；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包含颜体1、颜体2、欧、柳、赵5套基本课程，每套课程各128课时，均是独立的软件模块，支持查看范字的书写要点讲解，书写示范视频讲解，单钩、双钩、笔法、示意图，核心示范字的文字演变，每课时都有书法知识点讲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包括三年级、四年级、五年级、六年级的课程128课时，均是独立的软件模块，支持查看范字的书写要点讲解，书写示范视频讲解，单钩、双钩、笔法、示意图，核心示范字的文字演变，每课时都有书法知识点讲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颜欧柳赵的配套讲义中，每个课时均具有通过拼字游戏进行书法结构练习：教师一键推送拼字游戏到学生端临摹台，学生临摹台变为手指触控操作，拖动被拆分的字体笔画，在米字格中进行拼字，拼字完成可显示原帖，系统可自动打分和排名，支持多次重复拼字学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5.配套讲义中每一课都包含“示范讲解”、“观察规律”、 “动手体验”、“知识扩展”、 “课堂练习”、“课堂检测”、“回帖学习”环节；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6.示范讲解：包含偏旁、例字的讲解和示范书写。偏旁讲解部分包括书写要点和专</w:t>
            </w:r>
            <w:r>
              <w:rPr>
                <w:rFonts w:hint="eastAsia" w:ascii="宋体" w:hAnsi="宋体" w:eastAsia="宋体" w:cs="宋体"/>
                <w:i w:val="0"/>
                <w:iCs w:val="0"/>
                <w:color w:val="auto"/>
                <w:sz w:val="24"/>
                <w:szCs w:val="24"/>
                <w:highlight w:val="none"/>
                <w:u w:val="none"/>
                <w:lang w:val="en-US" w:eastAsia="zh-CN" w:bidi="ar"/>
              </w:rPr>
              <w:t xml:space="preserve">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书体对比：在示范讲解环节中要包括例字的书体对比，支持每个例字自动调取欧体、颜体、柳体、赵体、隶书、篆书、行书、草书字帖进行对比，当该字的某书体有多种时支持选字，选出的字帖要包括书体、书家、碑帖名称，选出的所有字帖以放大的方式呈现在屏幕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观察规律：该功能可培养学生观察能力、对比分析总结能力。同一个字具有不同的书体，通过观察某一笔画（如撇画）或者某一部件（如女部）在该字的不同书体中的形态，总结出该笔画（如撇画）或者该部件（如女部）的一般规律。同时系统给出参考性答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动手体验：包含“试一试”、“拼一拼”、“写一写”环节，在“试一试”环节中，通过单钩、双钩、画轮廓的练习，让学生去深度感知笔画和结构；在“拼一拼”环节中，将例字分解成几部分推送到学生临摹台，让学生通过拼字游戏进一步对结构进行感知和实践，并对所有学生进行排名；在“写一写”环节中，让学生进行摹写和临写，并且将笔法图放在最左边，便于学生进行临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知识扩展：包括本节课典型例字的文字源流，列出甲骨文、篆书、隶书、草书、行书、楷书的图片，同时以文字的方式列出“说文解字”的内容。同时包含其他的一个书法类的知识，书法知识涉及到文字、书家、书写材料、碑帖知识、书论等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课堂练习：自动生成本节课的主要例字或者偏旁的字帖供学生练习，字帖按照六步临摹法生成（六步临摹法：摹-摹-摹-临-摹-临），在该软件界面中支持一键换书体、一键换底格（米字格、田字格、九宫格、田回格、大方格）、一键换字体颜色、选择其他例字、修改字格数量、收取作业的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课堂检测：该环节实现收作业并进行智能评测，收取作业通过学生互动终端一次性收取所有学生的作业（不能通过手机拍照来收取作业），收取作业后在教师机界面能看到所有学生的作业图片（在同一界面看到所有图片），并能对任一学生的作业进行智能评测，从笔画、结构、整体自动生成文字型问题描述、配合图片指出问题并给出改进建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回帖学习：该环节回归到本节课对应的原始碑帖进行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碑帖深度学习软件</w:t>
            </w:r>
            <w:r/>
          </w:p>
        </w:tc>
        <w:tc>
          <w:tcPr>
            <w:tcW w:w="636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1.该软件从智慧书法教学系统界面进入，支持打开碑帖深度学习软件，要求在碑帖深度学习软件界面上出现《九成宫碑》、《多宝塔碑》、《玄秘塔碑》、《颜勤礼碑》、《三门记》、《曹全碑》、《兰亭序》。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点击碑帖名称，出现碑帖的相应图片，要求相应的碑帖图片可进行拖动条、滚轮、数字加减三种方式进行缩放。可通过翻页按钮选择该碑帖的任意一张图片，要求该图片可缩放和拖动，选择图片后鼠标点击碑帖上的任意一个字，要求碑帖上该字的右下角自动出现对应的简体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3.点击单字后，该单字的碑帖原图出现在界面左侧；再点击左侧的碑帖原图，可查看笔顺图，要求笔顺图中的每一笔为硬笔手写体；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4.可查看该字的行笔路线动画，要求行笔路线动画的每一笔为硬笔手写体；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5.可查看该字的笔势视图，视图中的每一个笔画的起笔、行笔、转折处要求用手写箭头标识出来；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6.可查看该字的单钩视图、双钩视图，单钩视图要求为硬笔手写体；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7.可查看碑帖原图和碑帖修复图，要求碑帖修复图为对破损的碑帖进行原意修复，修复后的字帖要求笔画完整、不允许变形、背景干净无污；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8.可查看碑帖修复提取图，要求碑帖修复图经过处理后变成背景透明字体，并放在米字格中；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可查看该字的其他书体，要求该字对应的颜体、欧体、柳体、赵体、隶书、篆书、草书同时自动出现在界面上，并且点击任何一种书体可出现该书体对应的多个字帖，继续点击字帖可以放大的方式自动排列在界面上进行书体对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可直接进入练习界面，左侧为碑帖原图，右侧为米字格，要求在该界面可以直接进行换字操作，换字操作可直接选取系统中的其他一个字进行练习；要求可直接切换到该字的其他书体进行练习；要求练习界面可以修改底格，包括米字格、田字格、九宫格、田回格、大方格；要求可直接切换到六步临摹法，出现“摹-摹-摹-临-摹-临” 的模式进行练习。</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软笔书法Ai智能评价软件</w:t>
            </w:r>
            <w:r/>
          </w:p>
        </w:tc>
        <w:tc>
          <w:tcPr>
            <w:tcW w:w="6361" w:type="dxa"/>
            <w:vAlign w:val="center"/>
            <w:textDirection w:val="lrTb"/>
            <w:noWrap w:val="false"/>
          </w:tcPr>
          <w:p>
            <w:pPr>
              <w:numPr>
                <w:ilvl w:val="0"/>
                <w:numId w:val="1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通过学生互动终端收取所有学生的书法练习作业。老师在教师端一次性收齐所有学生的作业。支持查看作业历史记录，并查看某次作业中所有学生的电子版练习作业，也可单独查看某位学生的作业。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2.在书法教学云平台的课程讲义软件中，支持对所配套的全部毛笔楷书课程中涉及的所有讲解例字进行自动智能评价。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eastAsia="宋体" w:cs="宋体"/>
                <w:b/>
                <w:bCs/>
                <w:i w:val="0"/>
                <w:iCs w:val="0"/>
                <w:color w:val="auto"/>
                <w:sz w:val="24"/>
                <w:szCs w:val="24"/>
                <w:highlight w:val="none"/>
                <w:u w:val="single"/>
                <w:lang w:val="en-US" w:eastAsia="zh-CN" w:bidi="ar"/>
              </w:rPr>
              <w:t xml:space="preserve">对于某个学生多次书写的同名笔画（例如：不同字中的撇划），每次的练习测评结果形成折线图，并可查看该笔画每次测评的详细结果，并能查看当时练习的整字及评测结果。对于某个学生多次书写的同一个字，每次的练习测评结果形成折线图，并可查看每次测评的详细结果。支持对智能评价结果自动生成整体评测报告。（</w:t>
            </w:r>
            <w:r>
              <w:rPr>
                <w:rFonts w:hint="eastAsia" w:ascii="宋体" w:hAnsi="宋体" w:eastAsia="宋体" w:cs="宋体"/>
                <w:b/>
                <w:bCs/>
                <w:color w:val="auto"/>
                <w:sz w:val="24"/>
                <w:szCs w:val="24"/>
                <w:highlight w:val="none"/>
                <w:u w:val="single"/>
                <w:lang w:val="en-US" w:eastAsia="zh-CN"/>
              </w:rPr>
              <w:t xml:space="preserve">演示项</w:t>
            </w:r>
            <w:r>
              <w:rPr>
                <w:rFonts w:hint="eastAsia" w:ascii="宋体" w:hAnsi="宋体" w:eastAsia="宋体" w:cs="宋体"/>
                <w:b/>
                <w:bCs/>
                <w:i w:val="0"/>
                <w:iCs w:val="0"/>
                <w:color w:val="auto"/>
                <w:sz w:val="24"/>
                <w:szCs w:val="24"/>
                <w:highlight w:val="none"/>
                <w:u w:val="single"/>
                <w:lang w:val="en-US" w:eastAsia="zh-CN" w:bidi="ar"/>
              </w:rPr>
              <w:t xml:space="preserve">）</w:t>
            </w:r>
            <w:r>
              <w:rPr>
                <w:rFonts w:hint="eastAsia" w:ascii="宋体" w:hAnsi="宋体" w:eastAsia="宋体" w:cs="宋体"/>
                <w:b/>
                <w:bCs/>
                <w:i w:val="0"/>
                <w:iCs w:val="0"/>
                <w:color w:val="auto"/>
                <w:sz w:val="24"/>
                <w:szCs w:val="24"/>
                <w:highlight w:val="none"/>
                <w:u w:val="singl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4.针对学生互动终端收取的作业（而不是通过手机或平板电脑单独采集的作业），可对作业上的多字同时进行智能评测分析，可查看作业中任意字的评测结果。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5.支持整体自动智能评测功能，根据作业与原帖的符合程度进行打分。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6.可对字的结构进行自动智能评测，评测时根据每个字的复杂程度从多个评价维度进行分析，不同的字的结构不同，其评价维度的名称、数量不完全相同。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7.对结构智能评测时，每个字的评价维度均配有教学视频。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对结构智能评测时，按照每个字的评价维度，自动描述该字的结构方面出现的每一个问题，并自动给出文字性的指导建议，针对书写出现的每个问题都自动给出指导图片和书写指导视频。9.可对作业中单字的每个笔画进行自动智能评价，对有问题的笔画自动突出标识。笔画智能评价时，对书写出现问题的每一个笔画都自动描述书写问题，并自动给出指导意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10.笔画智能评价时，可自动将作业中的每个笔画与原帖的笔画进行图片对比。</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作品虚拟展馆展示系统软件</w:t>
            </w:r>
            <w:r/>
          </w:p>
        </w:tc>
        <w:tc>
          <w:tcPr>
            <w:tcW w:w="6361" w:type="dxa"/>
            <w:vAlign w:val="center"/>
            <w:textDirection w:val="lrTb"/>
            <w:noWrap w:val="false"/>
          </w:tcPr>
          <w:p>
            <w:pPr>
              <w:numPr>
                <w:ilvl w:val="0"/>
                <w:numId w:val="11"/>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展示参观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1.虚拟展馆入口支持学校真实场景融入。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2.支持展示特定场所的3D实景，支持展示虚拟3D展馆。虚拟展馆设有路径点用于3D漫游。</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3.虚拟展馆可展示书法作品、美术作品、碑帖图，也可展示视频，视频支持自动播放和手动播放两种方式。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参观者可查看作品介绍、作者介绍，可对作品或视频进行点赞或留言。点击作品时，可对作品进行全幅画面欣赏，也可自由缩放展示。在虚拟场景的房间内，支持参观者使用3D形象，不同参观者进入房间后可以看到其他参观者的实时位置以及走动过程，点击其他参观者，可进行互动交流。在虚拟场景模式下的房间内，可进行专注方式观赏。专注方式下，可打开或关闭房间灯光，可打开探照灯聚焦显示关键区域，也可打开灯光跟随效果，随时照明用户周围区域的作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5.在虚拟场景中 ，可以通过键盘控制进行平滑移动，也可通过预设的位置点进行快速移动，还可调出快速导航功能，进行房间切换或场景切换。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二、展馆管理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6.可设置学校简介，学校简介包含文字描述以及封面图片。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7.可进行作品管理，作品可单独上传，也支持使用智慧书法教室的互动教学系统批量采集。可进行视频素材管理。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创建基于真实场景、虚拟场景或真实虚拟场景混合模式的展馆。系统内置不同风格的虚拟场景建筑设计方案，用户可使用不同方案进行自由组合，方案内的各种建筑还可自主设计布局。虚拟展馆搭建后，可将作品、视频布置到真实场景或虚拟场景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9.作品具备装裱功能，可使用中堂、斗方装裱形式。视频可加多种边框装饰效果。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10.可设置展馆的背景音乐，进入展馆后自动播放。</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高清网络多通道同步传输系统</w:t>
            </w:r>
            <w:r/>
          </w:p>
        </w:tc>
        <w:tc>
          <w:tcPr>
            <w:tcW w:w="6361"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1.网络类型：RJ45、无线WiFi；</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2.通过网络将教师端软件系统同步传输到交互式数字临摹台；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3.传输内容：教师端视频、教师端音频、教师端图片、教师端文本；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4.支持通过网络与所有终端进行通信。</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点</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学生镇尺</w:t>
            </w:r>
            <w:r/>
          </w:p>
        </w:tc>
        <w:tc>
          <w:tcPr>
            <w:tcW w:w="6361"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专业镇尺。</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学生毛笔</w:t>
            </w:r>
            <w:r/>
          </w:p>
        </w:tc>
        <w:tc>
          <w:tcPr>
            <w:tcW w:w="6361"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学生练习专用毛笔。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兼毫中锋。</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多功能墨盒</w:t>
            </w:r>
            <w:r/>
          </w:p>
        </w:tc>
        <w:tc>
          <w:tcPr>
            <w:tcW w:w="6361"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1.墨盒嵌入在桌面；材质：ABS；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2.外观尺寸：≤140×80×33mm；墨盒盖尺寸：≤140mm×80mm×6.5mm；墨盒右边水池：≤46×67mm，墨盒左上墨水池：≤33×56mm，左下舔笔台：≤33×56mm，左上角引流槽一个。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3.墨盒采用微倒扣防挥发设计，所盛墨汁可保持百日以上不干涸。墨盒集刮笔、舔笔、润笔功能于一体。</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毛毡</w:t>
            </w:r>
            <w:r/>
          </w:p>
        </w:tc>
        <w:tc>
          <w:tcPr>
            <w:tcW w:w="6361"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规格：不小于30×50cm；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支持铺在交互式临摹台上，再铺上宣纸临摹，还能清晰的看见1cm大小的电子字帖。</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临摹专用纸</w:t>
            </w:r>
            <w:r/>
          </w:p>
        </w:tc>
        <w:tc>
          <w:tcPr>
            <w:tcW w:w="6361"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书法专用临摹纸，≥100张/包。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吸墨性好，且不透墨。</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300"/>
        </w:trPr>
        <w:tc>
          <w:tcPr>
            <w:tcW w:w="179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墨汁</w:t>
            </w:r>
            <w:r/>
          </w:p>
        </w:tc>
        <w:tc>
          <w:tcPr>
            <w:tcW w:w="6361"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1.品牌墨汁，不发灰，墨迹黑亮，不褪色；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2.速干型：写后易干；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3.不洇纸，扩散均匀，不易糊；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4.规格：≥100g。</w:t>
            </w:r>
            <w:r/>
          </w:p>
        </w:tc>
        <w:tc>
          <w:tcPr>
            <w:tcW w:w="8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tcW w:w="7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安装，调试，运费</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安装，调试，运费</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bookmarkStart w:id="213" w:name="_Toc4851"/>
            <w:r>
              <w:rPr>
                <w:rFonts w:hint="eastAsia" w:ascii="宋体" w:hAnsi="宋体" w:eastAsia="宋体" w:cs="宋体"/>
                <w:b/>
                <w:bCs/>
                <w:color w:val="auto"/>
                <w:sz w:val="24"/>
                <w:szCs w:val="24"/>
                <w:highlight w:val="none"/>
              </w:rPr>
              <w:t xml:space="preserve">美术教室</w:t>
            </w:r>
            <w:bookmarkEnd w:id="213"/>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彩色激光</w:t>
            </w:r>
            <w:r>
              <w:rPr>
                <w:rFonts w:hint="eastAsia" w:ascii="宋体" w:hAnsi="宋体" w:eastAsia="宋体" w:cs="宋体"/>
                <w:color w:val="auto"/>
                <w:sz w:val="24"/>
                <w:szCs w:val="24"/>
                <w:highlight w:val="none"/>
                <w:lang w:val="en-US" w:eastAsia="zh-CN"/>
              </w:rPr>
              <w:t xml:space="preserve">一体机</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A3幅面，双面自动彩色打印、彩色复印及彩色扫描</w:t>
            </w:r>
            <w:r>
              <w:rPr>
                <w:rFonts w:hint="eastAsia" w:ascii="宋体" w:hAnsi="宋体" w:eastAsia="宋体" w:cs="宋体"/>
                <w:color w:val="auto"/>
                <w:sz w:val="24"/>
                <w:szCs w:val="24"/>
                <w:highlight w:val="none"/>
              </w:rPr>
              <w:t xml:space="preserve">，标配网络打印、网络扫描，打印、复印速度不低于23张/分钟（A4横向），扫描速度不低于60张/分钟（A4横向），打印分辨率不低于600dpi×600dpi,6GB内存，缩放倍率25%-400%，8英寸彩色触摸屏，标配双面自动输稿器，支持USB打印与扫描至USB,支持1200mm长纸打印，标配千兆以太网，连续复印1-9999张，首页输出时间（黑白/彩色）:7.3秒/9.5秒或以下，最大纸张克重255g/㎡,纸盒容量: 纸盒1：520张 (最大支持A3),纸盒2:520张(最大支持A4)、多功能手送托盘100张</w:t>
            </w:r>
            <w:r>
              <w:rPr>
                <w:rFonts w:hint="eastAsia" w:ascii="宋体" w:hAnsi="宋体" w:eastAsia="宋体" w:cs="宋体"/>
                <w:color w:val="auto"/>
                <w:sz w:val="24"/>
                <w:szCs w:val="24"/>
                <w:highlight w:val="none"/>
                <w:lang w:eastAsia="zh-CN"/>
              </w:rPr>
              <w:t xml:space="preserve">。</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r>
      <w:tr>
        <w:trPr>
          <w:trHeight w:val="300"/>
        </w:trPr>
        <w:tc>
          <w:tcPr>
            <w:shd w:val="clear" w:color="auto" w:fill="auto"/>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触摸一体机</w:t>
            </w:r>
            <w:r/>
          </w:p>
        </w:tc>
        <w:tc>
          <w:tcPr>
            <w:shd w:val="clear" w:color="auto" w:fill="auto"/>
            <w:tcW w:w="636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一、整机设计：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1、整机尺寸不低于86英寸，屏幕采用超高清LED液晶显示屏，显示比例16:9，分辨率3840×2160；屏幕表面采用全物理钢化玻璃，支持防眩光功能，玻璃表面硬度≥9H。</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2、嵌入式系统版本不低于Android 14，内存≥2GB，存储空间≥8GB。</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3、采用红外触控技术，支持Windows系统中进行40点或以上触控，支持在Android系统中进行40点或以上触控。</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整机内置2.2声道扬声器，位于设备上边框，顶置朝前发声，前朝向10W高音扬声器2个，上朝向20W中低音扬声器2个，额定总功率60W；采用缝隙发声技术，喇叭采用槽式开口设计，不大于5.8mm，扬声器在100%音量下，可做到1米处声压级≥88db，10米处声压级≥79dB。</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5、整机内置非独立外扩展阵列麦克风，麦克风拾音距离≥10米。</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6、整机全通道支持纸质护眼模式，可实现画面纹理的实时调整；支持纸质纹理：牛皮纸、素描纸、宣纸、水彩纸、水纹纸；支持透明度调节；支持色温调节。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8、整机支持发出频率为19kHz-22kHz超声波信号，智能手机通过麦克风接收后，智能手机与整机无需在同一局域网内，可实现配对，一键投屏，用户无需手动输入投屏码或扫码获取投屏码。</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9、整机支持蓝牙Bluetooth 5.4标准，固件版本号HCI13.0/LMP13.0；Wi-Fi制式支持IEEE 802.11 a/b/g/n/ac/ax，支持版本Wi-Fi6，Wi-Fi及AP热点支持频段2.4GHz/5GHz。</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整机上边框内置非独立摄像头，采用一体化集成设计，摄像头运行时，有指示灯提示，可拍摄≥1300万像素数的照片，可拍摄输出4K分辨率的视频，摄像头对角线视场角≥120度，支持人脸识别、清点人数、随机抽人；识别所有学生，显示标记，然后随机抽选，同时显示标记不少于50人，支持远程巡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11、整机触控书写功能集成预测算法，在书写速度≥50cm/s，支持笔迹距离笔的距离小于20mm，书写触控延迟≤25ms，触摸响应≤4ms，触摸分辨率32768×32768。</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12、整机屏幕蓝光占比（有害蓝光415～455nm能量综合）/（整体蓝光400～500能量综合）＜50%；背光系统支持DC调光方式，多级亮度调节，支持白颜色背景下最暗亮度≤100nit，用于提升显示对比度。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整机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开启勿扰模式时，不允许其他人在进行传屏；投屏时可以选择过滤特定应用窗口，如邮件应用窗口。</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14、支持外接信号输入时自动唤醒功能，整机处于关机通电状态，外接电脑显示信号通过HDMI传输线连接至整机时，整机可智能识别外接电脑设备信号输入并自动开机。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15、整机全通道侧边栏快捷菜单包含如下小工具：批注、降半屏、截屏、倒计时、放大镜、日历、聚光灯、秒表、冻屏、倒数日、答题、节拍器；快捷菜单小工具支持自定义，支持设置对应小工具的显示/隐藏。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整机内置触摸中控菜单，在整机全信号源通道下通过手势在屏幕上调取该触摸菜单；支持信号源通道切换、护眼、声音调节功能；支持切换智能息屏、经典护眼模式、纸质护眼模式、自动亮度模式；并可支持调节音量、亮度，支持自动亮度模式，支持点击静音按钮静音。</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二、插拔式电脑模块：</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1、PC模块可抽拉式插入整机，可实现无单独接线的插拔，采用按压式卡扣，无需工具就可快速拆卸电脑模块。</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2、PC模块和整机的连接采用万兆级接口，传输速率≥10Gbps。</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3、电脑模块CPU要求：不低于i5 10代处理器；配置要求：不低于 DDR4 8GB内存，256GB SSD硬盘；接口要求：≥1路HDMI，≥3路USB。</w:t>
            </w:r>
            <w:r/>
          </w:p>
        </w:tc>
        <w:tc>
          <w:tcPr>
            <w:shd w:val="clear" w:color="auto" w:fill="auto"/>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台</w:t>
            </w:r>
            <w:r/>
          </w:p>
        </w:tc>
        <w:tc>
          <w:tcPr>
            <w:shd w:val="clear" w:color="auto" w:fill="auto"/>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学生端数字美术绘画系统</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1.外观设计：采用金属外框，高品质后壳，安全圆角设计，整机厚度≤18毫米。一体化设计，无需外接辅助主机，基于Android系统开发；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2.采用≥15.6英寸液晶显示屏，分辨率：1920*1080；可视角度≥178°</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3.接口要求：终端顶端配备RJ45输入接口；1个USB输入接口；耳机接口，支持WiFi-2.4G/5GHz；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3.支持十点触控功能，可用手指直接触控操作；支持电容压感笔，点击精准，触控灵敏，书写流畅，终端内置收纳笔槽，随取随用。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4.开机后可进入学生自主学习软件界面，可直接操作不低于6种自主学习模块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5.支持多种画笔形式选择，可调节画笔的粗细和透明度；可提供矩形、圆形、椭圆形和直线绘画模板；支持擦除功能，可选择性擦除或一键清空画布；支持作品保存、保存记录查询功能；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6.配套电容压感笔；</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7.压感级别4096级，读取速度报点率266，感应高度大于5mm，精度5±0.5mm；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教师绘画桌</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1.框架结构：实木；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2.规格：≥200cm×80cm×75cm；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3.配套实木方凳1个。</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数字美术绘画桌</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1.拍摄架：≥10千克，全金属构架,铝合金底座，摄像机竖立的主支架杆须立于拍摄架底座板的左上角；</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2.支持清晰拍摄软硬笔的书写；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3.配置3台摄像机从不同角度拍摄；</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4.摄像机3台。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（1）拍摄面积：大于A3幅面（距离镜头≥45cm处）；长宽高：≤120mm×70mm×70mm，直播画面分辨率：1920×1080，自动亮度调节；支持自动对焦功能。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（2）总像素：500万；帧数：≥30FPS，实时输出画面高速流畅，移动展示物体无明显拖尾、模糊、延迟等现象；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（3）输出接口：RJ45；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（4）电源：DC12V；</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5.支持保存镜头位置，支持6个档位设置，需要时可一键调出，自动恢复到相应位置；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6.支持场景式网络课堂教学系统直接调取3台摄像机使用；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7.支持正面摄像机、侧面摄像机拍摄长宽均不大于3毫米的字（可清晰辨识文字内容），拍摄高度不低于65厘米；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8.摄像机机壳为全封闭结构，镜头必须封闭在摄像机机壳内部，防止落尘或者不慎操作损坏镜头；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9.软件界面可调整缩放倍数，并立即展示缩放后的效果。缩放后可全自动对焦清晰显示或通过软件界面手动对焦清晰显示。</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教学直播系统</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1．系统支持连接书画教学展示台的三台摄像机同时拍摄直播、录像，其中两台摄像机进行同时拍摄录课，另一台摄像机录制授课特写画面；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软件界面同时显示正面、侧面、特写三个画面，并在画面上进行标识，画面上标识正面、侧面、特写。支持单镜头画面、双镜头画面、三镜头画面、画中画四种录播模式功能，四种显示模式都直接双击切换。支持三台摄像机的视频语音录制功能；支持三个画面同步回放功能；支持播放文件时间显示数字走表功能；支持在软件内直接修改视频、图片文件名，支持拍摄的视频文件自带拍摄年、月、日、时、分、秒信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3.支持快镜头播放、暂停功能；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4.支持慢镜头播放、暂停功能；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5.支持摄像机自动录音功能，软件调节声音大小；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6.支持在画面上任意批注功能；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7.教师在示范书写的时候，可以在界面同时展现要示范的例字的视频、例字多个字体、例字的多个碑帖，显示在软件摄像机拍摄的界面，字帖可随意放大缩小，可随意放在软件界面的任何位置；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8.支持一键抓图、看图功能；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9.支持正面、侧面、特写三个镜头具有设置功能；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10.支持设置功能包括缩放、指定档位功能；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11.缩放：支持鼠标滚轮调节缩放比例功能；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12.支持缩放比例自动对焦，调节缩放比例，选择自动对焦，系统依据缩放比例自动对焦。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13.支持教师把调整好的缩放和焦距参数快捷保存到指定档位，下次使用时可以一键选档，一键快捷切换档位时，摄像机缩放和焦距自动调节到本档位的对应参数；支持保存6个档位。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14.支持回放功能，回放功能具有对已录视频进行重命名和删除功能；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15.支持回放视频时正面、侧面、特写三个画面同时显示播放功能；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16.回放功能支持正面、侧面、特写三个画面任意切换功能；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17.回放功能支持正面、侧面、特写三个画面双击全屏功能。</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数字绘画软件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1.包含铅笔、钢笔、水彩笔、油画笔、蜡笔、毛笔、喷枪笔、马克笔、滚筒刷等14种绘画笔刷，每种笔刷支持选择不同的笔触大小、透明度、模糊度；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2.支持插入植物图案、几何图案等不同特殊素材到绘画作品；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3.支持创建时自定义画稿大小，支持缩放绘画区域、支持自由拖拽作品；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4.支持在画稿中添加图层，支持图层上下调整位置，支持删除图层，支持合并图层，支持图层隐藏与显示；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5.支持导入图片到图层，支持导出单个图层为图片；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6.支持对作品进行数字化图形图像效果后期处理。</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数字美术课程讲义系统</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1.提供192节符合美术新课标的教程；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2.支持教师教授完整、系统的美术课程。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3.教程内容包括图文和视频介绍，以及教学目标、教学方法、学生实践等详细内容；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4.图文教程支持分步骤查看，支持按照顺序进行上下步骤的切换，支持步骤的跳转切换查看；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5.图文教程每个步骤提供图片介绍和文字介绍。</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数字美术资源库系统</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1.提供中国名画、西方名画、素描、雕塑、民间艺术、书法艺术等6种形式的作品欣赏，不少于2400幅；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2.提供作品形式包括油画、山水、素描、写意、工笔和壁画等；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3.中国艺术大师作品包括吴道子、张择端、徐悲鸿、齐白石等名家作品；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4.西方艺术大师作品包括达芬奇、毕加索、梵高等名家艺术作品。</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美术写生与临摹软件统</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1.提供数字写生与作品临摹两大板块，提供写生素材库和临摹素材库；</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2.数字写生提供风景的写生功能，支持选择不同场景、不同角度和不同天气的写生素材供学生写生；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3.数字写生提供静物的写生功能，静物写生素材包含几何体、石膏像、工艺品等多种静物的写生功能，提供不同观察角度、不同光线等写生素材；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4.数字写生提供人像的写生功能，包括各类特点人像，包括不同角度及光线下的写生素材；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5.作品临摹提供山水画临摹、素描临摹、油画临摹。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6.支持不少于5种图片处理功能，包括自由缩放素材、支持素材调整饱和度、对比度和亮度；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7.支持不少于3种辅助线，包括自由曲线、直线、虚线等不同辅助线；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8.支持油画效果、素描效果、轮廓结构等艺术化辅助处理图像功能；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9.支持下载保存作品。</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美术色彩理论与实验教学系统</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1.包括色彩理论和色彩实验两大板块，提供色彩关系、色彩三要素、色彩冷暖等知识点演示教学，老师可根据实际教学需求选择对应板块授课；</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2.色彩理论提供十二色环模型，支持师生进行同类色、邻近色、对比色、互补色知识点教学，激发学生学习兴趣；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3.色彩三要素提供色轮模型进行色相、明度、纯度知识点教学，一定程度上减轻学生对于抽象知识点的理解难度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4.色彩冷暖提供具有代表性的冷暖作品库供师生教学与学习；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5.色彩冷暖提供图片色相调节器，支持拖拽调节图片的色相，支持一键恢复图片初始色相。</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美术透视理论与实验教学系统</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1.系统提供透视理论和透视实验两个板块进行透视知识点演示教学，支持用户根据不同年级段教学需求选择对应板块授课与学习；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2.透视理论板块提供中国三远法和西方透视法知识点教学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3.透视实验板块内置各类透视教学素材，素材数量不少于40幅，包括平行透视、成角透视、倾斜透视三种不同透视原理教学素材，提供</w:t>
            </w:r>
            <w:bookmarkStart w:id="214" w:name="OLE_LINK37"/>
            <w:r>
              <w:rPr>
                <w:rFonts w:hint="eastAsia" w:ascii="宋体" w:hAnsi="宋体" w:eastAsia="宋体" w:cs="宋体"/>
                <w:color w:val="auto"/>
                <w:sz w:val="24"/>
                <w:szCs w:val="24"/>
                <w:highlight w:val="none"/>
              </w:rPr>
              <w:t xml:space="preserve">不少于</w:t>
            </w:r>
            <w:bookmarkEnd w:id="214"/>
            <w:r>
              <w:rPr>
                <w:rFonts w:hint="eastAsia" w:ascii="宋体" w:hAnsi="宋体" w:eastAsia="宋体" w:cs="宋体"/>
                <w:color w:val="auto"/>
                <w:sz w:val="24"/>
                <w:szCs w:val="24"/>
                <w:highlight w:val="none"/>
              </w:rPr>
              <w:t xml:space="preserve">20幅成角透视教学素材库，提供不低于20幅倾斜透视教学素材库；</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4.透视素材中提供不少于4-6幅例图，可一键生成透视效果；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5.透视实验板块支持用户上传本地素材进行透视教学，上传图片自适应展示；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6.透视实验板块支持添加不少于4种不同辅助线，包括点、直线、虚线、自由曲线等不同辅助线帮助分析素材透视关系；</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7.透视实验板块支持自由缩放、移动素材图片，支持对绘制痕迹进行撤销、清空等操作；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8.透视实验板块支持学生自主制作具有透视效果的场景图，通过动手操作理解透视原理知识点内容。</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美术3D光影教学系统</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1.提供光影移动变化教学功能，通过3D全景式打光技术，让课堂教学不受教具、场景限制；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2.系统提供模型库，内置几何体、石膏像、水果蔬菜、瓷器等多种写生教具模型素材，提供不少于15种几何体、不少于10种石膏像、不少于10种水果和不少于10种的瓷器写生教具模型素材；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3.模型支持三维旋转功能，支持手动调节模型摆放角度，实现模型左旋转、右旋转、左翻转、右翻转、前翻转和后翻转；</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4.系统提供光源库，内置教学静物灯常用色温，包括暖白光、黄光、晴朗日光和阴天日光，支持一键切换光源，切换光源后光源模型对应变化光源效果；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5.提供光源强弱调节功能，支持拖拽滑动条手动调节光源亮度，实时展现模型光影明暗效果；提供光源角度调节功能，支持手动调节光源角度，实时展现模型光影效果。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6.提供视角调节功能，支持鼠标拖拽场景上下左右移动实现平视、俯视，以及不同观看方位的调节；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7.提供视线远近调节，支持鼠标滚动实现观看距离远近调节。</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学生作品展览交流虚拟馆</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1.提供3D场景作品展览馆，提供不少于20+个展位，可点击地面实现自由移动，查看不同空间位置的作品。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2.学生可管理自己的作品馆，包括将保存在相册的作品上传到展馆的展位上，也可替换和下架作品。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3.提供不少于3种不同风格的场景可切换。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4.提供不少于3种不同风格的画框可切换。</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美术平台管理系统</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1.提供在后台管理平台进行教室管理、学生管理、考勤管理；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2.教室管理板块支持老师或管理员管理维护教室信息，支持自定义教室名字、教室座位数，支持新建或删除教室；</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3.学生管理板块支持老师上传文件批量导入学生，支持单个导入学生，支持修改学生信息，支持单个或批量删除学生；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4.教室管理支持老师选择班级一键导入学生进行排座，支持一键随机排座，支持指定学生调整排座；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5.教室管理支持将排座信息发送到学生端上，学生点击屏幕完成上课签到，自动登录学生自主学习系统；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6.教室管理支持自动生成学生到课考勤表；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7.考勤管理支持查询历史考勤记录，支持导出文件。</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中控系统</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1.开机界面即是数字美术教学系统平台界面，通过主机系统直接控制书法直播系统、大屏、软件等软硬件；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2.支持统一授课模式，把教师端软件直接同步到学生端绘画练习台；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3..控制系统硬件规格：</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CPU：不少于I7；</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内存：≥32G；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硬盘：≥2TB；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7.绘画专用手绘屏规格：</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显示</w:t>
            </w:r>
            <w:bookmarkStart w:id="215" w:name="OLE_LINK39"/>
            <w:r>
              <w:rPr>
                <w:rFonts w:hint="eastAsia" w:ascii="宋体" w:hAnsi="宋体" w:eastAsia="宋体" w:cs="宋体"/>
                <w:color w:val="auto"/>
                <w:sz w:val="24"/>
                <w:szCs w:val="24"/>
                <w:highlight w:val="none"/>
              </w:rPr>
              <w:t xml:space="preserve">尺寸</w:t>
            </w:r>
            <w:bookmarkEnd w:id="215"/>
            <w:r>
              <w:rPr>
                <w:rFonts w:hint="eastAsia" w:ascii="宋体" w:hAnsi="宋体" w:eastAsia="宋体" w:cs="宋体"/>
                <w:color w:val="auto"/>
                <w:sz w:val="24"/>
                <w:szCs w:val="24"/>
                <w:highlight w:val="none"/>
              </w:rPr>
              <w:t xml:space="preserve">：≥21.5寸（16：9）；</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解析度：1920*1080dpi；</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对比度：1000：1；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感应方式：电磁式；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分辨率：2000Lpi；</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反应速度：200点/秒；</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压感：8096级；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压感笔1支。</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学生耗材套装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画颜料不少于12支、画笔不少于12支、毛毡不少于1个，生宣不少于50张，镇尺不少于1对，笔帘不少于1个、笔山不少于1个、墨碟不少于1个、调色盘不少于1个、水碟不少于1个、墨汁不少于250g、仿瓷水碗不少于1个、折叠水桶不少于1个，国画收纳盒不少于1个</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磁性毛展板</w:t>
            </w:r>
            <w:r/>
          </w:p>
        </w:tc>
        <w:tc>
          <w:tcPr>
            <w:tcW w:w="636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尺寸：≥1.5*4米</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材质：羊毛材质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产品组成：PE强力双面胶+防锈铁板+软磁胶+涂布胶层+毛毡</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文化布置</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配套装饰画，名人集一套</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bookmarkStart w:id="216" w:name="_Toc1784"/>
            <w:r>
              <w:rPr>
                <w:rFonts w:hint="eastAsia" w:ascii="宋体" w:hAnsi="宋体" w:eastAsia="宋体" w:cs="宋体"/>
                <w:b/>
                <w:bCs/>
                <w:color w:val="auto"/>
                <w:sz w:val="24"/>
                <w:szCs w:val="24"/>
                <w:highlight w:val="none"/>
              </w:rPr>
              <w:t xml:space="preserve">心理咨询室</w:t>
            </w:r>
            <w:bookmarkEnd w:id="216"/>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心理测评档案管理软件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产品功能要求：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1.测试环境多样化：测试适用于单机、局域网、互联网多个环境。也可以使用量表导出功能，把试题导出，打印出来进行纸笔测试。</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2.测试过程自动化：系统测试过程自动化，无需人工计分，系统自动保存和实时处理分析测试结果，形成被测人员的测评报告和心理档案。</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统计分析功能：强大的统计分析功能，既可以对学校整体进行统计，也可以分单位对某一年级或班级进行统计；以比较年级与年级，班级与班级，男女性别或前后施测的差异显著性等，统计结果使用表格和图形描述分析，直观生动。所有的学生测试的原始答案、原始分数和标准分数均可导出到Excel或SPSS系统，以便进一步的专业统计分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4.数据查询功能：高效的数据查询功能，心理咨询教师根据实际工作需要，通过任何查询条件都可以方便的查询到自己需要的个体档案或以班级、年级为单位的整体档案。</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5.测评报告生成多样化：查看个人测评报告、查看团体测评报告，可导出为.pdf或.doc格式两种格式。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6.档案管理功能：可以批量导入学生信息，也可以手工添加详细学生信息，建立学生的基本档案；当学生测评结束以后，系统里面每个学生的信息都包括了个人资料、测评结果、谈话记录和咨询记录。</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心理预警系统：筛选具有共性的学生群体和具有问题心理倾向的学生群体，为学校教育教学管理提供参考依据。能够在短时间内掌握大量学生测量信息，并对特殊学生进行特殊关注。及时对学生反馈进行危机干预，为学生管理工作者制定管理制度和策略提供参考信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8.心理辅导功能：心理辅导老师可以根据学生测评的结果，对其心理问题进行在线诊断，并填写干预方案、诊断意见、心理建议等，最终生成完整的学生测评结果报告；</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产品包含加密狗、系统光盘或U盘</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智能拥抱减压系统</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一、产品配置要求：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1.智能拥抱减压主体1个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2.触摸感应点(内置于拥抱系统内)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3.语音控制盒（位于拥抱系统底座处）1个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4.电源线1根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二、产品优势：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1.拥抱会刺激大脑分泌─种称为后叶催产素的化学物质,它是一种镇定荷尔蒙,能够产生多种积极影响；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2.拥抱不仅具有生理效应,而且还对精神病治疗有积极的影响；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3.拥抱会产生快乐纤维，轻轻抚摸会缓解我们的疼痛感；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4.经常拥抱可以防病延寿；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5.拥抱可以增强勇气；</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6.拥抱能消除来访者的不安和形成情绪稳定的性格。</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三、产品功能：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a、产品主体：产品尺寸约为：175cm高度±3cm,圆形底座；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b、产品材质：金属支架结构，超大柔软原创外形，海绵填充，满足拥抱者安全的需求。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c、高灵敏度压力感应系统：来访者通过拥抱获得心灵的慰藉，从而实现情绪疏导。</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d、大规模语言库：内置百余条激励性语录，来访者通过拥抱随机播放。</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心理沙发</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材质：木、海绵、植绒布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规格：≥88*75*75cm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造型新颖，款式别致，特别适合心理咨询室</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茶几</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规格：≥50*50*45cm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材质：金属</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配合咨询沙发使用，用于摆放物品</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心理咨询师工作制度</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规格：≥50*70cm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材质：原木色相框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明确全职心理教师以及兼职心理咨询师的工作职责及职业素养。</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心理咨询室来访者须知</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bookmarkStart w:id="217" w:name="OLE_LINK40"/>
            <w:r/>
            <w:bookmarkStart w:id="218" w:name="OLE_LINK41"/>
            <w:r>
              <w:rPr>
                <w:rFonts w:hint="eastAsia" w:ascii="宋体" w:hAnsi="宋体" w:eastAsia="宋体" w:cs="宋体"/>
                <w:color w:val="auto"/>
                <w:sz w:val="24"/>
                <w:szCs w:val="24"/>
                <w:highlight w:val="none"/>
              </w:rPr>
              <w:t xml:space="preserve">≥</w:t>
            </w:r>
            <w:bookmarkEnd w:id="217"/>
            <w:r/>
            <w:bookmarkEnd w:id="218"/>
            <w:r>
              <w:rPr>
                <w:rFonts w:hint="eastAsia" w:ascii="宋体" w:hAnsi="宋体" w:eastAsia="宋体" w:cs="宋体"/>
                <w:color w:val="auto"/>
                <w:sz w:val="24"/>
                <w:szCs w:val="24"/>
                <w:highlight w:val="none"/>
              </w:rPr>
              <w:t xml:space="preserve">50*70cm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材质：原木色相框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明确全职心理教师以及兼职心理咨询师的工作职责及职业素养。</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1000件心理沙盘</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1.沙具：包含多种类型沙具，包含人物类、动物类、植物类、建筑类、家居与生活用品</w:t>
            </w:r>
            <w:r>
              <w:rPr>
                <w:rFonts w:hint="eastAsia" w:ascii="宋体" w:hAnsi="宋体" w:eastAsia="宋体" w:cs="宋体"/>
                <w:color w:val="auto"/>
                <w:sz w:val="24"/>
                <w:szCs w:val="24"/>
                <w:highlight w:val="none"/>
              </w:rPr>
              <w:t xml:space="preserve">类、交通类、食物果实类、石头贝壳类、景观与场景类及其他类等不少于9大类，43小类总计不少于1000件。同时为保证咨询效果，材质应包含陶瓷、树脂、搪胶、木质、塑料、金属、亚克力等多种。沙具独具特色，建筑类至少包含如房子、金字塔、路标、学校、别墅、古埃及方碑等；动物类至少包含如恐龙，蝴蝶，牛，马，羊等；食品类至少包含如粽子，水果，鸡蛋，馒头等，花草类至少包含如太阳花，桃花、牡丹等；交通工具类至少包含如小汽车，单车，吉普车，跑车，越野车，三轮摩托车，火车，船等，人物类至少包含如受伤人物，大学生，婚礼人物，婴儿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沙盘专用天然海沙：细腻圆润，经过多道清洗、筛选、消毒、去尘等工序不少于10kg。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标准实木沙盘至少1个：全实木材质，技术规格：≥72*57*7cm，颜色：内侧天蓝色，外侧自然木纹色，表面光滑，含实木支架1套，配件螺丝1包。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标准实木沙具柜至少2个：纯实木制造，阶梯搭步式设计，五层九阶（尺寸：≥160*80*30cm）；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心理沙盘指导书籍至少1本：提供了沙盘游戏整个过程的案例及分析。由心理游戏的初阶（沙盘游戏概述，理论深渊，实施过程，象征意义解读，空间配置）沙盘游戏的进阶（个体咨询案例，家庭治疗的理论，家庭治疗案例）沙盘游戏的高阶（团体治疗理论，团体治疗的案例，沙盘游戏的督导）等多部分组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沙盘辅助配件1套：包含不少于沙耙，沙铲，平行刷等工具，方便来访者操作。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沙盘视频剪辑光盘1张；包含沙盘操作使用视频，为初学者提供学习的机会。</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心理挂图（2幅）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规格：≥40*60cm（2幅）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画芯材质：高清喷绘，外框材质：木制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装饰预约室环境，营造心理咨询的专业氛围。</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专业型音乐放松椅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产品组成：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1.专业型音乐放松椅1台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2.15寸数码相框1套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3.显示屏支架1套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4.催眠眼罩2个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5.音乐治疗导论1本</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6.按摩控制器1个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7.安装工具1套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a、音乐放松椅尺寸约为：≥105cm*86cm*110cm（收起）±3cm，≥170cm*86cm*89cm（展开）±3cm，颜色为：米白色</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b、音乐放松椅是利用音乐声波的频率和声压会引起心理上的反应，良性的音乐能提高大脑皮层的兴奋性，可以改善人们的情绪，激发人们的感情，振奋人们的精神。同时有助于消除心理、社会因素所造成的紧张、焦虑、忧郁、恐怖等不良心理状态，提高应激能力。</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c、音乐放松椅自带音乐放松按摩疗法，可对背部、腰部、头部、腿部等部位进行音乐放松按摩。</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d、音乐放松椅自带蓝牙系统，无线链接，可无需数据传输线远距离播放心理音乐。不小于15寸高清LED数字屏打造，系统内置不少于4大类型高清心理视频，视频全程配有文字字幕，方便来访者及心理咨询师观看，（含催眠放松训练真人视频，时长不低于16分钟；肌肉放松训练真人视频，时长不低于11分钟；渐进式催眠训练真人视频，时长不低于16分钟；冥想放松训练真人视频，时长不低于6分钟。）含专业心理催眠图片（错觉图，不可能图形等），包含有α脑波音乐，冥想音乐，中国五行音乐，催眠减压音乐，大自然背景音乐等音乐资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e、显示器支架银白色，大气美观，支架可摇摆，可旋转，显示器可360°旋转，可固定在某一个角度，符合心理咨询师的要求。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f、通过按摩控制器可控制沙发按摩强，中，弱3挡调节，按摩部位选择，定时功能（15min，30min2种模式可选择），可循环部位按摩。</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g、催眠眼罩2个：≥23*7CM,黑色，透风棉质，带耳机通风口，带松紧调节扣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h、音乐治疗导论1本：中国心理学会推荐用书（涵盖音乐治疗的历史，音乐治疗的定义及基本原理，音乐治疗的形式等。）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专业版宣泄套装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产品组成：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1.仿真宣泄人1个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2.立式宣泄球1个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3.宣泄棒2根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4.摔打宣泄球4个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5.宣泄挂图2副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6.惨叫鸡1个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仿真宣泄人：产品尺寸：≥170cm。形象逼真，使用高密度发泡海绵为填充物。击打手感好，光滑强度高。有定制着装卫衣，产品通电后无需打开操作电源开关，通过直接多触点震动芯片感应即可启动机器进入工作状态中。</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a.远程语音采集传感器：录音超高灵敏度1米内可录制，内置语音储存芯片，内存无限扩充可满足录音无限录制通过击打进行播放，可存储，可删除。</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b.头部为仿真人设计，宣泄人手臂采用活动设计，可以自由调整任何手臂姿势，手指采用五指分开设计，可握拳，可出掌，增强趣味性。增强了仿真性及趣味性。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C.趣味击打发声版宣泄人，利用安全5V低电压震动系统，能够在极低的震动下做出响应，来访者在击打的时候可以随机发出至少20句不同的语句，包括至少三种声音：男声、女声、机器声，增加击打趣味性在进行体力宣泄的时候开怀大笑。转移来访者的注意力，将心中不悦的情绪最大程度释放。</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d.内置录音版，至少包含4种模式：男声模式、女声模式、机器声模式、录音模式。录音声音系统支持来访者自定义录音进行5-20秒的时间录制系统进行保持，来访者通过“录音播放来进行切换。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e.语音录制功能，可根据来访者内心世界，可以通过言语录制N种不同声音进行宣泄击打，使来访者更有效得到身心的发泄，支持语音自我录制功能，录音及储存功能为同一操作键，可以达到边录制边储存边使用的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f.充电模式包含但不限于：USB和插座两种充电模式，方便来访者随时使用操作。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g.宣泄人底座：采用金属材质，罐沙固定。外层喷塑处理，圆形设计，大气美观。长：≥55CM，高：≥20CM。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(2)硅胶宣泄人;半硅胶材质，可调节高度，≥150cm-190cm.，仿真人设计，外置受力感应系统，可根据不同力度，系统自动反馈话语。（可支持定制录音功能）颜色：皮肤色，圆形底座设计，可注水或注沙;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立式宣泄球;拳击球表面采用高级亚光PU皮，提高了击打触感，色彩醒目靓丽。调节阀：表面采用塑料包裹根据个人情况进行高度调节。底座圆形小圆盘：底座与反弹之间使用的固定圆形小盘，可还是水桶与主杆之间加紧密连接、稳定性进一步提高。底座：直径约44cm，高度约12cm的塑胶料底座；高度：产品可调节高度≥126-150cm；配送：打气筒；重量：加上包装盒约4kg，去掉包装约3kg；适合人士身高：1.20—1.85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(4)宣泄棒：安全环保，外套绒布印有“心理宣泄棒”字样，手感极佳，长75CM。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(5)摔打宣泄球：材质：采用高档加厚pvc材质，圆形球体加“羊角”形手柄设计，方便抓握；内部充气设计，不伤手;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(6)宣泄挂图：高清环保相纸，颜色清晰，永不退色。尺寸为≥40cm*60cm;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(7)惨叫鸡：材质：搪胶；规格：9*42cm；使用：挤压鸡的肚子会发出叫声;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(8)宣泄脸谱：全硅胶材质，世界各种名人脸谱，形象逼真;</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智能呐喊宣泄仪</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产品配置要求：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1.智能呐喊宣泄仪主体1台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2.电源线1根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3.声音传感器（内置于机器中）</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硬件配置要求：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a、产品尺寸：整机尺寸为≥180cm（高）*66cm（宽）*26cm（长），底座尺寸为：≥85cm*41cm；产品根据人体高度设计，更好的让来访者体验设备。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b、机身材质：产品整体采用金属骨架及其外壳，烤漆机身，产品底座橙色烤漆工艺，光滑无毛刺，机身内外无刺激气味，机器内侧厚度不低于3cm,机身稳重，受到轻微碰撞不会随意晃动。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c、面板材质：仪器主面板与按键模块都采用高档亚克力，运用UV打印工艺制成，透光性极强，韧性好，不易破碎。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d、音响系统：采用高品质品牌音响，带高低音频，设备音频系统模块采用多声道环绕输出，,320独立压缩音轨,32位处理,256音轨，可调节音量大小，自由控制。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e、显示系统：机器最上方有三块电子显示屏，分别为宣泄时间，最大分贝，实时分贝，多种数值有助于来访者的自我数据检测。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系统功能：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a、多主题宣泄模块：设备包含丰富的呐喊宣泄主题，包含日常的生活中常见的不少于10大宣泄主题，如焦虑，感恩，竞争，意志，情绪，人际关系等。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b、宣泄结果时时反馈：来访者可选择相对应的主题进行呐喊，每个主题内置智能引导，正向激励等内容。每次选择不同的主题呐喊，则反馈的主题激励语录则不相同；系统智能分析宣泄者的行为（包括呐喊分贝、呐喊时间等因素），判断出其情绪宣泄的程度，根据不同宣泄的程度进行智能化的正向语音引导、激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c、变声模式：系统支持男声、女生、机器声3种声音切换，全程智能语音引导，有情绪开导，积极导向作用。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d、多色数码灯柱显示：设备通过采集呐喊声音分贝大小，频率等，显示12色LED数码灯条，选择主题时，按键面板与显示面板会处于同色状态，从而产生积极的心理暗示。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e、音乐疏导功能：系统具备音乐疏导功能,通过音乐疏导使来访者快速缓解紧张情绪，包含脑波疗法音乐系列，心灵音乐管-花乐系列，古典音乐系列，心理舒眠系列等100余首相关系列音乐可供选择。</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f、心理文摘功能：系统预设了心理文摘可供来访者倾听，在来访者呐喊疲惫时，可选择心理文摘功能，通过倾听心理文摘，舒缓急躁，紧张情绪。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g、自定义呐喊功能：可自定义呐喊语录，来访者可提前设定好呐喊语录，选择相对应的主题呐喊，设备自动播放录制好的话语。</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h、红外感应功能：具有红外线自动感应功能，只要使用者靠近设备，机器则能及时感应，快速唤醒设备，使来访者及时进入呐喊状态，更加快速方便了来访者的使用，当设备前方2米无人时，设备将在30秒内自动进入待机状态，有效节省电量，防止过度浪费。</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彩色变型团体活动桌椅（六色）</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1、25mm厚E1级环保板,板材均采用机械封边,</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2、6人桌组合圆形，桌椅配套定制，</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3、桌子：≥1500mm*750mm，单桌≥750*400m*750mm，脚架主体管30*60*1.2mm，带工程塑料胶套，</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4、凳子：16mm厚E1级板，约≥340*240*450mm。</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5、颜色可选。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音乐律动室</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唱游与律动音乐教学资源平台（核心产品）</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一、系统要求：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唱游与律动音乐教学资源平台以《特殊儿童的音乐治疗》为理论基础，严格遵循《培智学校义务教育唱游与律动标准课程》（2016版）来设计系统板块内容。为特殊儿童打造集教育和训练一体的综合性音乐平台。致力于将生动、有趣的唱游与律动课程和科学、系统的音乐治疗训练方法相结合，操作简便，轻松上手实现训练与教学。实现教师与治疗师在教学、训练无压力的同时，为孩子们打开一扇通往艺术世界的窗户。为孩子们提供了一个丰富多样的音乐世界，让他们在音乐的陪伴下，自信、快乐地迈向未来。</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二、软件功能要求：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教学资源软件包含四个系统板块：音乐治疗评估、音乐治疗训练、唱游与律动课程教学、音乐鉴赏。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（一）音乐治疗评估板块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1.音乐治疗评估采用音乐治疗的综合评估技术，实现首次评估以及持续评估，以此参与音乐治疗评估活动实现了解来访者能力水平。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2.音乐治疗评估视频演示内容采用音乐治疗镜像技术，同时评估与训练内容均采用正向评价原则，进行正向的强化。</w:t>
            </w:r>
            <w:r>
              <w:rPr>
                <w:rFonts w:hint="eastAsia" w:ascii="宋体" w:hAnsi="宋体" w:eastAsia="宋体" w:cs="宋体"/>
                <w:color w:val="auto"/>
                <w:sz w:val="24"/>
                <w:szCs w:val="24"/>
                <w:highlight w:val="none"/>
              </w:rPr>
              <w:br/>
            </w:r>
            <w:r>
              <w:rPr>
                <w:rFonts w:hint="eastAsia" w:ascii="宋体" w:hAnsi="宋体" w:eastAsia="宋体" w:cs="宋体"/>
                <w:b/>
                <w:bCs/>
                <w:color w:val="auto"/>
                <w:sz w:val="24"/>
                <w:szCs w:val="24"/>
                <w:highlight w:val="none"/>
                <w:u w:val="single"/>
                <w:shd w:val="clear" w:color="auto"/>
              </w:rPr>
              <w:t xml:space="preserve">4.音乐治疗评估，共分为初、中、高三个难度等级，每个难度级别内均包含不少于五个精心设计的评估活动，进行全面而精准的音乐治疗评估。（演示项）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5.音乐治疗评估初级版块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shd w:val="clear" w:color="auto" w:fill="ffffff" w:themeFill="background1"/>
              </w:rPr>
              <w:t xml:space="preserve">进入初级评估版块，其中具有智能评估和自主评估两种形式，针对认知、听觉、语言、运动、社交、感知六大能力进行评估，具有的评估项目不少于8项。</w:t>
            </w:r>
            <w:r>
              <w:rPr>
                <w:rFonts w:hint="eastAsia" w:ascii="宋体" w:hAnsi="宋体" w:eastAsia="宋体" w:cs="宋体"/>
                <w:color w:val="auto"/>
                <w:sz w:val="24"/>
                <w:szCs w:val="24"/>
                <w:highlight w:val="none"/>
                <w:shd w:val="clear" w:color="auto" w:fill="ffff00"/>
              </w:rPr>
              <w:br/>
            </w:r>
            <w:r>
              <w:rPr>
                <w:rFonts w:hint="eastAsia" w:ascii="宋体" w:hAnsi="宋体" w:eastAsia="宋体" w:cs="宋体"/>
                <w:color w:val="auto"/>
                <w:sz w:val="24"/>
                <w:szCs w:val="24"/>
                <w:highlight w:val="none"/>
              </w:rPr>
              <w:t xml:space="preserve">（2）教师播放软件素材，引导学生观看动画和真人录制演奏乐器示范视频，学生跟随动画视频做出反应，观察学生的表现评定能力等级。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（3）教师播放软件素材，引导学生观看动画，真人录制的练声及歌曲音频，学生跟随动画音频做出反应，观察学生的表现评定能力等级。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（4）教师播放软件素材，引导学生观看动画和真人录制舞蹈示范视频，学生跟随动画视频做出反应，观察学生的表现评定能力等级。</w:t>
            </w:r>
            <w:r>
              <w:rPr>
                <w:rFonts w:hint="eastAsia" w:ascii="宋体" w:hAnsi="宋体" w:eastAsia="宋体" w:cs="宋体"/>
                <w:color w:val="auto"/>
                <w:sz w:val="24"/>
                <w:szCs w:val="24"/>
                <w:highlight w:val="none"/>
              </w:rPr>
              <w:br/>
            </w:r>
            <w:r>
              <w:rPr>
                <w:rFonts w:hint="eastAsia" w:ascii="宋体" w:hAnsi="宋体" w:eastAsia="宋体" w:cs="宋体"/>
                <w:b/>
                <w:bCs/>
                <w:color w:val="auto"/>
                <w:sz w:val="24"/>
                <w:szCs w:val="24"/>
                <w:highlight w:val="none"/>
                <w:u w:val="single"/>
              </w:rPr>
              <w:t xml:space="preserve">6.进入中级评估版块，其中具有智能评估和自主评估两种形式，针对认知、听觉、语言、运动、社交、感知六大能力进行评估，具有的评估项目不少于7项。</w:t>
            </w:r>
            <w:r>
              <w:rPr>
                <w:rFonts w:hint="eastAsia" w:ascii="宋体" w:hAnsi="宋体" w:eastAsia="宋体" w:cs="宋体"/>
                <w:b/>
                <w:bCs/>
                <w:color w:val="auto"/>
                <w:sz w:val="24"/>
                <w:szCs w:val="24"/>
                <w:highlight w:val="none"/>
                <w:u w:val="single"/>
                <w:shd w:val="clear" w:color="auto"/>
              </w:rPr>
              <w:t xml:space="preserve">（演示项）</w:t>
            </w:r>
            <w:r>
              <w:rPr>
                <w:rFonts w:hint="eastAsia" w:ascii="宋体" w:hAnsi="宋体" w:eastAsia="宋体" w:cs="宋体"/>
                <w:b/>
                <w:bCs/>
                <w:color w:val="auto"/>
                <w:sz w:val="24"/>
                <w:szCs w:val="24"/>
                <w:highlight w:val="none"/>
                <w:u w:val="single"/>
              </w:rPr>
              <w:br/>
            </w:r>
            <w:r>
              <w:rPr>
                <w:rFonts w:hint="eastAsia" w:ascii="宋体" w:hAnsi="宋体" w:eastAsia="宋体" w:cs="宋体"/>
                <w:b/>
                <w:bCs/>
                <w:color w:val="auto"/>
                <w:sz w:val="24"/>
                <w:szCs w:val="24"/>
                <w:highlight w:val="none"/>
                <w:u w:val="single"/>
                <w:shd w:val="clear" w:color="auto"/>
              </w:rPr>
              <w:t xml:space="preserve">7.进入高级评估版块，其中具有智能评估和自主评估两种形式，针对认知、听觉、语言、运动、社交、感知六大能力进行评估，具有的评估项目不少于10项。（演示项）</w:t>
            </w:r>
            <w:r>
              <w:rPr>
                <w:rFonts w:hint="eastAsia" w:ascii="宋体" w:hAnsi="宋体" w:eastAsia="宋体" w:cs="宋体"/>
                <w:b/>
                <w:bCs/>
                <w:color w:val="auto"/>
                <w:sz w:val="24"/>
                <w:szCs w:val="24"/>
                <w:highlight w:val="none"/>
                <w:u w:val="single"/>
                <w:shd w:val="clear" w:color="auto"/>
              </w:rPr>
              <w:br/>
            </w:r>
            <w:r>
              <w:rPr>
                <w:rFonts w:hint="eastAsia" w:ascii="宋体" w:hAnsi="宋体" w:eastAsia="宋体" w:cs="宋体"/>
                <w:color w:val="auto"/>
                <w:sz w:val="24"/>
                <w:szCs w:val="24"/>
                <w:highlight w:val="none"/>
              </w:rPr>
              <w:t xml:space="preserve">8.选择智能评估，智能评估活动为不间断的连续性评估，能够针对认知、语言、听觉、运动、感知以及社交六大能力进行评估。</w:t>
            </w:r>
            <w:r>
              <w:rPr>
                <w:rFonts w:hint="eastAsia" w:ascii="宋体" w:hAnsi="宋体" w:eastAsia="宋体" w:cs="宋体"/>
                <w:color w:val="auto"/>
                <w:sz w:val="24"/>
                <w:szCs w:val="24"/>
                <w:highlight w:val="none"/>
              </w:rPr>
              <w:br/>
            </w:r>
            <w:r>
              <w:rPr>
                <w:rFonts w:hint="eastAsia" w:ascii="宋体" w:hAnsi="宋体" w:eastAsia="宋体" w:cs="宋体"/>
                <w:b/>
                <w:bCs/>
                <w:color w:val="auto"/>
                <w:sz w:val="24"/>
                <w:szCs w:val="24"/>
                <w:highlight w:val="none"/>
                <w:u w:val="single"/>
                <w:shd w:val="clear" w:color="auto"/>
              </w:rPr>
              <w:t xml:space="preserve">9.进入自主评估，自定义选择需要评估的功能项目进行评估。评估结果具有四个等级，根据学生具体情况，点击选择等级进行评分，评估记录内可以显示评估数据及评估结果。（演示项）</w:t>
            </w:r>
            <w:r>
              <w:rPr>
                <w:rFonts w:hint="eastAsia" w:ascii="宋体" w:hAnsi="宋体" w:eastAsia="宋体" w:cs="宋体"/>
                <w:b/>
                <w:bCs/>
                <w:color w:val="auto"/>
                <w:sz w:val="24"/>
                <w:szCs w:val="24"/>
                <w:highlight w:val="none"/>
                <w:u w:val="single"/>
                <w:shd w:val="clear" w:color="auto"/>
              </w:rPr>
              <w:br/>
            </w:r>
            <w:r>
              <w:rPr>
                <w:rFonts w:hint="eastAsia" w:ascii="宋体" w:hAnsi="宋体" w:eastAsia="宋体" w:cs="宋体"/>
                <w:color w:val="auto"/>
                <w:sz w:val="24"/>
                <w:szCs w:val="24"/>
                <w:highlight w:val="none"/>
              </w:rPr>
              <w:t xml:space="preserve">10.评估记录的选择包含智能评估记录和自主评估记录两种,可在评估记录中选择要查阅的评估报告单。</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★11.评估报告单内置基本信息、评估项目、评估结果分析、训练建议等，训练建议中的活动与训练版块的课程内容匹配。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12.智能评估记录所有功能评估项目的结果，自主评估记录所选项目的结果，利用柱状图形展现评估数据。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（二）音乐治疗训练板块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1.音乐治疗训练采用音乐治疗镜像技术，同时评估与训练内容均采用正向评价原则，进行正向的强化。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2.音乐治疗训练内使用能够激发学生镜像神经元的框架模式，实现提升学生的认知、语言、粗大动作、精细动作、听觉感知、感知能力七大能力。</w:t>
            </w:r>
            <w:r>
              <w:rPr>
                <w:rFonts w:hint="eastAsia" w:ascii="宋体" w:hAnsi="宋体" w:eastAsia="宋体" w:cs="宋体"/>
                <w:color w:val="auto"/>
                <w:sz w:val="24"/>
                <w:szCs w:val="24"/>
                <w:highlight w:val="none"/>
              </w:rPr>
              <w:br/>
            </w:r>
            <w:r>
              <w:rPr>
                <w:rFonts w:hint="eastAsia" w:ascii="宋体" w:hAnsi="宋体" w:eastAsia="宋体" w:cs="宋体"/>
                <w:b w:val="0"/>
                <w:bCs w:val="0"/>
                <w:color w:val="auto"/>
                <w:sz w:val="24"/>
                <w:szCs w:val="24"/>
                <w:highlight w:val="none"/>
                <w:u w:val="none"/>
              </w:rPr>
              <w:t xml:space="preserve">3.音乐治疗训练内认知语言中的语言训练内容，采用音乐治疗MIT旋律音调治疗技术以及音乐言语治疗技术，利用右脑未受损伤的音乐能力，以此技术实现提升来访者语言水平能力。</w:t>
            </w:r>
            <w:r>
              <w:rPr>
                <w:rFonts w:hint="eastAsia" w:ascii="宋体" w:hAnsi="宋体" w:eastAsia="宋体" w:cs="宋体"/>
                <w:b/>
                <w:bCs/>
                <w:color w:val="auto"/>
                <w:sz w:val="24"/>
                <w:szCs w:val="24"/>
                <w:highlight w:val="none"/>
                <w:u w:val="single"/>
              </w:rPr>
              <w:br/>
            </w:r>
            <w:r>
              <w:rPr>
                <w:rFonts w:hint="eastAsia" w:ascii="宋体" w:hAnsi="宋体" w:eastAsia="宋体" w:cs="宋体"/>
                <w:b/>
                <w:bCs/>
                <w:color w:val="auto"/>
                <w:sz w:val="24"/>
                <w:szCs w:val="24"/>
                <w:highlight w:val="none"/>
                <w:u w:val="single"/>
              </w:rPr>
              <w:t xml:space="preserve">4</w:t>
            </w:r>
            <w:r>
              <w:rPr>
                <w:rFonts w:hint="eastAsia" w:ascii="宋体" w:hAnsi="宋体" w:eastAsia="宋体" w:cs="宋体"/>
                <w:b/>
                <w:bCs/>
                <w:color w:val="auto"/>
                <w:sz w:val="24"/>
                <w:szCs w:val="24"/>
                <w:highlight w:val="none"/>
                <w:u w:val="single"/>
                <w:shd w:val="clear" w:color="auto"/>
              </w:rPr>
              <w:t xml:space="preserve">.音乐治疗训练内含有三个以上的经过再创造音乐治疗技术设计的乐曲（演示项）。</w:t>
            </w:r>
            <w:r>
              <w:rPr>
                <w:rFonts w:hint="eastAsia" w:ascii="宋体" w:hAnsi="宋体" w:eastAsia="宋体" w:cs="宋体"/>
                <w:b/>
                <w:bCs/>
                <w:color w:val="auto"/>
                <w:sz w:val="24"/>
                <w:szCs w:val="24"/>
                <w:highlight w:val="none"/>
                <w:u w:val="single"/>
                <w:shd w:val="clear" w:color="auto"/>
              </w:rPr>
              <w:br/>
            </w:r>
            <w:r>
              <w:rPr>
                <w:rFonts w:hint="eastAsia" w:ascii="宋体" w:hAnsi="宋体" w:eastAsia="宋体" w:cs="宋体"/>
                <w:color w:val="auto"/>
                <w:sz w:val="24"/>
                <w:szCs w:val="24"/>
                <w:highlight w:val="none"/>
              </w:rPr>
              <w:t xml:space="preserve">5.音乐治疗训练内社会交往训练内容，包含有同一性、合唱式、结构性非语言轮流、结构性语言轮流四种团体治疗形式。</w:t>
            </w:r>
            <w:r>
              <w:rPr>
                <w:rFonts w:hint="eastAsia" w:ascii="宋体" w:hAnsi="宋体" w:eastAsia="宋体" w:cs="宋体"/>
                <w:b/>
                <w:bCs/>
                <w:color w:val="auto"/>
                <w:sz w:val="24"/>
                <w:szCs w:val="24"/>
                <w:highlight w:val="none"/>
                <w:u w:val="single"/>
                <w:shd w:val="clear" w:color="auto" w:fill="ffff00"/>
              </w:rPr>
              <w:br/>
            </w:r>
            <w:r>
              <w:rPr>
                <w:rFonts w:hint="eastAsia" w:ascii="宋体" w:hAnsi="宋体" w:eastAsia="宋体" w:cs="宋体"/>
                <w:b w:val="0"/>
                <w:bCs w:val="0"/>
                <w:color w:val="auto"/>
                <w:sz w:val="24"/>
                <w:szCs w:val="24"/>
                <w:highlight w:val="none"/>
                <w:u w:val="none"/>
              </w:rPr>
              <w:t xml:space="preserve">6.音乐治疗训练内感知觉运动训练内容，含有治疗性乐器演奏和感觉模式加强技术，针对感觉、知觉、粗大动作、精细动作四个目标能力，采用同质原则实现感知觉运动能力的提升。</w:t>
            </w:r>
            <w:r>
              <w:rPr>
                <w:rFonts w:hint="eastAsia" w:ascii="宋体" w:hAnsi="宋体" w:eastAsia="宋体" w:cs="宋体"/>
                <w:b/>
                <w:bCs/>
                <w:color w:val="auto"/>
                <w:sz w:val="24"/>
                <w:szCs w:val="24"/>
                <w:highlight w:val="none"/>
                <w:u w:val="single"/>
              </w:rPr>
              <w:br/>
            </w:r>
            <w:r>
              <w:rPr>
                <w:rFonts w:hint="eastAsia" w:ascii="宋体" w:hAnsi="宋体" w:eastAsia="宋体" w:cs="宋体"/>
                <w:color w:val="auto"/>
                <w:sz w:val="24"/>
                <w:szCs w:val="24"/>
                <w:highlight w:val="none"/>
              </w:rPr>
              <w:t xml:space="preserve">7.音乐治疗训练和音乐治疗评估实现音乐治疗实施治疗中的SOAP原则以及APIE原则，通过此两个原则实现评估与治疗的统一与针对性。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8.音乐治疗训练内，结合了鲁道夫-罗宾逊音乐疗法技术，以此设计了针对性的音乐活动。</w:t>
            </w:r>
            <w:r>
              <w:rPr>
                <w:rFonts w:hint="eastAsia" w:ascii="宋体" w:hAnsi="宋体" w:eastAsia="宋体" w:cs="宋体"/>
                <w:b/>
                <w:bCs/>
                <w:color w:val="auto"/>
                <w:sz w:val="24"/>
                <w:szCs w:val="24"/>
                <w:highlight w:val="none"/>
                <w:u w:val="single"/>
              </w:rPr>
              <w:br/>
            </w:r>
            <w:r>
              <w:rPr>
                <w:rFonts w:hint="eastAsia" w:ascii="宋体" w:hAnsi="宋体" w:eastAsia="宋体" w:cs="宋体"/>
                <w:b w:val="0"/>
                <w:bCs w:val="0"/>
                <w:color w:val="auto"/>
                <w:sz w:val="24"/>
                <w:szCs w:val="24"/>
                <w:highlight w:val="none"/>
                <w:u w:val="none"/>
              </w:rPr>
              <w:t xml:space="preserve">9.音乐治疗训练，由感知觉运动能力训练、认知语言训练以及社会交往训练三大核心板块构成，含有不少于三十篇的训练方案，每项训练方案提供了不少于两种的长短期目标选项，全面覆盖并强化探索木屋评估板块所评估出的各项能力。</w:t>
            </w:r>
            <w:r>
              <w:rPr>
                <w:rFonts w:hint="eastAsia" w:ascii="宋体" w:hAnsi="宋体" w:eastAsia="宋体" w:cs="宋体"/>
                <w:b/>
                <w:bCs/>
                <w:color w:val="auto"/>
                <w:sz w:val="24"/>
                <w:szCs w:val="24"/>
                <w:highlight w:val="none"/>
                <w:u w:val="single"/>
              </w:rPr>
              <w:br/>
            </w:r>
            <w:r>
              <w:rPr>
                <w:rFonts w:hint="eastAsia" w:ascii="宋体" w:hAnsi="宋体" w:eastAsia="宋体" w:cs="宋体"/>
                <w:b/>
                <w:bCs/>
                <w:color w:val="auto"/>
                <w:sz w:val="24"/>
                <w:szCs w:val="24"/>
                <w:highlight w:val="none"/>
                <w:u w:val="single"/>
              </w:rPr>
              <w:t xml:space="preserve">10.音乐治疗训练</w:t>
            </w:r>
            <w:r>
              <w:rPr>
                <w:rFonts w:hint="eastAsia" w:ascii="宋体" w:hAnsi="宋体" w:eastAsia="宋体" w:cs="宋体"/>
                <w:b/>
                <w:bCs/>
                <w:color w:val="auto"/>
                <w:sz w:val="24"/>
                <w:szCs w:val="24"/>
                <w:highlight w:val="none"/>
                <w:u w:val="single"/>
              </w:rPr>
              <w:br/>
            </w:r>
            <w:r>
              <w:rPr>
                <w:rFonts w:hint="eastAsia" w:ascii="宋体" w:hAnsi="宋体" w:eastAsia="宋体" w:cs="宋体"/>
                <w:color w:val="auto"/>
                <w:sz w:val="24"/>
                <w:szCs w:val="24"/>
                <w:highlight w:val="none"/>
              </w:rPr>
              <w:t xml:space="preserve">★（1）感知觉训练版块具有不少于八种训练类型，包含触觉训练、上肢训练、精细动作训练、听觉训练和综合训练等，训练课程内容不少于十节。</w:t>
            </w:r>
            <w:r>
              <w:rPr>
                <w:rFonts w:hint="eastAsia" w:ascii="宋体" w:hAnsi="宋体" w:eastAsia="宋体" w:cs="宋体"/>
                <w:b/>
                <w:bCs/>
                <w:color w:val="auto"/>
                <w:sz w:val="24"/>
                <w:szCs w:val="24"/>
                <w:highlight w:val="none"/>
                <w:u w:val="single"/>
              </w:rPr>
              <w:br/>
            </w:r>
            <w:r>
              <w:rPr>
                <w:rFonts w:hint="eastAsia" w:ascii="宋体" w:hAnsi="宋体" w:eastAsia="宋体" w:cs="宋体"/>
                <w:b/>
                <w:bCs/>
                <w:color w:val="auto"/>
                <w:sz w:val="24"/>
                <w:szCs w:val="24"/>
                <w:highlight w:val="none"/>
                <w:u w:val="single"/>
                <w:shd w:val="clear" w:color="auto"/>
              </w:rPr>
              <w:t xml:space="preserve">（2）听觉训练版块针对特需儿童听觉训练和听觉分辨两方面进行训练，提升儿童听觉能力（演示项）。</w:t>
            </w:r>
            <w:r>
              <w:rPr>
                <w:rFonts w:hint="eastAsia" w:ascii="宋体" w:hAnsi="宋体" w:eastAsia="宋体" w:cs="宋体"/>
                <w:b/>
                <w:bCs/>
                <w:color w:val="auto"/>
                <w:sz w:val="24"/>
                <w:szCs w:val="24"/>
                <w:highlight w:val="none"/>
                <w:u w:val="single"/>
                <w:shd w:val="clear" w:color="auto"/>
              </w:rPr>
              <w:br/>
            </w:r>
            <w:r>
              <w:rPr>
                <w:rFonts w:hint="eastAsia" w:ascii="宋体" w:hAnsi="宋体" w:eastAsia="宋体" w:cs="宋体"/>
                <w:color w:val="auto"/>
                <w:sz w:val="24"/>
                <w:szCs w:val="24"/>
                <w:highlight w:val="none"/>
              </w:rPr>
              <w:t xml:space="preserve">（3）粗大运动训练版块，包含镜像模仿和粗大训练两种训练，加强特需儿童运动能力。</w:t>
            </w:r>
            <w:r>
              <w:rPr>
                <w:rFonts w:hint="eastAsia" w:ascii="宋体" w:hAnsi="宋体" w:eastAsia="宋体" w:cs="宋体"/>
                <w:b/>
                <w:bCs/>
                <w:color w:val="auto"/>
                <w:sz w:val="24"/>
                <w:szCs w:val="24"/>
                <w:highlight w:val="none"/>
                <w:u w:val="single"/>
              </w:rPr>
              <w:br/>
            </w:r>
            <w:r>
              <w:rPr>
                <w:rFonts w:hint="eastAsia" w:ascii="宋体" w:hAnsi="宋体" w:eastAsia="宋体" w:cs="宋体"/>
                <w:b/>
                <w:bCs/>
                <w:color w:val="auto"/>
                <w:sz w:val="24"/>
                <w:szCs w:val="24"/>
                <w:highlight w:val="none"/>
                <w:u w:val="single"/>
                <w:shd w:val="clear" w:color="auto"/>
              </w:rPr>
              <w:t xml:space="preserve">（4）精细动作训练版块，包含奥尔夫律动和手指协调训练两种训练，加强特需儿童手部精细动作的能力。（演示项）</w:t>
            </w:r>
            <w:r>
              <w:rPr>
                <w:rFonts w:hint="eastAsia" w:ascii="宋体" w:hAnsi="宋体" w:eastAsia="宋体" w:cs="宋体"/>
                <w:b/>
                <w:bCs/>
                <w:color w:val="auto"/>
                <w:sz w:val="24"/>
                <w:szCs w:val="24"/>
                <w:highlight w:val="none"/>
                <w:u w:val="single"/>
                <w:shd w:val="clear" w:color="auto"/>
              </w:rPr>
              <w:br/>
            </w:r>
            <w:r>
              <w:rPr>
                <w:rFonts w:hint="eastAsia" w:ascii="宋体" w:hAnsi="宋体" w:eastAsia="宋体" w:cs="宋体"/>
                <w:color w:val="auto"/>
                <w:sz w:val="24"/>
                <w:szCs w:val="24"/>
                <w:highlight w:val="none"/>
              </w:rPr>
              <w:t xml:space="preserve">★（5）认知语言训练版块具有不少于六种类型的训练内容，具体包含认知训练、语音训练、类比训练、推理训练等，课程内容不少于十节。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（6）基础言语训练版块针对特需儿童言语训练呼吸、发声、口部运动等进行训练，训练内容类型不少于四种。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★（7）社会交往训练版块具有不少于六种类型的训练内容，包含团体协作、戏剧治疗、情绪体验、社交互动等，训练课程不少于十节。</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（三）唱游与律动课程教学板块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1.唱游与律动课程教学，课程严格遵循《唱游与律动课程标准》（2016版）设计教案，含感受音乐、音乐演唱、音乐律动、音乐游戏四大板块内容，共计不少于四十篇的唱游与律动课程。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2.唱游与律动课程教学版块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★（1）可以进行感受音乐课程教学，教学素材包含真人录制视频、手偶视频、音乐图谱，真人录制视频不少于六个，课程不少于十节。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（2）教学课程素材内容包含审美感知和艺术表现等。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（3）歌曲演唱版块可进行歌曲演唱，具有滚动歌词和切换原唱伴奏功能，真人录制视频不少于有五个，教学课程不少于十节。</w:t>
            </w:r>
            <w:r>
              <w:rPr>
                <w:rFonts w:hint="eastAsia" w:ascii="宋体" w:hAnsi="宋体" w:eastAsia="宋体" w:cs="宋体"/>
                <w:color w:val="auto"/>
                <w:sz w:val="24"/>
                <w:szCs w:val="24"/>
                <w:highlight w:val="none"/>
              </w:rPr>
              <w:br/>
            </w:r>
            <w:r>
              <w:rPr>
                <w:rFonts w:hint="eastAsia" w:ascii="宋体" w:hAnsi="宋体" w:eastAsia="宋体" w:cs="宋体"/>
                <w:b/>
                <w:bCs/>
                <w:color w:val="auto"/>
                <w:sz w:val="24"/>
                <w:szCs w:val="24"/>
                <w:highlight w:val="none"/>
                <w:u w:val="single"/>
                <w:shd w:val="clear" w:color="auto"/>
              </w:rPr>
              <w:t xml:space="preserve">（4）根据倾听的歌曲进行演唱，也可选择歌曲伴奏，能进行音阶练习、跳音练习、气息练习等训练。（演示项）</w:t>
            </w:r>
            <w:r>
              <w:rPr>
                <w:rFonts w:hint="eastAsia" w:ascii="宋体" w:hAnsi="宋体" w:eastAsia="宋体" w:cs="宋体"/>
                <w:b/>
                <w:bCs/>
                <w:color w:val="auto"/>
                <w:sz w:val="24"/>
                <w:szCs w:val="24"/>
                <w:highlight w:val="none"/>
                <w:u w:val="single"/>
                <w:shd w:val="clear" w:color="auto"/>
              </w:rPr>
              <w:br/>
            </w:r>
            <w:r>
              <w:rPr>
                <w:rFonts w:hint="eastAsia" w:ascii="宋体" w:hAnsi="宋体" w:eastAsia="宋体" w:cs="宋体"/>
                <w:color w:val="auto"/>
                <w:sz w:val="24"/>
                <w:szCs w:val="24"/>
                <w:highlight w:val="none"/>
              </w:rPr>
              <w:t xml:space="preserve">（5）音乐律动教学版块包含课程内容不少于十节，真人录制视频不少于十五个，可观看慢倍速录制视频并进行交互操作。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（6）可观看真人录制的视频，点击按钮可播放。</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（7）音乐游戏课程内容包含不少于十个音乐游戏视频，不少于八个律动视频，不少于十节游戏课程。</w:t>
            </w:r>
            <w:r>
              <w:rPr>
                <w:rFonts w:hint="eastAsia" w:ascii="宋体" w:hAnsi="宋体" w:eastAsia="宋体" w:cs="宋体"/>
                <w:color w:val="auto"/>
                <w:sz w:val="24"/>
                <w:szCs w:val="24"/>
                <w:highlight w:val="none"/>
              </w:rPr>
              <w:br/>
            </w:r>
            <w:r>
              <w:rPr>
                <w:rFonts w:hint="eastAsia" w:ascii="宋体" w:hAnsi="宋体" w:eastAsia="宋体" w:cs="宋体"/>
                <w:b/>
                <w:bCs/>
                <w:color w:val="auto"/>
                <w:sz w:val="24"/>
                <w:szCs w:val="24"/>
                <w:highlight w:val="none"/>
                <w:u w:val="single"/>
                <w:shd w:val="clear" w:color="auto"/>
              </w:rPr>
              <w:t xml:space="preserve">（8）可以进行三度音程游戏，具有玩偶视频和真人录制视频。（演示项）</w:t>
            </w:r>
            <w:r>
              <w:rPr>
                <w:rFonts w:hint="eastAsia" w:ascii="宋体" w:hAnsi="宋体" w:eastAsia="宋体" w:cs="宋体"/>
                <w:b/>
                <w:bCs/>
                <w:color w:val="auto"/>
                <w:sz w:val="24"/>
                <w:szCs w:val="24"/>
                <w:highlight w:val="none"/>
                <w:u w:val="single"/>
                <w:shd w:val="clear" w:color="auto"/>
              </w:rPr>
              <w:br/>
            </w:r>
            <w:r>
              <w:rPr>
                <w:rFonts w:hint="eastAsia" w:ascii="宋体" w:hAnsi="宋体" w:eastAsia="宋体" w:cs="宋体"/>
                <w:color w:val="auto"/>
                <w:sz w:val="24"/>
                <w:szCs w:val="24"/>
                <w:highlight w:val="none"/>
              </w:rPr>
              <w:t xml:space="preserve">（四）音乐鉴赏板块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音乐鉴赏包含不少于六类音乐素材（经典传颂、世界名曲、自然声响、一起来跳舞、欢乐童谣、乐曲名曲），不少于100首。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三、硬件参数：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1.智能交互平板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1.1显示尺寸≧65英寸，分辨率：3840*2160，采用红外触控技术，支持20点同时触控及书写；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1.2智能交互平板背光系统支持DC调光方式，多级亮度调节；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1.3智能交互平板采用OPS-C标准的80pin针口设计，屏体与插拔式电脑无单独接线；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1.4内置电脑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（1）采用80pinIntel通用标准接口,即插即用，易于维护；</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（2）CPU采用不低于Intel第12代及以上平台处理器酷睿I5处理器；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（3）内存：≥8GDDR4；</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（4）硬盘：≥256GSSD固态硬盘。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2.电动升降架：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2.1配备万向滑轮，可支持自由移动；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2.2升降功能：智能一键升降，随心调节；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2.3支架材质：铝合金，可承重≥136.4KG；1200-1700mm。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3.辅助专用教具：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3.1辅助专用教具根据课程需求分为感受音乐类、歌曲演唱类、音乐律动类、音乐游戏类以及音乐治疗类。</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（1）感受音乐类专用教具不少于2箱。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（2）歌曲演唱类专用教具不少于1箱。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（3）音乐律动类专用教具不少于1箱。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（4）音乐游戏类专用教具不少于1箱。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（5）音乐治疗类专用教具不少于2箱。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3.2为了教学方便，产品需配备纸质版唱游与律动音乐教学手册，且在唱游与律动音乐教学手册中找到相应使用教案（教程）：不少于70篇。</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墙面音乐互动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音乐之旅、西洋乐器、古典乐器、现代乐器各1套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规格一：≥28cm*3.7cm*2.7cm,插柱≥5.7*2.2cm，琴键≥（7.3-10.8)*2.6cm，将轨道和音阶进行搭建，从轨道上方放下珠子，珠子敲击音阶，发出美妙音乐，也可以将音阶照乐谱的顺序进行排放，能够敲击出一首好听的音乐。材质：榉木，环保水性漆。原木色轨道至少16个，平帽木柱至少16个，竖琴片至少16个，横琴片至少8个，榉木敲棒至少1个，滚珠至少2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规格二：≥39.5*59.5CM。材质：榉木、桦木。环保水性漆；无毒，无味，通过敲打使玩具发出音乐声，可以更好的提高孩子的音感</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音乐互动仪</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一、产品要求</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音乐互动仪将音乐元素与新媒体技术相结合，外部由天然环保材料制成，符合人体工程学的设计，使用起来更加舒适，由7个按键组成，每个按键都是一个音符，并配有LED指示灯。儿童通过感受音乐的旋律、速度、节奏、音高等，激发儿童有意识或无意识的反应，并通过音乐游戏、音乐体验来发展和整合儿童的听觉、视觉和触觉，以及动作控制和空间能力。</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二、技术参数要求</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1、触摸屏音乐互动仪尺寸：≥470*500mm</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2、配套组件尺寸：≥164*101*17mm</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3、颜色：黄、蓝</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4、材质：ABS</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5、操作方式：触摸、按键</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三、功能要求</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1、触摸屏音乐互动仪由13个触摸键组成，包含简谱7个音符，配有LED指示灯。具有引导模式、聆听模式、创造模式、追视模式和蓝牙模式，并根据操作需要可进行乐器选择和背景音乐选择。</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★（1）引导模式</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置引导乐谱(引导灯)，包含不少于7种不同颜色的Led灯光，通过灯光提示触摸屏幕，可进行歌曲演奏，当操作者想演奏歌曲时，可以先选择要使用的乐器，然后选择要演奏的曲目，当灯光指向哪个，操作者跟随触摸灯光进行操作，就可发出美妙的音乐。</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★（2）聆听模式</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直接播放内置5类音乐资源。</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★（3）创造模式</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可选择多种乐器音效和高低音键，进行即兴演奏，演奏实时录音、随机播放。自由练习歌曲、实时录音保存，可播放实时录音、和删除实时录音的歌曲。</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★（4）追视模式</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触摸彩灯随机亮起，随着触摸改变灯光位置，锻炼儿童的专注力。</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可设置追视模式中灯光亮起的速度设置，灯光亮起分为高速、中速、低速三种。</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★（5）蓝牙模式</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可通过移动端进行蓝牙连接，任意选择播放内容。</w:t>
            </w:r>
            <w:r/>
          </w:p>
          <w:p>
            <w:pPr>
              <w:numPr>
                <w:ilvl w:val="0"/>
                <w:numId w:val="12"/>
              </w:num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具有触摸操控页(设置键)</w:t>
            </w:r>
            <w:r/>
          </w:p>
          <w:p>
            <w:pPr>
              <w:numPr>
                <w:ilvl w:val="0"/>
                <w:numId w:val="0"/>
              </w:num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中文显示屏显示，功能，模式，上，下翻。</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2、配套组件键盘操作训练机具有至少30个物理按键，其中包含功能选择键、三种基本音级的音符键、六种和弦键。训练模式共有六种，通过操作按键自主选择训练模式进行训练。</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至少500首歌曲数字简谱进行操作，音符键依次亮灯，该键的音律同时响起，一首歌曲的数字简谱从少到多依次重复亮起，每次增加一个音符，至少增加6次，声光结合反复强化，学生可利用视觉和听觉两种记忆方式记忆加强记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（2）具有至少60个关卡训练，难易程度由易到难，按照灯光显示依次暗灭亮灯的按键，并弹出相应的音符声，提升学生反应力。</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（3）提供至少500儿歌曲目，数字简谱和歌词在显示屏中显示，音符键随着音律亮灯，按住亮灯的音符键进行弹奏，完成整首曲目。</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（4）提供完整的伴奏曲目进行赏析，可重复循环播放</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（5）内置至少500首歌曲的数字简谱，显示屏显示演奏歌曲的数字简谱作为视觉提示，学生可根据数字简谱进行音乐的跟随练习或自行进行DIY音乐创作演奏，自动录制演奏的音乐，演奏结束可播放录制音乐。</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（6）通过自由弹奏音符键和和弦键进行创作，创作前先可选择喜欢的乐器声，可自动录音，创作弹奏完成后点击播放键可欣赏自己的DIY作品。</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电钢琴</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1.外观；烤漆亮面；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2.颜色分类；烤漆；黑、白、；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3.键盘：88键国际标准尺寸渐进式逐级配重重锤钢琴键盘，又名带榔头键盘。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4.键盘盖：缓降式翻盖；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5.喇叭；HIFI全频段3D立体声大功率喇叭、8欧25W*2；</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6.音源主板；Dream系列5系高端音源；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7.复音数；256；</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8.数字功放；具有抗干扰零噪音、零失真、动态范围大、低频震撼等特点；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9.力度控制：16级触键灵敏度；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10.三踏板：延音脚踏，弱音脚踏，保持音脚踏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11.MIDI方口USB插口功能：连接手机、电脑、平板等智能设备：（可快速而方便地连接到计算机上或其他MIDI设备进行互动及创作）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12.音频输入/音频输出；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13.双耳机接口（6.5mm立体声）；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14.音量旋钮声音大小可任意调节；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15.电源接口：AC220V/50Hz12V-15V3A；</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16.电源开关；</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音响套装</w:t>
            </w:r>
            <w:r/>
          </w:p>
        </w:tc>
        <w:tc>
          <w:tcPr>
            <w:tcW w:w="6361"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音箱：≥8寸，2分频，低频反射式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频率范围(-10dB)1：50Hz-20KHz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频率响应(±3dB)1：85Hz-20KH</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灵敏度(1w/1m)1：95dB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额定阻抗：8Ohms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最大声压级输出：122dB(峰值：128dB)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额定输入功率2：120W/240W/480W(连续/音乐信号/峰值)</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覆盖角：70°x100°(HxV)</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尺寸(高×宽×深)：375mmx240mmx250mm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体重：6.4KG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前级功放机参数：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功率输出：450W+450W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总谐波失真率：1KHz,8ohm,50W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输入灵敏度/阻抗：MIC6mV/3.3KohmDVD,TAPE,AUX300mV/47Kohm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BGM300mV/47Kohm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输出水平/阻抗：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前级输出2.2V/2.2Kohm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低音输出2.2V/2.2Kohm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录音输出300mV/2.2Kohm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音乐输出2.2V/2.2Kohm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频率响应：</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Mic20-20KHz,3dB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Music20-20KHz,3dB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音调控制范围：音乐11steps,5tones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视频输出接口：灵敏度/阻抗1Vp-p/75ohm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其它电源供应：供应电压230v-50Hz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功耗(RMA220)650W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无线话筒：</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频率范围：UHF520-960MHz（取决于适用的国家规范）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频率稳定度：±0.05%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动态范围：〉90dB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调制方式：FM(调频)、PLL（锁相环频率合成）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频率响应：50Hz~15KHz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信噪比：≥90dB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邻频干扰比：〉80dB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镜像干扰比：〉80dB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使用范围：≥100米Meters（开阔地）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接收机供电：DC15V-18V</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音乐凳</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规格：≥40*30*25cm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材质：纳米高细密度板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用于学生做箱，又可以利用龄合脚组成合唱阶梯。</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钢琴地垫</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功能要求：琴键声音刺激听觉神经，不同琴键颜色锻炼颜色辨识能力；提高视听感官能力，增强声音辨识能力，训练身体协调能力、空间控制能力。</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参数：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1.控制箱1件，采用ABS与PMMA复合材料，一体成型工艺，表面无油漆，安全环保；</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2.琴键地垫1套(长方形地垫2块共8键)；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3.AC220V电源线1根；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4.输入电压：220VAC工作电压：12VDC；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5.额定功率：小于40W；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6.支持USB热插拔，教师可根据训练内容更换音乐；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7.尺寸：地垫：≥1500*400*50mm(2块)，控制箱：≥550*400*70mm；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8.产品共3种模式，代表钢琴音高、低、中的三个音阶；通过踩踏琴键就会有相应的琴音响起；</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奥尔夫乐器套装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奥尔夫</w:t>
            </w:r>
            <w:r>
              <w:rPr>
                <w:rFonts w:hint="eastAsia" w:ascii="宋体" w:hAnsi="宋体" w:eastAsia="宋体" w:cs="宋体"/>
                <w:color w:val="auto"/>
                <w:sz w:val="24"/>
                <w:szCs w:val="24"/>
                <w:highlight w:val="none"/>
                <w:lang w:val="en-US" w:eastAsia="zh-CN"/>
              </w:rPr>
              <w:t xml:space="preserve">乐器</w:t>
            </w:r>
            <w:r>
              <w:rPr>
                <w:rFonts w:hint="eastAsia" w:ascii="宋体" w:hAnsi="宋体" w:eastAsia="宋体" w:cs="宋体"/>
                <w:color w:val="auto"/>
                <w:sz w:val="24"/>
                <w:szCs w:val="24"/>
                <w:highlight w:val="none"/>
              </w:rPr>
              <w:t xml:space="preserve">套装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不少于158件，</w:t>
            </w:r>
            <w:r>
              <w:rPr>
                <w:rFonts w:hint="eastAsia" w:ascii="宋体" w:hAnsi="宋体" w:eastAsia="宋体" w:cs="宋体"/>
                <w:color w:val="auto"/>
                <w:sz w:val="24"/>
                <w:szCs w:val="24"/>
                <w:highlight w:val="none"/>
              </w:rPr>
              <w:t xml:space="preserve">是将节奏，律动，舞蹈，语言，乐器演奏，歌唱，绘画，戏剧表演等融合在一起的综合性教学。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不仅让幼儿学习音乐，培养幼儿的音乐能力，而且对语言，模仿，创造等多方面有启智性的效果。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奥尔夫音乐是一种音乐教育体系，其主要内容包括：</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一、以节奏为基础的节奏朗诵与歌唱活动，节奏教学在音乐教育中得目的表现在培养敏锐的音乐感知能力、培养音乐记忆能力、提高视唱（奏）读谱能力、发展音乐感。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二、基本的动作教学，使其得到身心的平衡发展、培养敏锐的听力、注意力、反应能力，发展其创造力，对节奏感的训练，发展音乐感的基础教育</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三、器乐教学，是指使用奥尔夫乐器进行演奏活动的教学，奥尔夫乐器摆脱了动作训练唯一用钢琴音乐的办法，追求的是自主奏乐，通过即兴演奏设计自己的音乐，以发挥学生的主动性。</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柜子</w:t>
            </w:r>
            <w:r/>
          </w:p>
        </w:tc>
        <w:tc>
          <w:tcPr>
            <w:tcW w:w="636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单个柜子尺寸：长度≥1221mm，宽度≥341mm，高度≥1015mm</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材质：采用环保级E1橡胶木，厚度≥16mm</w:t>
            </w:r>
            <w:r/>
          </w:p>
        </w:tc>
        <w:tc>
          <w:tcPr>
            <w:tcW w:w="808" w:type="dxa"/>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圆形坐垫</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尺寸：直径</w:t>
            </w:r>
            <w:r>
              <w:rPr>
                <w:rFonts w:hint="eastAsia" w:ascii="宋体" w:hAnsi="宋体" w:eastAsia="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40*厚7cm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材质：PU皮+高回弹海棉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办公桌椅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规格：桌子≥160*80*75cm，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材质：采用环保级E1实木多层板材，耐磨性强，板面光滑，无毛刺，牢固耐用；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3.桌面厚度≥16mm；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4.椅子为升降椅，材质PU皮+钢制底座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观察室通过单向玻璃等设施，在不干扰课程与训练的情况下，实时观察学生在音乐治疗过程中的行为、情绪反应和身体语言。这种无干扰的观察有助于更准确地评估患者的治疗进展和反应。也便于研究人员收集关于音乐治疗效果更有效的数据。</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茶几</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材质：玻璃、金属</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规格：直径≥85cm，高≥45cm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观察室通过单向玻璃等设施，在不干扰课程与训练的情况下，实时观察学生在音乐治疗过程中的行为、情绪反应和身体语言。这种无干扰的观察有助于更准确地评估患者的治疗进展和反应。也便于研究人员收集关于音乐治疗效果更有效的数据。</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沙发</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规格：三人位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材质：科技布，内里高弹海绵，加厚、实木支架。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观察室通过单向玻璃等设施，在不干扰课程与训练的情况下，实时观察学生在音乐治疗过程中的行为、情绪反应和身体语言。这种无干扰的观察有助于更准确地评估患者的治疗进展和反应。也便于研究人员收集关于音乐治疗效果更有效的数据。</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情绪与行为评估训练系统</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行为评估量表和情绪量表（Conners儿童行为量表、Rutter儿童行为问卷、CBCL量表、焦虑自评量表等）对儿童进行评估，根据情绪和行为两方面的评估结果初步了解儿童情绪与行为的障碍问题，为后期的训练干预制定目标计划。</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视听渲染提供了双屏模式的虚拟效果和视听渲染功能，根据音乐治疗以及多感官刺激原理进行设计，将不同属性的音乐与动感的视觉特效融为一体，充分利用视听感知觉刺激，提高视觉处理能力，应对不同儿童，激发情绪状态，对情绪进行调节。通过改变音乐的相关属性来调节学生的相应神经兴奋性，促进其学习，最终达到认知、情绪自我调节等能力的提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听觉素材包括正性曲、中性曲、负性曲三个部分，三种音乐类型应对不同儿童，激发不同情绪状态。以画面为主体，有机结合音色、旋律、节奏、色彩、形状变幻等视听效果，从多感觉通道入手，调节不良情绪，建立良性情绪。根据学生不同情绪特质，设定符合其自身特质有针对性的视听课程。对学生进行情绪调节、情绪诱导等相关情绪培养</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趣味视听诱导通过音乐、画面多重刺激方式，帮助学生在视听欣赏中得到情绪的宣泄与疏导。视觉素材运用镜像、素描、三基色、滚屏和浮雕画面效果，提供丰富的视觉变换，提高视觉处理能力，改善因感知觉异常带来的情绪问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情绪调节由情绪体验、绘画治疗、表情识别、解压游戏组成，情绪体验按照学生心理发展特点，用性质不同的故事诱导出某种暂时情绪，以此作为交流的平台帮助儿童疏导并区分各种不同的情绪，为交往活动做准备。表情识采用照片及卡通动画两种形式，将微笑、大笑、哭泣等基本表情及相应体态呈现出来，同时配有生动形象的声音，而使学生更好地了解自己及他人的情绪。通过训练学习，使学生对自己和他人情绪过程的认知和推理，包括对情绪状态的识别和理解、对情绪产生的原因、情绪的外在行为表现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5.学生管理：学生以往所有的量表评估结果可实时查询查看，提供删除功能，便于教师管了解学生，为设计个性化方案提供提供依据。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学生情况评估：可进行情绪和行为上的评估，并提供对学生信息的新建、查询、查看，评估报告打印、删除功能，使教师初步了解学生情绪行为可能存在的问题，更有针对性地对学生进行后期个别化训练计划的制定。</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主要组成：</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1.情绪与行为评估训练系统</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2.显示屏：2台、尺寸≥22寸</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3.触摸显示屏：1台、尺寸≥21英寸，支持10点及以上触控</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4.两连屏机柜：1组、ABS工程塑料</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5.万向轮台车：1台、ABS工程塑料</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6.主机：CPU不低于i3、独立显卡≥1G、固态硬盘≥256GB、内存≥</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GB</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A4</w:t>
            </w:r>
            <w:r>
              <w:rPr>
                <w:rFonts w:hint="eastAsia" w:ascii="宋体" w:hAnsi="宋体" w:eastAsia="宋体" w:cs="宋体"/>
                <w:color w:val="auto"/>
                <w:sz w:val="24"/>
                <w:szCs w:val="24"/>
                <w:highlight w:val="none"/>
              </w:rPr>
              <w:t xml:space="preserve">彩色喷墨打印机</w:t>
            </w:r>
            <w:r>
              <w:rPr>
                <w:rFonts w:hint="eastAsia" w:ascii="宋体" w:hAnsi="宋体" w:eastAsia="宋体" w:cs="宋体"/>
                <w:color w:val="auto"/>
                <w:sz w:val="24"/>
                <w:szCs w:val="24"/>
                <w:highlight w:val="none"/>
                <w:lang w:val="en-US" w:eastAsia="zh-CN"/>
              </w:rPr>
              <w:t xml:space="preserve">1台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复印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打印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扫描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连接方式：支持</w:t>
            </w:r>
            <w:r>
              <w:rPr>
                <w:rFonts w:hint="eastAsia" w:ascii="宋体" w:hAnsi="宋体" w:eastAsia="宋体" w:cs="宋体"/>
                <w:color w:val="auto"/>
                <w:sz w:val="24"/>
                <w:szCs w:val="24"/>
                <w:highlight w:val="none"/>
                <w:lang w:val="en-US" w:eastAsia="zh-CN"/>
              </w:rPr>
              <w:t xml:space="preserve">无线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USB</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接口类型：USB、wifi</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打印速速</w:t>
            </w:r>
            <w:r>
              <w:rPr>
                <w:rFonts w:hint="eastAsia" w:ascii="宋体" w:hAnsi="宋体" w:eastAsia="宋体" w:cs="宋体"/>
                <w:color w:val="auto"/>
                <w:sz w:val="24"/>
                <w:szCs w:val="24"/>
                <w:highlight w:val="none"/>
                <w:lang w:eastAsia="zh-CN"/>
              </w:rPr>
              <w:t xml:space="preserve">：黑白</w:t>
            </w:r>
            <w:r>
              <w:rPr>
                <w:rFonts w:hint="eastAsia" w:ascii="宋体" w:hAnsi="宋体" w:eastAsia="宋体" w:cs="宋体"/>
                <w:color w:val="auto"/>
                <w:sz w:val="24"/>
                <w:szCs w:val="24"/>
                <w:highlight w:val="none"/>
                <w:lang w:val="en-US" w:eastAsia="zh-CN"/>
              </w:rPr>
              <w:t xml:space="preserve">不低于17</w:t>
            </w:r>
            <w:r>
              <w:rPr>
                <w:rFonts w:hint="eastAsia" w:ascii="宋体" w:hAnsi="宋体" w:eastAsia="宋体" w:cs="宋体"/>
                <w:color w:val="auto"/>
                <w:sz w:val="24"/>
                <w:szCs w:val="24"/>
                <w:highlight w:val="none"/>
                <w:lang w:eastAsia="zh-CN"/>
              </w:rPr>
              <w:t xml:space="preserve">页/分钟、彩色</w:t>
            </w:r>
            <w:r>
              <w:rPr>
                <w:rFonts w:hint="eastAsia" w:ascii="宋体" w:hAnsi="宋体" w:eastAsia="宋体" w:cs="宋体"/>
                <w:color w:val="auto"/>
                <w:sz w:val="24"/>
                <w:szCs w:val="24"/>
                <w:highlight w:val="none"/>
                <w:lang w:val="en-US" w:eastAsia="zh-CN"/>
              </w:rPr>
              <w:t xml:space="preserve">不低于10</w:t>
            </w:r>
            <w:r>
              <w:rPr>
                <w:rFonts w:hint="eastAsia" w:ascii="宋体" w:hAnsi="宋体" w:eastAsia="宋体" w:cs="宋体"/>
                <w:color w:val="auto"/>
                <w:sz w:val="24"/>
                <w:szCs w:val="24"/>
                <w:highlight w:val="none"/>
                <w:lang w:eastAsia="zh-CN"/>
              </w:rPr>
              <w:t xml:space="preserve">页/分钟；最大分辩率：</w:t>
            </w:r>
            <w:r>
              <w:rPr>
                <w:rFonts w:hint="eastAsia" w:ascii="宋体" w:hAnsi="宋体" w:eastAsia="宋体" w:cs="宋体"/>
                <w:color w:val="auto"/>
                <w:sz w:val="24"/>
                <w:szCs w:val="24"/>
                <w:highlight w:val="none"/>
                <w:lang w:val="en-US" w:eastAsia="zh-CN"/>
              </w:rPr>
              <w:t xml:space="preserve">不低于4800</w:t>
            </w:r>
            <w:r>
              <w:rPr>
                <w:rFonts w:hint="eastAsia" w:ascii="宋体" w:hAnsi="宋体" w:eastAsia="宋体" w:cs="宋体"/>
                <w:color w:val="auto"/>
                <w:sz w:val="24"/>
                <w:szCs w:val="24"/>
                <w:highlight w:val="none"/>
                <w:lang w:eastAsia="zh-CN"/>
              </w:rPr>
              <w:t xml:space="preserve">x 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0 dpi；进纸容量：</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lang w:eastAsia="zh-CN"/>
              </w:rPr>
              <w:t xml:space="preserve">100页A4</w:t>
            </w:r>
            <w:r>
              <w:rPr>
                <w:rFonts w:hint="eastAsia" w:ascii="宋体" w:hAnsi="宋体" w:eastAsia="宋体" w:cs="宋体"/>
                <w:color w:val="auto"/>
                <w:sz w:val="24"/>
                <w:szCs w:val="24"/>
                <w:highlight w:val="none"/>
                <w:lang w:val="en-US" w:eastAsia="zh-CN"/>
              </w:rPr>
              <w:t xml:space="preserve">纸张；液晶屏幕不小于1.4英寸</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9.PT凳（含靠背）：2个</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外形尺寸（直径×高）：40×48、材质：皮+钢制、高度调节范围43～53cm、</w:t>
            </w:r>
            <w:r/>
          </w:p>
          <w:p>
            <w:p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360°旋转、静音设计万向滚轮</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bookmarkStart w:id="219" w:name="_Toc15441"/>
            <w:r>
              <w:rPr>
                <w:rFonts w:hint="eastAsia" w:ascii="宋体" w:hAnsi="宋体" w:eastAsia="宋体" w:cs="宋体"/>
                <w:b/>
                <w:bCs/>
                <w:color w:val="auto"/>
                <w:sz w:val="24"/>
                <w:szCs w:val="24"/>
                <w:highlight w:val="none"/>
              </w:rPr>
              <w:t xml:space="preserve">舞蹈准备室</w:t>
            </w:r>
            <w:bookmarkEnd w:id="219"/>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多功能储物柜</w:t>
            </w:r>
            <w:r/>
          </w:p>
        </w:tc>
        <w:tc>
          <w:tcPr>
            <w:tcW w:w="6361" w:type="dxa"/>
            <w:vAlign w:val="center"/>
            <w:textDirection w:val="lrTb"/>
            <w:noWrap w:val="false"/>
          </w:tcPr>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1.尺寸：</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7.2*3.1m</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2.材质：</w:t>
            </w:r>
            <w:r>
              <w:rPr>
                <w:rFonts w:hint="eastAsia" w:ascii="宋体" w:hAnsi="宋体" w:eastAsia="宋体" w:cs="宋体"/>
                <w:color w:val="auto"/>
                <w:sz w:val="24"/>
                <w:szCs w:val="24"/>
                <w:highlight w:val="none"/>
              </w:rPr>
              <w:t xml:space="preserve">采用≥18mm环保级E1环保颗粒板</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3.含五金</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bookmarkStart w:id="220" w:name="_Toc28496"/>
            <w:r>
              <w:rPr>
                <w:rFonts w:hint="eastAsia" w:ascii="宋体" w:hAnsi="宋体" w:eastAsia="宋体" w:cs="宋体"/>
                <w:b/>
                <w:bCs/>
                <w:color w:val="auto"/>
                <w:sz w:val="24"/>
                <w:szCs w:val="24"/>
                <w:highlight w:val="none"/>
              </w:rPr>
              <w:t xml:space="preserve">录播教室</w:t>
            </w:r>
            <w:bookmarkEnd w:id="220"/>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智慧黑板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一、整机设计：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整机采用全金属外壳，三拼接平面一体化设计，外观尺寸：宽≥4200mm，高≥1200mm，厚≤110mm；屏幕边缘采用金属圆角包边防护，整机背板采用金属材质，有效屏蔽内部电路器件辐射；防潮耐盐雾蚀锈，适应多种教学环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2.整机屏幕尺寸不低于86英寸，屏幕采用超高清LED液晶显示屏，显示比例16：9，分辨率3840×2160；屏幕表面采用全物理钢化玻璃，支持防眩光功能，玻璃表面硬度≥9H。</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3.嵌入式内存≥2GB，存储空间≥8GB。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4.采用电容触控方式。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整机内置2.2声道扬声器，位于设备上边框，顶置朝前发声，前朝向10W高音扬声器2个，上朝向20W中低音扬声器2个，额定总功率60W；采用缝隙发声技术，喇叭采用槽式开口设计，不大于5.8mm，扬声器在100%音量下，可做到1米处声压级≥88db，10米处声压级≥79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6.★整机内置非独立外扩展的8阵列麦克风，拾音角度≥180°，可用于对教室环境音频进行采集，拾音距离≥10m。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7.整机全通道支持纸质护眼模式，可实现画面纹理的实时调整；支持纸质纹理：牛皮纸、素描纸、宣纸、水彩纸、水纹纸；支持透明度调节；支持色温调节。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课堂智能反馈。</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9.整机支持发出频率为18kHz-22kHz超声波信号，智能手机通过麦克风接收后，智能手机与整机无需在同一局域网内，可实现配对，一键投屏功能，用户无需再手动输入投屏码或扫码获取投屏码。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10.整机支持蓝牙Bluetooth5.4标准，固件版本号HCI13.0/LMP13.0；Wi-Fi制式支持IEEE802.11a/b/g/n/ac/ax；内置双WiFi6无线网卡，Wi-Fi及AP热点支持频段2.4GHz/5GHz。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11.★整机上边框内置非独立式3个智能拼接摄像头，视场角≥141度且水平视场角≥139度，可拍摄≥1600万像素的照片，支持输出8192×2048分辨率的照片和视频，支持画面畸变矫正功能。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12.整机摄像头支持人脸识别、清点人数、随机抽人；识别所有学生，显示标记，随机抽选，同时显示标记不少于60人，支持距离摄像头位置≥10米距离的AI识别人脸。</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13.整机支持提笔书写，可实现无需点击任意功能入口，当检测到触控笔笔尖接触屏幕时，自动进入书写模式。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整机触摸支持动态压力感应，支持无任何电子功能的普通书写笔在整机上书写或点压时，整机能感应压力变化，书写或点压过程笔迹呈现不同粗细；支持手笔分离，通过提笔即写唤醒批注功能后，可进行手笔分离功能，使用笔正常书写，使用手指可以操作应用，进行点击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15.★整机支持上边框内置非独立摄像头模组，同时输出至少3路视频流，同时支持课堂远程巡课、课堂教学数据采集、本地画面预览（拍照或视频录制）。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整机支持文件传输应用，支持通过扫码、wifi直联、超声三种方式与手机进行连接，实现文件传输功能；接收的文件支持单份删除；接收的文件支持手动全部清空，为防止误清空，全部清空需要经过二次确认。</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17.★整机设备教学桌面的教师登录账号后，可自动获取并在桌面显示最近使用的教学课件，点击课件可直接进入授课模式；并支持查看所有个人教学课件资源。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二、插拔式电脑模块：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1.PC模块可抽拉式插入整机，可实现无单独接线的插拔，采用按压式卡扣，无需工具就可快速拆卸电脑模块。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2.PC模块和整机的连接采用万兆级接口，传输速率≥10Gbps。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3.电脑模块CPU要求：主频≥2.0GHz，8核心十二线程；内存≥8G，硬盘≥256G。</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color w:val="auto"/>
                <w:sz w:val="24"/>
                <w:szCs w:val="24"/>
                <w:highlight w:val="none"/>
              </w:rPr>
              <w:t xml:space="preserve">对带“★”技术参数，</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rPr>
                <w:rFonts w:hint="eastAsia" w:ascii="宋体" w:hAnsi="宋体" w:eastAsia="宋体" w:cs="宋体"/>
                <w:b/>
                <w:color w:val="auto"/>
                <w:sz w:val="24"/>
                <w:szCs w:val="24"/>
                <w:highlight w:val="none"/>
              </w:rPr>
              <w:t xml:space="preserve">。</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智慧讲桌</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1.讲桌为钢木结合设计,采用冷轧钢板桌体,钢版厚度≥1.0mm；讲桌采用双层木质桌面设计，上下层桌体木板厚度≥18mm。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2.讲桌最大承重为≥120kg，讲桌具备垂直平面水平位置≥110N推力位移仍不超过5mm的移动。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3.讲桌尺寸设计为长×宽×高≥1217mm×670mm×987mm，环抱老师式设计，根据人体力学设计，讲台桌面高度合适老师放置教学用品。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底部机柜尺寸设计为长×宽×高≥1100mm×545mm×520mm，机柜容量≥10U,可适装标准19英寸系列网络、通讯类产品，机柜内部带有标准机架和标准电脑主机空间，主机柜门带有磁吸式小门，无需打开柜门即可开关电脑。机柜门采用大面积散热孔设计，易于柜内设备的通风散热，避免设备损坏。前后门都可以打开，方便设备安装及维护，前后门只需要一把钥匙管理；</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智慧教育录播主机</w:t>
            </w:r>
            <w:r/>
          </w:p>
        </w:tc>
        <w:tc>
          <w:tcPr>
            <w:tcW w:w="6361" w:type="dxa"/>
            <w:textDirection w:val="lrTb"/>
            <w:noWrap w:val="false"/>
          </w:tcPr>
          <w:p>
            <w:pPr>
              <w:numPr>
                <w:ilvl w:val="0"/>
                <w:numId w:val="13"/>
              </w:num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录播主机采用嵌入式硬件设计，内置Linux操作系统，支持7*24小时工作；不接受PC架构以及服务器设计方式；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2.系统集成录播系统、音频处理、编解码技术为一体，更符合信息化行业有关产品发展微小型化、低功耗、智能化和高可靠性需求；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3.支持不小于4路高清3G-SDI、支持不小于2路HDMI输入接口；不小于3路HDMI接口视频输出；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4.为了满足部分双教学大屏场景，要求2路HDMI输入接口支持同时接入，能够实现两路HDMI信号采集、最高支持4K分辨率接入；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5.★主机内含6口交换机，其中支持不少于4口POE供电，满足多路网络信号接入需求；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6.为满足不同音频输入需求，主机音频支持不少于1路莲花（RCA）MICIN接口、1路凤凰端子MICIN接口、1路凤凰LINEIN接口可选，同时，主机应支持不少于1路凤凰端子、1路双莲花LINEOUT可选；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6.录播主机支持本地导播功能，接上鼠标、标准键盘与显示器就可实现无延时本地导播，可以扩展硬件导播台；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7.为了便于录播主机连接键鼠、导播控制键盘、USB移动存储设备，要求录播主机支持不小于3路USB接口；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8.主机包含Reset按键，可以实现出厂设置恢复，能够实时初始化系统状态；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9.主机前面板配置液晶屏，支持显示主机版本、IP地址等信息，实现清晰管理设备操控；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10.★控制接口不小6路，可用于控制摄像机云台与控制面板等设备，其中一路带供电，可直接对接控制面板、无需额外给控制面板提供电源；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11.系统内置跟踪功能，无需额外配置跟踪主机即可实现智能图像识别跟踪分析与处理功能，跟踪对象不需要佩戴任何辅助装置，便可对老师和学生的动作、移动进行准确定位、跟踪，清楚的记录整个教学活动；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12.系统内置不小于2T存储空间，支持双硬盘接入，最大支持不少于16T硬盘存储空间，录制文件既可存储在本地硬盘，可以上传到云资源管理平台或第三方FTP服务器；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13.支持H.323.SIP协议，能够对接第三方视频会议终端，实现互动场景录制；</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多媒体录播一体机软件</w:t>
            </w:r>
            <w:r/>
          </w:p>
        </w:tc>
        <w:tc>
          <w:tcPr>
            <w:tcW w:w="6361" w:type="dxa"/>
            <w:textDirection w:val="lrTb"/>
            <w:noWrap w:val="false"/>
          </w:tcPr>
          <w:p>
            <w:pPr>
              <w:numPr>
                <w:ilvl w:val="0"/>
                <w:numId w:val="0"/>
              </w:num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.为了更清楚了解系统状态，系统应支持版本信息、序列号、设备型号、硬盘空间、剩余硬盘空间、跟踪机位信息、网络连接、平台接入信息等显示；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.系统支持视频文件上传、下载、异常修复、本地点播、删除等基本功能，支持通过状态标记自动检测课件上传是否成功，对于状态标记上传失败的课件资源支持人工手动续传；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.系统支持插入外接移动存储设备一键拷贝下载功能，并可选择多路外接移动设备；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.★系统支持异常课件修复和课件列表修复功能，在录制过程中或其他不可抗拒因素导致设备突然断电使录制的课件异常时，可通过录播主机管理页面一键修复功能，修复异常课件为正常课件资源；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.系统支持输入音视频信号状态显示，如分辨率等；支持音频输入接口自由选择；</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.支持跟踪机位设置，支持根据具体配置选择系统状态，如四机位、三机位等模式选择，实现不同的跟踪录制效果；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.支持主机HDMI输出设定，支持分辨率、频率设置，支持HDMI输出音频开关；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.支持教室属性设置，如常规录播教室、互动教室；并可对互动协议进行自由选择，支持不少于H.323.SIP、私有协议等3种互动协议选择；</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录播系统支持双流、单流模式互动：单流互动时要求听讲教室一个屏幕即可显示主讲教室的人物视频主流画面与PPT或板书的辅流画面，并支持对主辅流合成布局进行设置；双流互动时，听讲教室使用两台显示器，分别显示主流老师画面与副流电脑PPT、板书画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.主讲教室可根据需要切换互动模式，如自由讨论、对讲模式等，各互动教室录播设备跟随互动模式变化，切换为对应的画面输出效果。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.支持与小组研讨协作教学系统联动，支持一键选择小组演示，此时录制画面为小组特写+小组演示PPT内容的两分屏图像，实现更精细化的研讨型教学课程录制效果；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.支持web端发起互动教学，包括呼叫、挂断等，可实时显示互动教学连接状态，方便管理；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.支持不少于6路流媒体图像设置，每一路均支持RTSP、RTMP、HTTP等协议自由选择，并可自由选择流媒体具体内容，如电影模式，老师特写/全景，学生特写/全景，电脑信号等；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.支持IPv4.IPv6协议、支持DHCP或手动设置IP地址支持网络状态检测、如上下行速度、网络抖动、丢包率等；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.提供管理员和访客两种用户管理，支持对用户进行密码修改设定，不同的用户是相同的后台操作应用；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.支持中控对接，可选串口中控和网络中控；对接物联网集控系统平台，将设备信息、状态以及基本的控制操作对接到物联网集控平台，如录制控制、直播开关等；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.支持对接厂家资源管理平台，实现录播集中管理，包括录制、直播、设备开关机状态、视频资源管理等应用；支持标准的FTP协议将文件上传到第三方FTP服务器进行文件统一管理；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.支持EDID修复功能，提升HDMI接入的兼容性；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.支持Openping开关，方便设备调试及网络问题处理；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老师高清云台双输出摄像机</w:t>
            </w:r>
            <w:r/>
          </w:p>
        </w:tc>
        <w:tc>
          <w:tcPr>
            <w:tcW w:w="6361" w:type="dxa"/>
            <w:textDirection w:val="lrTb"/>
            <w:noWrap w:val="false"/>
          </w:tcPr>
          <w:p>
            <w:p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1.要求相机包含云台、枪机一体化集成设计，支持全景、特写画面灵活切换；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2.支持HDMIout≥1.3G-SDI≥1.RJ45≥1.linein≥1，RS232in≥1.RS232out≥1；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4.支持TCP/IP,HTTP,RTSP,RTMP,Onvif,DHCP,组播等协议；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5.云台机位采用不低于1/2.8英寸高品质HDCMOS传感器，不低于72.5°高品质超广焦镜头，光学变焦≥12倍，并支持≥16倍数字变焦；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6.水平视场角72.5°~6.9°；垂直视场角：44.8°~3.9°。水平转动范围：±170°；垂直转动范围：-30°~+90°；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7.枪机机位采用不低于1/2.8英寸高品质HDCMOS传感器，有效像素≥207万，最低照度≥0、5Lux、快门速度：1/30s~1/10000s、信噪比≥55dB，支持2D和3D降噪。机身颜色灰色</w:t>
            </w:r>
            <w:r>
              <w:rPr>
                <w:rFonts w:hint="eastAsia" w:ascii="宋体" w:hAnsi="宋体" w:eastAsia="宋体" w:cs="宋体"/>
                <w:color w:val="auto"/>
                <w:sz w:val="24"/>
                <w:szCs w:val="24"/>
                <w:highlight w:val="none"/>
                <w:lang w:eastAsia="zh-CN"/>
              </w:rPr>
              <w:t xml:space="preserve">。</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学生高清云台双输出摄像机</w:t>
            </w:r>
            <w:r/>
          </w:p>
        </w:tc>
        <w:tc>
          <w:tcPr>
            <w:tcW w:w="6361" w:type="dxa"/>
            <w:textDirection w:val="lrTb"/>
            <w:noWrap w:val="false"/>
          </w:tcPr>
          <w:p>
            <w:p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1.要求相机包含云台、枪机一体化集成设计，支持全景、特写画面灵活切换；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2.支持HDMIout≥1.3G-SDI≥1.RJ45≥1.linein≥1，RS232in≥1.RS232out≥1；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4.支持TCP/IP,HTTP,RTSP,RTMP,Onvif,DHCP,组播等协议；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5.云台机位采用不低于1/2.8英寸高品质HDCMOS传感器，不低于72.5°高品质超广焦镜头，光学变焦≥12倍，并支持≥16倍数字变焦；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6.水平视场角72.5°~6.9°；垂直视场角：44.8°~3.9°。水平转动范围：±170°；垂直转动范围：-30°~+90°；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7.枪机机位采用不低于1/2.8英寸高品质HDCMOS传感器，有效像素≥207万，最低照度≥0、5Lux、快门速度：1/30s~1/10000s、信噪比≥55dB，支持2D和3D降噪。机身颜色灰色</w:t>
            </w:r>
            <w:r>
              <w:rPr>
                <w:rFonts w:hint="eastAsia" w:ascii="宋体" w:hAnsi="宋体" w:eastAsia="宋体" w:cs="宋体"/>
                <w:color w:val="auto"/>
                <w:sz w:val="24"/>
                <w:szCs w:val="24"/>
                <w:highlight w:val="none"/>
                <w:lang w:eastAsia="zh-CN"/>
              </w:rPr>
              <w:t xml:space="preserve">。</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音频处理主机</w:t>
            </w:r>
            <w:r/>
          </w:p>
        </w:tc>
        <w:tc>
          <w:tcPr>
            <w:tcW w:w="6361" w:type="dxa"/>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1.可通过USB进行远程输出，远程参考输入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软件升级和参数配置；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2.集成自动噪音抑制技术（去除包含空调、排气扇等噪音干扰）,保证声音质量；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3.6路差分输入，支持软硬件48V幻象供电开启关闭；</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4.3路Line-IN输入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5.3路Line-OUT输出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6.6路平衡输入可做16段EQ处理（其他输入、输出不作EQ处理）；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7.抗混响功能，课件、无线麦、吊麦按照优先级自动输出，确保音质清晰；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8.破音保护功能：防止学生齐声朗读时，输出破音，影响听感和舒适度；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9.两边同时互动，录制声音不卡顿、不掉字；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10.智能混音功能，保证音质清晰干净；</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11.NOMA功能～根据开启的MIC数量自动调整系统的输出电平，不会因为输入电平的叠加而使系统的输出增益提高；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12.语音抗混响功能，避免多路语音互相干扰，突出重要语音信号；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13.回声消除功能：无线麦克风、吊麦的混音需要进行AEC处理，参考信号为远程音频信号；</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全向麦</w:t>
            </w:r>
            <w:r/>
          </w:p>
        </w:tc>
        <w:tc>
          <w:tcPr>
            <w:tcW w:w="6361" w:type="dxa"/>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1.频率响应100Hz～18KHz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2.灵敏度-40dB±3dB（re0dB=1V/Pa@1kHz）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3.输出阻抗200Ω±30%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4.输出幅度Max300mV</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5.最大承受声压110dBSPL（A计权@1KHz，THD≤1%）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6.动态范围76dB（A）</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7.信噪比60dB（A)（re94dBSPL=1Pa@1KHz)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8.幻象供电直流48V</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9.输出连接器外置式3针小卡侬公头XLR-3-12C</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可视化控制面板</w:t>
            </w:r>
            <w:r/>
          </w:p>
        </w:tc>
        <w:tc>
          <w:tcPr>
            <w:tcW w:w="6361" w:type="dxa"/>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一、硬件部分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1.液晶面板尺寸≥7寸，支持TF存储卡接入，支持不少于2路USB接口；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2.支持不少于1路HDMI高清信号接口和1路3.5音频输出接口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二、软件部分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1.系统配置，支持输入录播用户名，密码，IP进行录播设备绑定。"</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2.支持设定锁屏密码，防止随意操作。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3.支持录播设备配置的资源平台以及互动平台地址的同步显示。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4.支持当前教室计划课程列表显示。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三、常规模式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1.支持常规录播控制，如录制、暂停、停止。"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2.支持导播模式选择，如自动导播，自动导播（屏蔽学生），以及手动导播（老师全景、学生全景、PPT）等，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3.支持对录播进行远程关机。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4.预留与第三方中控、物联等对接接口，可实现如声音控制、信号切换等功能。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5.支持录制课程中导播画面的预览。</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教育云资源管理平台</w:t>
            </w:r>
            <w:r/>
          </w:p>
        </w:tc>
        <w:tc>
          <w:tcPr>
            <w:tcW w:w="6361" w:type="dxa"/>
            <w:vAlign w:val="center"/>
            <w:textDirection w:val="lrTb"/>
            <w:noWrap w:val="false"/>
          </w:tcPr>
          <w:p>
            <w:pPr>
              <w:numPr>
                <w:ilvl w:val="0"/>
                <w:numId w:val="14"/>
              </w:num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1.为了保障资源安全，减少病毒与黑客破坏的风险，要求高清资源平台采用linux开源操作系统；支持国产化。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2.支持组织架构自定义设置，满足学校组织架构配置需求，支持用户批量导入功能，支持自定义角色权限管理，支持小组用户管理，能够满足分组授权的灵活需求；包括学生管理、班级管理等应用；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3.录播教室所录制的视频课件能够全自动上传到高清资源平台进行分类管理；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4.资源平台可查看注册到系统的录播设备开关机状态，可以远程开启与关闭录播教室的录制与直播；</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5.校级资源平台支持无缝对接至区域资源平台，满足直播、点播资源上传至上级系统综合管理需求；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6.系统首页支持通过后台配置，实现直播显示、课程展示、视频专辑、教育动态、视频和直播数据统计等模块开启或关闭，并支持对应模块名称自定义修改；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7.系统平台采用模块化设计，支持导航菜单功能自定义配置，用户可以自行新增功能菜单，并对菜单中功能进行自行配置，支持菜单排序、外链接跳转等应用；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8.支持PC端门户LOGO，后台LOGO，PC端Banner图，等自定义设置，PC端Banner图支持以链接形式进行配置，同时支持移动端LOGO、界面顶部Banner图自定义设置；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9.系统支持界面一键置灰功能，满足特殊纪念日界面显示要求；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10.支持视频窗口保持功能，当系统界面拖动时，能够将视频播放窗口缩小并保持在界面右下方持续播放，保证视频观看连续性；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11.支持扩展语音转写模块，支持跟资源平台对接，将直播，点播视频进行实时语音转文字，并可在直播或点播窗口生成语音实时字幕；</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12.支持对语音转写内容进行编辑，以修正识别错误的内容，如一些特殊专用词语等；支持批量纠错编辑，并根据用户的纠错编辑行为自动优化语音识别模型，提高语音识别转写的正确率；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13.支持虚拟切片，点击转写文字可快速跳转到对应的视频片段；支持编辑知识点，根据知识点快速定位视频片段；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14.支持生成PPT或板书图片资源；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二、系统功能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系统首页面支持视频直播、督导巡课、精品视频、视频专辑、微课展示、名师讲堂、资源中心、新闻公告等基本信息的展示，方便用户直接点击进入了解最新资讯和重要视频资源；支持列表显示教育新闻资讯信息，要求展现的教育资讯信息包含主题标题、发布者信息、关键词、发布具体时间以及当前被浏览次数；支持教育动态类目管理，支持不少于两级动态分类，满足学校不同教育资讯分类发布需求；支持用户对教育动态资讯进行在线评论，支持管理员评论审核后显示及在线回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课程管理：系统需要具备精品课程列表展示功能，支持按学科、学段、年级、册别、时间段等方式进行视频资源分类和检索；支持支持Word、Excel、PPT等课件上传，满足学生观看课程视频时同步对课程文档进行下载学习；支持视频的收藏，收藏视频可在用户个人空间内进行查看及播放；支持用户对视频进行评论功能，支持管理员对用户评论的审核或不审核设置，当关闭审核功能，则评论可直接显示，当开启审核设置，所有评论需经管理员审核方可演示，实现不良评论屏蔽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专辑管理：平台具备视频专辑管理功能，用户可以将多个视频文件建立视频专辑进行统一管理，支持公开发布、登录观看、暂不公开等观看权限设置，支持按照学科、学段、年级、册别等不同方式进行分类；视频专辑支持自定义专辑名称，支持专辑包含视频数量和浏览人数统计功能；支持一键播放专辑全部视频功能，并支持不少于3种播放布局，同时专辑内的视频支持按照最新发布、最多播放进行自动排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微课展示：要求平台具备在线微课制作功能，支持对已上传文件进行在线剪辑生成微课资源，支持片头、片尾图片上传及显示时间设定，支持按时间进行知识点编辑，在微课中设置多个知识点；支持按学科，学段，教材版本等进行知识点编辑，上传微课时可根据设定的知识点进行分类上传，并可同时上传微课对应的学习文档资料，支持doc、docx、xls、xlsx、ppt、pptx、pdf、txt等格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名师讲堂：平台具备名师讲堂功能，支持列表显示名师资源，可根据名师列表查看名师及视频展示；进入名师课堂主页，支持显示名师基本简介信息、视频数量、专辑数量、文档等，支持视频点播的次数显示，支持最新发布、最多播放排行；支持查看参与的课题组及课题组成员信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6.排行榜：平台具备视频排行榜功能，支持显示精品视频、专辑展示、微课展示、名师排行等分类并支持视频资源的自动排名，如按最新发布，最多播放等；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个人应用：支持个人中心应用，可以在个人中心上传自己的视频资源，并进行分类、专辑设置等，支持在线对上传的视频进行编辑，如片头片尾、剪辑、知识点等编辑，支持按语音转写字幕，OCR识别PPT知识点，自由选择起止时间等方式对视频进行在线编辑，支持多段视频剪辑合并；支持查看个人上传视频的互动信息，如问答、评论信息；支持对视频上传文档如doc、docx、xls、xlsx、ppt、pptx、pdf、txt等格式文件进行匹配，方便观看人员查看相关的教学资料。支持查看个人收藏的视频，支持教室预约；支持个人课表查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8.支持学生自主注册平台账号，支持发起视频观看权限申请，老师可在个人中心查看到相关申请并跟进行授权操作；支持个人课表查看；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提供智慧校园可视化模块，支持平台数据的校园地图化显示，如学院数、班级数、老师数、学生数、开课数据、教室建设情况及使用率数据统计，教师使用率排行，平台访问量变化曲线统计，平台实时动态等，支持在校园地图中点击对应的楼栋即可呈现该楼栋的相关数据如教室数，上课班级数，到课人数，上课老师数以及详细的每个教室的状态详情如是否上课，到课率，并可直接跳转到对应教师的实时上课画面进行观看，并呈现教室类型、主讲老师、上课班级、是否录制、是否直播等状态显示，支持画面布局调整，音量调节，字幕开关等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三、后台管理要求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用户管理：支持后台批量导入，后台可通过数据模版初始化导入用户数据，每个用户可自行管理个人账户信息；管理员具备用户信息编辑、用户锁定、用户解锁、删除、密码修改功能；支持按组织架构进行用户管理，支持用户分组管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录播管理：支持根据不同教室功能设置教室分类管理，支持教室分类多层级创建；支持绑定录播设备，实现录播设备远程管理，包括录播、直播状态监测显示、远程开关机、设备重启等操作；支持远程连接录播教室，支持对录播画面进行在线直播预览，支持电影模式、资源模式预览设置；支持课表联动录播设备实现自动开启录制功能，支持按照教室、预约周期、预约时间、有效日期、课时、主讲老师、年级、学段、学科、班级、是否直播等维度批量导入学校课程安排，实现完全自动化录播启动和资源上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直播管理：直播管理支持自定义创建直播频道，支持高清、标清模式自定义，支持直播流路数、节点模式、频道类型等选择；直播活动创建支持预约开始、立即开始、暂停、结束等多种直播状态可选，支持公开观看、登录观看、密码观看、分组观看等多种直播访问权限设置，支持评论开启、关闭，支持直播在线人数显示与隐藏设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视频管理：支持视频分类、支持视频编目自定义设置，支持视频编目项字典自定义编辑，可以根据不同年级、学科、学段、册别自行编辑内容项；支持视频列表形式展示所有平台视频，支持对任意视频设置推荐置顶；支持视频审核，能够在视频审核界面对待审核视频进行播放观看，支持删除视频和审核通过两种操作，支持多个视频选中进行批量审核；支持视频评论、问答管理界面，能够统一管理视频评论内容，支持设置自动答复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报表统计要求：支持直播峰值图表，所有直播活动能够自动生成直播统计报表，支持以柱状图形式显示在不同时间段同时在线观看人数统计结果；支持直播观看信息查看，支持获取观看用户IP地址、登入、登出时间、在线时长、观看设备类型等统一展示；支持直播用户分布图，能够以中国地图形式呈现全国各地观看观众数，并根据不同用户数量能够以不同颜色进行标记显示；支持视频峰值、视频播放量、视频播放时长、视频播放量排行、视频观看用户、日志管理等统计分析模块，帮助学校老师充分了解各视频查看统计结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新闻管理：支持新闻分类设置，支持新闻发布，设置封面、分类、标题、关键字、摘要、新闻内容等信息，支持上传新闻附件格式支持doc、docx、xls、xlsx、ppt、pptx、pdf、txt等；支持对新闻评论内容进行管理，如审核、回复、删除等；</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CPU：不低于16核，内存：不低于32G，硬盘：不低于4T</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操作台</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配套定制</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导播键盘</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1.采用基于USB线缆传输的硬件导播控制键盘，本地导播可直连录播主机，远端导播直连导播电脑即可，即插即用，不需要安装驱动以及任何插件。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2.导播控制键盘支持课件录制的开始、暂停、停止，可针对导播进行手动、自动、半自动的模式切换。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3.导播控制键盘支持不少于5种画面布局的按键切换，支持不少于4种特效的按键切换。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4.导播控制键盘支持导播画面的主流输出与预监输出的切换。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5.导播键盘支持不少于6路视频预置位存储与调用。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6.导播控制键盘支持六轴操纵杆，手柄上有云台控制、镜头变焦、导播切换功能，控制按键采用橡胶+微动方式，使用寿命可达100万次。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7.导播控制键盘含LED背光，当按下功能键，相对应背光会亮起。</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观摩电视机</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尺寸：≥50英寸全高清液晶监看电视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分辨率：1920*1080dpi</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可视角度：≥170°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屏幕比例：16：9</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显示器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主机显示器，23.8寸全高清护眼，VGA+DVI接口</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监听音箱</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高保真有源监听2.0音箱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输出功率：21W+21W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频率响应范围：60HZ-20KHZ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信噪比：≧85dBA。</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尺寸：≥600*600*1200，钢质机柜</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线材</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视频线、电源线、音频线、网线、HDMI线等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观课椅子（带书写板）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背框pp塑料一次成型，坐板内为多层板加高密度海绵，弹力布饰面，架子为冷轧钢管国标1.2mm厚度经酸洗，弯管，喷涂而成，不易生锈，pp塑料扶手，带防磨脚垫，可加万向轮，整体可折叠</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电影机</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影像系统</w:t>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传感器：全画幅禅思X9相机 </w:t>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6K/60fps，4K/120fps，双原生ISO 800/5000</w:t>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动态范围：14.7档，支持D-Log、HLG和Rec.709</w:t>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编码格式：内录Apple ProRes RAW、ProRes 422 HQ、H.264，支持ACES标准色彩流程</w:t>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四轴云台技术</w:t>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创新Z轴防抖：消除传统三轴稳定器无法抑制的垂直抖动，支持跑动、车拍等场景的稳定运镜</w:t>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模块化设计：主机与云台相机（X9）分体式结构，可拆装侧手柄、提手、电池等组件，整机重量约5.1kg（含附件）</w:t>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 激光对焦系统</w:t>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LiDAR测距：43200个测距点，探测距离10米，弱光下仍可精准对焦</w:t>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智能模式：支持单点、广域、人物追踪对焦，透明/玻璃物体除外</w:t>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手动辅助：可视化示波器显示焦点距离，兼容自动/手动镜头</w:t>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 无线图传与协作</w:t>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O3 Pro图传：6公里超远距离传输，支持1080p/60fps多设备监看，AES 256-bit加密</w:t>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团队协作：导演、摄影师、跟焦员可通过独立界面协同操作</w:t>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 存储与续航</w:t>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存储介质：CFexpress Type-B卡及外接SSD（需DJI PROSSD 1TB）</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电池续航：TB50电池支持2.5小时拍摄，快充1.5小时充满</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装修</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教室按照100平米计算，具体要求如下：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1.地面吸音处理：采用环保、耐磨的塑胶地板。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2.门窗：遮光窗帘，外层采用黑色遮光材料，内层采用吸音毛料，颜色要与整个教室相协调；门采用标准防盗门，能够180度开关；窗子在原有基础上增加一层铝塑门窗，降低外界声音的干扰。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3.隔断观察窗采用单向透明材质玻璃，并进行相应的隔音处理，便于听课间教师单向观察授课间课堂教学情况</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bookmarkStart w:id="221" w:name="_Toc13986"/>
            <w:r>
              <w:rPr>
                <w:rFonts w:hint="eastAsia" w:ascii="宋体" w:hAnsi="宋体" w:eastAsia="宋体" w:cs="宋体"/>
                <w:b/>
                <w:bCs/>
                <w:color w:val="auto"/>
                <w:sz w:val="24"/>
                <w:szCs w:val="24"/>
                <w:highlight w:val="none"/>
              </w:rPr>
              <w:t xml:space="preserve">烹饪教室</w:t>
            </w:r>
            <w:bookmarkEnd w:id="221"/>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操作台</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1.尺寸：≥2100*700*800mm±10mm；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2.材质：实木多层板+人造大理石；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3.工艺：柜体采用E1级实木多层板，厚度18mm/25mm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面贴三聚氰胺纸，断面采厚度≧1.0mmPVC直封边制作；台面采用人造大理石制作，防水易清洁。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4.功能：可收纳各种教材器具，取用方便;底部设有万向脚轮，方便移动。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可移动收纳柜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1.尺寸：≥680*260*700mm±10mm；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2.材质：采用≥18mm</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E1级环保颗粒板；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3.工艺：柜体采用E1级颗粒板，厚度25/18mm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面贴三聚氰胺纸，断面采厚度≧1.0mmPVC直封边制作。导轨尺寸：300*18*25mm，材质：ABS，螺丝孔位间距198mm，收纳盒尺寸：302*212*80mm，材质：PP新料。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4.功能：配置PP收纳盒，可收纳各种教学用具，底部设有万向脚轮，移动取用方便。</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低背椅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1.尺寸：≥W430xD425xH550-座高440mm；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2.材质：PP+钢管；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工艺：面板采用PP新料一体注塑成型。椅腿钢管尺寸：钢管直径22mm，壁厚1.8mm，满焊焊接，表面采用高温粉体烤漆，耐腐蚀，不易生锈；脚垫采用PP纤维质塑胶一体成型，防滑、耐用、耐摩擦；坐凳下配有防滑垫，便于悬挂于桌面。</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置物柜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1.尺寸：≥1800*450*1800mm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2.材质：采用≥18mm</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E1环保颗粒板；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3.工艺：柜体采用E1级颗粒板，厚度18mm/25mm，面贴三聚氰胺纸，断面采厚度≧1.0mmPVC直封边制作，带玻璃门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更衣柜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1.尺寸：≥800*450*1800mm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2.材质：采用≥18mm</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E1级环保颗粒板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3.工艺：柜体采用E1级环保颗粒板，厚度18mm/25mm，面贴三聚氰胺纸，断面采厚度≧1.0mmPVC直封边制作，带玻璃门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水槽柜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1.尺寸：≥2350*600*750mm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2.材质：多层板+人造石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3.工艺：柜体采用E1级多层板，厚度18mm/25mm，面贴三聚氰胺纸，断面采厚度≧1.0mmPVC直封边制作，配2个不锈钢水槽，水槽大小为400*450mm.安装方式为台下盆。</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工具墙</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1.尺寸：≥4200*150*900mm±10mm；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2.材质：实木多层板+冷轧钢板；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3.工艺：储物格采用E1级实木多层板，厚度18mm，面贴三聚氰胺纸，断面采厚度≧1.0mmPVC直封边制作；工具墙采用1.5mm厚冷轧钢板，表面采用高温粉体烤漆，耐腐蚀，不易生锈；</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4.功能：模块化集成工具墙，储物格安全环保不易变形，可收纳工具及展示作品，工具墙可自行配置不同功能的挂钩，可悬挂各种工具及螺丝螺钉等。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电蒸锅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材质：304不锈钢材质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功率：≥1600W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额定电压：220V</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外形尺寸：≥37cm*39cm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聚热量，快速出汽，营养美食不久等，食品级不锈钢，更加安心，13L大容量，上下共三层，可以烹饪更多美食，缺水防干烧，内置温控器，锅内无水，自动断电，免看管安心蒸，多种烹饪模式，自由安排。</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用途：用于蒸面食。</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电压力锅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额定电压：220v</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产品容量：≥5L</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尺寸：≥31.4cm*31.5cm*33.8cm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电压力锅，大屏操作，一键排气，球形双胆，铜匠大火，12大功能菜单，双重安全指示，多样蒸煮功能，防烫保护，漏电保护，晶瓷直胆，拉丝机身，可拆内盖，单手开盖，防烫手柄，散热底部。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用途：用于烹饪各种美食。</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电动榨汁机</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材质：食品级PP+304不锈钢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额定电压：220V</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容量：≥500ml</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功率：≥400W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尺寸：≥30cm*21cm*31.8cm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双档速率，无论质地软硬，统统顺滑，榨汁时高度切碎果肉，使果渣和水分分离更彻底，食品接触级材质，安全无毒无污染，贴心果汁隔沫设计，果汁清透不浮沫，分离设计一冲即净。</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用途：用于榨各种果蔬汁。</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电烤箱</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1.功能要求：完成烘焙的教学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2.主要参数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内腔容量：100L；温度控制：100度～250度；控制方式：机械控制</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厨师机</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额定电压：220v</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额定功率：≥1200w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产品容量：≥5L</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面盆材质：不锈钢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尺寸：≥38.4cm*22cm*35cm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全金属齿轮更耐用，食品级304不锈钢和面桶，IC芯片控制保证揉面运行速度均匀稳定，防溅加料盖，防止食物外溅，加厚强力吸盘，牢牢吸住桌面。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用途：用于和面。</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面条机</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材质：ABS外壳+PP材料压面轴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尺寸：≥28cm*19cm*23cm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全身可水洗，不易生锈，刀头可拆卸，清洗方便不留污垢，不锈钢食品级PP材质，ABS手摇杆，底座固定栓。</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用途：用于压面和制作面条。</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蛋糕机</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材质：电木外壳+不粘锅烤盘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电压：220V</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功率：≥750w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不锈钢烤盘能快捷换盘轻松取下，人性化底座设计，避免在加热时损伤桌面半餐，采用高效发热管，能快速做出美味蛋糕，特级不粘涂层，绿色健康，卡扣灵活，一键固定开关。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用途：用于制作蛋糕等。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炒锅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材质：不粘材质、多层复合底</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尺寸：口径≥30cm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不粘材质是WHITFORD炊具涂料品牌，采用的仿荷叶不粘工艺，能够长久不粘锅，厚底薄壁，均匀受热。</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用途：用于炒菜。</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汤锅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材质：不粘材质、多层复合底</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尺寸：口径≥22cm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不粘材质是WHITFORD炊具涂料品牌，采用的仿荷叶不粘工艺，能够长久不粘锅，厚底薄壁，均匀受热。</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用途：用于熬汤。</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电动打蛋器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额定电压：220V</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额定功率：≥100w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机身材质：食品级ABS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尺寸：≥18cm*13cm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双棒配置，效率加倍，铜质电机，强劲动力，线圈，耐磨耐用，运行稳定，噪音低。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用途：用于打散蛋液、奶油等。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晾面架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尺寸：≥45cm*40cm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无漆无蜡、纯手工制作，古朴自然。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用途：用于晾面。</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收纳盒</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材质：PP材质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规格：≥32cm*23.5cm*17.5cm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选用环保PP材质，无毒无味，边缘打磨精细光滑，防水防潮，安全放心。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用途：用于收纳材料。</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硅胶屉布</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材质：高密度纳米级硅胶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规格：≥27cm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食品级材质，安全无异味，且不利于细菌滋生，久用不变黄，耐高温320℃，不变形，防油防水，不粘面粉，一冲即净，可高温消毒。</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用途：用于蒸食物。</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片</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豆浆过滤袋</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材质：纱布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尺寸：≥20cm*30cm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网孔细密均匀，过滤干净，不留残渣，抽绳束口设计，使用方便，包边设计无毛边。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用途：用于过滤豆浆。</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安全用刀</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材质：小麦秸秆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尺寸：水果刀≥22.8cm*3.5cm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蔬菜刀≥31.5cm*4.3cm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厨师刀≥29.5cm*7.6cm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PP材质，安全健康，可切割各种食材，安全不伤手，人体工学设计，使用方便，防滑手柄，握感舒适。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用途：用于切菜、水果等使用。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刀架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材质：亚克力</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尺寸：≥16cm*12cm*23cm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采用亚克力材质，折弯一体成型，环保无毒，多刀具收纳，开口通风设计，干净透气不滋生细菌。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用途：用于摆放刀具。</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手动打蛋器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材质：201不锈钢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尺寸：长度≥30.5cm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不锈钢选材，A级抛光+磨光工艺，双重质感，光滑不伤手。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用途：用于打散鸡蛋液。</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米面箱</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材质：环保PP材质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尺寸：≥33cm*23cm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采用新环保PP材料制作，健康环保，材质密度高，做工精细，柔韧度高。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用途：用于盛面。</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揉面垫</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材质：食品级硅胶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尺寸：≥40cm*50cm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柔软的硅胶材质，无缝注塑工艺，安全无害，刻度清晰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用途：用于揉面</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切蛋器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材质：环保PP+304不锈钢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尺寸：≥14cm*10cm*7.5cm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优选环保PP+304不锈钢，严格把控原料，安全无异味，可放心接触食物，304不锈钢切丝，硬度高，切蛋干净利落，可折叠收纳，更省空间。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用途：用于切割鸡蛋和水果。</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玉米取粒器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材质：环保塑料材质+食品级不锈钢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尺寸：≥11.5cm*13cm*7.3cm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采用环保材质制作，健康环保、材质密度高，结实耐用，安全防割伤，使用更放心，剥粒干净，粒粒饱满，多功能应用，更加便捷。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用途：用于提取玉米粒。</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切面刀</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材质：食用级PP</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尺寸：≥13.2cm*9.4cm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食品级PP塑料加厚用料,表面光滑易清洗，一体成型，柔韧性好，坚固耐用不易折断。</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用途：用于切面。</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擀面杖</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材质：榉木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尺寸：≥25cm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精选榉木，打磨光滑无毛刺，圆弧边设计手感舒适，一体成型，光滑无缝不粘面，经久耐用。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用途：用于擀面皮。</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水果器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材质：不锈钢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尺寸：≥22cm*6.8cm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精选材料，放心接触食材，圆润舒适手柄，有效减少手腕疲劳。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用途：用于水果的挖球和去果籽。</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硅胶铲勺</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材质：食品级硅胶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尺寸：铲子≥32.3cm*9.4cm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汤勺≥28.5cm*8.5cm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漏勺≥28.5cm*9.3cm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饭铲≥22.3cm*6.6cm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精选食品级硅胶材料，放心接触食材，柔软耐磨，不损坏锅体，耐高温材质，不易变形，挂钩设计，收纳不占地，强大承重，稳定有牢固。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用途：用于炒菜、盛饭等使用。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压泥器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材质：430不锈钢+TPR手柄</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尺寸：≥12.3cm*7.3cm*17.5cm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宽大耐热手柄，防滑材质，握感舒适，网孔均匀分布，便于压碎土豆泥。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用途：用于土豆、红薯等压泥。</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不锈钢盆（小）</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材质：201不锈钢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尺寸：≥28cm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精选201不锈钢精铸而成，一次冲压成型，卷边设计，圆润边沿，表面光洁如镜，容易清洗。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用途：用于洗菜、盛放面团等。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不锈钢盆（中）</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材质：201不锈钢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尺寸：≥30cm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精选201不锈钢精铸而成，一次冲压成型，卷边设计，圆润边沿，表面光洁如镜，容易清洗。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用途：用于洗菜、盛放面团等。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不锈钢盆（大）</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材质：201不锈钢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尺寸：≥32cm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精选201不锈钢精铸而成，一次冲压成型，卷边设计，圆润边沿，表面光洁如镜，容易清洗。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用途：用于洗菜、盛放面团等。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筷子</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材质：玻纤高分子聚合物</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尺寸：≥24cm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采用高分子材料和玻纤维合成，具有高硬度、耐磨性、高韧性、耐腐蚀等特点，可水煮或消毒柜进行消毒，无漆无蜡无毒，防滑易夹不脱落。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用途：用于夹取食物。</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勺子</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材质：不锈钢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尺寸：≥16.5cm*4.1cm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加厚食品级不锈钢材质，耐腐蚀，无毒无异味，精打细磨，边缘圆润光滑。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用途：用于舀取食物。</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菜板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材质：PP+PET</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尺寸：≥33.6cm*6.8cm*23.2cm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一套由4个板组成，选用pp+pet材质，方便好用，功能多样，久用不易发霉，拒绝菌从口入，合理分类生、熟、鲜、蔬，不易串味方便料理。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用途：用于切菜或切肉。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安全擦丝器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材质：ABS+304不锈钢刀片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尺寸：≥10.5cm*11.5cm*32cm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采用高级ABS塑料和不锈钢刀片，材质安全健康，手柄光滑舒适，隐藏式储物盒，存放刀片更方便，底部硅胶防滑垫更安全，配有安全性护手器，使用更放心。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用途：用于食材处理。</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削皮器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材质：PP+不锈钢刀片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尺寸：≥11cm*4.5cm*2cm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不锈钢刀片，经久耐用，创意开刃方法，削水果皮薄且不断，手指扣设计，不易打滑，削皮省力，精致小巧，一器多用。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用途：用于削皮。</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调料盒</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材质：PP</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尺寸：≥26cm*8cm*8cm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加厚材质，使用安心，防虫防潮，抽拉拿取更方便。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用途：用于盛放调料。</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碗</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尺寸：≥11.2cm*5.8cm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纯粹的白色，简洁线条，造型别致，突出质感，瓷质细腻，釉面光滑好清洁。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用途：用于装米饭等食物。</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方盘子</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尺寸：≥7英寸、8英寸、10英寸</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一套包含3种尺寸的盘子，无铅无毒，绿色环保安全，小器物，大容量，洁白如玉的瓷面，晶莹剔透，高温烧制，结实致密，耐高温，瓷质坚硬。</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用途：用于盛放食物。</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鱼盘子</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尺寸：≥30.5*21*4cm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无铅无毒，绿色环保安全，小器物，大容量，洁白如玉的瓷面，晶莹剔透，高温烧制，结实致密，耐高温，瓷质坚硬。</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用途：用于盛放食物。</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白色盘子</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材质：陶瓷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尺寸：≥19cm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哑光釉面，优雅、简约美观时尚的同时也便于清洁，带一点深度设计，防止汤水溢出。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用途：用于水果蔬菜摆盘。</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盘子架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材质：楠竹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尺寸：≥30cm*11.5cm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楠竹原料，质地坚硬无毛刺，无异味，不褪色，自然肌理，古朴美观。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用途：用于盘子沥水。</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模具挂钩</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材质：实木挂钩、PVC贴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尺寸：≥6cm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加厚PVC材料，强力黏胶，加大贴片，承重面积更大更牢固。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用途：用于挂模具。</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冷却架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材质：高碳钢+不粘图层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尺寸：≥34cm*24cm*19.5cm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弧形网脚，不易剐蹭台面，受力均匀不易晃动，放置稳固，加粗钢线，焊接牢固，使用更长久。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用途：用于面包、饼干等通风散热。</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圆形月饼模具</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材质：食品级ABS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尺寸：≥14.7cm*5.2cm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食品级PP塑料加厚用料,韧性好质感足，金属杆和螺丝、弹簧采用镀锌不锈铁材质，经久耐用，表面光滑无毛刺，脱模容易。</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用途：用于制作月饼。</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方形月饼模具</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材质：食品级ABS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尺寸：≥14.7cm*6.7cm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食品级PP塑料加厚用料,韧性好质感足，金属杆和螺丝、弹簧采用镀锌不锈铁材质，经久耐用，表面光滑无毛刺，脱模容易。</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用途：用于制作月饼。</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欧式西点盘（大）</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材质：食品级PC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尺寸：≥38cm*28.5cm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绿色环保食品级材料，加厚密胺，表面硬度高，耐刻画，耐腐蚀，耐高温，使用安全。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用途：用于盛放糕点。</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欧式西点盘（中）</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材质：食品级PC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尺寸：≥33cm*24.6cm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绿色环保食品级材料，加厚密胺，表面硬度高，耐刻画，耐腐蚀，耐高温，使用安全。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用途：用于盛放糕点。</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欧式西点盘（小）</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材质：食品级PC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尺寸：≥26.7cm*20cm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绿色环保食品级材料，加厚密胺，表面硬度高，耐刻画，耐腐蚀，耐高温，使用安全。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用途：用于盛放糕点。</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学生一次性手套</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材质：食品级PE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规格：≥100只/包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贴合手型，佩戴舒适，密封材质无渗透，防滑设计很灵活，韧性强更耐拉扯，安全方便卫生。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用途：用于制作美食。</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教师一次性手套</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材质：食品级PE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规格：≥100只/包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贴合手型，佩戴舒适，密封材质无渗透，防滑设计很灵活，韧性强更耐拉扯，安全方便卫生。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用途：用于制作美食。</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面包夹</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材质：304不锈钢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尺寸：≥22cm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加宽夹面，省时省力，镜面抛光工艺，边缘打磨光滑，手感舒适。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用途：用于夹取面包。</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计时器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材质：ABS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尺寸：≥10*6cm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机械转动无需电池，简单省心，定时更准确，ABS环保材质，耐高温，耐腐蚀，抗冲击。</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用途：用于计时。</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量杯</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材质：食品级PP</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规格：≥500ml</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食品级PP塑料加厚用料，平滑无刺激，刻度清晰准确，原材料一次铸成，透明度高，安全无毒。</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用途：用于量取和面用的汁或水。</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量勺</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材质：食品级PP塑料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尺寸：≥1.25g、2.5g、5g、7.5g、15g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食品级PP塑料加厚用料，表面平滑，刻度清晰准确。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用途：用于称量。</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电子秤</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材质：HIPS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尺寸：≥19.5cm*15.2cm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承重量：≥3kg精度0.1g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反水称面，沾水也不影响使用，结构力耐重，耐磕碰，防滑脚垫，放于桌面不易滑动，背光LCD显示屏，读数清晰。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用途：用于称量。</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分蛋器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材质：PP塑料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尺寸：≥12cm*6cm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麦秸秆材质，健康环保，卡槽设计不易掉，底部花型镂空设计，过滤效果好。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用途：用于蛋清分离。</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面粉筛</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材质：不锈钢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尺寸：直径≥14cm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精选食品级不锈钢材质，安全放心，不易生锈，耐腐蚀性强，网眼细密，过滤更细腻，加长手柄更方便。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用途：用于筛面。</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铝箔纸</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材质：加厚铝箔</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尺寸：≥30cm*1000cm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耐热性强，加厚耐烤，防油防粘，剪裁方便，可塑性强。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用途：用于防止食物烤焦。</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卷</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硅油纸</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材质：双面硅加工耐油纸</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尺寸：≥30cm*500cm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健康环保植物性硅油，防油防粘，干净卫生。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用途：用于烘焙。</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卷</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保鲜膜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材质：食品PE级材质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尺寸：≥30cm*3000cm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高强度PE原料，柔韧耐用，密封严实，锁住新鲜。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用途：用于保鲜食物。</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卷</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保鲜袋</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材质：食品PE级材质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规格：≥100只/卷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高强度PE原料，柔韧耐用，密封严实，锁住新鲜。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用途：用于保鲜食物。</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卷</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蛋糕铲</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材质：食品级硅胶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尺寸：≥28cm*5.4cm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精选原料，安全环保，一体成型设计，经久耐用，耐高温，易清洗。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用途：用于烘焙料理。</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油刷</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材质：食品级硅胶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尺寸：≥16.5cm*3cm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硅胶刷头柔软弹性好，不掉毛，不易断裂，刷油均匀。</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用途：用于学生刷油。</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把</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牙签</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材质：毛竹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尺寸：≥4.8cm*8cm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天然毛竹牙签，瓶装500支，翻盖设计，方便省力，双头设计，打磨精细，无毛刺，不分叉。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用途：用于品尝食物。</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竹签</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材质：竹子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尺寸：≥20cm*0.25cm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一捆由100根组成，天然材质，签头45°角削尖，韧性强，加工，不易折断，精心打磨，安心穿串不伤手。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用途：用于制作糖葫芦。</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捆</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物料碗</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材质：亚克力</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尺寸：≥17cm*7.3cm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表面光华不粗糙，纯密胺材质光泽度好，高档健康、耐热。</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用途：用于盛放物料。</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无土栽培架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材质：食品级PP</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尺寸：架每层高≥25cm*35cm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架子是由四层组合而成，不锈钢管坚固耐用，倒角设计，不易生锈，底部滑轮承重力强，制动开关防止滑动，三通链接部件，装配牢固稳定性强，全新力学原理设计，受重不弯曲。</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用途：用于培育蔬菜。</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育苗托盘</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材质：食品级PP</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尺寸：盘≥33cm*26cm*8.5cm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育苗盘分上下两层，上层筛网设计，下层蓄水设计，芽苗根部扎透网格盘接触底盘水分，吸收营养，让芽苗菜更粗壮，带盖保温保湿，出芽率高生长更快，韧性更强，经久耐用，加密网格，小粒豆不漏。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用途：用于培育蔬菜。</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食品夹</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材质：食品级PP</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尺寸：≥7cm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防潮保鲜，用于塑料软袋和已经开过包装的生鲜食品在密封保存时使用。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用途：用于保鲜食物。</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防烫夹</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材质：PP+不锈钢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尺寸：≥12.5cm*3cm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适合不同角度，能进微波炉夹取，小缝隙也能夹，适应性更广，硅胶夹头更加防滑。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用途：用于夹取盘子。</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防烫手套</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材质：硅胶+棉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尺寸：≥14cm*28cm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双层防烫设计，耐高温无异味，防水硅胶可入热水取物，五指凸点设计，防滑更实用。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用途：用于拿取加热后的器具。</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副</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铁艺挂钩</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材质：木+铁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尺寸：≥39cm*12cm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木质与铁艺的搭配组合，温馨自然，背面木质与铁艺结合部分为螺丝旋紧，稳固结实，正面英文字母印刷清晰，美观大气。</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用途：用于悬挂毛巾。</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小毛巾</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材质：纤维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尺寸：≥25cm*25cm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手感柔软，吸水速度快，经久耐用。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用途：用于擦拭双手。</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手绢</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材质：超细纤维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尺寸：≥30cm*30cm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超细纤维，手感柔软，吸水速度快，经久耐用。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用途：栽培植物保湿作用。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便携式农药残留检测仪（硝酸盐）</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1.功能要求：开展食品安全、果蔬清洗教学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2.主要参数：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尺寸：大致手机大小，手持使用；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测试项目：蔬菜水果肉类鱼类硝酸盐；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硝酸盐测量范围：0-9999毫克/公斤；</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测量误差：&lt;10%；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屏幕：液晶屏；</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80款双玻百叶隔断（定制)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80款双玻百叶隔断的材质主要包括：</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‌框架‌：通常采用钛镁铝合金，厚度为1.4mm，表面经过6次以上氟碳喷涂处理，具有不掉色、不褪色的特点‌3。</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‌玻璃‌：一般使用5mm厚的钢化玻璃，也可以选择磨砂或防火玻璃‌14。</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‌百叶窗‌：宽度16mm，可以通过手动旋钮。</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烹饪教室及文化</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采用1cm厚雪弗板经UV打印后贴2mm透明亚克力制成，包含烹饪教室规章制度、安全管理制度、中小学烹饪文化</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运费及安装</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bookmarkStart w:id="222" w:name="_Toc20199"/>
            <w:r>
              <w:rPr>
                <w:rFonts w:hint="eastAsia" w:ascii="宋体" w:hAnsi="宋体" w:eastAsia="宋体" w:cs="宋体"/>
                <w:b/>
                <w:bCs/>
                <w:color w:val="auto"/>
                <w:spacing w:val="-1"/>
                <w:sz w:val="24"/>
                <w:szCs w:val="24"/>
                <w:highlight w:val="none"/>
              </w:rPr>
              <w:t xml:space="preserve">家政室</w:t>
            </w:r>
            <w:bookmarkEnd w:id="222"/>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平面石膏板吊顶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白色乳胶漆饰面，包含筒灯</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实木床</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1.尺寸：≥1.5m*2m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2.箱框床床头床尾床边橡胶木实木材质床子床板松木实木材质抽屉底板实木多层板材质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乳胶棕垫</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厚度：≥21cm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被子</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尺寸：≥1.5m*2m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低枕深度睡眠</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深度睡眠记忆枕</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高枕无忧</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全棉缎条白鹅绒枕</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床上四件套</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尺寸：≥1.5米床单，被套，枕套（2只）</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圆桌</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1.尺寸：≥2米圆桌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2.性质：加厚耐高温岩板，碳素钢框架，加厚加宽设计，工业级材质，结构稳定，耐腐蚀，不生锈</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3.配带12把椅子</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桌布</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1.材质：pu皮料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2.尺寸：适应2m圆桌</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边柜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1.规格：≥2m*0.85m*0,4m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2.材质：采用≥18mm环保级E1环保颗粒板</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直身杯</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尺寸：≥330ml</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高脚杯</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尺寸：≥350ml</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白酒水晶杯</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容量：≥15ml</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水晶直款分酒器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容量：≥100ml</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醒酒器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1.容量：≥1500ml</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2.材质：碳酸玻璃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3.颜色：无色透明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4.耐热：0-90°以内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5.工艺：机制工艺</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摆盘餐具10件套</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1.7英寸浅盘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2.4.5英寸翅碗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3.勺子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4.味碟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5.茶杯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6.筷架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7.毛巾碟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8.10英寸垫盘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9.筷子一双</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家政教室文化</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采用1cm厚雪弗板经UV打印后贴2mm透明亚克力制成，包含家政教室规章制度、安全管理制度、中小学家政文化</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bookmarkStart w:id="223" w:name="_Toc20268"/>
            <w:r>
              <w:rPr>
                <w:rFonts w:hint="eastAsia" w:ascii="宋体" w:hAnsi="宋体" w:eastAsia="宋体" w:cs="宋体"/>
                <w:b/>
                <w:bCs/>
                <w:color w:val="auto"/>
                <w:sz w:val="24"/>
                <w:szCs w:val="24"/>
                <w:highlight w:val="none"/>
              </w:rPr>
              <w:t xml:space="preserve">化妆间</w:t>
            </w:r>
            <w:bookmarkEnd w:id="223"/>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镜子</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1.尺寸：≥80*180cm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2.材质：深胡桃木，实木防滑托底带支架</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化妆柜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尺寸：≥170cm*100cm*40com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材质：采用≥18mm环保级E1环保颗粒板</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附带小柜子一个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凳子一个</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bookmarkStart w:id="224" w:name="_Toc4927"/>
            <w:r>
              <w:rPr>
                <w:rFonts w:hint="eastAsia" w:ascii="宋体" w:hAnsi="宋体" w:eastAsia="宋体" w:cs="宋体"/>
                <w:b/>
                <w:bCs/>
                <w:color w:val="auto"/>
                <w:sz w:val="24"/>
                <w:szCs w:val="24"/>
                <w:highlight w:val="none"/>
              </w:rPr>
              <w:t xml:space="preserve">校史馆</w:t>
            </w:r>
            <w:bookmarkEnd w:id="224"/>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顶面粉刷石膏层机器打磨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白水泥或者耐水腻子墙面铲除</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87</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照明线路铺设</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定位-开剔槽-清理-铺管-线槽清扫-水泥砂浆或石膏补槽（潮湿位置必须使用水泥砂浆）-表面粘贴专用纸带或玻纤布抗裂。PVC</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87</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单层9.5mm纸面石膏板平面吊顶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轻钢龙骨封边，涂刷防火涂料，9.5mm纸面石膏板白乳胶粘贴罩面，嵌缝及粘贴纸带。人工，机械，材料综合单价包干。</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67</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单层9.5mm纸面石膏板直线跌级制作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轻钢龙骨封边，涂刷防火涂料，9.5mm纸面石膏板白乳胶粘贴罩面，嵌缝及粘贴纸带。人工，机械，材料综合单价包干。</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单层9.5mm普通纸面石膏板直线灯槽费</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轻钢龙骨封边，涂刷防火涂料，9.5mm纸面石膏板白乳胶粘贴罩面，嵌缝及粘贴纸带。人工，机械，材料综合单价包干。</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单层9.5mm普通纸面石膏板曲线灯槽费</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轻钢龙骨封边，涂刷防火涂料，9.5mm纸面石膏板白乳胶粘贴罩面，嵌缝及粘贴纸带。人工，机械，材料综合单价包干。</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软膜天花基层制作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顶面打点找平安装1.5mm欧松板基层。人工，机械，材料综合单价包干。</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曲面轨道射灯基层制作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顶面打点找平安装1.5mm欧松板基层。人工，机械，材料综合单价包干。</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米</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单层9.5mm纸面石膏板异型吊顶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轻钢龙骨封边，涂刷防火涂料，9.5mm纸面石膏板白乳胶粘贴罩面，嵌缝及粘贴纸带。人工，机械，材料综合单价包干。</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发光软膜天花</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采用特殊的聚氯乙烯材料制成，0.15-0.5mm厚，延展性佳，燃烧性能等级为B1级，采用玻璃纤维高强度纱制成其燃烧等级为A2</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6.8</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软膜天花安装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人工及机械。</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6.8</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轨道射灯</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黑色轨道射灯，≥4500k。</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筒灯</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筒灯，≥4500k。</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铝格栅吊顶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0.5厚铝板方格栅表面喷塑，U型轻钢次龙骨LB45x48，U型轻钢主龙骨CB38x12，◇8钢筋吊杆，吊挂件、角线。</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格栅灯</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格栅灯。</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灯具安装</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人工开孔安装膨胀螺栓固定-灯具组装-灯具安装-运行检查。人工费及机械费。</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地面防静电处理</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使用水泥地面固化剂涂刷.</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87</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强电路铺设</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定位-开剔槽-清理-铺管-线槽清扫-水泥砂浆或石膏补槽（潮湿位置必须使用水泥砂浆）-表面粘贴专用纸带或玻纤布抗裂。PVC</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87</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弱电路铺设</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定位-开剔槽-清理-铺管-线槽清扫-水泥砂浆或石膏补槽（潮湿位置必须使用水泥砂浆）-表面粘贴专用纸带或玻纤布抗裂。PVC</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87</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地面粉刷找平</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人工清理，涂刷一遍界面剂，水泥砂浆配制，现场拌制，找平，表面收平，养护。</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87</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彩色拼花PVC地板</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定制品。材料，人工及机械。</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87</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拆除墙体</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人工及机械。</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墙面粉刷石膏层机器打磨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白水泥或者耐水腻子墙面铲除。</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140</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墙面粉刷找平</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人工清理，涂刷一遍界面剂，水泥砂浆配制，现场拌制，墙面找平，表面收平，养护。</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140</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异型墙体基层制作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轻钢龙骨封边，涂刷防火涂料，OSB木工板打底切割造型，9.5mm纸面石膏板白乳胶粘贴罩面切割造型，嵌缝及粘贴纸带。人工，</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直线展柜定制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定制品。材料，人工及机械。</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25.9</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异型展台定制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定制品。材料，人工及机械。</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米</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展示区墙面基层制作</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轻钢龙骨封边，涂刷防火涂料，OSB木工板打底切割造型，9.5mm纸面石膏板白乳胶粘贴罩面切割造型，嵌缝及粘贴纸带。人工，</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隔音板定制造型</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定制造型隔音板</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安装配件及人工</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安装配件及人工，机械。</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防火木门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定制品，1600*2400mm，1100*2400mm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6.48</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弧形七色不锈钢彩虹弯弧定制</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定制品。材料，人工及机械。</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墙顶石膏找平找直</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石膏找平-表面收平，人工，机械，材料综合单价包干。</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138</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墙顶面贴单层玻纤网格布</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人工裁切玻纤网格布→粘接或压接单层玻纤网格布，玻纤网格布应垂直错缝铺装，搭接处不小于150.人工，机械，材料综合单价</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138</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披刮墙称</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工艺;批刮高级墙泥2-3遍—打磨砂纸材料，人工及机械。</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138</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乳胶漆涂刷</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乳胶漆底漆一遍、面漆两遍。人工，机械，材料综合单价包干。</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138</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垃圾清运</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将有我方装修所产生的垃圾运至装修垃圾存放点。定期清理外运至区域内垃圾掩埋场</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87</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成品保护</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采用EPE保护膜保护。现场地面，大理石等易磨损装饰成品进行保护，使用硬质成品保护（纤维板），须提前预埋件，送至现场</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87</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临时设施费及安全防护</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安全警示标志牌，现场围挡，企业标识等，如通道口。</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材料运输</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所有装修材料运输及人工搬运</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设备运杂</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装修设备运输，装卸，包装，仓储</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设计制作图</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装饰施工图，效果图，定制品深化图纸等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间接管理</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工作人员交通食宿</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室内LED大屏显示系统</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1.屏幕类型：LED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2.像素点间距：≤1.86mm；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3.像素构成：1R1G1B，灯珠采用铜线SMD1515封装；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4.驱动方式：恒流驱动；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5.模组单元尺寸：320mm×160mm；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6.物理像素密度：≥289050点数/m²（IRIGIB）；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7.驱动方式：1/64S扫恒流驱动；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8.最大亮度：≥600cd/㎡；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9.刷新率：≥3840HZ；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10.对比度≥10000：1；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11.平整度：表面平整无明显缝隙，屏幕平整度≤0.08㎜；</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12.屏幕水平视角：≥175度；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13.调整精度：0.01mm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14.屏幕垂直视角：≥175度；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15.模块化设计：支持接收卡和电源即插即用；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16.像素点失控率≤1/1000000，无连续失控点；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17.使用寿命：≥10万小时：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18.发光点中心距偏差&lt;1%；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19.LED显示屏通过产品智能节电检测，产品带有智能（黑屏）节电功能，开启智能节电功能比没有开启可节能80%以上；</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20.LED显示屏通过阻燃防火测试，模块的壳体、面罩、PCB、防护胶的阻燃等级均达到V0级；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21.LED显示屏通过电磁兼容检测辐射骚扰（EMC）测试，30MHz~1000MHz；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22.噪音要求屏体工作噪音&lt;1.5m的范围内要求≤4DB；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23.LED显示屏通过盐雾试验，产品具有防盐雾功能；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24.LED显示屏支持超高清显示，采用独有的画质增强技术，有效提高图像清晰度，高速画面流畅无拖影；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25.LED显示屏可支持集成3D、触摸屏和体感游戏等功能，提高娱乐性与互动性；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26.LED显示屏上下左右包边5CM,，需对显示屏安装现场钢结构焊接等辅助材料，显示箱体框架必须考虑重力荷载、地震、温度、美观等作用下具有足够可靠的安全性。</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专业主控</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1.4路千兆网口输出；总带载260万像素点，单网口带载65万像素点，整机最宽最高3840x1920像素。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2.最大输入分辨率：1920X1200@60Hz。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3.丰富的输入接口：VGAx1.DVIx1.HDMI1.3x1.AUDIOx1。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4.具备1路DVILOOP环出，支持多机级联。</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5.前面板直观的LCD显示界面，清晰的按键灯提示，简化了系统的控制操作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6.支持画面全屏缩放、点对点显示、自定义缩放三种缩放模式。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7.支持多个信号输入通道之间的无缝切换或者淡入淡出，以增强并呈现专业品质的演示画面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8.支持快捷连屏，不需要通过计算机软件调试，只需对一个旋钮和一个按钮，进行简单操作即可完成显示屏快速连屏。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9.支持创建8个用户场景作为模板保存可直接调用，方便使用，支持一键进入用户场景作为模板保存、调用界面。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10.支持双画面显示功能（HDMI、DVI可同时双画面显示），可实现画中画或画外画，大小等均可调节。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11.支持定时信号切换，定时亮度调节。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12.图文叠加、抠图合成功能，方便实现字幕叠加、图像合成效果。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13.支持独立音频输入、音频分离输出。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14.支持自定义输出分辨率，自定义输入EDID。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15.支持上位机软件监控发送卡运行参数及状态。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16.支持设备电压、温度自检测。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17.支持云平台管理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18.支持RS232串口接中控。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19.支持数据巡检，大屏更换接收卡后，免调试，工程文件“一键”巡检修复数据</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全彩控制接收卡</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1.单卡集成12个HUB75E接口，无需再配转接板，更方便，成本更低；减少接插连接件，减少故障点，故障率更低。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2.最大带载像素512*512，常规芯片512*384，PWM芯片512*512，单卡最大支持24组RGB并行数据。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3.支持逐点亮色度校正，可以对每个灯点的亮度和色度进行校正，有效消除色差，使整屏的亮度和色度达到高度均匀一致，提高显示屏的显示画质效果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4.支持亮暗线快速调节，在调试软件上进行快速亮暗线调节，快速解决因箱体及模组拼接造成的显示屏亮暗线问题，调试过程实时显示调试效果，简单易用。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5.支持18bit灰度输出，LED显示屏灰阶提升4倍，有效处理低亮时灰度丢失问题，画质还原度高，逼真绚丽。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6.支持画面360°任意角度旋转镜像显示，异型构造屏幕可以通过旋转、镜像实现正常连贯画面显示，无需定制视频内容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7.支持模组快速抽行抽列抽点，任意裁剪功能，异形灯板只需要走一个常规矩形，通过裁剪功能快速抽点，轻松点亮异形灯板。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8.支持多模块带载，单卡支持大小板、三角板等32种不同的模组。</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9.支持箱体参数回读，软件可以回读接收卡配置参数并保存到本地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10.模组标记功能开启，每张模组上会显示数字，清楚的告诉你当前模组是接收卡的那个卡口，直观的看到接收卡排线连接状况，数据接口可快速自定义，在也不怕模组排线乱插</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箱体标记功能开启，每个箱体上会显示数字，清楚告诉您当前箱体是哪个网口下的哪张接收卡，直观的看到显示屏连接状况。从此让箱体排查变得轻松简单，快速定位问题箱体，再也无需再爬上爬下，根据走线更改连屏文件即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12.支持网线环路备份，当其中一条线路出现故障时，另一条线路会即时工作，保证显示屏正常工作显示。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13.支持网线误码率检测，监测接收卡间通讯时传输链路上的数据丢包情况。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14.支持RGB独立Gamma调节，通过对“红Gamma”、“绿Gamma”、“蓝Gamma”分别进行调节，有效控制显示屏低灰不均匀、白平衡漂移等问题，使画面更加真实，提高色彩调节的灵活性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15.支持DC3.5V~5.5V超宽工作电压。</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LED电源</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输出功率：200WMax</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泄漏电流：&lt;1mA(Vin：230)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工作温度：-30℃~60℃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散热方式：自冷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储存温度：-40~80℃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输入电压：200-240Vac,47-63H</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w:t>
            </w:r>
            <w:r>
              <w:rPr>
                <w:rFonts w:hint="eastAsia" w:ascii="宋体" w:hAnsi="宋体" w:eastAsia="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212×82×30MM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专业音柱</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乳白色铝合金壳体和网罩，工程级塑料盖板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技术参数：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1．额定功率：30W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2．定压输入：110V</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3．灵敏度：92dB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4．频率响应：70-16KHz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5．喇叭单元：4"低音×2+高音*1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6.材质：铝合金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7.尺寸：</w:t>
            </w:r>
            <w:r>
              <w:rPr>
                <w:rFonts w:hint="eastAsia" w:ascii="宋体" w:hAnsi="宋体" w:eastAsia="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456*150*96mm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专业功放</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银色铝合金拉丝面板1.5U</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两路话筒输入，两路线路输入可独立音量调节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可插U盘或SD卡播放MP3音乐，并带LED数码管状态显示。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具有高低音独立调节功能。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定压输出110V/70V，定阻输出4-160，并有LED电平指示。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尺寸：430/240/65MM</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智能配电柜</w:t>
            </w:r>
            <w:r/>
          </w:p>
        </w:tc>
        <w:tc>
          <w:tcPr>
            <w:tcW w:w="6361"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主要功能：1.含主控开关、分路控制开关、接地端子等控制元件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2.含配电箱、避雷器：配电箱具有防雷、分步启动过流﹑过压保护功能；具有防腐、防锈、防尘的功能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3.采用定时器智能控制；具有无人值守功能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4.电气防护具有过流、短路、断路、过压等保护措施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5.能实现对LED显示屏定时控制上电，实现多时段智能定时开关屏电源</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运输费用</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运输+钢结构+安装调试+包边</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w:t>
            </w:r>
            <w:r/>
          </w:p>
        </w:tc>
      </w:tr>
      <w:tr>
        <w:trPr>
          <w:trHeight w:val="300"/>
        </w:trPr>
        <w:tc>
          <w:tcPr>
            <w:gridSpan w:val="4"/>
            <w:tcW w:w="9749" w:type="dxa"/>
            <w:vAlign w:val="center"/>
            <w:textDirection w:val="lrTb"/>
            <w:noWrap w:val="false"/>
          </w:tcPr>
          <w:p>
            <w:pPr>
              <w:jc w:val="center"/>
              <w:spacing w:line="276" w:lineRule="auto"/>
              <w:rPr>
                <w:rFonts w:hint="eastAsia" w:ascii="宋体" w:hAnsi="宋体" w:eastAsia="宋体" w:cs="宋体"/>
                <w:b/>
                <w:bCs/>
                <w:color w:val="auto"/>
                <w:sz w:val="24"/>
                <w:szCs w:val="24"/>
                <w:highlight w:val="none"/>
              </w:rPr>
            </w:pPr>
            <w:r/>
            <w:bookmarkStart w:id="225" w:name="_Toc17572"/>
            <w:r>
              <w:rPr>
                <w:rFonts w:hint="eastAsia" w:ascii="宋体" w:hAnsi="宋体" w:eastAsia="宋体" w:cs="宋体"/>
                <w:b/>
                <w:bCs/>
                <w:color w:val="auto"/>
                <w:sz w:val="24"/>
                <w:szCs w:val="24"/>
                <w:highlight w:val="none"/>
              </w:rPr>
              <w:t xml:space="preserve">生活适应训练室</w:t>
            </w:r>
            <w:bookmarkEnd w:id="225"/>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VR教育平台</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虚拟现实设备让受训者真实感受特殊环境氛围，让训练者在任何环境快速开展单人应激类、反应类、手眼协调类、肢体动作协调类的模拟训练，在复杂的沉浸式虚拟环境中接受模拟训练，通过多次的反复训练提高效率。沉浸式训练不受地点和硬件配置的限制，能够提供持续稳定模拟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有效改善体验者的压力、焦虑、恐怖等不良状态.能更好的提升技能,强化心理素质,给教育、军工和心理咨询机构带来重大革新,推动人类社会良性发展.为训练者生理和心理方面的紧张状态,可使正常人提高健康水平,还可作为缓解心理问题的辅助手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设备尺寸：≥2.4m*2.4m*2.4m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设备电压：220V、设备功率：≥1500W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设备重量：≥150kg、设备承重：≥200kg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设备材质：钣金、亚克力、灯带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主机显示屏参数：</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CPU：不低于i5-9400F</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显卡：不低于GeForceGTX1660；内存：不低于8GB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硬盘：不低于120SSD+1T硬盘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显示设备：不低于50寸</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VR头戴技术参数：</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双眼分辨率≥2880x1700、刷新率≥90Hz、视场角≥110度</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音频：立体声耳机、输入：集成麦克风</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人体工学设计：翻盖式面罩、可调整焦距、可调试头带，支持配戴眼镜</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VR操控手柄：使用无线操控手柄与虚拟现实世界进行互动。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其他配件：无线键鼠、电源线等</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生活适应体验</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VR电子支付（超市购物）：模拟超市购物场景，实现超市购物流程的训练及体验。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VR共享单车：模拟共享单车出行场景，实现共享单车出行流程的训练及体验。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VR网上购物：模拟网上购物场景，实现网上购物流程的训练及体验。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VR公交车乘车：模拟公交车乘车场景，实现公交车乘车流程的训练及体验。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VR网约车出行：模拟网约车出行场景，实现网约车出行流程的训练及体验。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VR看病就医：模拟看病就医场景，实现看病就医流程的训练及体验。</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0"/>
        </w:trPr>
        <w:tc>
          <w:tcPr>
            <w:tcW w:w="179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安全科普</w:t>
            </w:r>
            <w:r/>
          </w:p>
        </w:tc>
        <w:tc>
          <w:tcPr>
            <w:tcW w:w="6361"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VR溺水：VR溺水体验，通过VR情景实现溺水求救及逃生科普。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VR校园踩踏事件：VR校园踩踏事件体验，通过VR情景实现发生校园踩踏事件时如何正确自救及撤离科普。</w:t>
            </w:r>
            <w:r/>
          </w:p>
        </w:tc>
        <w:tc>
          <w:tcPr>
            <w:tcW w:w="808"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W w:w="78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bl>
    <w:p>
      <w:pPr>
        <w:ind w:firstLine="482"/>
        <w:spacing w:line="360" w:lineRule="auto"/>
        <w:rPr>
          <w:rFonts w:hint="eastAsia" w:ascii="宋体" w:hAnsi="宋体" w:eastAsia="宋体"/>
          <w:b/>
          <w:bCs/>
          <w:sz w:val="24"/>
          <w:highlight w:val="none"/>
        </w:rPr>
      </w:pPr>
      <w:r>
        <w:rPr>
          <w:rFonts w:hint="eastAsia" w:ascii="宋体" w:hAnsi="宋体" w:eastAsia="宋体"/>
          <w:b/>
          <w:bCs/>
          <w:sz w:val="24"/>
          <w:highlight w:val="none"/>
        </w:rPr>
        <w:t xml:space="preserve">四、合同履行期限和地点</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1.合同履行期限：</w:t>
      </w:r>
      <w:r>
        <w:rPr>
          <w:rFonts w:hint="eastAsia" w:ascii="宋体" w:hAnsi="宋体" w:eastAsia="宋体" w:cs="Times New Roman"/>
          <w:sz w:val="24"/>
          <w:highlight w:val="none"/>
        </w:rPr>
        <w:t xml:space="preserve">60日历天内完成全部工作</w:t>
      </w:r>
      <w:r>
        <w:rPr>
          <w:rFonts w:hint="eastAsia" w:ascii="宋体" w:hAnsi="宋体" w:eastAsia="宋体" w:cs="Times New Roman"/>
          <w:sz w:val="24"/>
          <w:highlight w:val="none"/>
        </w:rPr>
        <w:t xml:space="preserve">。</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2.免费质量保修期：</w:t>
      </w:r>
      <w:r>
        <w:rPr>
          <w:rFonts w:hint="eastAsia" w:ascii="宋体" w:hAnsi="宋体" w:eastAsia="宋体" w:cs="Times New Roman"/>
          <w:sz w:val="24"/>
          <w:highlight w:val="none"/>
        </w:rPr>
        <w:t xml:space="preserve">货物免费质保期三年，系统软件免费质保期五年</w:t>
      </w:r>
      <w:r>
        <w:rPr>
          <w:rFonts w:hint="eastAsia" w:ascii="宋体" w:hAnsi="宋体" w:eastAsia="宋体" w:cs="Times New Roman"/>
          <w:sz w:val="24"/>
          <w:highlight w:val="none"/>
        </w:rPr>
        <w:t xml:space="preserve">。</w:t>
      </w:r>
      <w:r/>
    </w:p>
    <w:p>
      <w:pPr>
        <w:ind w:firstLine="480"/>
        <w:spacing w:line="360" w:lineRule="auto"/>
        <w:rPr>
          <w:rFonts w:hint="eastAsia" w:ascii="宋体" w:hAnsi="宋体" w:eastAsia="宋体"/>
          <w:b/>
          <w:bCs/>
          <w:sz w:val="24"/>
          <w:highlight w:val="none"/>
        </w:rPr>
      </w:pPr>
      <w:r>
        <w:rPr>
          <w:rFonts w:hint="eastAsia" w:ascii="宋体" w:hAnsi="宋体" w:eastAsia="宋体" w:cs="Times New Roman"/>
          <w:sz w:val="24"/>
          <w:highlight w:val="none"/>
        </w:rPr>
        <w:t xml:space="preserve">3.质量标准：合格。</w:t>
      </w:r>
      <w:r/>
    </w:p>
    <w:p>
      <w:pPr>
        <w:ind w:firstLine="482"/>
        <w:spacing w:line="360" w:lineRule="auto"/>
        <w:rPr>
          <w:rFonts w:hint="eastAsia" w:ascii="宋体" w:hAnsi="宋体" w:eastAsia="宋体"/>
          <w:b/>
          <w:bCs/>
          <w:sz w:val="24"/>
          <w:highlight w:val="none"/>
        </w:rPr>
      </w:pPr>
      <w:r>
        <w:rPr>
          <w:rFonts w:hint="eastAsia" w:ascii="宋体" w:hAnsi="宋体" w:eastAsia="宋体"/>
          <w:b/>
          <w:bCs/>
          <w:sz w:val="24"/>
          <w:highlight w:val="none"/>
        </w:rPr>
        <w:t xml:space="preserve">五、</w:t>
      </w:r>
      <w:bookmarkStart w:id="226" w:name="OLE_LINK58"/>
      <w:r>
        <w:rPr>
          <w:rFonts w:hint="eastAsia" w:ascii="宋体" w:hAnsi="宋体" w:eastAsia="宋体"/>
          <w:b/>
          <w:bCs/>
          <w:sz w:val="24"/>
          <w:highlight w:val="none"/>
        </w:rPr>
        <w:t xml:space="preserve">付款方式</w:t>
      </w:r>
      <w:r/>
    </w:p>
    <w:p>
      <w:pPr>
        <w:ind w:firstLine="480"/>
        <w:spacing w:line="360" w:lineRule="auto"/>
        <w:rPr>
          <w:rFonts w:hint="eastAsia" w:ascii="宋体" w:hAnsi="宋体" w:eastAsia="宋体"/>
          <w:sz w:val="24"/>
          <w:highlight w:val="none"/>
        </w:rPr>
      </w:pPr>
      <w:r>
        <w:rPr>
          <w:rFonts w:hint="eastAsia" w:ascii="宋体" w:hAnsi="宋体"/>
          <w:b/>
          <w:bCs/>
          <w:sz w:val="24"/>
          <w:highlight w:val="none"/>
        </w:rPr>
        <w:t xml:space="preserve">合同签订后7日内支付合同总价的30%作为预付款（中标人须提供合同总价30%的预付款银行保函），中标人按要求将货物送到指定地点并完成安装调试且经甲方验收合格后付至审计价的70%，验收合格满一年后付至审计价的85%，验收合格满二年后付至审计价的95%，余款在</w:t>
      </w:r>
      <w:r>
        <w:rPr>
          <w:rFonts w:hint="eastAsia" w:ascii="宋体" w:hAnsi="宋体"/>
          <w:b/>
          <w:bCs/>
          <w:sz w:val="24"/>
          <w:highlight w:val="none"/>
          <w:lang w:eastAsia="zh-CN"/>
        </w:rPr>
        <w:t xml:space="preserve">验收合格满五年后</w:t>
      </w:r>
      <w:r>
        <w:rPr>
          <w:rFonts w:hint="eastAsia" w:ascii="宋体" w:hAnsi="宋体"/>
          <w:b/>
          <w:bCs/>
          <w:sz w:val="24"/>
          <w:highlight w:val="none"/>
        </w:rPr>
        <w:t xml:space="preserve">一次性按审计价结清。（结算时，乙方须提供税务发票。收到发票后10个工作日内结算）。</w:t>
      </w:r>
      <w:bookmarkEnd w:id="226"/>
      <w:r/>
      <w:r/>
    </w:p>
    <w:p>
      <w:pPr>
        <w:ind w:firstLine="480"/>
        <w:spacing w:line="360" w:lineRule="auto"/>
        <w:rPr>
          <w:rFonts w:hint="eastAsia" w:ascii="宋体" w:hAnsi="宋体" w:eastAsia="宋体"/>
          <w:sz w:val="24"/>
          <w:highlight w:val="none"/>
        </w:rPr>
      </w:pPr>
      <w:r>
        <w:rPr>
          <w:rFonts w:ascii="宋体" w:hAnsi="宋体" w:eastAsia="宋体"/>
          <w:sz w:val="24"/>
          <w:highlight w:val="none"/>
        </w:rPr>
        <w:t xml:space="preserve">当采购数量与实际使用数量不一致时，乙方应根据实际使用量供货，合同的最终结算金额按实际使用量乘以成交单价进行计算。</w:t>
      </w:r>
      <w:r/>
    </w:p>
    <w:p>
      <w:pPr>
        <w:ind w:firstLine="482"/>
        <w:spacing w:line="360" w:lineRule="auto"/>
        <w:rPr>
          <w:rFonts w:hint="eastAsia" w:ascii="宋体" w:hAnsi="宋体" w:eastAsia="宋体"/>
          <w:b/>
          <w:bCs/>
          <w:sz w:val="24"/>
          <w:highlight w:val="none"/>
        </w:rPr>
      </w:pPr>
      <w:r>
        <w:rPr>
          <w:rFonts w:hint="eastAsia" w:ascii="宋体" w:hAnsi="宋体" w:eastAsia="宋体"/>
          <w:b/>
          <w:bCs/>
          <w:sz w:val="24"/>
          <w:highlight w:val="none"/>
        </w:rPr>
        <w:t xml:space="preserve">六、质量保证</w:t>
      </w:r>
      <w:r/>
    </w:p>
    <w:p>
      <w:pPr>
        <w:ind w:firstLine="480"/>
        <w:spacing w:line="360" w:lineRule="auto"/>
        <w:rPr>
          <w:rFonts w:hint="eastAsia" w:ascii="宋体" w:hAnsi="宋体" w:eastAsia="宋体" w:cs="华文中宋"/>
          <w:sz w:val="24"/>
          <w:highlight w:val="none"/>
        </w:rPr>
      </w:pPr>
      <w:r>
        <w:rPr>
          <w:rFonts w:hint="eastAsia" w:ascii="宋体" w:hAnsi="宋体" w:eastAsia="宋体" w:cs="华文中宋"/>
          <w:sz w:val="24"/>
          <w:highlight w:val="none"/>
        </w:rPr>
        <w:t xml:space="preserve">1.本章内容是根据采购人招标项目的实际需求制定的，涉及采购的货物服务应满足本章“四、采购内容及技术参数”要求。</w:t>
      </w:r>
      <w:r/>
    </w:p>
    <w:p>
      <w:pPr>
        <w:ind w:firstLine="480"/>
        <w:spacing w:line="360" w:lineRule="auto"/>
        <w:rPr>
          <w:rFonts w:hint="eastAsia" w:ascii="宋体" w:hAnsi="宋体" w:eastAsia="宋体" w:cs="华文中宋"/>
          <w:sz w:val="24"/>
          <w:highlight w:val="none"/>
        </w:rPr>
      </w:pPr>
      <w:r>
        <w:rPr>
          <w:rFonts w:hint="eastAsia" w:ascii="宋体" w:hAnsi="宋体" w:eastAsia="宋体" w:cs="华文中宋"/>
          <w:sz w:val="24"/>
          <w:highlight w:val="none"/>
        </w:rPr>
        <w:t xml:space="preserve">2.投标人报价应为人民币含税全包价，包括招标文件规定的完成通过合同验收并正常运转所必需的有关产品的设计、生产、包装、保险、运输、装卸、安装、调试、培训、税费、验收、保修服务等货到采购人指定地点的一切费用（即交钥匙工程）。一旦中标，招标人不再追加支付任何费用。</w:t>
      </w:r>
      <w:r/>
    </w:p>
    <w:p>
      <w:pPr>
        <w:ind w:firstLine="480"/>
        <w:spacing w:line="360" w:lineRule="auto"/>
        <w:rPr>
          <w:rFonts w:hint="eastAsia" w:ascii="宋体" w:hAnsi="宋体" w:eastAsia="宋体" w:cs="华文中宋"/>
          <w:sz w:val="24"/>
          <w:highlight w:val="none"/>
        </w:rPr>
      </w:pPr>
      <w:r>
        <w:rPr>
          <w:rFonts w:hint="eastAsia" w:ascii="宋体" w:hAnsi="宋体" w:eastAsia="宋体" w:cs="华文中宋"/>
          <w:sz w:val="24"/>
          <w:highlight w:val="none"/>
        </w:rPr>
        <w:t xml:space="preserve">3.所投货物及其有关服务必须符合中华人民共和国的设计和制造生产标准或行业标准。若中标后，投标人必须按合同规定完成设备的安装调试，并达到验收标准。</w:t>
      </w:r>
      <w:r/>
    </w:p>
    <w:p>
      <w:pPr>
        <w:ind w:firstLine="480"/>
        <w:spacing w:line="360" w:lineRule="auto"/>
        <w:rPr>
          <w:rFonts w:hint="eastAsia" w:ascii="宋体" w:hAnsi="宋体" w:eastAsia="宋体" w:cs="华文中宋"/>
          <w:sz w:val="24"/>
          <w:highlight w:val="none"/>
        </w:rPr>
      </w:pPr>
      <w:r>
        <w:rPr>
          <w:rFonts w:hint="eastAsia" w:ascii="宋体" w:hAnsi="宋体" w:eastAsia="宋体" w:cs="华文中宋"/>
          <w:sz w:val="24"/>
          <w:highlight w:val="none"/>
        </w:rPr>
        <w:t xml:space="preserve">4.投标人应保证货物是全新、未使用过的原装合格产品（包括零部件），并完全符合招标文件规定的质量、规格和性能的要求。投标人应保证所提供的货物经正确安装、正常运转和保养后，在其使用寿命期内应具有满意的性能。在货物质量保证期内投标人应对由于设计、工艺或者材料的缺陷而发生的任何不足或者故障负责。</w:t>
      </w:r>
      <w:r/>
    </w:p>
    <w:p>
      <w:pPr>
        <w:ind w:firstLine="480"/>
        <w:spacing w:line="360" w:lineRule="auto"/>
        <w:rPr>
          <w:rFonts w:hint="eastAsia" w:ascii="宋体" w:hAnsi="宋体" w:eastAsia="宋体" w:cs="华文中宋"/>
          <w:sz w:val="24"/>
          <w:highlight w:val="none"/>
        </w:rPr>
      </w:pPr>
      <w:r>
        <w:rPr>
          <w:rFonts w:hint="eastAsia" w:ascii="宋体" w:hAnsi="宋体" w:eastAsia="宋体" w:cs="华文中宋"/>
          <w:sz w:val="24"/>
          <w:highlight w:val="none"/>
        </w:rPr>
        <w:t xml:space="preserve">5.当招标文件中的技术要求以及货物备品备件的互换性标准与国家标准或者行业标准等不一致时，应以国家标准或者行业标准等为准。</w:t>
      </w:r>
      <w:r/>
    </w:p>
    <w:p>
      <w:pPr>
        <w:ind w:firstLine="480"/>
        <w:spacing w:line="360" w:lineRule="auto"/>
        <w:rPr>
          <w:rFonts w:hint="eastAsia" w:ascii="宋体" w:hAnsi="宋体" w:eastAsia="宋体" w:cs="华文中宋"/>
          <w:sz w:val="24"/>
          <w:highlight w:val="none"/>
        </w:rPr>
      </w:pPr>
      <w:r>
        <w:rPr>
          <w:rFonts w:hint="eastAsia" w:ascii="宋体" w:hAnsi="宋体" w:eastAsia="宋体" w:cs="华文中宋"/>
          <w:sz w:val="24"/>
          <w:highlight w:val="none"/>
        </w:rPr>
        <w:t xml:space="preserve">6.所投产品须承诺不侵犯他人知识产权或专利，若侵犯他人知识产权或专利等所有法律问题，均由中标人负责。</w:t>
      </w:r>
      <w:r/>
    </w:p>
    <w:p>
      <w:pPr>
        <w:pStyle w:val="1022"/>
        <w:ind w:firstLine="482"/>
        <w:spacing w:line="360" w:lineRule="auto"/>
        <w:rPr>
          <w:rFonts w:hint="eastAsia" w:ascii="宋体" w:hAnsi="宋体" w:eastAsia="宋体" w:cs="仿宋"/>
          <w:bCs/>
          <w:sz w:val="24"/>
          <w:highlight w:val="none"/>
        </w:rPr>
      </w:pPr>
      <w:r>
        <w:rPr>
          <w:rFonts w:hint="eastAsia" w:ascii="宋体" w:hAnsi="宋体" w:eastAsia="宋体" w:cs="仿宋"/>
          <w:bCs/>
          <w:sz w:val="24"/>
          <w:highlight w:val="none"/>
        </w:rPr>
        <w:t xml:space="preserve">7.货物如需第三方出具检测或验收报告的，所产生的相关费用由中标人承担。</w:t>
      </w:r>
      <w:r/>
    </w:p>
    <w:p>
      <w:pPr>
        <w:pStyle w:val="1022"/>
        <w:ind w:firstLine="482"/>
        <w:spacing w:line="360" w:lineRule="auto"/>
        <w:rPr>
          <w:rFonts w:hint="eastAsia" w:ascii="宋体" w:hAnsi="宋体" w:eastAsia="宋体" w:cs="仿宋"/>
          <w:bCs/>
          <w:sz w:val="24"/>
          <w:highlight w:val="none"/>
        </w:rPr>
      </w:pPr>
      <w:r>
        <w:rPr>
          <w:rFonts w:hint="eastAsia" w:ascii="宋体" w:hAnsi="宋体" w:eastAsia="宋体" w:cs="仿宋"/>
          <w:bCs/>
          <w:sz w:val="24"/>
          <w:highlight w:val="none"/>
        </w:rPr>
        <w:t xml:space="preserve">8.如货物需与采购人信息化系统做接口，由中标人与信息化系统单位联系，根据信息化需求完成系统对接，所产生的费用由中标人承担。如采购人有其他系统或设备需接入中标产品等一系列工作，中标人须无条件免费开放接口接入（不允许以任何理由收取任何与其相关的一切费用）。</w:t>
      </w:r>
      <w:r/>
    </w:p>
    <w:p>
      <w:pPr>
        <w:pStyle w:val="1022"/>
        <w:ind w:firstLine="482"/>
        <w:spacing w:line="360" w:lineRule="auto"/>
        <w:rPr>
          <w:rFonts w:hint="eastAsia" w:ascii="宋体" w:hAnsi="宋体" w:eastAsia="宋体" w:cs="仿宋"/>
          <w:bCs/>
          <w:sz w:val="24"/>
          <w:highlight w:val="none"/>
        </w:rPr>
      </w:pPr>
      <w:r>
        <w:rPr>
          <w:rFonts w:hint="eastAsia" w:ascii="宋体" w:hAnsi="宋体" w:eastAsia="宋体" w:cs="仿宋"/>
          <w:bCs/>
          <w:sz w:val="24"/>
          <w:highlight w:val="none"/>
        </w:rPr>
        <w:t xml:space="preserve">9.货物验收合格交付采购人之前的所有风险由中标人承担。</w:t>
      </w:r>
      <w:r/>
    </w:p>
    <w:p>
      <w:pPr>
        <w:pStyle w:val="1022"/>
        <w:ind w:firstLine="482"/>
        <w:spacing w:line="360" w:lineRule="auto"/>
        <w:rPr>
          <w:rFonts w:hint="eastAsia" w:ascii="宋体" w:hAnsi="宋体" w:eastAsia="宋体" w:cs="华文中宋"/>
          <w:sz w:val="24"/>
          <w:szCs w:val="24"/>
          <w:highlight w:val="none"/>
        </w:rPr>
      </w:pPr>
      <w:r>
        <w:rPr>
          <w:rFonts w:hint="eastAsia" w:ascii="宋体" w:hAnsi="宋体" w:eastAsia="宋体" w:cs="华文中宋"/>
          <w:sz w:val="24"/>
          <w:szCs w:val="24"/>
          <w:highlight w:val="none"/>
        </w:rPr>
        <w:t xml:space="preserve">10.</w:t>
      </w:r>
      <w:r>
        <w:rPr>
          <w:rFonts w:ascii="宋体" w:hAnsi="宋体" w:eastAsia="宋体" w:cs="华文中宋"/>
          <w:sz w:val="24"/>
          <w:szCs w:val="24"/>
          <w:highlight w:val="none"/>
        </w:rPr>
        <w:t xml:space="preserve">供应商不能简单照搬招标文件提供的需求，必须按招标文件技术规格逐项作出实质性应答，如照搬照抄项目需求中的技术要求，中标后中标人在同采购人签订合同和履约环节中不得提出异议，一切后果和损失由中标人承担。</w:t>
      </w:r>
      <w:r/>
    </w:p>
    <w:p>
      <w:pPr>
        <w:ind w:firstLine="482"/>
        <w:spacing w:line="360" w:lineRule="auto"/>
        <w:rPr>
          <w:rFonts w:hint="eastAsia" w:ascii="宋体" w:hAnsi="宋体" w:eastAsia="宋体"/>
          <w:b/>
          <w:bCs/>
          <w:sz w:val="24"/>
          <w:highlight w:val="none"/>
        </w:rPr>
      </w:pPr>
      <w:r>
        <w:rPr>
          <w:rFonts w:hint="eastAsia" w:ascii="宋体" w:hAnsi="宋体" w:eastAsia="宋体"/>
          <w:b/>
          <w:bCs/>
          <w:sz w:val="24"/>
          <w:highlight w:val="none"/>
        </w:rPr>
        <w:t xml:space="preserve">七、售后服务要求</w:t>
      </w:r>
      <w:r/>
    </w:p>
    <w:p>
      <w:pPr>
        <w:ind w:firstLine="480"/>
        <w:spacing w:line="360" w:lineRule="auto"/>
        <w:rPr>
          <w:rFonts w:hint="eastAsia" w:ascii="宋体" w:hAnsi="宋体" w:eastAsia="宋体" w:cs="华文中宋"/>
          <w:sz w:val="24"/>
          <w:highlight w:val="none"/>
        </w:rPr>
      </w:pPr>
      <w:r>
        <w:rPr>
          <w:rFonts w:ascii="宋体" w:hAnsi="宋体" w:eastAsia="宋体" w:cs="华文中宋"/>
          <w:sz w:val="24"/>
          <w:highlight w:val="none"/>
        </w:rPr>
        <w:t xml:space="preserve">1.自采购单位报故障之时起，</w:t>
      </w:r>
      <w:r>
        <w:rPr>
          <w:rFonts w:ascii="宋体" w:hAnsi="宋体" w:eastAsia="宋体" w:cs="华文中宋"/>
          <w:sz w:val="24"/>
          <w:highlight w:val="none"/>
          <w:u w:val="single"/>
        </w:rPr>
        <w:t xml:space="preserve">4</w:t>
      </w:r>
      <w:r>
        <w:rPr>
          <w:rFonts w:ascii="宋体" w:hAnsi="宋体" w:eastAsia="宋体" w:cs="华文中宋"/>
          <w:sz w:val="24"/>
          <w:highlight w:val="none"/>
        </w:rPr>
        <w:t xml:space="preserve">小时内响应</w:t>
      </w:r>
      <w:r>
        <w:rPr>
          <w:rFonts w:hint="eastAsia" w:ascii="宋体" w:hAnsi="宋体" w:eastAsia="宋体" w:cs="华文中宋"/>
          <w:sz w:val="24"/>
          <w:highlight w:val="none"/>
        </w:rPr>
        <w:t xml:space="preserve">并</w:t>
      </w:r>
      <w:r>
        <w:rPr>
          <w:rFonts w:ascii="宋体" w:hAnsi="宋体" w:eastAsia="宋体" w:cs="华文中宋"/>
          <w:sz w:val="24"/>
          <w:highlight w:val="none"/>
        </w:rPr>
        <w:t xml:space="preserve">到达现场处理问题，在质保期内非人为因素损坏设备，二日内修复障碍，保证用户正常使用其功能。投标文件中提供具体的保障措施。</w:t>
      </w:r>
      <w:r/>
    </w:p>
    <w:p>
      <w:pPr>
        <w:ind w:firstLine="480"/>
        <w:spacing w:line="360" w:lineRule="auto"/>
        <w:rPr>
          <w:rFonts w:hint="eastAsia" w:ascii="宋体" w:hAnsi="宋体" w:eastAsia="宋体" w:cs="Times New Roman"/>
          <w:sz w:val="24"/>
          <w:highlight w:val="none"/>
        </w:rPr>
      </w:pPr>
      <w:r>
        <w:rPr>
          <w:rFonts w:ascii="宋体" w:hAnsi="宋体" w:eastAsia="宋体" w:cs="华文中宋"/>
          <w:sz w:val="24"/>
          <w:highlight w:val="none"/>
        </w:rPr>
        <w:t xml:space="preserve">2.提供技术培训，投标文件中应给出详尽的培训计划，确保采购人的使用人员在经过培训后能</w:t>
      </w:r>
      <w:r>
        <w:rPr>
          <w:rFonts w:hint="eastAsia" w:ascii="宋体" w:hAnsi="宋体" w:eastAsia="宋体" w:cs="华文中宋"/>
          <w:sz w:val="24"/>
          <w:highlight w:val="none"/>
        </w:rPr>
        <w:t xml:space="preserve">熟练使用</w:t>
      </w:r>
      <w:r>
        <w:rPr>
          <w:rFonts w:ascii="宋体" w:hAnsi="宋体" w:eastAsia="宋体" w:cs="华文中宋"/>
          <w:sz w:val="24"/>
          <w:highlight w:val="none"/>
        </w:rPr>
        <w:t xml:space="preserve">。</w:t>
      </w:r>
      <w:r/>
    </w:p>
    <w:p>
      <w:pPr>
        <w:ind w:firstLine="482"/>
        <w:spacing w:line="360" w:lineRule="auto"/>
        <w:rPr>
          <w:rFonts w:hint="eastAsia" w:ascii="宋体" w:hAnsi="宋体" w:eastAsia="宋体"/>
          <w:b/>
          <w:bCs/>
          <w:sz w:val="24"/>
          <w:highlight w:val="none"/>
        </w:rPr>
      </w:pPr>
      <w:r>
        <w:rPr>
          <w:rFonts w:hint="eastAsia" w:ascii="宋体" w:hAnsi="宋体" w:eastAsia="宋体"/>
          <w:b/>
          <w:bCs/>
          <w:sz w:val="24"/>
          <w:highlight w:val="none"/>
        </w:rPr>
        <w:t xml:space="preserve">八、安装要求</w:t>
      </w:r>
      <w:r/>
    </w:p>
    <w:p>
      <w:pPr>
        <w:ind w:firstLine="482"/>
        <w:spacing w:line="360" w:lineRule="auto"/>
        <w:rPr>
          <w:rFonts w:hint="eastAsia" w:ascii="宋体" w:hAnsi="宋体" w:eastAsia="宋体"/>
          <w:sz w:val="24"/>
          <w:highlight w:val="none"/>
        </w:rPr>
      </w:pPr>
      <w:r>
        <w:rPr>
          <w:rFonts w:ascii="宋体" w:hAnsi="宋体" w:eastAsia="宋体"/>
          <w:sz w:val="24"/>
          <w:highlight w:val="none"/>
        </w:rPr>
        <w:t xml:space="preserve">1.所有安装施工材料质量及施工质量必须严格按照国家规范及地方规范的有关要求执行。</w:t>
      </w:r>
      <w:r/>
    </w:p>
    <w:p>
      <w:pPr>
        <w:ind w:firstLine="482"/>
        <w:spacing w:line="360" w:lineRule="auto"/>
        <w:rPr>
          <w:rFonts w:hint="eastAsia" w:ascii="宋体" w:hAnsi="宋体" w:eastAsia="宋体"/>
          <w:sz w:val="24"/>
          <w:highlight w:val="none"/>
        </w:rPr>
      </w:pPr>
      <w:r>
        <w:rPr>
          <w:rFonts w:ascii="宋体" w:hAnsi="宋体" w:eastAsia="宋体"/>
          <w:sz w:val="24"/>
          <w:highlight w:val="none"/>
        </w:rPr>
        <w:t xml:space="preserve">2.设备在安装时，应根据生产厂家所提供的产品安装说明书施工，安装辅材必须采用产品。</w:t>
      </w:r>
      <w:r/>
    </w:p>
    <w:p>
      <w:pPr>
        <w:ind w:firstLine="482"/>
        <w:spacing w:line="360" w:lineRule="auto"/>
        <w:rPr>
          <w:rFonts w:hint="eastAsia" w:ascii="宋体" w:hAnsi="宋体" w:eastAsia="宋体"/>
          <w:sz w:val="24"/>
          <w:highlight w:val="none"/>
        </w:rPr>
      </w:pPr>
      <w:r>
        <w:rPr>
          <w:rFonts w:ascii="宋体" w:hAnsi="宋体" w:eastAsia="宋体"/>
          <w:sz w:val="24"/>
          <w:highlight w:val="none"/>
        </w:rPr>
        <w:t xml:space="preserve">3.中标人应对安装施工质量全面负责，文明、安全施工，如中标人原因造成质量事故、中标人承担一切经济法律责任。</w:t>
      </w:r>
      <w:r/>
    </w:p>
    <w:p>
      <w:pPr>
        <w:ind w:firstLine="482"/>
        <w:spacing w:line="360" w:lineRule="auto"/>
        <w:rPr>
          <w:rFonts w:hint="eastAsia" w:ascii="宋体" w:hAnsi="宋体" w:eastAsia="宋体"/>
          <w:sz w:val="24"/>
          <w:highlight w:val="none"/>
        </w:rPr>
      </w:pPr>
      <w:r>
        <w:rPr>
          <w:rFonts w:ascii="宋体" w:hAnsi="宋体" w:eastAsia="宋体"/>
          <w:sz w:val="24"/>
          <w:highlight w:val="none"/>
        </w:rPr>
        <w:t xml:space="preserve">4.在实施期间，中标人应无条件的遵守施工现场的各项规章制度。</w:t>
      </w:r>
      <w:r/>
    </w:p>
    <w:p>
      <w:pPr>
        <w:ind w:firstLine="482"/>
        <w:spacing w:line="360" w:lineRule="auto"/>
        <w:rPr>
          <w:rFonts w:hint="eastAsia" w:ascii="宋体" w:hAnsi="宋体" w:eastAsia="宋体"/>
          <w:sz w:val="24"/>
          <w:highlight w:val="none"/>
        </w:rPr>
      </w:pPr>
      <w:r>
        <w:rPr>
          <w:rFonts w:ascii="宋体" w:hAnsi="宋体" w:eastAsia="宋体"/>
          <w:sz w:val="24"/>
          <w:highlight w:val="none"/>
        </w:rPr>
        <w:t xml:space="preserve">5.实施期间，中标人应无条件的接受采购人的质量监督，提出的质量问题要及时整改，整改完毕后通知采购人检查验收，合格后书面报送采购人备案。</w:t>
      </w:r>
      <w:r/>
    </w:p>
    <w:p>
      <w:pPr>
        <w:ind w:firstLine="482"/>
        <w:spacing w:line="360" w:lineRule="auto"/>
        <w:rPr>
          <w:rFonts w:hint="eastAsia" w:ascii="宋体" w:hAnsi="宋体" w:eastAsia="宋体"/>
          <w:sz w:val="24"/>
          <w:highlight w:val="none"/>
        </w:rPr>
      </w:pPr>
      <w:r>
        <w:rPr>
          <w:rFonts w:ascii="宋体" w:hAnsi="宋体" w:eastAsia="宋体"/>
          <w:sz w:val="24"/>
          <w:highlight w:val="none"/>
        </w:rPr>
        <w:t xml:space="preserve">6.中标人必须按照</w:t>
      </w:r>
      <w:r>
        <w:rPr>
          <w:rFonts w:hint="eastAsia" w:ascii="宋体" w:hAnsi="宋体" w:eastAsia="宋体"/>
          <w:sz w:val="24"/>
          <w:highlight w:val="none"/>
        </w:rPr>
        <w:t xml:space="preserve">图纸</w:t>
      </w:r>
      <w:r>
        <w:rPr>
          <w:rFonts w:ascii="宋体" w:hAnsi="宋体" w:eastAsia="宋体"/>
          <w:sz w:val="24"/>
          <w:highlight w:val="none"/>
        </w:rPr>
        <w:t xml:space="preserve">设计和技术标准施工，不得擅自修改</w:t>
      </w:r>
      <w:r>
        <w:rPr>
          <w:rFonts w:hint="eastAsia" w:ascii="宋体" w:hAnsi="宋体" w:eastAsia="宋体"/>
          <w:sz w:val="24"/>
          <w:highlight w:val="none"/>
        </w:rPr>
        <w:t xml:space="preserve">图纸</w:t>
      </w:r>
      <w:r>
        <w:rPr>
          <w:rFonts w:ascii="宋体" w:hAnsi="宋体" w:eastAsia="宋体"/>
          <w:sz w:val="24"/>
          <w:highlight w:val="none"/>
        </w:rPr>
        <w:t xml:space="preserve">设计，不得偷工减料。</w:t>
      </w:r>
      <w:r/>
    </w:p>
    <w:p>
      <w:pPr>
        <w:ind w:firstLine="482"/>
        <w:spacing w:line="360" w:lineRule="auto"/>
        <w:rPr>
          <w:rFonts w:hint="eastAsia" w:ascii="宋体" w:hAnsi="宋体" w:eastAsia="宋体"/>
          <w:sz w:val="24"/>
          <w:highlight w:val="none"/>
        </w:rPr>
      </w:pPr>
      <w:r>
        <w:rPr>
          <w:rFonts w:ascii="宋体" w:hAnsi="宋体" w:eastAsia="宋体"/>
          <w:sz w:val="24"/>
          <w:highlight w:val="none"/>
        </w:rPr>
        <w:t xml:space="preserve">7.中标人必须建立健全质量检查制度，严格工序管理，隐蔽工程在隐蔽前应通知采购人检查验收；本着谁施工谁负责产品保护，谁破坏产品谁负责赔偿的原则，中标人必须采取切实有效的产品保护措施，并编制相应的产品保护方案报采购人批准同意后组织实施。</w:t>
      </w:r>
      <w:r/>
    </w:p>
    <w:p>
      <w:pPr>
        <w:ind w:firstLine="482"/>
        <w:spacing w:line="360" w:lineRule="auto"/>
        <w:rPr>
          <w:rFonts w:hint="eastAsia" w:ascii="宋体" w:hAnsi="宋体" w:eastAsia="宋体"/>
          <w:sz w:val="24"/>
          <w:highlight w:val="none"/>
        </w:rPr>
      </w:pPr>
      <w:r>
        <w:rPr>
          <w:rFonts w:ascii="宋体" w:hAnsi="宋体" w:eastAsia="宋体"/>
          <w:sz w:val="24"/>
          <w:highlight w:val="none"/>
        </w:rPr>
        <w:t xml:space="preserve">8.中标人必须负责安装过程中对采购人原有装修的破坏进行修复，恢复原状，该费用包含于总投标报价中。</w:t>
      </w:r>
      <w:r/>
    </w:p>
    <w:p>
      <w:pPr>
        <w:ind w:firstLine="482"/>
        <w:spacing w:line="360" w:lineRule="auto"/>
        <w:rPr>
          <w:rFonts w:hint="eastAsia" w:ascii="宋体" w:hAnsi="宋体" w:eastAsia="宋体"/>
          <w:sz w:val="24"/>
          <w:highlight w:val="none"/>
        </w:rPr>
      </w:pPr>
      <w:r>
        <w:rPr>
          <w:rFonts w:ascii="宋体" w:hAnsi="宋体" w:eastAsia="宋体"/>
          <w:sz w:val="24"/>
          <w:highlight w:val="none"/>
        </w:rPr>
        <w:t xml:space="preserve">9.中标人的报价包含了采购人现有场地条件下，进行设备的安装调试达到可使用状态，并含验收合格前的所有费用。</w:t>
      </w:r>
      <w:r/>
    </w:p>
    <w:p>
      <w:pPr>
        <w:ind w:firstLine="482"/>
        <w:spacing w:line="360" w:lineRule="auto"/>
        <w:rPr>
          <w:rFonts w:hint="eastAsia" w:ascii="宋体" w:hAnsi="宋体" w:eastAsia="宋体"/>
          <w:b/>
          <w:bCs/>
          <w:sz w:val="24"/>
          <w:highlight w:val="none"/>
        </w:rPr>
      </w:pPr>
      <w:r>
        <w:rPr>
          <w:rFonts w:hint="eastAsia" w:ascii="宋体" w:hAnsi="宋体" w:eastAsia="宋体"/>
          <w:b/>
          <w:bCs/>
          <w:sz w:val="24"/>
          <w:highlight w:val="none"/>
        </w:rPr>
        <w:t xml:space="preserve">九、特别说明</w:t>
      </w:r>
      <w:r/>
    </w:p>
    <w:p>
      <w:pPr>
        <w:pStyle w:val="1022"/>
        <w:ind w:left="480" w:firstLine="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1.报价含项目成果交付前一切费用。不接受选择性报价。</w:t>
      </w:r>
      <w:r/>
    </w:p>
    <w:p>
      <w:pPr>
        <w:pStyle w:val="1022"/>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w:t>
      </w:r>
      <w:r/>
    </w:p>
    <w:p>
      <w:pPr>
        <w:ind w:left="120" w:right="120" w:firstLine="482"/>
        <w:spacing w:before="120" w:after="120"/>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sz w:val="24"/>
          <w:highlight w:val="none"/>
        </w:rPr>
        <w:t xml:space="preserve">十、</w:t>
      </w:r>
      <w:r>
        <w:rPr>
          <w:b/>
          <w:bCs/>
          <w:sz w:val="24"/>
          <w:highlight w:val="none"/>
        </w:rPr>
        <w:t xml:space="preserve">中小企业政府采购扶持政策说明</w:t>
      </w:r>
      <w:r/>
    </w:p>
    <w:p>
      <w:pPr>
        <w:ind w:left="120" w:right="120"/>
        <w:spacing w:before="120" w:after="120"/>
        <w:rPr>
          <w:sz w:val="24"/>
          <w:highlight w:val="none"/>
        </w:rPr>
        <w:pBdr>
          <w:top w:val="none" w:color="000000" w:sz="0" w:space="0"/>
          <w:left w:val="none" w:color="000000" w:sz="0" w:space="0"/>
          <w:bottom w:val="none" w:color="000000" w:sz="0" w:space="0"/>
          <w:right w:val="none" w:color="000000" w:sz="0" w:space="0"/>
        </w:pBdr>
      </w:pPr>
      <w:r>
        <w:rPr>
          <w:sz w:val="24"/>
          <w:highlight w:val="none"/>
        </w:rPr>
        <w:t xml:space="preserve">1.采购标的所属行业为工业，根据《工业和信息化部、国家统计局、国家发展和改革委员会、财政部关于印发中小企业划型标准规定的通知》（工信部联企业[2011]300号）规定的划分标准填写。</w:t>
      </w:r>
      <w:r/>
    </w:p>
    <w:p>
      <w:pPr>
        <w:ind w:firstLine="482"/>
        <w:rPr>
          <w:rFonts w:hint="eastAsia" w:ascii="宋体" w:hAnsi="宋体" w:eastAsia="宋体"/>
          <w:b/>
          <w:highlight w:val="none"/>
        </w:rPr>
      </w:pPr>
      <w:r>
        <w:rPr>
          <w:rFonts w:hint="eastAsia" w:ascii="宋体" w:hAnsi="宋体" w:eastAsia="宋体"/>
          <w:b/>
          <w:sz w:val="24"/>
          <w:highlight w:val="none"/>
        </w:rPr>
        <w:t xml:space="preserve">十一、其他要求</w:t>
      </w:r>
      <w:r>
        <w:rPr>
          <w:rFonts w:hint="eastAsia" w:ascii="宋体" w:hAnsi="宋体" w:eastAsia="宋体"/>
          <w:b/>
          <w:highlight w:val="none"/>
        </w:rPr>
        <w:t xml:space="preserve">：</w:t>
      </w:r>
      <w:r/>
    </w:p>
    <w:p>
      <w:pPr>
        <w:ind w:firstLine="480"/>
        <w:rPr>
          <w:rFonts w:hint="eastAsia" w:cs="宋体" w:asciiTheme="minorEastAsia" w:hAnsiTheme="minorEastAsia" w:eastAsiaTheme="minorEastAsia"/>
          <w:sz w:val="24"/>
          <w:szCs w:val="20"/>
          <w:highlight w:val="none"/>
          <w:lang w:val="en-US" w:eastAsia="zh-CN" w:bidi="ar-SA"/>
        </w:rPr>
      </w:pPr>
      <w:r>
        <w:rPr>
          <w:rFonts w:hint="eastAsia" w:cs="宋体" w:asciiTheme="minorEastAsia" w:hAnsiTheme="minorEastAsia" w:eastAsiaTheme="minorEastAsia"/>
          <w:sz w:val="24"/>
          <w:szCs w:val="20"/>
          <w:highlight w:val="none"/>
          <w:lang w:val="en-US" w:eastAsia="zh-CN" w:bidi="ar-SA"/>
        </w:rPr>
        <w:t xml:space="preserve">1.投标人须提供详细的项目培训方案，至少包含培训人员数量；培训时间与次数；培训课程合理性；培训计划完整性，确保培训的有效性。</w:t>
      </w:r>
      <w:r/>
    </w:p>
    <w:p>
      <w:pPr>
        <w:ind w:firstLine="480"/>
        <w:rPr>
          <w:rFonts w:hint="eastAsia" w:cs="宋体" w:asciiTheme="minorEastAsia" w:hAnsiTheme="minorEastAsia" w:eastAsiaTheme="minorEastAsia"/>
          <w:sz w:val="24"/>
          <w:szCs w:val="20"/>
          <w:highlight w:val="none"/>
          <w:lang w:val="en-US" w:eastAsia="zh-CN" w:bidi="ar-SA"/>
        </w:rPr>
      </w:pPr>
      <w:r>
        <w:rPr>
          <w:rFonts w:hint="eastAsia" w:cs="宋体" w:asciiTheme="minorEastAsia" w:hAnsiTheme="minorEastAsia" w:eastAsiaTheme="minorEastAsia"/>
          <w:sz w:val="24"/>
          <w:szCs w:val="20"/>
          <w:highlight w:val="none"/>
          <w:lang w:val="en-US" w:eastAsia="zh-CN" w:bidi="ar-SA"/>
        </w:rPr>
        <w:t xml:space="preserve">2.投标人须提供详细的项目技术方案至少包括项目实施方案、进度计划方案、售后服务方案，确保项目安全有序实施及项目售后有保障。</w:t>
      </w:r>
      <w:r/>
    </w:p>
    <w:p>
      <w:pPr>
        <w:ind w:firstLine="480"/>
        <w:rPr>
          <w:rFonts w:hint="eastAsia" w:cs="宋体" w:asciiTheme="minorEastAsia" w:hAnsiTheme="minorEastAsia" w:eastAsiaTheme="minorEastAsia"/>
          <w:sz w:val="24"/>
          <w:szCs w:val="20"/>
          <w:highlight w:val="none"/>
          <w:lang w:val="en-US" w:eastAsia="zh-CN" w:bidi="ar-SA"/>
        </w:rPr>
      </w:pPr>
      <w:r>
        <w:rPr>
          <w:rFonts w:hint="eastAsia" w:cs="宋体" w:asciiTheme="minorEastAsia" w:hAnsiTheme="minorEastAsia" w:eastAsiaTheme="minorEastAsia"/>
          <w:sz w:val="24"/>
          <w:szCs w:val="20"/>
          <w:highlight w:val="none"/>
          <w:lang w:val="en-US" w:eastAsia="zh-CN" w:bidi="ar-SA"/>
        </w:rPr>
        <w:t xml:space="preserve">2.提供本项目类似项目业绩，充分体现投标单位的履约能力。</w:t>
      </w:r>
      <w:r/>
    </w:p>
    <w:p>
      <w:pPr>
        <w:ind w:firstLine="480"/>
        <w:rPr>
          <w:rFonts w:hint="eastAsia" w:cs="宋体" w:asciiTheme="minorEastAsia" w:hAnsiTheme="minorEastAsia" w:eastAsiaTheme="minorEastAsia"/>
          <w:sz w:val="24"/>
          <w:szCs w:val="20"/>
          <w:highlight w:val="none"/>
          <w:lang w:val="en-US" w:eastAsia="zh-CN" w:bidi="ar-SA"/>
        </w:rPr>
      </w:pPr>
      <w:r>
        <w:rPr>
          <w:rFonts w:hint="eastAsia" w:cs="宋体" w:asciiTheme="minorEastAsia" w:hAnsiTheme="minorEastAsia" w:eastAsiaTheme="minorEastAsia"/>
          <w:sz w:val="24"/>
          <w:szCs w:val="20"/>
          <w:highlight w:val="none"/>
          <w:lang w:val="en-US" w:eastAsia="zh-CN" w:bidi="ar-SA"/>
        </w:rPr>
        <w:t xml:space="preserve">3.投标人应自行到项目现场进行踏勘，了解现场区域划分位置。充分了解位置、情况、规模及任何其它足以影响投标报价的情况，并将本项目可预见的相关费用考虑到投标报价中，中标后</w:t>
      </w:r>
      <w:r>
        <w:rPr>
          <w:rFonts w:hint="eastAsia" w:cs="宋体" w:asciiTheme="minorEastAsia" w:hAnsiTheme="minorEastAsia" w:eastAsiaTheme="minorEastAsia"/>
          <w:sz w:val="24"/>
          <w:szCs w:val="20"/>
          <w:highlight w:val="none"/>
          <w:lang w:val="en-US" w:eastAsia="zh-CN" w:bidi="ar-SA"/>
        </w:rPr>
        <w:t xml:space="preserve">采购人可认为本项目可预见费用已包括在投标报价中。任何因忽视或误解项目情况而导致的索赔将不予认可。踏勘联系人：张先生，联系手机号码：13912580202。</w:t>
      </w:r>
      <w:r/>
    </w:p>
    <w:p>
      <w:pPr>
        <w:ind w:firstLine="480"/>
        <w:rPr>
          <w:rFonts w:hint="eastAsia" w:cs="宋体" w:asciiTheme="minorEastAsia" w:hAnsiTheme="minorEastAsia" w:eastAsiaTheme="minorEastAsia"/>
          <w:sz w:val="24"/>
          <w:szCs w:val="20"/>
          <w:highlight w:val="none"/>
          <w:lang w:val="en-US" w:eastAsia="zh-CN" w:bidi="ar-SA"/>
        </w:rPr>
      </w:pPr>
      <w:r>
        <w:rPr>
          <w:rFonts w:hint="eastAsia" w:cs="宋体" w:asciiTheme="minorEastAsia" w:hAnsiTheme="minorEastAsia" w:eastAsiaTheme="minorEastAsia"/>
          <w:sz w:val="24"/>
          <w:szCs w:val="20"/>
          <w:highlight w:val="none"/>
          <w:lang w:val="en-US" w:eastAsia="zh-CN" w:bidi="ar-SA"/>
        </w:rPr>
        <w:t xml:space="preserve">4.技术参数中要求提供的检验报告和证书等证明材料的，供应商按招标文件的要求提供相关证明材料给评委</w:t>
      </w:r>
      <w:bookmarkStart w:id="272" w:name="_GoBack"/>
      <w:r/>
      <w:bookmarkEnd w:id="272"/>
      <w:r>
        <w:rPr>
          <w:rFonts w:hint="eastAsia" w:cs="宋体" w:asciiTheme="minorEastAsia" w:hAnsiTheme="minorEastAsia" w:eastAsiaTheme="minorEastAsia"/>
          <w:sz w:val="24"/>
          <w:szCs w:val="20"/>
          <w:highlight w:val="none"/>
          <w:lang w:val="en-US" w:eastAsia="zh-CN" w:bidi="ar-SA"/>
        </w:rPr>
        <w:t xml:space="preserve">评审，相关原件在中标后签订合同前提供给采购人审核（如是厂商投标提供相关材料原件，如是经销商投标，提供厂商相关材料复印件加盖厂商公章作原件使用）。若中标后不能提供相关证明材料原件的，视为提供虚假材料中标，则承担相应的法律责任。</w:t>
      </w:r>
      <w:r/>
    </w:p>
    <w:p>
      <w:pPr>
        <w:pStyle w:val="1022"/>
        <w:spacing w:line="360" w:lineRule="auto"/>
        <w:rPr>
          <w:rFonts w:hint="eastAsia" w:asciiTheme="minorEastAsia" w:hAnsiTheme="minorEastAsia"/>
          <w:b/>
          <w:bCs/>
          <w:sz w:val="24"/>
          <w:highlight w:val="none"/>
        </w:rPr>
      </w:pPr>
      <w:r>
        <w:rPr>
          <w:rFonts w:hint="eastAsia" w:asciiTheme="minorEastAsia" w:hAnsiTheme="minorEastAsia"/>
          <w:sz w:val="24"/>
          <w:highlight w:val="none"/>
        </w:rPr>
        <w:t xml:space="preserve">5.</w:t>
      </w:r>
      <w:r>
        <w:rPr>
          <w:rFonts w:hint="eastAsia" w:asciiTheme="minorEastAsia" w:hAnsiTheme="minorEastAsia"/>
          <w:b/>
          <w:bCs/>
          <w:sz w:val="24"/>
          <w:highlight w:val="none"/>
        </w:rPr>
        <w:t xml:space="preserve">演示产品型号须与所投产品型号一致，投标人需按照招标文件规定的演示内容制作演示视频文件，系统演示统一采用视频录制方式进行功能演示（视频画面须清晰，视频中可以录制声音），总时长不超过15分钟，超过15分钟的部分评委不再评审，单个视频不超过50M,最多上传6个视频。供应商将演示内容制作成视频文件（MP4格式、AVI格式、WMV格式、3GP格式、MPG格式常用视频播放格式）。上传演示视频的顺序为：</w:t>
      </w:r>
      <w:r/>
    </w:p>
    <w:p>
      <w:pPr>
        <w:pStyle w:val="937"/>
        <w:jc w:val="both"/>
        <w:keepLines w:val="0"/>
        <w:keepNext w:val="0"/>
        <w:pageBreakBefore w:val="0"/>
        <w:spacing w:beforeAutospacing="0" w:afterAutospacing="0" w:line="276"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b/>
          <w:bCs/>
          <w:i w:val="0"/>
          <w:iCs w:val="0"/>
          <w:color w:val="auto"/>
          <w:sz w:val="24"/>
          <w:szCs w:val="24"/>
          <w:highlight w:val="none"/>
          <w:u w:val="none"/>
          <w:lang w:val="en-US" w:eastAsia="zh-CN" w:bidi="ar"/>
        </w:rPr>
        <w:t xml:space="preserve">交互式数字临摹台</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教学环节---课堂检测：通过学生互动终端将练习上传交互</w:t>
      </w:r>
      <w:r>
        <w:rPr>
          <w:rFonts w:hint="eastAsia" w:ascii="宋体" w:hAnsi="宋体" w:eastAsia="宋体" w:cs="宋体"/>
          <w:i w:val="0"/>
          <w:iCs w:val="0"/>
          <w:color w:val="000000"/>
          <w:sz w:val="24"/>
          <w:szCs w:val="24"/>
          <w:highlight w:val="none"/>
          <w:u w:val="none"/>
          <w:lang w:val="en-US" w:eastAsia="zh-CN" w:bidi="ar"/>
        </w:rPr>
        <w:t xml:space="preserve">式数字临摹台（不能通过手机拍照来上传），在交互式数字临摹台能对学生的练习进行智能评测，从笔画、结构、整体自动生成文字型问题描述、配合图片指出问题并给出改进建议；可对练习中单字的每个笔画进行自动智能评价，对有问题的笔画自动突出标识，并可自动将作业中的每个笔画与原帖的笔画进行图片对比，对书写出现问题的每一个笔画都自动描述书写问题，并自动给出指导意见；对结构智能评测时，按照每个字的评价维度，自动描述该字的结构方面出现的每一个问题，并自动给出文字性的指导建议，针对书写出现的每个问题都自动给出指导图片和书写指导视频。</w:t>
      </w:r>
      <w:r/>
    </w:p>
    <w:p>
      <w:pPr>
        <w:pStyle w:val="937"/>
        <w:jc w:val="both"/>
        <w:keepLines w:val="0"/>
        <w:keepNext w:val="0"/>
        <w:pageBreakBefore w:val="0"/>
        <w:spacing w:beforeAutospacing="0" w:afterAutospacing="0" w:line="276"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b/>
          <w:bCs/>
          <w:i w:val="0"/>
          <w:iCs w:val="0"/>
          <w:color w:val="auto"/>
          <w:sz w:val="24"/>
          <w:szCs w:val="24"/>
          <w:highlight w:val="none"/>
          <w:u w:val="none"/>
          <w:lang w:val="en-US" w:eastAsia="zh-CN" w:bidi="ar"/>
        </w:rPr>
        <w:t xml:space="preserve">学生互动拍摄及Ai握笔监测系统</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软笔Ai握笔姿势智能监测硬件和学生互动拍摄硬件融合一体，软笔Ai握笔姿势智能监测系统的监测硬件在互动拍摄架立杆中间偏下位置，学生互动拍摄硬件在互动拍摄架“7”字型横杆的下方，互动拍摄硬件具有笔架功能，支持同时挂三只毛笔。</w:t>
      </w:r>
      <w:r/>
    </w:p>
    <w:p>
      <w:pPr>
        <w:pStyle w:val="937"/>
        <w:jc w:val="both"/>
        <w:keepLines w:val="0"/>
        <w:keepNext w:val="0"/>
        <w:pageBreakBefore w:val="0"/>
        <w:spacing w:beforeAutospacing="0" w:afterAutospacing="0" w:line="276"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b/>
          <w:bCs/>
          <w:i w:val="0"/>
          <w:iCs w:val="0"/>
          <w:color w:val="auto"/>
          <w:sz w:val="24"/>
          <w:szCs w:val="24"/>
          <w:highlight w:val="none"/>
          <w:u w:val="none"/>
          <w:lang w:val="en-US" w:eastAsia="zh-CN" w:bidi="ar"/>
        </w:rPr>
        <w:t xml:space="preserve">学生互动拍摄及Ai握笔监测系统：</w:t>
      </w:r>
      <w:r>
        <w:rPr>
          <w:rFonts w:hint="eastAsia" w:ascii="宋体" w:hAnsi="宋体" w:eastAsia="宋体" w:cs="宋体"/>
          <w:i w:val="0"/>
          <w:iCs w:val="0"/>
          <w:color w:val="000000"/>
          <w:sz w:val="24"/>
          <w:szCs w:val="24"/>
          <w:highlight w:val="none"/>
          <w:u w:val="none"/>
          <w:lang w:val="en-US" w:eastAsia="zh-CN" w:bidi="ar"/>
        </w:rPr>
        <w:t xml:space="preserve">当出现握笔姿势错误时，教师端系统能实时监测并出现握笔姿势错误提示，点击提示图标，能显示错误握笔人员所在临摹台的位置信息，能显示握笔姿势的具体错误情况，以文字和图片拍摄方式同时给出监测到的握笔姿势错误，并配有正确姿势的文字和视频讲解。当出现握笔姿势错误时，学生端临摹台屏幕左上角显示握笔姿势错误提示图标。点击提示图标，系统会显示学生的握笔姿势具体的错误情况，以文字和图片拍摄方式同时给出监测到的握笔姿势错误，并配有正确姿势的文字和视频讲解。</w:t>
      </w:r>
      <w:r/>
    </w:p>
    <w:p>
      <w:pPr>
        <w:pStyle w:val="937"/>
        <w:jc w:val="both"/>
        <w:keepLines w:val="0"/>
        <w:keepNext w:val="0"/>
        <w:pageBreakBefore w:val="0"/>
        <w:spacing w:beforeAutospacing="0" w:afterAutospacing="0" w:line="276" w:lineRule="auto"/>
        <w:widowControl w:val="off"/>
        <w:rPr>
          <w:rFonts w:hint="eastAsia" w:ascii="宋体" w:hAnsi="宋体" w:eastAsia="宋体" w:cs="宋体"/>
          <w:b w:val="0"/>
          <w:bCs w:val="0"/>
          <w:color w:val="auto"/>
          <w:sz w:val="24"/>
          <w:szCs w:val="24"/>
          <w:highlight w:val="none"/>
          <w:u w:val="none"/>
          <w:shd w:val="clear" w:color="auto"/>
          <w:lang w:val="en-US" w:eastAsia="zh-CN"/>
        </w:rPr>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b/>
          <w:bCs/>
          <w:i w:val="0"/>
          <w:iCs w:val="0"/>
          <w:color w:val="auto"/>
          <w:sz w:val="24"/>
          <w:szCs w:val="24"/>
          <w:highlight w:val="none"/>
          <w:u w:val="none"/>
          <w:lang w:val="en-US" w:eastAsia="zh-CN" w:bidi="ar"/>
        </w:rPr>
        <w:t xml:space="preserve">软笔书法Ai智能评价软件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对于某个学生多次书写的同名笔画（例如：不同字中的撇划），每次的练习测评结果形成折线图，并可查看该笔画每次测评的详细结果，并能查看当时练习的整字及评测结果。对于某个学生多次书写的同一个字，每次的练习测评结果形成折线图，并可查看每次测评的详细结果。支持对智能评价结果自动生成整体评测报告。</w:t>
      </w:r>
      <w:r/>
    </w:p>
    <w:p>
      <w:pPr>
        <w:pStyle w:val="937"/>
        <w:jc w:val="both"/>
        <w:keepLines w:val="0"/>
        <w:keepNext w:val="0"/>
        <w:pageBreakBefore w:val="0"/>
        <w:spacing w:beforeAutospacing="0" w:afterAutospacing="0" w:line="276" w:lineRule="auto"/>
        <w:widowControl w:val="off"/>
        <w:rPr>
          <w:rFonts w:hint="eastAsia" w:ascii="宋体" w:hAnsi="宋体" w:eastAsia="宋体" w:cs="宋体"/>
          <w:b w:val="0"/>
          <w:bCs w:val="0"/>
          <w:sz w:val="24"/>
          <w:szCs w:val="24"/>
          <w:highlight w:val="none"/>
          <w:u w:val="none"/>
        </w:rPr>
      </w:pPr>
      <w:r>
        <w:rPr>
          <w:rFonts w:hint="eastAsia" w:ascii="宋体" w:hAnsi="宋体" w:eastAsia="宋体" w:cs="宋体"/>
          <w:b w:val="0"/>
          <w:bCs w:val="0"/>
          <w:color w:val="auto"/>
          <w:sz w:val="24"/>
          <w:szCs w:val="24"/>
          <w:highlight w:val="none"/>
          <w:u w:val="none"/>
          <w:shd w:val="clear" w:color="auto"/>
          <w:lang w:val="en-US" w:eastAsia="zh-CN"/>
        </w:rPr>
        <w:t xml:space="preserve">5</w:t>
      </w:r>
      <w:r>
        <w:rPr>
          <w:rFonts w:hint="eastAsia" w:ascii="宋体" w:hAnsi="宋体" w:eastAsia="宋体" w:cs="宋体"/>
          <w:b w:val="0"/>
          <w:bCs w:val="0"/>
          <w:color w:val="auto"/>
          <w:sz w:val="24"/>
          <w:szCs w:val="24"/>
          <w:highlight w:val="none"/>
          <w:u w:val="none"/>
          <w:shd w:val="clear" w:color="auto"/>
        </w:rPr>
        <w:t xml:space="preserve">.</w:t>
      </w:r>
      <w:r>
        <w:rPr>
          <w:rFonts w:hint="eastAsia" w:ascii="宋体" w:hAnsi="宋体" w:eastAsia="宋体" w:cs="宋体"/>
          <w:b/>
          <w:bCs/>
          <w:color w:val="auto"/>
          <w:sz w:val="24"/>
          <w:szCs w:val="24"/>
          <w:highlight w:val="none"/>
          <w:u w:val="none"/>
          <w:shd w:val="clear" w:color="auto"/>
        </w:rPr>
        <w:t xml:space="preserve">唱游与律动音乐教学资源平台</w:t>
      </w:r>
      <w:r>
        <w:rPr>
          <w:rFonts w:hint="eastAsia" w:ascii="宋体" w:hAnsi="宋体" w:eastAsia="宋体" w:cs="宋体"/>
          <w:b/>
          <w:bCs/>
          <w:color w:val="auto"/>
          <w:sz w:val="24"/>
          <w:szCs w:val="24"/>
          <w:highlight w:val="none"/>
          <w:u w:val="none"/>
          <w:shd w:val="clear" w:color="auto"/>
          <w:lang w:eastAsia="zh-CN"/>
        </w:rPr>
        <w:t xml:space="preserve">：</w:t>
      </w:r>
      <w:r>
        <w:rPr>
          <w:rFonts w:hint="eastAsia" w:ascii="宋体" w:hAnsi="宋体" w:eastAsia="宋体" w:cs="宋体"/>
          <w:b w:val="0"/>
          <w:bCs w:val="0"/>
          <w:color w:val="auto"/>
          <w:sz w:val="24"/>
          <w:szCs w:val="24"/>
          <w:highlight w:val="none"/>
          <w:u w:val="none"/>
          <w:shd w:val="clear" w:color="auto"/>
        </w:rPr>
        <w:t xml:space="preserve">音乐治疗评估，共分为初、中、高三个难度等级，每个难度级别内均包含不少于五个精心设计的评估活动，进行全面而精准的音乐治疗评估。</w:t>
      </w:r>
      <w:r>
        <w:rPr>
          <w:rFonts w:hint="eastAsia" w:ascii="宋体" w:hAnsi="宋体" w:eastAsia="宋体" w:cs="宋体"/>
          <w:b w:val="0"/>
          <w:bCs w:val="0"/>
          <w:color w:val="auto"/>
          <w:sz w:val="24"/>
          <w:szCs w:val="24"/>
          <w:highlight w:val="none"/>
          <w:u w:val="none"/>
        </w:rPr>
        <w:br/>
      </w:r>
      <w:r>
        <w:rPr>
          <w:rFonts w:hint="eastAsia" w:ascii="宋体" w:hAnsi="宋体" w:eastAsia="宋体" w:cs="宋体"/>
          <w:b w:val="0"/>
          <w:bCs w:val="0"/>
          <w:color w:val="auto"/>
          <w:sz w:val="24"/>
          <w:szCs w:val="24"/>
          <w:highlight w:val="none"/>
          <w:u w:val="none"/>
          <w:lang w:val="en-US" w:eastAsia="zh-CN"/>
        </w:rPr>
        <w:t xml:space="preserve">6</w:t>
      </w:r>
      <w:r>
        <w:rPr>
          <w:rFonts w:hint="eastAsia" w:ascii="宋体" w:hAnsi="宋体" w:eastAsia="宋体" w:cs="宋体"/>
          <w:b w:val="0"/>
          <w:bCs w:val="0"/>
          <w:color w:val="auto"/>
          <w:sz w:val="24"/>
          <w:szCs w:val="24"/>
          <w:highlight w:val="none"/>
          <w:u w:val="none"/>
        </w:rPr>
        <w:t xml:space="preserve">.</w:t>
      </w:r>
      <w:r>
        <w:rPr>
          <w:rFonts w:hint="eastAsia" w:ascii="宋体" w:hAnsi="宋体" w:eastAsia="宋体" w:cs="宋体"/>
          <w:b/>
          <w:bCs/>
          <w:color w:val="auto"/>
          <w:sz w:val="24"/>
          <w:szCs w:val="24"/>
          <w:highlight w:val="none"/>
          <w:u w:val="none"/>
          <w:shd w:val="clear" w:color="auto"/>
        </w:rPr>
        <w:t xml:space="preserve">唱游与律动音乐教学资源平台</w:t>
      </w:r>
      <w:r>
        <w:rPr>
          <w:rFonts w:hint="eastAsia" w:ascii="宋体" w:hAnsi="宋体" w:eastAsia="宋体" w:cs="宋体"/>
          <w:b/>
          <w:bCs/>
          <w:color w:val="auto"/>
          <w:sz w:val="24"/>
          <w:szCs w:val="24"/>
          <w:highlight w:val="none"/>
          <w:u w:val="none"/>
          <w:shd w:val="clear" w:color="auto"/>
          <w:lang w:eastAsia="zh-CN"/>
        </w:rPr>
        <w:t xml:space="preserve">：</w:t>
      </w:r>
      <w:r>
        <w:rPr>
          <w:rFonts w:hint="eastAsia" w:ascii="宋体" w:hAnsi="宋体" w:eastAsia="宋体" w:cs="宋体"/>
          <w:b w:val="0"/>
          <w:bCs w:val="0"/>
          <w:color w:val="auto"/>
          <w:sz w:val="24"/>
          <w:szCs w:val="24"/>
          <w:highlight w:val="none"/>
          <w:u w:val="none"/>
        </w:rPr>
        <w:t xml:space="preserve">进入中级评估版块，其中具有智能评估和自主评估两种形式，针对认知、听觉、语言、运动、社交、感知六大能力进行评估，具有的评估项目不少于7项。</w:t>
      </w:r>
      <w:r>
        <w:rPr>
          <w:rFonts w:hint="eastAsia" w:ascii="宋体" w:hAnsi="宋体" w:eastAsia="宋体" w:cs="宋体"/>
          <w:b w:val="0"/>
          <w:bCs w:val="0"/>
          <w:color w:val="auto"/>
          <w:sz w:val="24"/>
          <w:szCs w:val="24"/>
          <w:highlight w:val="none"/>
          <w:u w:val="none"/>
        </w:rPr>
        <w:br/>
      </w:r>
      <w:r>
        <w:rPr>
          <w:rFonts w:hint="eastAsia" w:ascii="宋体" w:hAnsi="宋体" w:eastAsia="宋体" w:cs="宋体"/>
          <w:b w:val="0"/>
          <w:bCs w:val="0"/>
          <w:color w:val="auto"/>
          <w:sz w:val="24"/>
          <w:szCs w:val="24"/>
          <w:highlight w:val="none"/>
          <w:u w:val="none"/>
          <w:shd w:val="clear" w:color="auto"/>
          <w:lang w:val="en-US" w:eastAsia="zh-CN"/>
        </w:rPr>
        <w:t xml:space="preserve">7</w:t>
      </w:r>
      <w:r>
        <w:rPr>
          <w:rFonts w:hint="eastAsia" w:ascii="宋体" w:hAnsi="宋体" w:eastAsia="宋体" w:cs="宋体"/>
          <w:b w:val="0"/>
          <w:bCs w:val="0"/>
          <w:color w:val="auto"/>
          <w:sz w:val="24"/>
          <w:szCs w:val="24"/>
          <w:highlight w:val="none"/>
          <w:u w:val="none"/>
          <w:shd w:val="clear" w:color="auto"/>
        </w:rPr>
        <w:t xml:space="preserve">.</w:t>
      </w:r>
      <w:r>
        <w:rPr>
          <w:rFonts w:hint="eastAsia" w:ascii="宋体" w:hAnsi="宋体" w:eastAsia="宋体" w:cs="宋体"/>
          <w:b/>
          <w:bCs/>
          <w:color w:val="auto"/>
          <w:sz w:val="24"/>
          <w:szCs w:val="24"/>
          <w:highlight w:val="none"/>
          <w:u w:val="none"/>
          <w:shd w:val="clear" w:color="auto"/>
        </w:rPr>
        <w:t xml:space="preserve">唱游与律动音乐教学资源平台</w:t>
      </w:r>
      <w:r>
        <w:rPr>
          <w:rFonts w:hint="eastAsia" w:ascii="宋体" w:hAnsi="宋体" w:eastAsia="宋体" w:cs="宋体"/>
          <w:b/>
          <w:bCs/>
          <w:color w:val="auto"/>
          <w:sz w:val="24"/>
          <w:szCs w:val="24"/>
          <w:highlight w:val="none"/>
          <w:u w:val="none"/>
          <w:shd w:val="clear" w:color="auto"/>
          <w:lang w:eastAsia="zh-CN"/>
        </w:rPr>
        <w:t xml:space="preserve">：</w:t>
      </w:r>
      <w:r>
        <w:rPr>
          <w:rFonts w:hint="eastAsia" w:ascii="宋体" w:hAnsi="宋体" w:eastAsia="宋体" w:cs="宋体"/>
          <w:b w:val="0"/>
          <w:bCs w:val="0"/>
          <w:color w:val="auto"/>
          <w:sz w:val="24"/>
          <w:szCs w:val="24"/>
          <w:highlight w:val="none"/>
          <w:u w:val="none"/>
          <w:shd w:val="clear" w:color="auto"/>
        </w:rPr>
        <w:t xml:space="preserve">进入高级评估版块，其中具有智能评估和自主评估两种形式，针对认知、听觉、语言、运动、社交、感知六大能力进行评估，具有的评估项目不少于10项。</w:t>
      </w:r>
      <w:r>
        <w:rPr>
          <w:rFonts w:hint="eastAsia" w:ascii="宋体" w:hAnsi="宋体" w:eastAsia="宋体" w:cs="宋体"/>
          <w:b w:val="0"/>
          <w:bCs w:val="0"/>
          <w:color w:val="auto"/>
          <w:sz w:val="24"/>
          <w:szCs w:val="24"/>
          <w:highlight w:val="none"/>
          <w:u w:val="none"/>
          <w:shd w:val="clear" w:color="auto"/>
        </w:rPr>
        <w:br/>
      </w:r>
      <w:r>
        <w:rPr>
          <w:rFonts w:hint="eastAsia" w:ascii="宋体" w:hAnsi="宋体" w:eastAsia="宋体" w:cs="宋体"/>
          <w:b w:val="0"/>
          <w:bCs w:val="0"/>
          <w:color w:val="auto"/>
          <w:sz w:val="24"/>
          <w:szCs w:val="24"/>
          <w:highlight w:val="none"/>
          <w:u w:val="none"/>
          <w:shd w:val="clear" w:color="auto"/>
          <w:lang w:val="en-US" w:eastAsia="zh-CN"/>
        </w:rPr>
        <w:t xml:space="preserve">8</w:t>
      </w:r>
      <w:r>
        <w:rPr>
          <w:rFonts w:hint="eastAsia" w:ascii="宋体" w:hAnsi="宋体" w:eastAsia="宋体" w:cs="宋体"/>
          <w:b w:val="0"/>
          <w:bCs w:val="0"/>
          <w:color w:val="auto"/>
          <w:sz w:val="24"/>
          <w:szCs w:val="24"/>
          <w:highlight w:val="none"/>
          <w:u w:val="none"/>
          <w:shd w:val="clear" w:color="auto"/>
        </w:rPr>
        <w:t xml:space="preserve">.</w:t>
      </w:r>
      <w:r>
        <w:rPr>
          <w:rFonts w:hint="eastAsia" w:ascii="宋体" w:hAnsi="宋体" w:eastAsia="宋体" w:cs="宋体"/>
          <w:b/>
          <w:bCs/>
          <w:color w:val="auto"/>
          <w:sz w:val="24"/>
          <w:szCs w:val="24"/>
          <w:highlight w:val="none"/>
          <w:u w:val="none"/>
          <w:shd w:val="clear" w:color="auto"/>
        </w:rPr>
        <w:t xml:space="preserve">唱游与律动音乐教学资源平台</w:t>
      </w:r>
      <w:r>
        <w:rPr>
          <w:rFonts w:hint="eastAsia" w:ascii="宋体" w:hAnsi="宋体" w:eastAsia="宋体" w:cs="宋体"/>
          <w:b/>
          <w:bCs/>
          <w:color w:val="auto"/>
          <w:sz w:val="24"/>
          <w:szCs w:val="24"/>
          <w:highlight w:val="none"/>
          <w:u w:val="none"/>
          <w:shd w:val="clear" w:color="auto"/>
          <w:lang w:eastAsia="zh-CN"/>
        </w:rPr>
        <w:t xml:space="preserve">：</w:t>
      </w:r>
      <w:r>
        <w:rPr>
          <w:rFonts w:hint="eastAsia" w:ascii="宋体" w:hAnsi="宋体" w:eastAsia="宋体" w:cs="宋体"/>
          <w:b w:val="0"/>
          <w:bCs w:val="0"/>
          <w:color w:val="auto"/>
          <w:sz w:val="24"/>
          <w:szCs w:val="24"/>
          <w:highlight w:val="none"/>
          <w:u w:val="none"/>
          <w:shd w:val="clear" w:color="auto"/>
        </w:rPr>
        <w:t xml:space="preserve">进入自主评估，自定义选择需要评估的功能项目进行评估。评估结果具有四个等级，根据学生具体情况，点击选择等级进行评分，评估记录内可以显示评估数据及评估结果。</w:t>
      </w:r>
      <w:r>
        <w:rPr>
          <w:rFonts w:hint="eastAsia" w:ascii="宋体" w:hAnsi="宋体" w:eastAsia="宋体" w:cs="宋体"/>
          <w:b w:val="0"/>
          <w:bCs w:val="0"/>
          <w:color w:val="auto"/>
          <w:sz w:val="24"/>
          <w:szCs w:val="24"/>
          <w:highlight w:val="none"/>
          <w:u w:val="none"/>
          <w:shd w:val="clear" w:color="auto"/>
        </w:rPr>
        <w:br/>
      </w:r>
      <w:r>
        <w:rPr>
          <w:rFonts w:hint="eastAsia" w:ascii="宋体" w:hAnsi="宋体" w:eastAsia="宋体" w:cs="宋体"/>
          <w:b w:val="0"/>
          <w:bCs w:val="0"/>
          <w:color w:val="auto"/>
          <w:sz w:val="24"/>
          <w:szCs w:val="24"/>
          <w:highlight w:val="none"/>
          <w:u w:val="none"/>
          <w:lang w:val="en-US" w:eastAsia="zh-CN"/>
        </w:rPr>
        <w:t xml:space="preserve">9</w:t>
      </w:r>
      <w:r>
        <w:rPr>
          <w:rFonts w:hint="eastAsia" w:ascii="宋体" w:hAnsi="宋体" w:eastAsia="宋体" w:cs="宋体"/>
          <w:b w:val="0"/>
          <w:bCs w:val="0"/>
          <w:color w:val="auto"/>
          <w:sz w:val="24"/>
          <w:szCs w:val="24"/>
          <w:highlight w:val="none"/>
          <w:u w:val="none"/>
          <w:shd w:val="clear" w:color="auto"/>
        </w:rPr>
        <w:t xml:space="preserve">.</w:t>
      </w:r>
      <w:r>
        <w:rPr>
          <w:rFonts w:hint="eastAsia" w:ascii="宋体" w:hAnsi="宋体" w:eastAsia="宋体" w:cs="宋体"/>
          <w:b/>
          <w:bCs/>
          <w:color w:val="auto"/>
          <w:sz w:val="24"/>
          <w:szCs w:val="24"/>
          <w:highlight w:val="none"/>
          <w:u w:val="none"/>
          <w:shd w:val="clear" w:color="auto"/>
        </w:rPr>
        <w:t xml:space="preserve">唱游与律动音乐教学资源平台</w:t>
      </w:r>
      <w:r>
        <w:rPr>
          <w:rFonts w:hint="eastAsia" w:ascii="宋体" w:hAnsi="宋体" w:eastAsia="宋体" w:cs="宋体"/>
          <w:b/>
          <w:bCs/>
          <w:color w:val="auto"/>
          <w:sz w:val="24"/>
          <w:szCs w:val="24"/>
          <w:highlight w:val="none"/>
          <w:u w:val="none"/>
          <w:shd w:val="clear" w:color="auto"/>
          <w:lang w:eastAsia="zh-CN"/>
        </w:rPr>
        <w:t xml:space="preserve">：</w:t>
      </w:r>
      <w:r>
        <w:rPr>
          <w:rFonts w:hint="eastAsia" w:ascii="宋体" w:hAnsi="宋体" w:eastAsia="宋体" w:cs="宋体"/>
          <w:b w:val="0"/>
          <w:bCs w:val="0"/>
          <w:color w:val="auto"/>
          <w:sz w:val="24"/>
          <w:szCs w:val="24"/>
          <w:highlight w:val="none"/>
          <w:u w:val="none"/>
          <w:shd w:val="clear" w:color="auto"/>
        </w:rPr>
        <w:t xml:space="preserve">音乐治疗训练内含有三个以上的经过再创造音乐治疗技术设计的乐曲。</w:t>
      </w:r>
      <w:r>
        <w:rPr>
          <w:rFonts w:hint="eastAsia" w:ascii="宋体" w:hAnsi="宋体" w:eastAsia="宋体" w:cs="宋体"/>
          <w:b w:val="0"/>
          <w:bCs w:val="0"/>
          <w:color w:val="auto"/>
          <w:sz w:val="24"/>
          <w:szCs w:val="24"/>
          <w:highlight w:val="none"/>
          <w:u w:val="none"/>
          <w:shd w:val="clear" w:color="auto"/>
        </w:rPr>
        <w:br/>
      </w:r>
      <w:r>
        <w:rPr>
          <w:rFonts w:hint="eastAsia" w:ascii="宋体" w:hAnsi="宋体" w:eastAsia="宋体" w:cs="宋体"/>
          <w:b w:val="0"/>
          <w:bCs w:val="0"/>
          <w:color w:val="auto"/>
          <w:sz w:val="24"/>
          <w:szCs w:val="24"/>
          <w:highlight w:val="none"/>
          <w:u w:val="none"/>
          <w:shd w:val="clear" w:color="auto"/>
          <w:lang w:val="en-US" w:eastAsia="zh-CN"/>
        </w:rPr>
        <w:t xml:space="preserve">10.</w:t>
      </w:r>
      <w:r>
        <w:rPr>
          <w:rFonts w:hint="eastAsia" w:ascii="宋体" w:hAnsi="宋体" w:eastAsia="宋体" w:cs="宋体"/>
          <w:b/>
          <w:bCs/>
          <w:color w:val="auto"/>
          <w:sz w:val="24"/>
          <w:szCs w:val="24"/>
          <w:highlight w:val="none"/>
          <w:u w:val="none"/>
          <w:shd w:val="clear" w:color="auto"/>
        </w:rPr>
        <w:t xml:space="preserve">唱游与律动音乐教学资源平台</w:t>
      </w:r>
      <w:r>
        <w:rPr>
          <w:rFonts w:hint="eastAsia" w:ascii="宋体" w:hAnsi="宋体" w:eastAsia="宋体" w:cs="宋体"/>
          <w:b/>
          <w:bCs/>
          <w:color w:val="auto"/>
          <w:sz w:val="24"/>
          <w:szCs w:val="24"/>
          <w:highlight w:val="none"/>
          <w:u w:val="none"/>
          <w:shd w:val="clear" w:color="auto"/>
          <w:lang w:eastAsia="zh-CN"/>
        </w:rPr>
        <w:t xml:space="preserve">：</w:t>
      </w:r>
      <w:r>
        <w:rPr>
          <w:rFonts w:hint="eastAsia" w:ascii="宋体" w:hAnsi="宋体" w:eastAsia="宋体" w:cs="宋体"/>
          <w:b w:val="0"/>
          <w:bCs w:val="0"/>
          <w:color w:val="auto"/>
          <w:sz w:val="24"/>
          <w:szCs w:val="24"/>
          <w:highlight w:val="none"/>
          <w:u w:val="none"/>
          <w:shd w:val="clear" w:color="auto"/>
        </w:rPr>
        <w:t xml:space="preserve">听觉训练版块针对特需儿童听觉训练和听觉分辨两方面进行训练，提升儿童听觉能力。</w:t>
      </w:r>
      <w:r>
        <w:rPr>
          <w:rFonts w:hint="eastAsia" w:ascii="宋体" w:hAnsi="宋体" w:eastAsia="宋体" w:cs="宋体"/>
          <w:b w:val="0"/>
          <w:bCs w:val="0"/>
          <w:color w:val="auto"/>
          <w:sz w:val="24"/>
          <w:szCs w:val="24"/>
          <w:highlight w:val="none"/>
          <w:u w:val="none"/>
          <w:shd w:val="clear" w:color="auto"/>
        </w:rPr>
        <w:br/>
      </w:r>
      <w:r>
        <w:rPr>
          <w:rFonts w:hint="eastAsia" w:ascii="宋体" w:hAnsi="宋体" w:eastAsia="宋体" w:cs="宋体"/>
          <w:b w:val="0"/>
          <w:bCs w:val="0"/>
          <w:color w:val="auto"/>
          <w:sz w:val="24"/>
          <w:szCs w:val="24"/>
          <w:highlight w:val="none"/>
          <w:u w:val="none"/>
          <w:shd w:val="clear" w:color="auto"/>
          <w:lang w:val="en-US" w:eastAsia="zh-CN"/>
        </w:rPr>
        <w:t xml:space="preserve">11.</w:t>
      </w:r>
      <w:r>
        <w:rPr>
          <w:rFonts w:hint="eastAsia" w:ascii="宋体" w:hAnsi="宋体" w:eastAsia="宋体" w:cs="宋体"/>
          <w:b/>
          <w:bCs/>
          <w:color w:val="auto"/>
          <w:sz w:val="24"/>
          <w:szCs w:val="24"/>
          <w:highlight w:val="none"/>
          <w:u w:val="none"/>
          <w:shd w:val="clear" w:color="auto"/>
        </w:rPr>
        <w:t xml:space="preserve">唱游与律动音乐教学资源平台</w:t>
      </w:r>
      <w:r>
        <w:rPr>
          <w:rFonts w:hint="eastAsia" w:ascii="宋体" w:hAnsi="宋体" w:eastAsia="宋体" w:cs="宋体"/>
          <w:b/>
          <w:bCs/>
          <w:color w:val="auto"/>
          <w:sz w:val="24"/>
          <w:szCs w:val="24"/>
          <w:highlight w:val="none"/>
          <w:u w:val="none"/>
          <w:shd w:val="clear" w:color="auto"/>
          <w:lang w:eastAsia="zh-CN"/>
        </w:rPr>
        <w:t xml:space="preserve">：</w:t>
      </w:r>
      <w:r>
        <w:rPr>
          <w:rFonts w:hint="eastAsia" w:ascii="宋体" w:hAnsi="宋体" w:eastAsia="宋体" w:cs="宋体"/>
          <w:b w:val="0"/>
          <w:bCs w:val="0"/>
          <w:color w:val="auto"/>
          <w:sz w:val="24"/>
          <w:szCs w:val="24"/>
          <w:highlight w:val="none"/>
          <w:u w:val="none"/>
          <w:shd w:val="clear" w:color="auto"/>
        </w:rPr>
        <w:t xml:space="preserve">精细动作训练版块，包含奥尔夫律动和手指协调训练两种训练，加强特需儿童手部精细动作的能力。</w:t>
      </w:r>
      <w:r>
        <w:rPr>
          <w:rFonts w:hint="eastAsia" w:ascii="宋体" w:hAnsi="宋体" w:eastAsia="宋体" w:cs="宋体"/>
          <w:b w:val="0"/>
          <w:bCs w:val="0"/>
          <w:color w:val="auto"/>
          <w:sz w:val="24"/>
          <w:szCs w:val="24"/>
          <w:highlight w:val="none"/>
          <w:u w:val="none"/>
          <w:shd w:val="clear" w:color="auto"/>
        </w:rPr>
        <w:br/>
      </w:r>
      <w:r>
        <w:rPr>
          <w:rFonts w:hint="eastAsia" w:ascii="宋体" w:hAnsi="宋体" w:eastAsia="宋体" w:cs="宋体"/>
          <w:b w:val="0"/>
          <w:bCs w:val="0"/>
          <w:color w:val="auto"/>
          <w:sz w:val="24"/>
          <w:szCs w:val="24"/>
          <w:highlight w:val="none"/>
          <w:u w:val="none"/>
          <w:shd w:val="clear" w:color="auto"/>
          <w:lang w:val="en-US" w:eastAsia="zh-CN"/>
        </w:rPr>
        <w:t xml:space="preserve">12.</w:t>
      </w:r>
      <w:r>
        <w:rPr>
          <w:rFonts w:hint="eastAsia" w:ascii="宋体" w:hAnsi="宋体" w:eastAsia="宋体" w:cs="宋体"/>
          <w:b/>
          <w:bCs/>
          <w:color w:val="auto"/>
          <w:sz w:val="24"/>
          <w:szCs w:val="24"/>
          <w:highlight w:val="none"/>
          <w:u w:val="none"/>
          <w:shd w:val="clear" w:color="auto"/>
        </w:rPr>
        <w:t xml:space="preserve">唱游与律动音乐教学资源平台</w:t>
      </w:r>
      <w:r>
        <w:rPr>
          <w:rFonts w:hint="eastAsia" w:ascii="宋体" w:hAnsi="宋体" w:eastAsia="宋体" w:cs="宋体"/>
          <w:b/>
          <w:bCs/>
          <w:color w:val="auto"/>
          <w:sz w:val="24"/>
          <w:szCs w:val="24"/>
          <w:highlight w:val="none"/>
          <w:u w:val="none"/>
          <w:shd w:val="clear" w:color="auto"/>
          <w:lang w:eastAsia="zh-CN"/>
        </w:rPr>
        <w:t xml:space="preserve">：</w:t>
      </w:r>
      <w:r>
        <w:rPr>
          <w:rFonts w:hint="eastAsia" w:ascii="宋体" w:hAnsi="宋体" w:eastAsia="宋体" w:cs="宋体"/>
          <w:b w:val="0"/>
          <w:bCs w:val="0"/>
          <w:color w:val="auto"/>
          <w:sz w:val="24"/>
          <w:szCs w:val="24"/>
          <w:highlight w:val="none"/>
          <w:u w:val="none"/>
          <w:shd w:val="clear" w:color="auto"/>
        </w:rPr>
        <w:t xml:space="preserve">根据倾听的歌曲进行演唱，也可选择歌曲伴奏，能进行音阶练习、跳音练习、气息练习等训练。</w:t>
      </w:r>
      <w:r>
        <w:rPr>
          <w:rFonts w:hint="eastAsia" w:ascii="宋体" w:hAnsi="宋体" w:eastAsia="宋体" w:cs="宋体"/>
          <w:b w:val="0"/>
          <w:bCs w:val="0"/>
          <w:color w:val="auto"/>
          <w:sz w:val="24"/>
          <w:szCs w:val="24"/>
          <w:highlight w:val="none"/>
          <w:u w:val="none"/>
          <w:shd w:val="clear" w:color="auto"/>
        </w:rPr>
        <w:br/>
      </w:r>
      <w:r>
        <w:rPr>
          <w:rFonts w:hint="eastAsia" w:ascii="宋体" w:hAnsi="宋体" w:eastAsia="宋体" w:cs="宋体"/>
          <w:b w:val="0"/>
          <w:bCs w:val="0"/>
          <w:color w:val="auto"/>
          <w:sz w:val="24"/>
          <w:szCs w:val="24"/>
          <w:highlight w:val="none"/>
          <w:u w:val="none"/>
          <w:shd w:val="clear" w:color="auto"/>
          <w:lang w:val="en-US" w:eastAsia="zh-CN"/>
        </w:rPr>
        <w:t xml:space="preserve">13.</w:t>
      </w:r>
      <w:r>
        <w:rPr>
          <w:rFonts w:hint="eastAsia" w:ascii="宋体" w:hAnsi="宋体" w:eastAsia="宋体" w:cs="宋体"/>
          <w:b/>
          <w:bCs/>
          <w:color w:val="auto"/>
          <w:sz w:val="24"/>
          <w:szCs w:val="24"/>
          <w:highlight w:val="none"/>
          <w:u w:val="none"/>
          <w:shd w:val="clear" w:color="auto"/>
        </w:rPr>
        <w:t xml:space="preserve">唱游与律动音乐教学资源平台</w:t>
      </w:r>
      <w:r>
        <w:rPr>
          <w:rFonts w:hint="eastAsia" w:ascii="宋体" w:hAnsi="宋体" w:eastAsia="宋体" w:cs="宋体"/>
          <w:b/>
          <w:bCs/>
          <w:color w:val="auto"/>
          <w:sz w:val="24"/>
          <w:szCs w:val="24"/>
          <w:highlight w:val="none"/>
          <w:u w:val="none"/>
          <w:shd w:val="clear" w:color="auto"/>
          <w:lang w:eastAsia="zh-CN"/>
        </w:rPr>
        <w:t xml:space="preserve">：</w:t>
      </w:r>
      <w:r>
        <w:rPr>
          <w:rFonts w:hint="eastAsia" w:ascii="宋体" w:hAnsi="宋体" w:eastAsia="宋体" w:cs="宋体"/>
          <w:b w:val="0"/>
          <w:bCs w:val="0"/>
          <w:color w:val="auto"/>
          <w:sz w:val="24"/>
          <w:szCs w:val="24"/>
          <w:highlight w:val="none"/>
          <w:u w:val="none"/>
          <w:shd w:val="clear" w:color="auto"/>
        </w:rPr>
        <w:t xml:space="preserve">可以进行三度音程游戏，具有玩偶视频和真人录制视频。</w:t>
      </w:r>
      <w:r/>
    </w:p>
    <w:p>
      <w:pPr>
        <w:pStyle w:val="937"/>
        <w:jc w:val="both"/>
        <w:keepLines w:val="0"/>
        <w:keepNext w:val="0"/>
        <w:pageBreakBefore w:val="0"/>
        <w:spacing w:beforeAutospacing="0" w:afterAutospacing="0" w:line="276" w:lineRule="auto"/>
        <w:widowControl w:val="off"/>
        <w:rPr>
          <w:rFonts w:hint="default" w:ascii="宋体" w:hAnsi="宋体" w:eastAsia="宋体" w:cs="宋体"/>
          <w:i w:val="0"/>
          <w:iCs w:val="0"/>
          <w:color w:val="000000"/>
          <w:sz w:val="22"/>
          <w:szCs w:val="22"/>
          <w:highlight w:val="none"/>
          <w:u w:val="none"/>
          <w:lang w:val="en-US" w:eastAsia="zh-CN" w:bidi="ar"/>
        </w:rPr>
      </w:pPr>
      <w:r>
        <w:rPr>
          <w:rFonts w:hint="eastAsia" w:ascii="宋体" w:hAnsi="宋体" w:eastAsia="宋体" w:cs="宋体"/>
          <w:sz w:val="24"/>
          <w:szCs w:val="24"/>
          <w:highlight w:val="none"/>
          <w:lang w:val="en-US" w:eastAsia="zh-CN"/>
        </w:rPr>
        <w:t xml:space="preserve"> </w:t>
      </w:r>
      <w:r/>
    </w:p>
    <w:p>
      <w:pPr>
        <w:pStyle w:val="948"/>
        <w:rPr>
          <w:rFonts w:hint="eastAsia" w:hAnsi="宋体" w:eastAsia="宋体"/>
          <w:highlight w:val="none"/>
        </w:rPr>
      </w:pPr>
      <w:r>
        <w:rPr>
          <w:rFonts w:hint="eastAsia" w:hAnsi="宋体" w:eastAsia="宋体"/>
          <w:highlight w:val="none"/>
        </w:rPr>
      </w:r>
      <w:r/>
    </w:p>
    <w:p>
      <w:pPr>
        <w:pStyle w:val="948"/>
        <w:rPr>
          <w:rFonts w:hint="eastAsia" w:hAnsi="宋体" w:eastAsia="宋体"/>
          <w:highlight w:val="none"/>
        </w:rPr>
      </w:pPr>
      <w:r>
        <w:rPr>
          <w:rFonts w:hint="eastAsia" w:hAnsi="宋体" w:eastAsia="宋体"/>
          <w:highlight w:val="none"/>
        </w:rPr>
      </w:r>
      <w:r/>
    </w:p>
    <w:p>
      <w:pPr>
        <w:pStyle w:val="948"/>
        <w:rPr>
          <w:rFonts w:hint="eastAsia" w:hAnsi="宋体" w:eastAsia="宋体"/>
          <w:highlight w:val="none"/>
        </w:rPr>
      </w:pPr>
      <w:r>
        <w:rPr>
          <w:rFonts w:hint="eastAsia" w:hAnsi="宋体" w:eastAsia="宋体"/>
          <w:highlight w:val="none"/>
        </w:rPr>
      </w:r>
      <w:r/>
    </w:p>
    <w:p>
      <w:pPr>
        <w:pStyle w:val="948"/>
        <w:rPr>
          <w:rFonts w:hint="eastAsia" w:hAnsi="宋体" w:eastAsia="宋体"/>
          <w:highlight w:val="none"/>
        </w:rPr>
      </w:pPr>
      <w:r>
        <w:rPr>
          <w:rFonts w:hint="eastAsia" w:hAnsi="宋体" w:eastAsia="宋体"/>
          <w:highlight w:val="none"/>
        </w:rPr>
      </w:r>
      <w:r/>
    </w:p>
    <w:p>
      <w:pPr>
        <w:pStyle w:val="948"/>
        <w:rPr>
          <w:rFonts w:hint="eastAsia" w:hAnsi="宋体" w:eastAsia="宋体"/>
          <w:highlight w:val="none"/>
        </w:rPr>
      </w:pPr>
      <w:r>
        <w:rPr>
          <w:rFonts w:hint="eastAsia" w:hAnsi="宋体" w:eastAsia="宋体"/>
          <w:highlight w:val="none"/>
        </w:rPr>
      </w:r>
      <w:r/>
    </w:p>
    <w:p>
      <w:pPr>
        <w:pStyle w:val="948"/>
        <w:rPr>
          <w:rFonts w:hint="eastAsia" w:hAnsi="宋体" w:eastAsia="宋体"/>
          <w:highlight w:val="none"/>
        </w:rPr>
      </w:pPr>
      <w:r>
        <w:rPr>
          <w:rFonts w:hint="eastAsia" w:hAnsi="宋体" w:eastAsia="宋体"/>
          <w:highlight w:val="none"/>
        </w:rPr>
      </w:r>
      <w:r/>
    </w:p>
    <w:p>
      <w:pPr>
        <w:pStyle w:val="948"/>
        <w:rPr>
          <w:rFonts w:hint="eastAsia" w:hAnsi="宋体" w:eastAsia="宋体"/>
          <w:highlight w:val="none"/>
        </w:rPr>
      </w:pPr>
      <w:r>
        <w:rPr>
          <w:rFonts w:hint="eastAsia" w:hAnsi="宋体" w:eastAsia="宋体"/>
          <w:highlight w:val="none"/>
        </w:rPr>
      </w:r>
      <w:r/>
    </w:p>
    <w:p>
      <w:pPr>
        <w:pStyle w:val="948"/>
        <w:rPr>
          <w:rFonts w:hint="eastAsia" w:hAnsi="宋体" w:eastAsia="宋体"/>
          <w:highlight w:val="none"/>
        </w:rPr>
      </w:pPr>
      <w:r>
        <w:rPr>
          <w:rFonts w:hint="eastAsia" w:hAnsi="宋体" w:eastAsia="宋体"/>
          <w:highlight w:val="none"/>
        </w:rPr>
      </w:r>
      <w:r/>
    </w:p>
    <w:p>
      <w:pPr>
        <w:pStyle w:val="948"/>
        <w:rPr>
          <w:rFonts w:hint="eastAsia" w:hAnsi="宋体" w:eastAsia="宋体"/>
          <w:highlight w:val="none"/>
        </w:rPr>
      </w:pPr>
      <w:r>
        <w:rPr>
          <w:rFonts w:hint="eastAsia" w:hAnsi="宋体" w:eastAsia="宋体"/>
          <w:highlight w:val="none"/>
        </w:rPr>
      </w:r>
      <w:r/>
    </w:p>
    <w:p>
      <w:pPr>
        <w:pStyle w:val="948"/>
        <w:rPr>
          <w:rFonts w:hint="eastAsia" w:hAnsi="宋体" w:eastAsia="宋体"/>
          <w:highlight w:val="none"/>
        </w:rPr>
      </w:pPr>
      <w:r>
        <w:rPr>
          <w:rFonts w:hint="eastAsia" w:hAnsi="宋体" w:eastAsia="宋体"/>
          <w:highlight w:val="none"/>
        </w:rPr>
      </w:r>
      <w:r/>
    </w:p>
    <w:p>
      <w:pPr>
        <w:pStyle w:val="948"/>
        <w:rPr>
          <w:rFonts w:hint="eastAsia" w:hAnsi="宋体" w:eastAsia="宋体"/>
          <w:highlight w:val="none"/>
        </w:rPr>
      </w:pPr>
      <w:r>
        <w:rPr>
          <w:rFonts w:hint="eastAsia" w:hAnsi="宋体" w:eastAsia="宋体"/>
          <w:highlight w:val="none"/>
        </w:rPr>
      </w:r>
      <w:r/>
    </w:p>
    <w:p>
      <w:pPr>
        <w:pStyle w:val="937"/>
        <w:ind w:firstLine="883"/>
        <w:jc w:val="center"/>
        <w:keepNext/>
        <w:spacing w:beforeAutospacing="0" w:afterAutospacing="0"/>
        <w:rPr>
          <w:rFonts w:hint="eastAsia" w:ascii="黑体" w:hAnsi="宋体" w:eastAsia="黑体" w:cs="黑体"/>
          <w:color w:val="000000"/>
          <w:sz w:val="44"/>
          <w:szCs w:val="44"/>
          <w:highlight w:val="none"/>
        </w:rPr>
      </w:pPr>
      <w:r/>
      <w:bookmarkStart w:id="227" w:name="_Toc120614281"/>
      <w:r>
        <w:rPr>
          <w:rFonts w:ascii="黑体" w:hAnsi="宋体" w:eastAsia="黑体" w:cs="黑体"/>
          <w:color w:val="000000"/>
          <w:sz w:val="44"/>
          <w:szCs w:val="44"/>
          <w:highlight w:val="none"/>
        </w:rPr>
        <w:tab/>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ind w:firstLine="132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937"/>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一、定标原则</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本项目采用</w:t>
      </w:r>
      <w:r>
        <w:rPr>
          <w:rFonts w:hint="eastAsia" w:ascii="宋体" w:hAnsi="宋体" w:eastAsia="宋体" w:cs="宋体"/>
          <w:bCs/>
          <w:color w:val="000000"/>
          <w:sz w:val="24"/>
          <w:highlight w:val="none"/>
          <w:u w:val="single"/>
        </w:rPr>
        <w:t xml:space="preserve">综合评分</w:t>
      </w:r>
      <w:r>
        <w:rPr>
          <w:rFonts w:hint="eastAsia" w:ascii="宋体" w:hAnsi="宋体" w:eastAsia="宋体" w:cs="宋体"/>
          <w:bCs/>
          <w:color w:val="000000"/>
          <w:sz w:val="24"/>
          <w:highlight w:val="none"/>
        </w:rPr>
        <w:t xml:space="preserve">法。</w:t>
      </w:r>
      <w:r>
        <w:rPr>
          <w:rFonts w:hint="eastAsia" w:ascii="宋体" w:hAnsi="宋体" w:eastAsia="宋体" w:cs="宋体"/>
          <w:color w:val="000000"/>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937"/>
        <w:ind w:firstLine="482"/>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937"/>
        <w:ind w:firstLine="480"/>
        <w:spacing w:beforeAutospacing="0" w:afterAutospacing="0" w:line="360" w:lineRule="auto"/>
        <w:rPr>
          <w:highlight w:val="none"/>
        </w:rPr>
      </w:pPr>
      <w:r>
        <w:rPr>
          <w:rFonts w:hint="eastAsia"/>
          <w:highlight w:val="none"/>
        </w:rPr>
        <w:t xml:space="preserve">1.小微型企业价格扣除</w:t>
      </w:r>
      <w:r/>
    </w:p>
    <w:p>
      <w:pPr>
        <w:pStyle w:val="937"/>
        <w:ind w:firstLine="240"/>
        <w:spacing w:beforeAutospacing="0" w:afterAutospacing="0" w:line="360" w:lineRule="auto"/>
        <w:rPr>
          <w:highlight w:val="none"/>
        </w:rPr>
      </w:pPr>
      <w:r>
        <w:rPr>
          <w:rFonts w:hint="eastAsia"/>
          <w:highlight w:val="none"/>
        </w:rPr>
        <w:t xml:space="preserve">（1）本项目对小型和微型企业产品给予</w:t>
      </w:r>
      <w:r>
        <w:rPr>
          <w:rFonts w:hint="eastAsia"/>
          <w:highlight w:val="none"/>
          <w:u w:val="single"/>
        </w:rPr>
        <w:t xml:space="preserve">20%</w:t>
      </w:r>
      <w:r>
        <w:rPr>
          <w:rFonts w:hint="eastAsia"/>
          <w:highlight w:val="none"/>
        </w:rPr>
        <w:t xml:space="preserve">的扣除价格，用扣除后的价格参与评审。</w:t>
      </w:r>
      <w:r/>
    </w:p>
    <w:p>
      <w:pPr>
        <w:pStyle w:val="937"/>
        <w:ind w:firstLine="240"/>
        <w:spacing w:beforeAutospacing="0" w:afterAutospacing="0" w:line="360" w:lineRule="auto"/>
        <w:rPr>
          <w:highlight w:val="none"/>
        </w:rPr>
      </w:pPr>
      <w:r>
        <w:rPr>
          <w:rFonts w:hint="eastAsia"/>
          <w:highlight w:val="none"/>
        </w:rPr>
        <w:t xml:space="preserve">（2）供应商需按照采购文件的要求提供相应的《小微企业声明函》。</w:t>
      </w:r>
      <w:r/>
    </w:p>
    <w:p>
      <w:pPr>
        <w:pStyle w:val="937"/>
        <w:ind w:firstLine="240"/>
        <w:spacing w:beforeAutospacing="0" w:afterAutospacing="0" w:line="360" w:lineRule="auto"/>
        <w:rPr>
          <w:highlight w:val="none"/>
        </w:rPr>
      </w:pPr>
      <w:r>
        <w:rPr>
          <w:rFonts w:hint="eastAsia"/>
          <w:highlight w:val="none"/>
        </w:rPr>
        <w:t xml:space="preserve">（3）企业标准请参照《关于印发中小企业划型标准规定的通知》（工信部联企业[2011]300号）文件规定自行填写。</w:t>
      </w:r>
      <w:r/>
    </w:p>
    <w:p>
      <w:pPr>
        <w:pStyle w:val="937"/>
        <w:ind w:firstLine="480"/>
        <w:spacing w:beforeAutospacing="0" w:afterAutospacing="0" w:line="360" w:lineRule="auto"/>
        <w:rPr>
          <w:highlight w:val="none"/>
        </w:rPr>
      </w:pPr>
      <w:r>
        <w:rPr>
          <w:rFonts w:hint="eastAsia"/>
          <w:highlight w:val="none"/>
        </w:rPr>
        <w:t xml:space="preserve">2.残疾人福利单位价格扣除</w:t>
      </w:r>
      <w:r/>
    </w:p>
    <w:p>
      <w:pPr>
        <w:pStyle w:val="937"/>
        <w:ind w:firstLine="240"/>
        <w:spacing w:beforeAutospacing="0" w:afterAutospacing="0" w:line="360" w:lineRule="auto"/>
        <w:rPr>
          <w:highlight w:val="none"/>
          <w:u w:val="single"/>
        </w:rPr>
      </w:pPr>
      <w:r>
        <w:rPr>
          <w:rFonts w:hint="eastAsia"/>
          <w:highlight w:val="none"/>
        </w:rPr>
        <w:t xml:space="preserve">（1）本项目对残疾人福利性单位视同小型、微型企业，给予</w:t>
      </w:r>
      <w:r>
        <w:rPr>
          <w:rFonts w:hint="eastAsia"/>
          <w:highlight w:val="none"/>
          <w:u w:val="single"/>
        </w:rPr>
        <w:t xml:space="preserve">20%</w:t>
      </w:r>
      <w:r/>
    </w:p>
    <w:p>
      <w:pPr>
        <w:pStyle w:val="937"/>
        <w:ind w:firstLine="240"/>
        <w:spacing w:beforeAutospacing="0" w:afterAutospacing="0" w:line="360" w:lineRule="auto"/>
        <w:rPr>
          <w:highlight w:val="none"/>
        </w:rPr>
      </w:pPr>
      <w:r>
        <w:rPr>
          <w:rFonts w:hint="eastAsia"/>
          <w:highlight w:val="none"/>
        </w:rPr>
        <w:t xml:space="preserve">（2）残疾人福利单位需按照采购文件的要求提供《残疾人福利性单位声明函》。</w:t>
      </w:r>
      <w:r/>
    </w:p>
    <w:p>
      <w:pPr>
        <w:pStyle w:val="937"/>
        <w:ind w:firstLine="240"/>
        <w:spacing w:beforeAutospacing="0" w:afterAutospacing="0" w:line="360" w:lineRule="auto"/>
        <w:rPr>
          <w:highlight w:val="none"/>
        </w:rPr>
      </w:pPr>
      <w:r>
        <w:rPr>
          <w:rFonts w:hint="eastAsia"/>
          <w:highlight w:val="none"/>
        </w:rPr>
        <w:t xml:space="preserve">（3）残疾人福利单位标准请参照《关于促进残疾人就业政府采购政策的通知》（财库〔2017〕141号）。</w:t>
      </w:r>
      <w:r/>
    </w:p>
    <w:p>
      <w:pPr>
        <w:pStyle w:val="937"/>
        <w:ind w:firstLine="480"/>
        <w:spacing w:beforeAutospacing="0" w:afterAutospacing="0" w:line="360" w:lineRule="auto"/>
        <w:rPr>
          <w:highlight w:val="none"/>
        </w:rPr>
      </w:pPr>
      <w:r>
        <w:rPr>
          <w:rFonts w:hint="eastAsia"/>
          <w:highlight w:val="none"/>
        </w:rPr>
        <w:t xml:space="preserve">3.监狱和戒毒企业价格扣除</w:t>
      </w:r>
      <w:r/>
    </w:p>
    <w:p>
      <w:pPr>
        <w:pStyle w:val="937"/>
        <w:ind w:firstLine="240"/>
        <w:spacing w:beforeAutospacing="0" w:afterAutospacing="0" w:line="360" w:lineRule="auto"/>
        <w:rPr>
          <w:highlight w:val="none"/>
          <w:u w:val="single"/>
        </w:rPr>
      </w:pPr>
      <w:r>
        <w:rPr>
          <w:rFonts w:hint="eastAsia"/>
          <w:highlight w:val="none"/>
        </w:rPr>
        <w:t xml:space="preserve">（1）本项目对监狱和戒毒企业（简称监狱企业）视同小型、微型企业，给予</w:t>
      </w:r>
      <w:r>
        <w:rPr>
          <w:rFonts w:hint="eastAsia"/>
          <w:highlight w:val="none"/>
          <w:u w:val="single"/>
        </w:rPr>
        <w:t xml:space="preserve">20%</w:t>
      </w:r>
      <w:r/>
    </w:p>
    <w:p>
      <w:pPr>
        <w:pStyle w:val="937"/>
        <w:ind w:firstLine="240"/>
        <w:spacing w:beforeAutospacing="0" w:afterAutospacing="0" w:line="360" w:lineRule="auto"/>
        <w:rPr>
          <w:highlight w:val="none"/>
        </w:rPr>
      </w:pPr>
      <w:r>
        <w:rPr>
          <w:rFonts w:hint="eastAsia"/>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7"/>
        <w:ind w:firstLine="240"/>
        <w:spacing w:beforeAutospacing="0" w:afterAutospacing="0" w:line="360" w:lineRule="auto"/>
        <w:rPr>
          <w:highlight w:val="none"/>
        </w:rPr>
      </w:pPr>
      <w:r>
        <w:rPr>
          <w:rFonts w:hint="eastAsia"/>
          <w:highlight w:val="none"/>
        </w:rPr>
        <w:t xml:space="preserve">（3）监狱企业标准请参照《关于政府采购支持监狱企业发展有关问题的通知》（财库[2014]68号）。</w:t>
      </w:r>
      <w:r/>
    </w:p>
    <w:p>
      <w:pPr>
        <w:pStyle w:val="937"/>
        <w:ind w:firstLine="480"/>
        <w:spacing w:beforeAutospacing="0" w:afterAutospacing="0" w:line="360" w:lineRule="auto"/>
        <w:rPr>
          <w:highlight w:val="none"/>
        </w:rPr>
      </w:pPr>
      <w:r>
        <w:rPr>
          <w:rFonts w:hint="eastAsia"/>
          <w:highlight w:val="none"/>
        </w:rPr>
        <w:t xml:space="preserve">4.残疾人福利单位、监狱企业属于小型、微型企业的，不重复享受政策。</w:t>
      </w:r>
      <w:r/>
    </w:p>
    <w:p>
      <w:pPr>
        <w:pStyle w:val="937"/>
        <w:ind w:firstLine="480"/>
        <w:spacing w:beforeAutospacing="0" w:afterAutospacing="0" w:line="360" w:lineRule="auto"/>
        <w:rPr>
          <w:highlight w:val="none"/>
        </w:rPr>
      </w:pPr>
      <w:r>
        <w:rPr>
          <w:rFonts w:hint="eastAsia"/>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ighlight w:val="none"/>
          <w:u w:val="single"/>
        </w:rPr>
        <w:t xml:space="preserve">6%</w:t>
      </w:r>
      <w:r>
        <w:rPr>
          <w:rFonts w:hint="eastAsia"/>
          <w:highlight w:val="none"/>
        </w:rPr>
        <w:t xml:space="preserve">的价格扣除，用扣除后的价格参与评审。</w:t>
      </w:r>
      <w:r/>
    </w:p>
    <w:p>
      <w:pPr>
        <w:pStyle w:val="937"/>
        <w:ind w:firstLine="480"/>
        <w:spacing w:beforeAutospacing="0" w:afterAutospacing="0" w:line="360" w:lineRule="auto"/>
        <w:rPr>
          <w:highlight w:val="none"/>
        </w:rPr>
      </w:pPr>
      <w:r>
        <w:rPr>
          <w:rFonts w:hint="eastAsia"/>
          <w:highlight w:val="none"/>
        </w:rPr>
        <w:t xml:space="preserve">6.联合体各方均为小型、微型企业（残疾人福利单位、监狱企业）的，联合体享受</w:t>
      </w:r>
      <w:r>
        <w:rPr>
          <w:rFonts w:hint="eastAsia"/>
          <w:highlight w:val="none"/>
          <w:u w:val="single"/>
        </w:rPr>
        <w:t xml:space="preserve">20%</w:t>
      </w:r>
      <w:r>
        <w:rPr>
          <w:rFonts w:hint="eastAsia"/>
          <w:highlight w:val="none"/>
        </w:rPr>
        <w:t xml:space="preserve">。</w:t>
      </w:r>
      <w:r/>
    </w:p>
    <w:p>
      <w:pPr>
        <w:ind w:firstLine="480"/>
        <w:jc w:val="left"/>
        <w:spacing w:line="360" w:lineRule="auto"/>
        <w:rPr>
          <w:rFonts w:hint="eastAsia" w:ascii="宋体" w:hAnsi="宋体" w:eastAsia="宋体"/>
          <w:sz w:val="24"/>
          <w:highlight w:val="none"/>
        </w:rPr>
      </w:pPr>
      <w:r>
        <w:rPr>
          <w:rFonts w:hint="eastAsia" w:ascii="宋体" w:hAnsi="宋体" w:eastAsia="宋体"/>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b/>
          <w:sz w:val="24"/>
          <w:highlight w:val="none"/>
        </w:rPr>
        <w:t xml:space="preserve">如属政府强制采购产品未提供认证证书的或认证证书提供不全的将视为未实质性响应采购要求</w:t>
      </w:r>
      <w:r>
        <w:rPr>
          <w:rFonts w:hint="eastAsia" w:ascii="宋体" w:hAnsi="宋体" w:eastAsia="宋体"/>
          <w:sz w:val="24"/>
          <w:highlight w:val="none"/>
        </w:rPr>
        <w:t xml:space="preserve">。其他条件相同情况下，应当优先采购节能产品、环境标志产品。</w:t>
      </w:r>
      <w:r/>
    </w:p>
    <w:p>
      <w:pPr>
        <w:ind w:firstLine="480"/>
        <w:jc w:val="left"/>
        <w:spacing w:line="360" w:lineRule="auto"/>
        <w:rPr>
          <w:rFonts w:hint="eastAsia" w:ascii="宋体" w:hAnsi="宋体" w:eastAsia="宋体"/>
          <w:sz w:val="24"/>
          <w:highlight w:val="none"/>
        </w:rPr>
      </w:pPr>
      <w:r>
        <w:rPr>
          <w:rFonts w:hint="eastAsia" w:ascii="宋体" w:hAnsi="宋体" w:eastAsia="宋体"/>
          <w:sz w:val="24"/>
          <w:highlight w:val="none"/>
        </w:rPr>
        <w:t xml:space="preserve">8.供应商对于投标产品的商品包装、快递包装应按照《关于印发《商品包装政府采购需求标准（试行）》、《快递包装政府采购需求标准（试行）》的通知》（财办库〔2020〕123号）执行。</w:t>
      </w:r>
      <w:r/>
    </w:p>
    <w:p>
      <w:pPr>
        <w:ind w:firstLine="480"/>
        <w:jc w:val="left"/>
        <w:spacing w:line="360" w:lineRule="auto"/>
        <w:rPr>
          <w:rFonts w:hint="eastAsia" w:ascii="宋体" w:hAnsi="宋体" w:eastAsia="宋体"/>
          <w:sz w:val="24"/>
          <w:highlight w:val="none"/>
        </w:rPr>
      </w:pPr>
      <w:r>
        <w:rPr>
          <w:rFonts w:hint="eastAsia" w:ascii="宋体" w:hAnsi="宋体" w:eastAsia="宋体"/>
          <w:sz w:val="24"/>
          <w:highlight w:val="none"/>
        </w:rPr>
        <w:t xml:space="preserve">9.本文件中若涉及到数据中心采购，应按照《&lt;绿色数据中心政府采购需求标准（试行）&gt;的通知》（财库〔2023〕7号）执行。</w:t>
      </w:r>
      <w:r/>
    </w:p>
    <w:p>
      <w:pPr>
        <w:pStyle w:val="937"/>
        <w:rPr>
          <w:b/>
          <w:bCs/>
          <w:highlight w:val="none"/>
        </w:rPr>
      </w:pPr>
      <w:r>
        <w:rPr>
          <w:rFonts w:hint="eastAsia"/>
          <w:b/>
          <w:bCs/>
          <w:highlight w:val="none"/>
        </w:rPr>
        <w:t xml:space="preserve">二、评标方法与评标标准</w:t>
      </w:r>
      <w:r/>
    </w:p>
    <w:tbl>
      <w:tblPr>
        <w:tblStyle w:val="942"/>
        <w:tblW w:w="9483" w:type="dxa"/>
        <w:tblInd w:w="-8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216"/>
        <w:gridCol w:w="6277"/>
        <w:gridCol w:w="1246"/>
      </w:tblGrid>
      <w:tr>
        <w:trPr/>
        <w:tc>
          <w:tcPr>
            <w:tcW w:w="744" w:type="dxa"/>
            <w:vAlign w:val="center"/>
            <w:textDirection w:val="lrTb"/>
            <w:noWrap w:val="false"/>
          </w:tcPr>
          <w:p>
            <w:pPr>
              <w:jc w:val="center"/>
              <w:rPr>
                <w:rFonts w:hint="eastAsia" w:ascii="宋体" w:hAnsi="宋体" w:eastAsia="宋体"/>
                <w:b/>
                <w:bCs/>
                <w:sz w:val="24"/>
                <w:highlight w:val="none"/>
              </w:rPr>
            </w:pPr>
            <w:r>
              <w:rPr>
                <w:rFonts w:hint="eastAsia" w:ascii="宋体" w:hAnsi="宋体" w:eastAsia="宋体"/>
                <w:b/>
                <w:bCs/>
                <w:sz w:val="24"/>
                <w:highlight w:val="none"/>
              </w:rPr>
              <w:t xml:space="preserve">序号</w:t>
            </w:r>
            <w:r/>
          </w:p>
        </w:tc>
        <w:tc>
          <w:tcPr>
            <w:tcW w:w="1216" w:type="dxa"/>
            <w:vAlign w:val="center"/>
            <w:textDirection w:val="lrTb"/>
            <w:noWrap w:val="false"/>
          </w:tcPr>
          <w:p>
            <w:pPr>
              <w:jc w:val="center"/>
              <w:rPr>
                <w:rFonts w:hint="eastAsia" w:ascii="宋体" w:hAnsi="宋体" w:eastAsia="宋体"/>
                <w:b/>
                <w:bCs/>
                <w:sz w:val="24"/>
                <w:highlight w:val="none"/>
              </w:rPr>
            </w:pPr>
            <w:r>
              <w:rPr>
                <w:rFonts w:hint="eastAsia" w:ascii="宋体" w:hAnsi="宋体" w:eastAsia="宋体"/>
                <w:b/>
                <w:bCs/>
                <w:sz w:val="24"/>
                <w:highlight w:val="none"/>
              </w:rPr>
              <w:t xml:space="preserve">评审项目</w:t>
            </w:r>
            <w:r/>
          </w:p>
        </w:tc>
        <w:tc>
          <w:tcPr>
            <w:tcW w:w="6277" w:type="dxa"/>
            <w:vAlign w:val="center"/>
            <w:textDirection w:val="lrTb"/>
            <w:noWrap w:val="false"/>
          </w:tcPr>
          <w:p>
            <w:pPr>
              <w:jc w:val="center"/>
              <w:rPr>
                <w:rFonts w:hint="eastAsia" w:ascii="宋体" w:hAnsi="宋体" w:eastAsia="宋体"/>
                <w:b/>
                <w:bCs/>
                <w:sz w:val="24"/>
                <w:highlight w:val="none"/>
              </w:rPr>
            </w:pPr>
            <w:r>
              <w:rPr>
                <w:rFonts w:hint="eastAsia" w:ascii="宋体" w:hAnsi="宋体" w:eastAsia="宋体"/>
                <w:b/>
                <w:bCs/>
                <w:sz w:val="24"/>
                <w:highlight w:val="none"/>
              </w:rPr>
              <w:t xml:space="preserve">评审细则</w:t>
            </w:r>
            <w:r/>
          </w:p>
        </w:tc>
        <w:tc>
          <w:tcPr>
            <w:tcW w:w="1246" w:type="dxa"/>
            <w:vAlign w:val="center"/>
            <w:textDirection w:val="lrTb"/>
            <w:noWrap w:val="false"/>
          </w:tcPr>
          <w:p>
            <w:pPr>
              <w:jc w:val="center"/>
              <w:rPr>
                <w:rFonts w:hint="eastAsia" w:ascii="宋体" w:hAnsi="宋体" w:eastAsia="宋体"/>
                <w:b/>
                <w:bCs/>
                <w:sz w:val="24"/>
                <w:highlight w:val="none"/>
              </w:rPr>
            </w:pPr>
            <w:r>
              <w:rPr>
                <w:rFonts w:hint="eastAsia" w:ascii="宋体" w:hAnsi="宋体" w:eastAsia="宋体"/>
                <w:b/>
                <w:bCs/>
                <w:sz w:val="24"/>
                <w:highlight w:val="none"/>
              </w:rPr>
              <w:t xml:space="preserve">分值</w:t>
            </w:r>
            <w:r/>
          </w:p>
        </w:tc>
      </w:tr>
      <w:tr>
        <w:trPr/>
        <w:tc>
          <w:tcPr>
            <w:tcW w:w="744"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1</w:t>
            </w:r>
            <w:r/>
          </w:p>
        </w:tc>
        <w:tc>
          <w:tcPr>
            <w:tcW w:w="121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价格部分</w:t>
            </w:r>
            <w:r/>
          </w:p>
        </w:tc>
        <w:tc>
          <w:tcPr>
            <w:tcW w:w="6277" w:type="dxa"/>
            <w:textDirection w:val="lrTb"/>
            <w:noWrap w:val="false"/>
          </w:tcPr>
          <w:p>
            <w:pPr>
              <w:jc w:val="left"/>
              <w:rPr>
                <w:rFonts w:hint="eastAsia" w:ascii="宋体" w:hAnsi="宋体" w:eastAsia="宋体"/>
                <w:sz w:val="24"/>
                <w:highlight w:val="none"/>
              </w:rPr>
            </w:pPr>
            <w:r>
              <w:rPr>
                <w:rFonts w:hint="eastAsia" w:ascii="宋体" w:hAnsi="宋体" w:eastAsia="宋体"/>
                <w:sz w:val="24"/>
                <w:highlight w:val="none"/>
              </w:rPr>
              <w:t xml:space="preserve">1.评标总价是指通过“投标文件初审”的投标人的经商务性评审（修正、小微企业扣除等）后的总价。</w:t>
            </w:r>
            <w:r/>
          </w:p>
          <w:p>
            <w:pPr>
              <w:jc w:val="left"/>
              <w:rPr>
                <w:rFonts w:hint="eastAsia" w:ascii="宋体" w:hAnsi="宋体" w:eastAsia="宋体"/>
                <w:sz w:val="24"/>
                <w:highlight w:val="none"/>
              </w:rPr>
            </w:pPr>
            <w:r>
              <w:rPr>
                <w:rFonts w:hint="eastAsia" w:ascii="宋体" w:hAnsi="宋体" w:eastAsia="宋体"/>
                <w:sz w:val="24"/>
                <w:highlight w:val="none"/>
              </w:rPr>
              <w:t xml:space="preserve">2.评标基准价=评标总价中的最低总价。</w:t>
            </w:r>
            <w:r/>
          </w:p>
          <w:p>
            <w:pPr>
              <w:jc w:val="left"/>
              <w:rPr>
                <w:rFonts w:hint="eastAsia" w:ascii="宋体" w:hAnsi="宋体" w:eastAsia="宋体"/>
                <w:sz w:val="24"/>
                <w:highlight w:val="none"/>
              </w:rPr>
            </w:pPr>
            <w:r>
              <w:rPr>
                <w:rFonts w:hint="eastAsia" w:ascii="宋体" w:hAnsi="宋体" w:eastAsia="宋体"/>
                <w:sz w:val="24"/>
                <w:highlight w:val="none"/>
              </w:rPr>
              <w:t xml:space="preserve">3.当投标人的评标总价等于评标基准价的得30分，其他投标人的价格分按照下列公式计算：评标总价得分=（评标基准价/评标总价）×30分（计算结果保留2位小数，第三位四舍五入）。</w:t>
            </w:r>
            <w:r/>
          </w:p>
        </w:tc>
        <w:tc>
          <w:tcPr>
            <w:tcW w:w="124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30</w:t>
            </w:r>
            <w:bookmarkStart w:id="228" w:name="OLE_LINK70"/>
            <w:r>
              <w:rPr>
                <w:rFonts w:hint="eastAsia" w:ascii="宋体" w:hAnsi="宋体" w:eastAsia="宋体"/>
                <w:sz w:val="24"/>
                <w:highlight w:val="none"/>
              </w:rPr>
              <w:t xml:space="preserve">分</w:t>
            </w:r>
            <w:bookmarkEnd w:id="228"/>
            <w:r/>
            <w:r/>
          </w:p>
        </w:tc>
      </w:tr>
      <w:tr>
        <w:trPr>
          <w:trHeight w:val="2825"/>
        </w:trPr>
        <w:tc>
          <w:tcPr>
            <w:tcW w:w="744"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2</w:t>
            </w:r>
            <w:r/>
          </w:p>
        </w:tc>
        <w:tc>
          <w:tcPr>
            <w:tcW w:w="121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技术部分</w:t>
            </w:r>
            <w:r/>
          </w:p>
        </w:tc>
        <w:tc>
          <w:tcPr>
            <w:tcW w:w="6277" w:type="dxa"/>
            <w:textDirection w:val="lrTb"/>
            <w:noWrap w:val="false"/>
          </w:tcPr>
          <w:p>
            <w:pPr>
              <w:jc w:val="left"/>
              <w:rPr>
                <w:rFonts w:hint="eastAsia" w:ascii="宋体" w:hAnsi="宋体" w:eastAsia="宋体"/>
                <w:sz w:val="24"/>
                <w:highlight w:val="none"/>
              </w:rPr>
            </w:pPr>
            <w:r>
              <w:rPr>
                <w:rFonts w:hint="eastAsia" w:ascii="宋体" w:hAnsi="宋体" w:eastAsia="宋体"/>
                <w:sz w:val="24"/>
                <w:highlight w:val="none"/>
              </w:rPr>
              <w:t xml:space="preserve">满足招标文件第四章项目需求中技术参数要求的得满分4</w:t>
            </w:r>
            <w:r>
              <w:rPr>
                <w:rFonts w:hint="eastAsia" w:ascii="宋体" w:hAnsi="宋体" w:eastAsia="宋体"/>
                <w:sz w:val="24"/>
                <w:highlight w:val="none"/>
                <w:lang w:val="en-US" w:eastAsia="zh-CN"/>
              </w:rPr>
              <w:t xml:space="preserve">6</w:t>
            </w:r>
            <w:r>
              <w:rPr>
                <w:rFonts w:hint="eastAsia" w:ascii="宋体" w:hAnsi="宋体" w:eastAsia="宋体"/>
                <w:sz w:val="24"/>
                <w:highlight w:val="none"/>
              </w:rPr>
              <w:t xml:space="preserve">分，负偏离扣分。其中标“★”项，每有一条负偏离扣</w:t>
            </w:r>
            <w:r>
              <w:rPr>
                <w:rFonts w:hint="eastAsia" w:ascii="宋体" w:hAnsi="宋体" w:eastAsia="宋体"/>
                <w:sz w:val="24"/>
                <w:highlight w:val="none"/>
                <w:lang w:val="en-US" w:eastAsia="zh-CN"/>
              </w:rPr>
              <w:t xml:space="preserve">1</w:t>
            </w:r>
            <w:r>
              <w:rPr>
                <w:rFonts w:hint="eastAsia" w:ascii="宋体" w:hAnsi="宋体" w:eastAsia="宋体"/>
                <w:sz w:val="24"/>
                <w:highlight w:val="none"/>
              </w:rPr>
              <w:t xml:space="preserve">分，标“演示项”的每有一条负偏离扣1分，非标志项（除 “★”和“演示项”），每有一条扣0.05分，扣完为止。</w:t>
            </w:r>
            <w:r/>
          </w:p>
          <w:p>
            <w:pPr>
              <w:jc w:val="left"/>
              <w:rPr>
                <w:rFonts w:hint="eastAsia" w:ascii="宋体" w:hAnsi="宋体" w:eastAsia="宋体"/>
                <w:b/>
                <w:bCs/>
                <w:color w:val="ff0000"/>
                <w:sz w:val="24"/>
                <w:highlight w:val="none"/>
              </w:rPr>
            </w:pPr>
            <w:r>
              <w:rPr>
                <w:rFonts w:hint="eastAsia" w:ascii="宋体" w:hAnsi="宋体" w:eastAsia="宋体"/>
                <w:b/>
                <w:bCs/>
                <w:color w:val="ff0000"/>
                <w:sz w:val="24"/>
                <w:highlight w:val="none"/>
              </w:rPr>
              <w:t xml:space="preserve">注：1、本项目招标文件第四章项目需求中技术参数条款须逐条描述，且要求投标人投标时提供佐证证明材料扫描件、演示视频的，投标人不提供或提供的证明材料</w:t>
            </w:r>
            <w:r>
              <w:rPr>
                <w:rFonts w:hint="eastAsia" w:ascii="宋体" w:hAnsi="宋体" w:eastAsia="宋体"/>
                <w:b/>
                <w:bCs/>
                <w:color w:val="ff0000"/>
                <w:sz w:val="24"/>
                <w:highlight w:val="none"/>
                <w:lang w:eastAsia="zh-CN"/>
              </w:rPr>
              <w:t xml:space="preserve">、</w:t>
            </w:r>
            <w:r>
              <w:rPr>
                <w:rFonts w:hint="eastAsia" w:ascii="宋体" w:hAnsi="宋体" w:eastAsia="宋体"/>
                <w:b/>
                <w:bCs/>
                <w:color w:val="ff0000"/>
                <w:sz w:val="24"/>
                <w:highlight w:val="none"/>
              </w:rPr>
              <w:t xml:space="preserve">演示视频不符合招标文件要求的，视为负偏离。</w:t>
            </w:r>
            <w:r/>
          </w:p>
          <w:p>
            <w:pPr>
              <w:jc w:val="left"/>
              <w:rPr>
                <w:rFonts w:hint="eastAsia" w:ascii="宋体" w:hAnsi="宋体" w:eastAsia="宋体"/>
                <w:sz w:val="24"/>
                <w:highlight w:val="none"/>
              </w:rPr>
            </w:pPr>
            <w:r>
              <w:rPr>
                <w:rFonts w:hint="eastAsia" w:ascii="宋体" w:hAnsi="宋体" w:eastAsia="宋体"/>
                <w:b/>
                <w:bCs/>
                <w:color w:val="ff0000"/>
                <w:sz w:val="24"/>
                <w:highlight w:val="none"/>
              </w:rPr>
              <w:t xml:space="preserve">2、《技术参数响应及偏离表》中的内容须是投标人投标产品的真实反映，投标人在投标时不得虚假响应和虚假承诺，否则将取消其投标资格；已中标的，将取消其中标资格。</w:t>
            </w:r>
            <w:r/>
          </w:p>
        </w:tc>
        <w:tc>
          <w:tcPr>
            <w:tcW w:w="124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4</w:t>
            </w:r>
            <w:r>
              <w:rPr>
                <w:rFonts w:hint="eastAsia" w:ascii="宋体" w:hAnsi="宋体" w:eastAsia="宋体"/>
                <w:sz w:val="24"/>
                <w:highlight w:val="none"/>
                <w:lang w:val="en-US" w:eastAsia="zh-CN"/>
              </w:rPr>
              <w:t xml:space="preserve">6</w:t>
            </w:r>
            <w:r>
              <w:rPr>
                <w:rFonts w:hint="eastAsia" w:ascii="宋体" w:hAnsi="宋体" w:eastAsia="宋体"/>
                <w:sz w:val="24"/>
                <w:highlight w:val="none"/>
              </w:rPr>
              <w:t xml:space="preserve">分</w:t>
            </w:r>
            <w:r/>
          </w:p>
        </w:tc>
      </w:tr>
      <w:tr>
        <w:trPr/>
        <w:tc>
          <w:tcPr>
            <w:shd w:val="clear" w:color="auto" w:fill="auto"/>
            <w:tcW w:w="744"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3</w:t>
            </w:r>
            <w:r/>
          </w:p>
        </w:tc>
        <w:tc>
          <w:tcPr>
            <w:shd w:val="clear" w:color="auto" w:fill="auto"/>
            <w:tcW w:w="121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项目业绩</w:t>
            </w:r>
            <w:r/>
          </w:p>
        </w:tc>
        <w:tc>
          <w:tcPr>
            <w:shd w:val="clear" w:color="auto" w:fill="auto"/>
            <w:tcW w:w="6277" w:type="dxa"/>
            <w:vAlign w:val="center"/>
            <w:textDirection w:val="lrTb"/>
            <w:noWrap w:val="false"/>
          </w:tcPr>
          <w:p>
            <w:pPr>
              <w:jc w:val="left"/>
              <w:rPr>
                <w:rFonts w:ascii="宋体" w:hAnsi="宋体" w:eastAsia="宋体"/>
                <w:sz w:val="24"/>
                <w:highlight w:val="none"/>
              </w:rPr>
            </w:pPr>
            <w:r>
              <w:rPr>
                <w:rFonts w:hint="eastAsia" w:ascii="宋体" w:hAnsi="宋体" w:eastAsia="宋体"/>
                <w:sz w:val="24"/>
                <w:highlight w:val="none"/>
              </w:rPr>
              <w:t xml:space="preserve">供应商自2022年1月1日（以签订合同时间为准）以来，承担过特殊教育类似项目业绩的，有1项得2分，本项最多得6分。</w:t>
            </w:r>
            <w:r/>
          </w:p>
          <w:p>
            <w:pPr>
              <w:jc w:val="left"/>
              <w:rPr>
                <w:rFonts w:hint="eastAsia" w:ascii="宋体" w:hAnsi="宋体" w:eastAsia="宋体"/>
                <w:sz w:val="24"/>
                <w:highlight w:val="none"/>
              </w:rPr>
            </w:pPr>
            <w:r>
              <w:rPr>
                <w:rFonts w:hint="eastAsia" w:ascii="宋体" w:hAnsi="宋体" w:eastAsia="宋体"/>
                <w:b/>
                <w:bCs/>
                <w:color w:val="ff0000"/>
                <w:sz w:val="24"/>
                <w:highlight w:val="none"/>
              </w:rPr>
              <w:t xml:space="preserve">投标时提供合同、中标（成交）通知书、验收报告扫描件，未提供或提供不全不得分。</w:t>
            </w:r>
            <w:r/>
          </w:p>
        </w:tc>
        <w:tc>
          <w:tcPr>
            <w:shd w:val="clear" w:color="auto" w:fill="auto"/>
            <w:tcW w:w="124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6分</w:t>
            </w:r>
            <w:r/>
          </w:p>
        </w:tc>
      </w:tr>
      <w:tr>
        <w:trPr/>
        <w:tc>
          <w:tcPr>
            <w:shd w:val="clear" w:color="auto" w:fill="auto"/>
            <w:tcW w:w="744"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4</w:t>
            </w:r>
            <w:r/>
          </w:p>
        </w:tc>
        <w:tc>
          <w:tcPr>
            <w:shd w:val="clear" w:color="auto" w:fill="auto"/>
            <w:tcW w:w="121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培训方案</w:t>
            </w:r>
            <w:r/>
          </w:p>
        </w:tc>
        <w:tc>
          <w:tcPr>
            <w:shd w:val="clear" w:color="auto" w:fill="auto"/>
            <w:tcW w:w="6277" w:type="dxa"/>
            <w:vAlign w:val="center"/>
            <w:textDirection w:val="lrTb"/>
            <w:noWrap w:val="false"/>
          </w:tcPr>
          <w:p>
            <w:pPr>
              <w:jc w:val="left"/>
              <w:rPr>
                <w:rFonts w:hint="eastAsia" w:ascii="宋体" w:hAnsi="宋体" w:eastAsia="宋体"/>
                <w:sz w:val="24"/>
                <w:highlight w:val="none"/>
              </w:rPr>
            </w:pPr>
            <w:r>
              <w:rPr>
                <w:rFonts w:hint="eastAsia" w:ascii="宋体" w:hAnsi="宋体" w:eastAsia="宋体"/>
                <w:sz w:val="24"/>
                <w:highlight w:val="none"/>
              </w:rPr>
              <w:t xml:space="preserve">培训方案：评委根据供应商提供的培训方案进行评分，包括：培训人员数量；培训时间与次数；培训课程合理性；以上方案描述内容优于招标人需求得5分，符合招标人需求得3分，未提供或描述不符合要求的不得分。</w:t>
            </w:r>
            <w:r/>
          </w:p>
        </w:tc>
        <w:tc>
          <w:tcPr>
            <w:shd w:val="clear" w:color="auto" w:fill="auto"/>
            <w:tcW w:w="124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5分</w:t>
            </w:r>
            <w:r/>
          </w:p>
        </w:tc>
      </w:tr>
      <w:tr>
        <w:trPr/>
        <w:tc>
          <w:tcPr>
            <w:shd w:val="clear" w:color="auto" w:fill="auto"/>
            <w:tcW w:w="744"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5</w:t>
            </w:r>
            <w:r/>
          </w:p>
        </w:tc>
        <w:tc>
          <w:tcPr>
            <w:shd w:val="clear" w:color="auto" w:fill="auto"/>
            <w:tcW w:w="121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人员证书</w:t>
            </w:r>
            <w:r/>
          </w:p>
        </w:tc>
        <w:tc>
          <w:tcPr>
            <w:shd w:val="clear" w:color="auto" w:fill="auto"/>
            <w:tcW w:w="6277" w:type="dxa"/>
            <w:vAlign w:val="center"/>
            <w:textDirection w:val="lrTb"/>
            <w:noWrap w:val="false"/>
          </w:tcPr>
          <w:p>
            <w:pPr>
              <w:jc w:val="left"/>
              <w:rPr>
                <w:rFonts w:ascii="宋体" w:hAnsi="宋体" w:eastAsia="宋体"/>
                <w:sz w:val="24"/>
                <w:highlight w:val="none"/>
              </w:rPr>
            </w:pPr>
            <w:r>
              <w:rPr>
                <w:rFonts w:hint="eastAsia" w:ascii="宋体" w:hAnsi="宋体" w:eastAsia="宋体"/>
                <w:sz w:val="24"/>
                <w:highlight w:val="none"/>
              </w:rPr>
              <w:t xml:space="preserve">供应商或制造商的培训师具备感统教育指导师证书、蒙氏训练指导证书、音乐治疗指导师初级及以上证书、听力语言技术师证书，有1个得1分，最多得4分。</w:t>
            </w:r>
            <w:r/>
          </w:p>
          <w:p>
            <w:pPr>
              <w:jc w:val="left"/>
              <w:rPr>
                <w:rFonts w:hint="eastAsia" w:ascii="宋体" w:hAnsi="宋体" w:eastAsia="宋体"/>
                <w:sz w:val="24"/>
                <w:highlight w:val="none"/>
              </w:rPr>
            </w:pPr>
            <w:r>
              <w:rPr>
                <w:rFonts w:hint="eastAsia" w:ascii="宋体" w:hAnsi="宋体" w:eastAsia="宋体"/>
                <w:b/>
                <w:bCs/>
                <w:color w:val="ff0000"/>
                <w:sz w:val="24"/>
                <w:highlight w:val="none"/>
              </w:rPr>
              <w:t xml:space="preserve">投标时须提供有资质的认证机构出具的处于有效期内的认证证书扫描件，未提供不得分。</w:t>
            </w:r>
            <w:r/>
          </w:p>
        </w:tc>
        <w:tc>
          <w:tcPr>
            <w:shd w:val="clear" w:color="auto" w:fill="auto"/>
            <w:tcW w:w="124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4分</w:t>
            </w:r>
            <w:r/>
          </w:p>
        </w:tc>
      </w:tr>
      <w:tr>
        <w:trPr/>
        <w:tc>
          <w:tcPr>
            <w:shd w:val="clear" w:color="auto" w:fill="auto"/>
            <w:tcW w:w="744"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6</w:t>
            </w:r>
            <w:r/>
          </w:p>
        </w:tc>
        <w:tc>
          <w:tcPr>
            <w:shd w:val="clear" w:color="auto" w:fill="auto"/>
            <w:tcW w:w="121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技术方案</w:t>
            </w:r>
            <w:r/>
          </w:p>
        </w:tc>
        <w:tc>
          <w:tcPr>
            <w:shd w:val="clear" w:color="auto" w:fill="auto"/>
            <w:tcW w:w="6277" w:type="dxa"/>
            <w:vAlign w:val="center"/>
            <w:textDirection w:val="lrTb"/>
            <w:noWrap w:val="false"/>
          </w:tcPr>
          <w:p>
            <w:pPr>
              <w:jc w:val="left"/>
              <w:rPr>
                <w:rFonts w:hint="eastAsia" w:ascii="宋体" w:hAnsi="宋体" w:eastAsia="宋体"/>
                <w:sz w:val="24"/>
                <w:highlight w:val="none"/>
              </w:rPr>
            </w:pPr>
            <w:r>
              <w:rPr>
                <w:rFonts w:hint="eastAsia" w:ascii="宋体" w:hAnsi="宋体" w:eastAsia="宋体"/>
                <w:sz w:val="24"/>
                <w:highlight w:val="none"/>
              </w:rPr>
              <w:t xml:space="preserve">技术方案至少包括项目实施方案、进度计划方案、售后服务方案。</w:t>
            </w:r>
            <w:r/>
          </w:p>
          <w:p>
            <w:pPr>
              <w:jc w:val="left"/>
              <w:rPr>
                <w:rFonts w:hint="eastAsia" w:ascii="宋体" w:hAnsi="宋体" w:eastAsia="宋体"/>
                <w:sz w:val="24"/>
                <w:highlight w:val="none"/>
              </w:rPr>
            </w:pPr>
            <w:r>
              <w:rPr>
                <w:rFonts w:hint="eastAsia" w:ascii="宋体" w:hAnsi="宋体" w:eastAsia="宋体"/>
                <w:sz w:val="24"/>
                <w:highlight w:val="none"/>
              </w:rPr>
              <w:t xml:space="preserve">1.项目实施方案：根据投标人提供的方案进行评审，方案需包含：（1）安装调试方案，（2）质量保证措施，（3）应急预案；以</w:t>
            </w:r>
            <w:r>
              <w:rPr>
                <w:rFonts w:hint="eastAsia" w:ascii="宋体" w:hAnsi="宋体" w:eastAsia="宋体"/>
                <w:sz w:val="24"/>
                <w:highlight w:val="none"/>
              </w:rPr>
              <w:t xml:space="preserve">上方案描述内容优于招标人需求得</w:t>
            </w:r>
            <w:r>
              <w:rPr>
                <w:rFonts w:hint="eastAsia" w:ascii="宋体" w:hAnsi="宋体" w:eastAsia="宋体"/>
                <w:sz w:val="24"/>
                <w:highlight w:val="none"/>
                <w:lang w:val="en-US" w:eastAsia="zh-CN"/>
              </w:rPr>
              <w:t xml:space="preserve">3</w:t>
            </w:r>
            <w:r>
              <w:rPr>
                <w:rFonts w:hint="eastAsia" w:ascii="宋体" w:hAnsi="宋体" w:eastAsia="宋体"/>
                <w:sz w:val="24"/>
                <w:highlight w:val="none"/>
              </w:rPr>
              <w:t xml:space="preserve">分，符合招标人需求得</w:t>
            </w:r>
            <w:r>
              <w:rPr>
                <w:rFonts w:hint="eastAsia" w:ascii="宋体" w:hAnsi="宋体" w:eastAsia="宋体"/>
                <w:sz w:val="24"/>
                <w:highlight w:val="none"/>
                <w:lang w:val="en-US" w:eastAsia="zh-CN"/>
              </w:rPr>
              <w:t xml:space="preserve">1</w:t>
            </w:r>
            <w:r>
              <w:rPr>
                <w:rFonts w:hint="eastAsia" w:ascii="宋体" w:hAnsi="宋体" w:eastAsia="宋体"/>
                <w:sz w:val="24"/>
                <w:highlight w:val="none"/>
              </w:rPr>
              <w:t xml:space="preserve">分，未提供或</w:t>
            </w:r>
            <w:r>
              <w:rPr>
                <w:rFonts w:hint="eastAsia" w:ascii="宋体" w:hAnsi="宋体" w:eastAsia="宋体"/>
                <w:sz w:val="24"/>
                <w:highlight w:val="none"/>
              </w:rPr>
              <w:t xml:space="preserve">描述不符合要求的不得分。</w:t>
            </w:r>
            <w:r/>
          </w:p>
          <w:p>
            <w:pPr>
              <w:jc w:val="left"/>
              <w:rPr>
                <w:rFonts w:hint="eastAsia" w:ascii="宋体" w:hAnsi="宋体" w:eastAsia="宋体"/>
                <w:sz w:val="24"/>
                <w:highlight w:val="none"/>
                <w:lang w:eastAsia="zh-CN"/>
              </w:rPr>
            </w:pPr>
            <w:r>
              <w:rPr>
                <w:rFonts w:hint="eastAsia" w:ascii="宋体" w:hAnsi="宋体" w:eastAsia="宋体"/>
                <w:sz w:val="24"/>
                <w:highlight w:val="none"/>
              </w:rPr>
              <w:t xml:space="preserve">2.进度计划方案：根据投标人提供的方案进行评审，方案需包含：（1）安装人员的配置，（2）备货及运输计划，（3）安装进度计划；以上方案描述内容优于招标人需求得3分，符合招标人需求得1分，未提供或描述不符合要求的不得分。</w:t>
            </w:r>
            <w:r>
              <w:rPr>
                <w:rFonts w:hint="eastAsia" w:ascii="宋体" w:hAnsi="宋体" w:eastAsia="宋体"/>
                <w:sz w:val="24"/>
                <w:highlight w:val="none"/>
                <w:lang w:eastAsia="zh-CN"/>
              </w:rPr>
              <w:t xml:space="preserve">ˆ</w:t>
            </w:r>
            <w:r/>
          </w:p>
          <w:p>
            <w:pPr>
              <w:jc w:val="left"/>
              <w:rPr>
                <w:rFonts w:hint="eastAsia" w:ascii="宋体" w:hAnsi="宋体" w:eastAsia="宋体"/>
                <w:sz w:val="24"/>
                <w:highlight w:val="none"/>
              </w:rPr>
            </w:pPr>
            <w:r>
              <w:rPr>
                <w:rFonts w:hint="eastAsia" w:ascii="宋体" w:hAnsi="宋体" w:eastAsia="宋体"/>
                <w:sz w:val="24"/>
                <w:highlight w:val="none"/>
              </w:rPr>
              <w:t xml:space="preserve">3.售后服务方案：根据投标人提供的方案进行评审，方案需包含：（1）故障处理保障措施，（2）备机备件情况，（3）售后服务人员配置；以上方案描述内容优于招标人需求得3分，符合招标人需求得1分，未提供或描述不符合要求的不得分。</w:t>
            </w:r>
            <w:r/>
          </w:p>
          <w:p>
            <w:pPr>
              <w:jc w:val="left"/>
              <w:rPr>
                <w:rFonts w:hint="eastAsia" w:ascii="宋体" w:hAnsi="宋体" w:eastAsia="宋体"/>
                <w:sz w:val="24"/>
                <w:highlight w:val="none"/>
              </w:rPr>
            </w:pPr>
            <w:r>
              <w:rPr>
                <w:rFonts w:hint="eastAsia" w:ascii="宋体" w:hAnsi="宋体" w:eastAsia="宋体"/>
                <w:sz w:val="24"/>
                <w:highlight w:val="none"/>
              </w:rPr>
              <w:t xml:space="preserve">注：方案评审以投标人提供的方案为准,未提供者不得分。</w:t>
            </w:r>
            <w:r/>
          </w:p>
        </w:tc>
        <w:tc>
          <w:tcPr>
            <w:shd w:val="clear" w:color="auto" w:fill="auto"/>
            <w:tcW w:w="124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9分</w:t>
            </w:r>
            <w:r/>
          </w:p>
        </w:tc>
      </w:tr>
    </w:tbl>
    <w:p>
      <w:pPr>
        <w:jc w:val="left"/>
        <w:rPr>
          <w:rFonts w:hint="eastAsia" w:ascii="宋体" w:hAnsi="宋体" w:eastAsia="宋体"/>
          <w:sz w:val="24"/>
          <w:highlight w:val="none"/>
        </w:rPr>
      </w:pPr>
      <w:r>
        <w:rPr>
          <w:rFonts w:hint="eastAsia" w:ascii="宋体" w:hAnsi="宋体" w:eastAsia="宋体"/>
          <w:sz w:val="24"/>
          <w:highlight w:val="none"/>
        </w:rPr>
        <w:t xml:space="preserve"> </w:t>
      </w:r>
      <w:r/>
    </w:p>
    <w:p>
      <w:pPr>
        <w:pStyle w:val="937"/>
        <w:jc w:val="center"/>
        <w:keepNext/>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ind w:firstLine="2200"/>
        <w:rPr>
          <w:rFonts w:ascii="宋体" w:hAnsi="宋体" w:eastAsia="宋体" w:cs="宋体"/>
          <w:color w:val="000000"/>
          <w:sz w:val="24"/>
          <w:highlight w:val="none"/>
        </w:rPr>
      </w:pPr>
      <w:r>
        <w:rPr>
          <w:rFonts w:hint="eastAsia" w:ascii="黑体" w:hAnsi="宋体" w:eastAsia="黑体" w:cs="黑体"/>
          <w:color w:val="000000"/>
          <w:sz w:val="44"/>
          <w:szCs w:val="44"/>
          <w:highlight w:val="none"/>
        </w:rPr>
        <w:t xml:space="preserve">第六章 投标文件格式</w:t>
      </w:r>
      <w:r/>
    </w:p>
    <w:p>
      <w:pPr>
        <w:pStyle w:val="937"/>
        <w:ind w:firstLine="1440"/>
        <w:jc w:val="center"/>
        <w:spacing w:beforeAutospacing="0" w:afterAutospacing="0"/>
        <w:rPr>
          <w:rFonts w:hint="eastAsia" w:ascii="宋体" w:hAnsi="宋体" w:eastAsia="宋体" w:cs="宋体"/>
          <w:b/>
          <w:color w:val="000000"/>
          <w:sz w:val="72"/>
          <w:szCs w:val="72"/>
          <w:highlight w:val="none"/>
        </w:rPr>
      </w:pPr>
      <w:r/>
      <w:bookmarkStart w:id="229" w:name="_Toc120614282"/>
      <w:r/>
      <w:bookmarkEnd w:id="229"/>
      <w:r/>
      <w:bookmarkStart w:id="230" w:name="_Toc49090576"/>
      <w:r/>
      <w:bookmarkEnd w:id="230"/>
      <w:r/>
      <w:bookmarkStart w:id="231" w:name="_Hlt26955039"/>
      <w:r/>
      <w:bookmarkStart w:id="232" w:name="_Hlt26671244"/>
      <w:r/>
      <w:bookmarkStart w:id="233" w:name="_Toc26554094"/>
      <w:r/>
      <w:r/>
    </w:p>
    <w:p>
      <w:pPr>
        <w:pStyle w:val="937"/>
        <w:ind w:firstLine="1440"/>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937"/>
        <w:ind w:firstLine="1446"/>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937"/>
        <w:jc w:val="center"/>
        <w:spacing w:beforeAutospacing="0" w:afterAutospacing="0"/>
        <w:rPr>
          <w:highlight w:val="none"/>
        </w:rPr>
      </w:pPr>
      <w:r>
        <w:rPr>
          <w:highlight w:val="none"/>
        </w:rPr>
        <w:t xml:space="preserve"> </w:t>
      </w:r>
      <w:r/>
    </w:p>
    <w:p>
      <w:pPr>
        <w:pStyle w:val="937"/>
        <w:jc w:val="center"/>
        <w:spacing w:beforeAutospacing="0" w:afterAutospacing="0"/>
        <w:rPr>
          <w:highlight w:val="none"/>
        </w:rPr>
      </w:pPr>
      <w:r>
        <w:rPr>
          <w:highlight w:val="none"/>
        </w:rPr>
        <w:t xml:space="preserve"> </w:t>
      </w:r>
      <w:r/>
    </w:p>
    <w:p>
      <w:pPr>
        <w:pStyle w:val="937"/>
        <w:jc w:val="center"/>
        <w:spacing w:beforeAutospacing="0" w:afterAutospacing="0"/>
        <w:rPr>
          <w:highlight w:val="none"/>
        </w:rPr>
      </w:pPr>
      <w:r>
        <w:rPr>
          <w:highlight w:val="none"/>
        </w:rPr>
        <w:t xml:space="preserve"> </w:t>
      </w:r>
      <w:r/>
    </w:p>
    <w:p>
      <w:pPr>
        <w:pStyle w:val="937"/>
        <w:jc w:val="center"/>
        <w:spacing w:beforeAutospacing="0" w:afterAutospacing="0"/>
        <w:rPr>
          <w:highlight w:val="none"/>
        </w:rPr>
      </w:pPr>
      <w:r>
        <w:rPr>
          <w:highlight w:val="none"/>
        </w:rPr>
        <w:t xml:space="preserve"> </w:t>
      </w:r>
      <w:r/>
    </w:p>
    <w:p>
      <w:pPr>
        <w:pStyle w:val="937"/>
        <w:jc w:val="center"/>
        <w:spacing w:beforeAutospacing="0" w:afterAutospacing="0"/>
        <w:rPr>
          <w:highlight w:val="none"/>
        </w:rPr>
      </w:pPr>
      <w:r>
        <w:rPr>
          <w:highlight w:val="none"/>
        </w:rPr>
        <w:t xml:space="preserve"> </w:t>
      </w:r>
      <w:r/>
    </w:p>
    <w:p>
      <w:pPr>
        <w:pStyle w:val="937"/>
        <w:ind w:firstLine="723"/>
        <w:jc w:val="both"/>
        <w:spacing w:beforeAutospacing="0" w:afterAutospacing="0"/>
        <w:rPr>
          <w:highlight w:val="none"/>
        </w:rPr>
      </w:pPr>
      <w:r>
        <w:rPr>
          <w:rFonts w:hint="eastAsia" w:ascii="宋体" w:hAnsi="宋体" w:eastAsia="宋体" w:cs="宋体"/>
          <w:b/>
          <w:color w:val="000000"/>
          <w:sz w:val="36"/>
          <w:szCs w:val="36"/>
          <w:highlight w:val="none"/>
        </w:rPr>
        <w:t xml:space="preserve">项目名称：</w:t>
      </w:r>
      <w:r>
        <w:rPr>
          <w:rFonts w:hint="eastAsia" w:ascii="宋体" w:hAnsi="宋体" w:eastAsia="宋体" w:cs="宋体"/>
          <w:b/>
          <w:color w:val="000000"/>
          <w:sz w:val="36"/>
          <w:szCs w:val="36"/>
          <w:highlight w:val="none"/>
          <w:u w:val="single"/>
        </w:rPr>
        <w:t xml:space="preserve">             </w:t>
      </w:r>
      <w:r/>
    </w:p>
    <w:p>
      <w:pPr>
        <w:pStyle w:val="937"/>
        <w:ind w:firstLine="723"/>
        <w:jc w:val="both"/>
        <w:spacing w:beforeAutospacing="0" w:afterAutospacing="0"/>
        <w:rPr>
          <w:highlight w:val="none"/>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u w:val="single"/>
        </w:rPr>
        <w:t xml:space="preserve">             </w:t>
      </w:r>
      <w:r/>
    </w:p>
    <w:p>
      <w:pPr>
        <w:pStyle w:val="937"/>
        <w:ind w:firstLine="723"/>
        <w:jc w:val="both"/>
        <w:spacing w:beforeAutospacing="0" w:afterAutospacing="0"/>
        <w:rPr>
          <w:highlight w:val="none"/>
        </w:rPr>
      </w:pPr>
      <w:r>
        <w:rPr>
          <w:rFonts w:hint="eastAsia" w:ascii="宋体" w:hAnsi="宋体" w:eastAsia="宋体" w:cs="宋体"/>
          <w:b/>
          <w:color w:val="000000"/>
          <w:sz w:val="36"/>
          <w:szCs w:val="36"/>
          <w:highlight w:val="none"/>
        </w:rPr>
        <w:t xml:space="preserve">投标人名称：</w:t>
      </w:r>
      <w:r>
        <w:rPr>
          <w:rFonts w:hint="eastAsia" w:ascii="宋体" w:hAnsi="宋体" w:eastAsia="宋体" w:cs="宋体"/>
          <w:b/>
          <w:color w:val="000000"/>
          <w:sz w:val="36"/>
          <w:szCs w:val="36"/>
          <w:highlight w:val="none"/>
          <w:u w:val="single"/>
        </w:rPr>
        <w:t xml:space="preserve">（加盖CA电子公章）</w:t>
      </w:r>
      <w:r/>
    </w:p>
    <w:p>
      <w:pPr>
        <w:pStyle w:val="937"/>
        <w:ind w:firstLine="723"/>
        <w:jc w:val="both"/>
        <w:spacing w:beforeAutospacing="0" w:afterAutospacing="0"/>
        <w:rPr>
          <w:highlight w:val="none"/>
        </w:rPr>
      </w:pPr>
      <w:r>
        <w:rPr>
          <w:rFonts w:hint="eastAsia" w:ascii="宋体" w:hAnsi="宋体" w:eastAsia="宋体" w:cs="宋体"/>
          <w:b/>
          <w:color w:val="000000"/>
          <w:sz w:val="36"/>
          <w:szCs w:val="36"/>
          <w:highlight w:val="none"/>
        </w:rPr>
        <w:t xml:space="preserve">日  期：</w:t>
      </w:r>
      <w:r>
        <w:rPr>
          <w:rFonts w:hint="eastAsia" w:ascii="宋体" w:hAnsi="宋体" w:eastAsia="宋体" w:cs="宋体"/>
          <w:b/>
          <w:color w:val="000000"/>
          <w:sz w:val="36"/>
          <w:szCs w:val="36"/>
          <w:highlight w:val="none"/>
          <w:u w:val="single"/>
        </w:rPr>
        <w:t xml:space="preserve">             </w:t>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spacing w:beforeAutospacing="0" w:afterAutospacing="0" w:line="0" w:lineRule="atLeast"/>
        <w:rPr>
          <w:highlight w:val="none"/>
        </w:rPr>
      </w:pPr>
      <w:r>
        <w:rPr>
          <w:highlight w:val="none"/>
        </w:rPr>
      </w:r>
      <w:r/>
    </w:p>
    <w:p>
      <w:pPr>
        <w:pStyle w:val="937"/>
        <w:spacing w:beforeAutospacing="0" w:afterAutospacing="0" w:line="0" w:lineRule="atLeast"/>
        <w:rPr>
          <w:highlight w:val="none"/>
        </w:rPr>
      </w:pPr>
      <w:r>
        <w:rPr>
          <w:highlight w:val="none"/>
        </w:rPr>
      </w:r>
      <w:r/>
    </w:p>
    <w:p>
      <w:pPr>
        <w:pStyle w:val="937"/>
        <w:spacing w:beforeAutospacing="0" w:afterAutospacing="0" w:line="0" w:lineRule="atLeast"/>
        <w:rPr>
          <w:highlight w:val="none"/>
        </w:rPr>
      </w:pPr>
      <w:r>
        <w:rPr>
          <w:highlight w:val="none"/>
        </w:rPr>
      </w:r>
      <w:r/>
    </w:p>
    <w:p>
      <w:pPr>
        <w:pStyle w:val="937"/>
        <w:spacing w:beforeAutospacing="0" w:afterAutospacing="0" w:line="0" w:lineRule="atLeast"/>
        <w:rPr>
          <w:rFonts w:hint="eastAsia"/>
          <w:highlight w:val="none"/>
        </w:rPr>
      </w:pPr>
      <w:r>
        <w:rPr>
          <w:rFonts w:hint="eastAsia"/>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937"/>
        <w:jc w:val="center"/>
        <w:spacing w:beforeAutospacing="0" w:afterAutospacing="0" w:line="0" w:lineRule="atLeast"/>
        <w:rPr>
          <w:highlight w:val="none"/>
        </w:rPr>
      </w:pPr>
      <w:r>
        <w:rPr>
          <w:highlight w:val="none"/>
        </w:rPr>
        <w:t xml:space="preserve"> </w:t>
      </w:r>
      <w:r/>
    </w:p>
    <w:p>
      <w:pPr>
        <w:pStyle w:val="937"/>
        <w:ind w:left="480"/>
        <w:jc w:val="both"/>
        <w:spacing w:beforeAutospacing="0" w:afterAutospacing="0"/>
        <w:rPr>
          <w:iCs/>
          <w:highlight w:val="none"/>
        </w:rPr>
      </w:pPr>
      <w:r>
        <w:rPr>
          <w:rFonts w:hint="eastAsia" w:ascii="宋体" w:hAnsi="宋体" w:eastAsia="宋体" w:cs="宋体"/>
          <w:iCs/>
          <w:color w:val="000000"/>
          <w:highlight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Cs/>
          <w:color w:val="000000"/>
          <w:sz w:val="24"/>
          <w:highlight w:val="none"/>
        </w:rPr>
      </w:pPr>
      <w:r>
        <w:rPr>
          <w:rFonts w:hint="eastAsia" w:ascii="宋体" w:hAnsi="宋体" w:eastAsia="宋体" w:cs="宋体"/>
          <w:iCs/>
          <w:color w:val="000000"/>
          <w:sz w:val="24"/>
          <w:highlight w:val="none"/>
        </w:rPr>
        <w:t xml:space="preserve">二、上一年度的财务状况报表</w:t>
      </w:r>
      <w:bookmarkStart w:id="234" w:name="_Hlk194430514"/>
      <w:r>
        <w:rPr>
          <w:rFonts w:hint="eastAsia" w:ascii="宋体" w:hAnsi="宋体" w:eastAsia="宋体" w:cs="宋体"/>
          <w:iCs/>
          <w:color w:val="000000"/>
          <w:sz w:val="24"/>
          <w:highlight w:val="none"/>
        </w:rPr>
        <w:t xml:space="preserve">（至少提供资产负债表、利润表、现金流量表，投标人成立不满一年无需提供）</w:t>
      </w:r>
      <w:bookmarkEnd w:id="234"/>
      <w:r/>
      <w:r/>
    </w:p>
    <w:p>
      <w:pPr>
        <w:pStyle w:val="937"/>
        <w:ind w:left="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三、具备履行合同所必需的设备和专业技术能力的书面声明</w:t>
      </w:r>
      <w:r/>
    </w:p>
    <w:p>
      <w:pPr>
        <w:pStyle w:val="937"/>
        <w:ind w:firstLine="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37"/>
        <w:ind w:firstLine="482"/>
        <w:jc w:val="both"/>
        <w:spacing w:beforeAutospacing="0" w:afterAutospacing="0" w:line="0" w:lineRule="atLeast"/>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五、参加政府采购活动前3年内在经营活动中没有重大违法记录的书面声明</w:t>
      </w:r>
      <w:r/>
    </w:p>
    <w:p>
      <w:pPr>
        <w:pStyle w:val="937"/>
        <w:ind w:firstLine="482"/>
        <w:jc w:val="both"/>
        <w:spacing w:beforeAutospacing="0" w:afterAutospacing="0" w:line="0" w:lineRule="atLeast"/>
        <w:rPr>
          <w:iCs/>
          <w:highlight w:val="none"/>
        </w:rPr>
      </w:pPr>
      <w:r>
        <w:rPr>
          <w:rFonts w:hint="eastAsia"/>
          <w:iCs/>
          <w:highlight w:val="none"/>
        </w:rPr>
        <w:t xml:space="preserve">六、单位负责人为同一人或者存在直接控股、服务关系的不同供应商，不得参加同一合同项下的政府采购活动证明文件</w:t>
      </w:r>
      <w:r/>
    </w:p>
    <w:p>
      <w:pPr>
        <w:pStyle w:val="937"/>
        <w:ind w:firstLine="482"/>
        <w:jc w:val="both"/>
        <w:spacing w:beforeAutospacing="0" w:afterAutospacing="0" w:line="0" w:lineRule="atLeast"/>
        <w:rPr>
          <w:iCs/>
          <w:highlight w:val="none"/>
        </w:rPr>
      </w:pPr>
      <w:r>
        <w:rPr>
          <w:rFonts w:hint="eastAsia" w:ascii="宋体" w:hAnsi="宋体" w:eastAsia="宋体" w:cs="宋体"/>
          <w:iCs/>
          <w:color w:val="000000"/>
          <w:highlight w:val="none"/>
        </w:rPr>
        <w:t xml:space="preserve">七、特定资格要求的证明文件</w:t>
      </w:r>
      <w:r/>
    </w:p>
    <w:p>
      <w:pPr>
        <w:pStyle w:val="937"/>
        <w:ind w:firstLine="482"/>
        <w:jc w:val="both"/>
        <w:spacing w:beforeAutospacing="0" w:afterAutospacing="0" w:line="0" w:lineRule="atLeast"/>
        <w:rPr>
          <w:iCs/>
          <w:highlight w:val="none"/>
        </w:rPr>
      </w:pPr>
      <w:r>
        <w:rPr>
          <w:rFonts w:hint="eastAsia" w:ascii="宋体" w:hAnsi="宋体" w:eastAsia="宋体" w:cs="宋体"/>
          <w:iCs/>
          <w:color w:val="000000"/>
          <w:highlight w:val="none"/>
        </w:rPr>
        <w:t xml:space="preserve">八、法人授权书</w:t>
      </w:r>
      <w:r/>
    </w:p>
    <w:p>
      <w:pPr>
        <w:pStyle w:val="937"/>
        <w:ind w:firstLine="482"/>
        <w:jc w:val="both"/>
        <w:spacing w:beforeAutospacing="0" w:afterAutospacing="0" w:line="0" w:lineRule="atLeast"/>
        <w:rPr>
          <w:iCs/>
          <w:highlight w:val="none"/>
        </w:rPr>
      </w:pPr>
      <w:r>
        <w:rPr>
          <w:rFonts w:hint="eastAsia" w:ascii="宋体" w:hAnsi="宋体" w:eastAsia="宋体" w:cs="宋体"/>
          <w:iCs/>
          <w:color w:val="000000"/>
          <w:highlight w:val="none"/>
        </w:rPr>
        <w:t xml:space="preserve">九、投标函</w:t>
      </w:r>
      <w:r/>
    </w:p>
    <w:p>
      <w:pPr>
        <w:pStyle w:val="937"/>
        <w:ind w:firstLine="482"/>
        <w:jc w:val="both"/>
        <w:spacing w:beforeAutospacing="0" w:afterAutospacing="0" w:line="0" w:lineRule="atLeast"/>
        <w:rPr>
          <w:iCs/>
          <w:highlight w:val="none"/>
        </w:rPr>
      </w:pPr>
      <w:r>
        <w:rPr>
          <w:rFonts w:hint="eastAsia" w:ascii="宋体" w:hAnsi="宋体" w:eastAsia="宋体" w:cs="宋体"/>
          <w:iCs/>
          <w:color w:val="000000"/>
          <w:highlight w:val="none"/>
        </w:rPr>
        <w:t xml:space="preserve">十、</w:t>
      </w:r>
      <w:r>
        <w:rPr>
          <w:rFonts w:hint="eastAsia" w:ascii="宋体" w:hAnsi="宋体" w:eastAsia="宋体" w:cs="宋体"/>
          <w:iCs/>
          <w:highlight w:val="none"/>
        </w:rPr>
        <w:t xml:space="preserve">中小企业声明函</w:t>
      </w:r>
      <w:r/>
    </w:p>
    <w:p>
      <w:pPr>
        <w:pStyle w:val="937"/>
        <w:ind w:firstLine="482"/>
        <w:jc w:val="both"/>
        <w:spacing w:beforeAutospacing="0" w:afterAutospacing="0" w:line="0" w:lineRule="atLeast"/>
        <w:rPr>
          <w:iCs/>
          <w:highlight w:val="none"/>
        </w:rPr>
      </w:pPr>
      <w:r>
        <w:rPr>
          <w:rFonts w:hint="eastAsia" w:ascii="宋体" w:hAnsi="宋体" w:eastAsia="宋体" w:cs="宋体"/>
          <w:iCs/>
          <w:color w:val="000000"/>
          <w:highlight w:val="none"/>
        </w:rPr>
        <w:t xml:space="preserve">十一、残疾人福利性单位声明函</w:t>
      </w:r>
      <w:r/>
    </w:p>
    <w:p>
      <w:pPr>
        <w:pStyle w:val="937"/>
        <w:ind w:firstLine="482"/>
        <w:jc w:val="both"/>
        <w:spacing w:beforeAutospacing="0" w:afterAutospacing="0" w:line="0" w:lineRule="atLeast"/>
        <w:rPr>
          <w:iCs/>
          <w:highlight w:val="none"/>
        </w:rPr>
      </w:pPr>
      <w:r>
        <w:rPr>
          <w:rFonts w:hint="eastAsia" w:ascii="宋体" w:hAnsi="宋体" w:eastAsia="宋体" w:cs="宋体"/>
          <w:iCs/>
          <w:color w:val="000000"/>
          <w:highlight w:val="none"/>
        </w:rPr>
        <w:t xml:space="preserve">十二、投标分项报价表</w:t>
      </w:r>
      <w:r/>
    </w:p>
    <w:p>
      <w:pPr>
        <w:pStyle w:val="937"/>
        <w:ind w:firstLine="482"/>
        <w:jc w:val="both"/>
        <w:spacing w:beforeAutospacing="0" w:afterAutospacing="0" w:line="0" w:lineRule="atLeast"/>
        <w:rPr>
          <w:iCs/>
          <w:highlight w:val="none"/>
        </w:rPr>
      </w:pPr>
      <w:r>
        <w:rPr>
          <w:rFonts w:hint="eastAsia" w:ascii="宋体" w:hAnsi="宋体" w:eastAsia="宋体" w:cs="宋体"/>
          <w:iCs/>
          <w:color w:val="000000"/>
          <w:highlight w:val="none"/>
        </w:rPr>
        <w:t xml:space="preserve">十三、技术要求响应及偏离表</w:t>
      </w:r>
      <w:r/>
    </w:p>
    <w:p>
      <w:pPr>
        <w:pStyle w:val="937"/>
        <w:ind w:firstLine="482"/>
        <w:jc w:val="both"/>
        <w:spacing w:beforeAutospacing="0" w:afterAutospacing="0" w:line="0" w:lineRule="atLeast"/>
        <w:rPr>
          <w:iCs/>
          <w:highlight w:val="none"/>
        </w:rPr>
      </w:pPr>
      <w:r>
        <w:rPr>
          <w:rFonts w:hint="eastAsia" w:ascii="宋体" w:hAnsi="宋体" w:eastAsia="宋体" w:cs="宋体"/>
          <w:iCs/>
          <w:color w:val="000000"/>
          <w:highlight w:val="none"/>
        </w:rPr>
        <w:t xml:space="preserve">十四、商务要求响应及偏离表</w:t>
      </w:r>
      <w:r/>
    </w:p>
    <w:p>
      <w:pPr>
        <w:pStyle w:val="937"/>
        <w:ind w:firstLine="482"/>
        <w:jc w:val="both"/>
        <w:spacing w:beforeAutospacing="0" w:afterAutospacing="0" w:line="0" w:lineRule="atLeast"/>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十五、开标一览表</w:t>
      </w:r>
      <w:r/>
    </w:p>
    <w:p>
      <w:pPr>
        <w:pStyle w:val="937"/>
        <w:ind w:firstLine="482"/>
        <w:jc w:val="both"/>
        <w:spacing w:beforeAutospacing="0" w:afterAutospacing="0" w:line="360" w:lineRule="auto"/>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十七、盐城市政府采购事前信用承诺书</w:t>
      </w:r>
      <w:r/>
    </w:p>
    <w:p>
      <w:pPr>
        <w:pStyle w:val="937"/>
        <w:ind w:firstLine="482"/>
        <w:jc w:val="both"/>
        <w:spacing w:beforeAutospacing="0" w:afterAutospacing="0" w:line="0" w:lineRule="atLeast"/>
        <w:rPr>
          <w:highlight w:val="none"/>
        </w:rPr>
      </w:pPr>
      <w:r>
        <w:rPr>
          <w:highlight w:val="none"/>
        </w:rPr>
        <w:t xml:space="preserve"> </w:t>
      </w:r>
      <w:r>
        <w:rPr>
          <w:rFonts w:hint="eastAsia"/>
          <w:highlight w:val="none"/>
        </w:rPr>
        <w:t xml:space="preserve">十八、其他材料（如有）</w:t>
      </w:r>
      <w:r/>
    </w:p>
    <w:p>
      <w:pPr>
        <w:pStyle w:val="937"/>
        <w:ind w:firstLine="482"/>
        <w:jc w:val="both"/>
        <w:spacing w:beforeAutospacing="0" w:afterAutospacing="0" w:line="0" w:lineRule="atLeast"/>
        <w:rPr>
          <w:highlight w:val="none"/>
        </w:rPr>
      </w:pPr>
      <w:r>
        <w:rPr>
          <w:highlight w:val="none"/>
        </w:rPr>
        <w:t xml:space="preserve"> </w:t>
      </w:r>
      <w:r/>
    </w:p>
    <w:p>
      <w:pPr>
        <w:pStyle w:val="937"/>
        <w:ind w:firstLine="482"/>
        <w:jc w:val="both"/>
        <w:spacing w:beforeAutospacing="0" w:afterAutospacing="0" w:line="0" w:lineRule="atLeast"/>
        <w:rPr>
          <w:highlight w:val="none"/>
        </w:rPr>
      </w:pPr>
      <w:r>
        <w:rPr>
          <w:highlight w:val="none"/>
        </w:rPr>
        <w:t xml:space="preserve"> </w:t>
      </w:r>
      <w:r/>
    </w:p>
    <w:p>
      <w:pPr>
        <w:pStyle w:val="937"/>
        <w:ind w:firstLine="482"/>
        <w:jc w:val="both"/>
        <w:spacing w:beforeAutospacing="0" w:afterAutospacing="0" w:line="0" w:lineRule="atLeast"/>
        <w:rPr>
          <w:highlight w:val="none"/>
        </w:rPr>
      </w:pPr>
      <w:r>
        <w:rPr>
          <w:highlight w:val="none"/>
        </w:rPr>
        <w:t xml:space="preserve"> </w:t>
      </w:r>
      <w:r/>
    </w:p>
    <w:p>
      <w:pPr>
        <w:pStyle w:val="937"/>
        <w:ind w:firstLine="482"/>
        <w:jc w:val="both"/>
        <w:spacing w:beforeAutospacing="0" w:afterAutospacing="0" w:line="0" w:lineRule="atLeast"/>
        <w:rPr>
          <w:highlight w:val="none"/>
        </w:rPr>
      </w:pPr>
      <w:r>
        <w:rPr>
          <w:highlight w:val="none"/>
        </w:rPr>
        <w:t xml:space="preserve"> </w:t>
      </w:r>
      <w:r/>
    </w:p>
    <w:p>
      <w:pPr>
        <w:pStyle w:val="937"/>
        <w:ind w:firstLine="482"/>
        <w:jc w:val="both"/>
        <w:spacing w:beforeAutospacing="0" w:afterAutospacing="0" w:line="0" w:lineRule="atLeast"/>
        <w:rPr>
          <w:highlight w:val="none"/>
        </w:rPr>
      </w:pPr>
      <w:r>
        <w:rPr>
          <w:highlight w:val="none"/>
        </w:rPr>
        <w:t xml:space="preserve"> </w:t>
      </w:r>
      <w:r/>
    </w:p>
    <w:p>
      <w:pPr>
        <w:pStyle w:val="937"/>
        <w:ind w:firstLine="482"/>
        <w:jc w:val="both"/>
        <w:spacing w:beforeAutospacing="0" w:afterAutospacing="0" w:line="0" w:lineRule="atLeast"/>
        <w:rPr>
          <w:highlight w:val="none"/>
        </w:rPr>
      </w:pPr>
      <w:r>
        <w:rPr>
          <w:highlight w:val="none"/>
        </w:rPr>
        <w:t xml:space="preserve"> </w:t>
      </w:r>
      <w:r/>
    </w:p>
    <w:p>
      <w:pPr>
        <w:pStyle w:val="937"/>
        <w:ind w:firstLine="482"/>
        <w:jc w:val="both"/>
        <w:spacing w:beforeAutospacing="0" w:afterAutospacing="0" w:line="0" w:lineRule="atLeast"/>
        <w:rPr>
          <w:highlight w:val="none"/>
        </w:rPr>
      </w:pPr>
      <w:r>
        <w:rPr>
          <w:highlight w:val="none"/>
        </w:rPr>
        <w:t xml:space="preserve"> </w:t>
      </w:r>
      <w:r/>
    </w:p>
    <w:p>
      <w:pPr>
        <w:pStyle w:val="937"/>
        <w:ind w:firstLine="482"/>
        <w:jc w:val="both"/>
        <w:spacing w:beforeAutospacing="0" w:afterAutospacing="0" w:line="0" w:lineRule="atLeast"/>
        <w:rPr>
          <w:highlight w:val="none"/>
        </w:rPr>
      </w:pPr>
      <w:r>
        <w:rPr>
          <w:highlight w:val="none"/>
        </w:rPr>
      </w:r>
      <w:r/>
    </w:p>
    <w:p>
      <w:pPr>
        <w:pStyle w:val="937"/>
        <w:ind w:firstLine="482"/>
        <w:jc w:val="both"/>
        <w:spacing w:beforeAutospacing="0" w:afterAutospacing="0" w:line="0" w:lineRule="atLeast"/>
        <w:rPr>
          <w:highlight w:val="none"/>
        </w:rPr>
      </w:pPr>
      <w:r>
        <w:rPr>
          <w:highlight w:val="none"/>
        </w:rPr>
      </w:r>
      <w:r/>
    </w:p>
    <w:p>
      <w:pPr>
        <w:pStyle w:val="937"/>
        <w:ind w:firstLine="482"/>
        <w:jc w:val="both"/>
        <w:spacing w:beforeAutospacing="0" w:afterAutospacing="0" w:line="0" w:lineRule="atLeast"/>
        <w:rPr>
          <w:highlight w:val="none"/>
        </w:rPr>
      </w:pPr>
      <w:r>
        <w:rPr>
          <w:highlight w:val="none"/>
        </w:rPr>
      </w:r>
      <w:r/>
    </w:p>
    <w:p>
      <w:pPr>
        <w:pStyle w:val="937"/>
        <w:ind w:firstLine="482"/>
        <w:jc w:val="both"/>
        <w:spacing w:beforeAutospacing="0" w:afterAutospacing="0" w:line="0" w:lineRule="atLeast"/>
        <w:rPr>
          <w:highlight w:val="none"/>
        </w:rPr>
      </w:pPr>
      <w:r>
        <w:rPr>
          <w:highlight w:val="none"/>
        </w:rPr>
      </w:r>
      <w:r/>
    </w:p>
    <w:p>
      <w:pPr>
        <w:pStyle w:val="937"/>
        <w:ind w:firstLine="482"/>
        <w:jc w:val="both"/>
        <w:spacing w:beforeAutospacing="0" w:afterAutospacing="0" w:line="0" w:lineRule="atLeast"/>
        <w:rPr>
          <w:highlight w:val="none"/>
        </w:rPr>
      </w:pPr>
      <w:r>
        <w:rPr>
          <w:highlight w:val="none"/>
        </w:rPr>
      </w:r>
      <w:r/>
    </w:p>
    <w:p>
      <w:pPr>
        <w:pStyle w:val="937"/>
        <w:ind w:firstLine="482"/>
        <w:jc w:val="both"/>
        <w:spacing w:beforeAutospacing="0" w:afterAutospacing="0" w:line="0" w:lineRule="atLeast"/>
        <w:rPr>
          <w:highlight w:val="none"/>
        </w:rPr>
      </w:pPr>
      <w:r>
        <w:rPr>
          <w:highlight w:val="none"/>
        </w:rPr>
      </w:r>
      <w:r/>
    </w:p>
    <w:p>
      <w:pPr>
        <w:pStyle w:val="937"/>
        <w:ind w:firstLine="482"/>
        <w:jc w:val="both"/>
        <w:spacing w:beforeAutospacing="0" w:afterAutospacing="0" w:line="0" w:lineRule="atLeast"/>
        <w:rPr>
          <w:highlight w:val="none"/>
        </w:rPr>
      </w:pPr>
      <w:r>
        <w:rPr>
          <w:highlight w:val="none"/>
        </w:rPr>
      </w:r>
      <w:r/>
    </w:p>
    <w:p>
      <w:pPr>
        <w:pStyle w:val="937"/>
        <w:ind w:firstLine="482"/>
        <w:jc w:val="both"/>
        <w:spacing w:beforeAutospacing="0" w:afterAutospacing="0" w:line="0" w:lineRule="atLeast"/>
        <w:rPr>
          <w:rFonts w:hint="eastAsia"/>
          <w:highlight w:val="none"/>
        </w:rPr>
      </w:pPr>
      <w:r>
        <w:rPr>
          <w:rFonts w:hint="eastAsia"/>
          <w:highlight w:val="none"/>
        </w:rPr>
      </w:r>
      <w:r/>
    </w:p>
    <w:p>
      <w:pPr>
        <w:pStyle w:val="937"/>
        <w:ind w:firstLine="482"/>
        <w:jc w:val="both"/>
        <w:spacing w:beforeAutospacing="0" w:afterAutospacing="0" w:line="0" w:lineRule="atLeast"/>
        <w:rPr>
          <w:highlight w:val="none"/>
        </w:rPr>
      </w:pPr>
      <w:r>
        <w:rPr>
          <w:highlight w:val="none"/>
        </w:rPr>
      </w:r>
      <w:r/>
    </w:p>
    <w:p>
      <w:pPr>
        <w:pStyle w:val="937"/>
        <w:ind w:firstLine="482"/>
        <w:jc w:val="both"/>
        <w:spacing w:beforeAutospacing="0" w:afterAutospacing="0" w:line="0" w:lineRule="atLeast"/>
        <w:rPr>
          <w:highlight w:val="none"/>
        </w:rPr>
      </w:pPr>
      <w:r>
        <w:rPr>
          <w:highlight w:val="none"/>
        </w:rPr>
      </w:r>
      <w:r/>
    </w:p>
    <w:p>
      <w:pPr>
        <w:pStyle w:val="937"/>
        <w:ind w:firstLine="482"/>
        <w:jc w:val="both"/>
        <w:spacing w:beforeAutospacing="0" w:afterAutospacing="0" w:line="0" w:lineRule="atLeast"/>
        <w:rPr>
          <w:highlight w:val="none"/>
        </w:rPr>
      </w:pPr>
      <w:r>
        <w:rPr>
          <w:highlight w:val="none"/>
        </w:rPr>
      </w:r>
      <w:r/>
    </w:p>
    <w:p>
      <w:pPr>
        <w:pStyle w:val="937"/>
        <w:ind w:firstLine="482"/>
        <w:jc w:val="both"/>
        <w:spacing w:beforeAutospacing="0" w:afterAutospacing="0" w:line="0" w:lineRule="atLeast"/>
        <w:rPr>
          <w:highlight w:val="none"/>
        </w:rPr>
      </w:pPr>
      <w:r>
        <w:rPr>
          <w:highlight w:val="none"/>
        </w:rPr>
      </w:r>
      <w:r/>
    </w:p>
    <w:p>
      <w:pPr>
        <w:pStyle w:val="937"/>
        <w:ind w:firstLine="482"/>
        <w:jc w:val="both"/>
        <w:spacing w:beforeAutospacing="0" w:afterAutospacing="0" w:line="0" w:lineRule="atLeast"/>
        <w:rPr>
          <w:highlight w:val="none"/>
        </w:rPr>
      </w:pPr>
      <w:r>
        <w:rPr>
          <w:highlight w:val="none"/>
        </w:rPr>
      </w:r>
      <w:r/>
    </w:p>
    <w:p>
      <w:pPr>
        <w:pStyle w:val="937"/>
        <w:ind w:firstLine="482"/>
        <w:jc w:val="both"/>
        <w:spacing w:beforeAutospacing="0" w:afterAutospacing="0" w:line="0" w:lineRule="atLeast"/>
        <w:rPr>
          <w:highlight w:val="none"/>
        </w:rPr>
      </w:pPr>
      <w:r>
        <w:rPr>
          <w:highlight w:val="none"/>
        </w:rPr>
      </w:r>
      <w:r/>
    </w:p>
    <w:p>
      <w:pPr>
        <w:pStyle w:val="937"/>
        <w:ind w:firstLine="643"/>
        <w:jc w:val="both"/>
        <w:spacing w:beforeAutospacing="0" w:afterAutospacing="0"/>
        <w:rPr>
          <w:i/>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937"/>
        <w:ind w:firstLine="482"/>
        <w:jc w:val="both"/>
        <w:spacing w:beforeAutospacing="0" w:afterAutospacing="0" w:line="0" w:lineRule="atLeast"/>
        <w:rPr>
          <w:i/>
          <w:highlight w:val="none"/>
        </w:rPr>
      </w:pPr>
      <w:r>
        <w:rPr>
          <w:i/>
          <w:highlight w:val="none"/>
        </w:rPr>
        <w:t xml:space="preserve"> </w:t>
      </w:r>
      <w:r/>
    </w:p>
    <w:p>
      <w:pPr>
        <w:pStyle w:val="937"/>
        <w:ind w:firstLine="643"/>
        <w:jc w:val="both"/>
        <w:spacing w:beforeAutospacing="0" w:afterAutospacing="0"/>
        <w:rPr>
          <w:rFonts w:eastAsia="黑体"/>
          <w:i/>
          <w:highlight w:val="none"/>
        </w:rPr>
      </w:pPr>
      <w:r>
        <w:rPr>
          <w:rFonts w:hint="eastAsia" w:ascii="黑体" w:hAnsi="宋体" w:eastAsia="黑体" w:cs="黑体"/>
          <w:i/>
          <w:color w:val="000000"/>
          <w:sz w:val="32"/>
          <w:szCs w:val="32"/>
          <w:highlight w:val="none"/>
          <w:u w:val="single"/>
        </w:rPr>
        <w:t xml:space="preserve">二、上一年度的财务状况报表</w:t>
      </w:r>
      <w:r/>
    </w:p>
    <w:p>
      <w:pPr>
        <w:pStyle w:val="937"/>
        <w:ind w:firstLine="482"/>
        <w:jc w:val="both"/>
        <w:spacing w:beforeAutospacing="0" w:afterAutospacing="0" w:line="0" w:lineRule="atLeast"/>
        <w:rPr>
          <w:iCs/>
          <w:highlight w:val="none"/>
        </w:rPr>
      </w:pPr>
      <w:r>
        <w:rPr>
          <w:rFonts w:hint="eastAsia" w:ascii="宋体" w:hAnsi="宋体" w:eastAsia="宋体" w:cs="宋体"/>
          <w:iCs/>
          <w:color w:val="000000"/>
          <w:highlight w:val="none"/>
        </w:rPr>
        <w:t xml:space="preserve">（至少提供资产负债表、利润表、现金流量表，投标人成立不满一年无需提供）</w:t>
      </w:r>
      <w:r/>
    </w:p>
    <w:p>
      <w:pPr>
        <w:pStyle w:val="937"/>
        <w:jc w:val="both"/>
        <w:spacing w:beforeAutospacing="0" w:afterAutospacing="0"/>
        <w:rPr>
          <w:iCs/>
          <w:highlight w:val="none"/>
        </w:rPr>
      </w:pPr>
      <w:r>
        <w:rPr>
          <w:iCs/>
          <w:highlight w:val="none"/>
        </w:rPr>
        <w:t xml:space="preserve"> </w:t>
      </w:r>
      <w:r/>
    </w:p>
    <w:p>
      <w:pPr>
        <w:pStyle w:val="937"/>
        <w:ind w:firstLine="643"/>
        <w:jc w:val="both"/>
        <w:spacing w:beforeAutospacing="0" w:afterAutospacing="0"/>
        <w:rPr>
          <w:i/>
          <w:highlight w:val="none"/>
        </w:rPr>
      </w:pPr>
      <w:r>
        <w:rPr>
          <w:rFonts w:hint="eastAsia" w:ascii="黑体" w:hAnsi="宋体" w:eastAsia="黑体" w:cs="黑体"/>
          <w:i/>
          <w:color w:val="000000"/>
          <w:sz w:val="32"/>
          <w:szCs w:val="32"/>
          <w:highlight w:val="none"/>
          <w:u w:val="single"/>
        </w:rPr>
        <w:t xml:space="preserve">三、</w:t>
      </w:r>
      <w:bookmarkStart w:id="235" w:name="OLE_LINK44"/>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937"/>
        <w:ind w:firstLine="482"/>
        <w:jc w:val="both"/>
        <w:spacing w:beforeAutospacing="0" w:afterAutospacing="0" w:line="0" w:lineRule="atLeast"/>
        <w:rPr>
          <w:iCs/>
          <w:highlight w:val="none"/>
        </w:rPr>
      </w:pPr>
      <w:r>
        <w:rPr>
          <w:rFonts w:hint="eastAsia" w:ascii="宋体" w:hAnsi="宋体" w:eastAsia="宋体" w:cs="宋体"/>
          <w:iCs/>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937"/>
        <w:ind w:firstLine="482"/>
        <w:jc w:val="both"/>
        <w:spacing w:beforeAutospacing="0" w:afterAutospacing="0" w:line="0" w:lineRule="atLeast"/>
        <w:rPr>
          <w:iCs/>
          <w:highlight w:val="none"/>
        </w:rPr>
      </w:pPr>
      <w:r>
        <w:rPr>
          <w:rFonts w:hint="eastAsia" w:ascii="宋体" w:hAnsi="宋体" w:eastAsia="宋体" w:cs="宋体"/>
          <w:iCs/>
          <w:color w:val="000000"/>
          <w:highlight w:val="none"/>
        </w:rPr>
        <w:t xml:space="preserve">主要设备有：</w:t>
      </w:r>
      <w:r>
        <w:rPr>
          <w:rFonts w:hint="eastAsia" w:ascii="宋体" w:hAnsi="宋体" w:eastAsia="宋体" w:cs="宋体"/>
          <w:iCs/>
          <w:color w:val="000000"/>
          <w:highlight w:val="none"/>
          <w:u w:val="single"/>
        </w:rPr>
        <w:t xml:space="preserve"> </w:t>
      </w:r>
      <w:r>
        <w:rPr>
          <w:rFonts w:hint="eastAsia" w:ascii="宋体" w:hAnsi="宋体" w:eastAsia="宋体" w:cs="宋体"/>
          <w:iCs/>
          <w:color w:val="000000"/>
          <w:highlight w:val="none"/>
        </w:rPr>
        <w:t xml:space="preserve">。</w:t>
      </w:r>
      <w:r/>
    </w:p>
    <w:p>
      <w:pPr>
        <w:pStyle w:val="937"/>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主要专业技术能力有：</w:t>
      </w:r>
      <w:r>
        <w:rPr>
          <w:rFonts w:hint="eastAsia" w:ascii="宋体" w:hAnsi="宋体" w:eastAsia="宋体" w:cs="宋体"/>
          <w:iCs/>
          <w:color w:val="000000"/>
          <w:highlight w:val="none"/>
          <w:u w:val="single"/>
        </w:rPr>
        <w:t xml:space="preserve">  </w:t>
      </w:r>
      <w:r>
        <w:rPr>
          <w:rFonts w:hint="eastAsia" w:ascii="宋体" w:hAnsi="宋体" w:eastAsia="宋体" w:cs="宋体"/>
          <w:iCs/>
          <w:color w:val="000000"/>
          <w:highlight w:val="none"/>
        </w:rPr>
        <w:t xml:space="preserve">。</w:t>
      </w:r>
      <w:bookmarkEnd w:id="235"/>
      <w:r/>
      <w:r/>
    </w:p>
    <w:p>
      <w:pPr>
        <w:pStyle w:val="937"/>
        <w:ind w:firstLine="643"/>
        <w:jc w:val="both"/>
        <w:spacing w:beforeAutospacing="0" w:afterAutospacing="0"/>
        <w:rPr>
          <w:iCs/>
          <w:highlight w:val="none"/>
        </w:rPr>
      </w:pPr>
      <w:r>
        <w:rPr>
          <w:rFonts w:hint="eastAsia" w:ascii="黑体" w:hAnsi="宋体" w:eastAsia="黑体" w:cs="黑体"/>
          <w:i/>
          <w:color w:val="000000"/>
          <w:sz w:val="32"/>
          <w:szCs w:val="32"/>
          <w:highlight w:val="none"/>
          <w:u w:val="single"/>
        </w:rPr>
        <w:t xml:space="preserve">四、依法缴纳税收和社会保障资金的相关材料</w:t>
      </w:r>
      <w:r/>
    </w:p>
    <w:p>
      <w:pPr>
        <w:pStyle w:val="937"/>
        <w:ind w:firstLine="482"/>
        <w:jc w:val="both"/>
        <w:spacing w:beforeAutospacing="0" w:afterAutospacing="0"/>
        <w:rPr>
          <w:iCs/>
          <w:highlight w:val="none"/>
        </w:rPr>
      </w:pPr>
      <w:r>
        <w:rPr>
          <w:rFonts w:hint="eastAsia" w:ascii="宋体" w:hAnsi="宋体" w:eastAsia="宋体" w:cs="宋体"/>
          <w:iCs/>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937"/>
        <w:jc w:val="both"/>
        <w:spacing w:beforeAutospacing="0" w:afterAutospacing="0"/>
        <w:rPr>
          <w:iCs/>
          <w:highlight w:val="none"/>
        </w:rPr>
      </w:pPr>
      <w:r>
        <w:rPr>
          <w:iCs/>
          <w:highlight w:val="none"/>
        </w:rPr>
        <w:t xml:space="preserve"> </w:t>
      </w:r>
      <w:r/>
    </w:p>
    <w:p>
      <w:pPr>
        <w:pStyle w:val="937"/>
        <w:ind w:firstLine="643"/>
        <w:jc w:val="both"/>
        <w:spacing w:beforeAutospacing="0" w:afterAutospacing="0"/>
        <w:rPr>
          <w:iCs/>
          <w:highlight w:val="none"/>
        </w:rPr>
      </w:pPr>
      <w:r>
        <w:rPr>
          <w:rFonts w:hint="eastAsia" w:ascii="黑体" w:hAnsi="宋体" w:eastAsia="黑体" w:cs="黑体"/>
          <w:i/>
          <w:color w:val="000000"/>
          <w:sz w:val="32"/>
          <w:szCs w:val="32"/>
          <w:highlight w:val="none"/>
          <w:u w:val="single"/>
        </w:rPr>
        <w:t xml:space="preserve">五、</w:t>
      </w:r>
      <w:bookmarkStart w:id="236" w:name="OLE_LINK46"/>
      <w:r/>
      <w:bookmarkStart w:id="237" w:name="OLE_LINK43"/>
      <w:r>
        <w:rPr>
          <w:rFonts w:hint="eastAsia" w:ascii="黑体" w:hAnsi="宋体" w:eastAsia="黑体" w:cs="黑体"/>
          <w:i/>
          <w:color w:val="000000"/>
          <w:sz w:val="32"/>
          <w:szCs w:val="32"/>
          <w:highlight w:val="none"/>
          <w:u w:val="single"/>
        </w:rPr>
        <w:t xml:space="preserve">参加政府采购活动前3年内在经营活动中没有重大违法记录的书面声明</w:t>
      </w:r>
      <w:r/>
    </w:p>
    <w:p>
      <w:pPr>
        <w:pStyle w:val="937"/>
        <w:ind w:firstLine="883"/>
        <w:jc w:val="both"/>
        <w:spacing w:beforeAutospacing="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937"/>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声 明</w:t>
      </w:r>
      <w:r/>
    </w:p>
    <w:p>
      <w:pPr>
        <w:pStyle w:val="937"/>
        <w:ind w:firstLine="85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我单位郑重声明：参加本次政府采购活动前3年内，我单位在经营活动中没有因违法经营受到刑事处罚或者责令停产停业、吊销许可证或者执照、较大数额罚款等行政处罚。</w:t>
      </w:r>
      <w:bookmarkEnd w:id="236"/>
      <w:r/>
      <w:r/>
    </w:p>
    <w:p>
      <w:pPr>
        <w:pStyle w:val="937"/>
        <w:ind w:firstLine="85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bookmarkEnd w:id="237"/>
      <w:r/>
      <w:r/>
    </w:p>
    <w:p>
      <w:pPr>
        <w:pStyle w:val="937"/>
        <w:ind w:firstLine="643"/>
        <w:jc w:val="both"/>
        <w:spacing w:beforeAutospacing="0" w:afterAutospacing="0"/>
        <w:rPr>
          <w:rFonts w:hint="eastAsia" w:ascii="宋体" w:hAnsi="宋体" w:cs="宋体"/>
          <w:b/>
          <w:bCs/>
          <w:i/>
          <w:iCs/>
          <w:highlight w:val="none"/>
        </w:rPr>
      </w:pPr>
      <w:r/>
      <w:bookmarkStart w:id="238" w:name="OLE_LINK66"/>
      <w:r>
        <w:rPr>
          <w:rFonts w:hint="eastAsia" w:ascii="宋体" w:hAnsi="宋体" w:cs="宋体"/>
          <w:b/>
          <w:bCs/>
          <w:i/>
          <w:iCs/>
          <w:color w:val="000000"/>
          <w:sz w:val="32"/>
          <w:szCs w:val="32"/>
          <w:highlight w:val="none"/>
          <w:u w:val="single"/>
        </w:rPr>
        <w:t xml:space="preserve">六、</w:t>
      </w:r>
      <w:bookmarkStart w:id="239" w:name="_Hlk195811582"/>
      <w:r/>
      <w:bookmarkStart w:id="240" w:name="OLE_LINK47"/>
      <w:r>
        <w:rPr>
          <w:rFonts w:hint="eastAsia" w:ascii="宋体" w:hAnsi="宋体" w:cs="宋体"/>
          <w:b/>
          <w:bCs/>
          <w:i/>
          <w:iCs/>
          <w:color w:val="000000"/>
          <w:sz w:val="32"/>
          <w:szCs w:val="32"/>
          <w:highlight w:val="none"/>
          <w:u w:val="single"/>
        </w:rPr>
        <w:t xml:space="preserve">单位负责人为同一人或者存在直接控股、服务关系的不同供应商，不得参加同一合同项下的政府采购活动证明文件</w:t>
      </w:r>
      <w:bookmarkEnd w:id="239"/>
      <w:r/>
      <w:r/>
    </w:p>
    <w:p>
      <w:pPr>
        <w:pStyle w:val="937"/>
        <w:ind w:firstLine="1680"/>
        <w:jc w:val="both"/>
        <w:spacing w:beforeAutospacing="0" w:afterAutospacing="0" w:line="0" w:lineRule="atLeast"/>
        <w:rPr>
          <w:rFonts w:hint="eastAsia" w:ascii="宋体" w:hAnsi="宋体" w:cs="宋体"/>
          <w:b/>
          <w:bCs/>
          <w:color w:val="000000"/>
          <w:sz w:val="44"/>
          <w:szCs w:val="44"/>
          <w:highlight w:val="none"/>
        </w:rPr>
      </w:pPr>
      <w:r>
        <w:rPr>
          <w:rFonts w:hint="eastAsia" w:ascii="宋体" w:hAnsi="宋体" w:cs="宋体"/>
          <w:color w:val="000000"/>
          <w:highlight w:val="none"/>
        </w:rPr>
        <w:t xml:space="preserve">      </w:t>
      </w:r>
      <w:r>
        <w:rPr>
          <w:rFonts w:hint="eastAsia" w:ascii="宋体" w:hAnsi="宋体" w:cs="宋体"/>
          <w:b/>
          <w:bCs/>
          <w:color w:val="000000"/>
          <w:sz w:val="44"/>
          <w:szCs w:val="44"/>
          <w:highlight w:val="none"/>
        </w:rPr>
        <w:t xml:space="preserve">  </w:t>
      </w:r>
      <w:r/>
    </w:p>
    <w:p>
      <w:pPr>
        <w:pStyle w:val="937"/>
        <w:jc w:val="center"/>
        <w:spacing w:beforeAutospacing="0" w:afterAutospacing="0" w:line="0" w:lineRule="atLeast"/>
        <w:rPr>
          <w:highlight w:val="none"/>
        </w:rPr>
      </w:pPr>
      <w:r>
        <w:rPr>
          <w:rFonts w:hint="eastAsia" w:ascii="宋体" w:hAnsi="宋体" w:cs="宋体"/>
          <w:b/>
          <w:bCs/>
          <w:color w:val="000000"/>
          <w:sz w:val="44"/>
          <w:szCs w:val="44"/>
          <w:highlight w:val="none"/>
        </w:rPr>
        <w:t xml:space="preserve">声 明</w:t>
      </w:r>
      <w:r/>
    </w:p>
    <w:p>
      <w:pPr>
        <w:pStyle w:val="937"/>
        <w:jc w:val="both"/>
        <w:spacing w:beforeAutospacing="0" w:afterAutospacing="0" w:line="0" w:lineRule="atLeast"/>
        <w:rPr>
          <w:highlight w:val="none"/>
        </w:rPr>
      </w:pPr>
      <w:r>
        <w:rPr>
          <w:rFonts w:hint="eastAsia" w:ascii="宋体" w:hAnsi="宋体" w:cs="宋体"/>
          <w:color w:val="000000"/>
          <w:highlight w:val="none"/>
        </w:rPr>
        <w:t xml:space="preserve">我单位不存在：单位负责人为同一人或者存在直接控股、管理关系的不同供应商，同时参加同一合同项下的政府采购活动。</w:t>
      </w:r>
      <w:r/>
    </w:p>
    <w:p>
      <w:pPr>
        <w:pStyle w:val="937"/>
        <w:jc w:val="center"/>
        <w:spacing w:beforeAutospacing="0" w:afterAutospacing="0"/>
        <w:rPr>
          <w:highlight w:val="none"/>
        </w:rPr>
      </w:pPr>
      <w:r>
        <w:rPr>
          <w:highlight w:val="none"/>
        </w:rPr>
        <w:t xml:space="preserve">  </w:t>
      </w:r>
      <w:r/>
    </w:p>
    <w:p>
      <w:pPr>
        <w:ind w:firstLine="3840"/>
        <w:spacing w:line="460" w:lineRule="exact"/>
        <w:rPr>
          <w:rFonts w:hint="eastAsia" w:ascii="宋体" w:hAnsi="宋体"/>
          <w:bCs/>
          <w:sz w:val="24"/>
          <w:highlight w:val="none"/>
        </w:rPr>
      </w:pPr>
      <w:r>
        <w:rPr>
          <w:rFonts w:hint="eastAsia" w:ascii="宋体" w:hAnsi="宋体"/>
          <w:bCs/>
          <w:sz w:val="24"/>
          <w:highlight w:val="none"/>
        </w:rPr>
        <w:t xml:space="preserve">供应商名称（公章）：</w:t>
      </w:r>
      <w:r/>
    </w:p>
    <w:p>
      <w:pPr>
        <w:spacing w:line="460" w:lineRule="exact"/>
        <w:rPr>
          <w:rFonts w:hint="eastAsia" w:ascii="宋体" w:hAnsi="宋体"/>
          <w:bCs/>
          <w:sz w:val="24"/>
          <w:highlight w:val="none"/>
        </w:rPr>
      </w:pPr>
      <w:r>
        <w:rPr>
          <w:rFonts w:hint="eastAsia" w:ascii="宋体" w:hAnsi="宋体"/>
          <w:bCs/>
          <w:sz w:val="24"/>
          <w:highlight w:val="none"/>
        </w:rPr>
        <w:t xml:space="preserve">授权代表签字：______________________</w:t>
      </w:r>
      <w:r/>
    </w:p>
    <w:p>
      <w:pPr>
        <w:spacing w:line="460" w:lineRule="exact"/>
        <w:rPr>
          <w:rFonts w:hint="eastAsia" w:ascii="宋体" w:hAnsi="宋体"/>
          <w:bCs/>
          <w:sz w:val="24"/>
          <w:highlight w:val="none"/>
        </w:rPr>
      </w:pPr>
      <w:r>
        <w:rPr>
          <w:rFonts w:hint="eastAsia" w:ascii="宋体" w:hAnsi="宋体"/>
          <w:bCs/>
          <w:sz w:val="24"/>
          <w:highlight w:val="none"/>
        </w:rPr>
        <w:t xml:space="preserve">日期：______年月日</w:t>
      </w:r>
      <w:bookmarkStart w:id="241" w:name="OLE_LINK53"/>
      <w:r/>
      <w:bookmarkEnd w:id="238"/>
      <w:r/>
      <w:bookmarkEnd w:id="241"/>
      <w:r/>
      <w:r/>
    </w:p>
    <w:p>
      <w:pPr>
        <w:pStyle w:val="937"/>
        <w:ind w:firstLine="855"/>
        <w:jc w:val="both"/>
        <w:spacing w:beforeAutospacing="0" w:afterAutospacing="0" w:line="0" w:lineRule="atLeast"/>
        <w:rPr>
          <w:highlight w:val="none"/>
        </w:rPr>
      </w:pPr>
      <w:r>
        <w:rPr>
          <w:highlight w:val="none"/>
        </w:rPr>
      </w:r>
      <w:bookmarkEnd w:id="240"/>
      <w:r/>
      <w:r/>
    </w:p>
    <w:p>
      <w:pPr>
        <w:pStyle w:val="937"/>
        <w:jc w:val="both"/>
        <w:spacing w:beforeAutospacing="0" w:afterAutospacing="0"/>
        <w:rPr>
          <w:highlight w:val="none"/>
        </w:rPr>
      </w:pPr>
      <w:r>
        <w:rPr>
          <w:highlight w:val="none"/>
        </w:rPr>
        <w:t xml:space="preserve"> </w:t>
      </w:r>
      <w:r/>
    </w:p>
    <w:p>
      <w:pPr>
        <w:pStyle w:val="937"/>
        <w:ind w:firstLine="643"/>
        <w:jc w:val="both"/>
        <w:spacing w:beforeAutospacing="0" w:afterAutospacing="0"/>
        <w:rPr>
          <w:i/>
          <w:highlight w:val="none"/>
        </w:rPr>
      </w:pPr>
      <w:r>
        <w:rPr>
          <w:rFonts w:hint="eastAsia" w:ascii="黑体" w:hAnsi="宋体" w:eastAsia="黑体" w:cs="黑体"/>
          <w:i/>
          <w:color w:val="000000"/>
          <w:sz w:val="32"/>
          <w:szCs w:val="32"/>
          <w:highlight w:val="none"/>
          <w:u w:val="single"/>
        </w:rPr>
        <w:t xml:space="preserve">七、特定资格要求的证明文件</w:t>
      </w:r>
      <w:r/>
    </w:p>
    <w:p>
      <w:pPr>
        <w:pStyle w:val="937"/>
        <w:jc w:val="both"/>
        <w:spacing w:beforeAutospacing="0" w:afterAutospacing="0" w:line="0" w:lineRule="atLeast"/>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  如果本项目申请人的特定资格要求中要求提供的，必须提供。</w:t>
      </w:r>
      <w:bookmarkStart w:id="242" w:name="_Toc120614284"/>
      <w:r/>
      <w:r/>
    </w:p>
    <w:p>
      <w:pPr>
        <w:pStyle w:val="937"/>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937"/>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937"/>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937"/>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937"/>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937"/>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937"/>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937"/>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937"/>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937"/>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937"/>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937"/>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937"/>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937"/>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937"/>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937"/>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937"/>
        <w:jc w:val="both"/>
        <w:spacing w:beforeAutospacing="0" w:afterAutospacing="0" w:line="0" w:lineRule="atLeast"/>
        <w:rPr>
          <w:rFonts w:ascii="黑体" w:hAnsi="宋体" w:eastAsia="黑体" w:cs="黑体"/>
          <w:iCs/>
          <w:color w:val="000000"/>
          <w:sz w:val="32"/>
          <w:szCs w:val="32"/>
          <w:highlight w:val="none"/>
          <w:u w:val="single"/>
        </w:rPr>
      </w:pPr>
      <w:r>
        <w:rPr>
          <w:rFonts w:ascii="黑体" w:hAnsi="宋体" w:eastAsia="黑体" w:cs="黑体"/>
          <w:iCs/>
          <w:color w:val="000000"/>
          <w:sz w:val="32"/>
          <w:szCs w:val="32"/>
          <w:highlight w:val="none"/>
          <w:u w:val="single"/>
        </w:rPr>
      </w:r>
      <w:r/>
    </w:p>
    <w:p>
      <w:pPr>
        <w:pStyle w:val="937"/>
        <w:jc w:val="both"/>
        <w:spacing w:beforeAutospacing="0" w:afterAutospacing="0" w:line="0" w:lineRule="atLeast"/>
        <w:rPr>
          <w:rFonts w:ascii="黑体" w:hAnsi="宋体" w:eastAsia="黑体" w:cs="黑体"/>
          <w:iCs/>
          <w:color w:val="000000"/>
          <w:sz w:val="32"/>
          <w:szCs w:val="32"/>
          <w:highlight w:val="none"/>
          <w:u w:val="single"/>
        </w:rPr>
      </w:pPr>
      <w:r>
        <w:rPr>
          <w:rFonts w:ascii="黑体" w:hAnsi="宋体" w:eastAsia="黑体" w:cs="黑体"/>
          <w:iCs/>
          <w:color w:val="000000"/>
          <w:sz w:val="32"/>
          <w:szCs w:val="32"/>
          <w:highlight w:val="none"/>
          <w:u w:val="single"/>
        </w:rPr>
      </w:r>
      <w:r/>
    </w:p>
    <w:p>
      <w:pPr>
        <w:pStyle w:val="937"/>
        <w:jc w:val="both"/>
        <w:spacing w:beforeAutospacing="0" w:afterAutospacing="0" w:line="0" w:lineRule="atLeast"/>
        <w:rPr>
          <w:rFonts w:ascii="黑体" w:hAnsi="宋体" w:eastAsia="黑体" w:cs="黑体"/>
          <w:iCs/>
          <w:color w:val="000000"/>
          <w:sz w:val="32"/>
          <w:szCs w:val="32"/>
          <w:highlight w:val="none"/>
          <w:u w:val="single"/>
        </w:rPr>
      </w:pPr>
      <w:r>
        <w:rPr>
          <w:rFonts w:ascii="黑体" w:hAnsi="宋体" w:eastAsia="黑体" w:cs="黑体"/>
          <w:iCs/>
          <w:color w:val="000000"/>
          <w:sz w:val="32"/>
          <w:szCs w:val="32"/>
          <w:highlight w:val="none"/>
          <w:u w:val="single"/>
        </w:rPr>
      </w:r>
      <w:r/>
    </w:p>
    <w:p>
      <w:pPr>
        <w:pStyle w:val="937"/>
        <w:jc w:val="both"/>
        <w:spacing w:beforeAutospacing="0" w:afterAutospacing="0" w:line="0" w:lineRule="atLeast"/>
        <w:rPr>
          <w:rFonts w:ascii="黑体" w:hAnsi="宋体" w:eastAsia="黑体" w:cs="黑体"/>
          <w:iCs/>
          <w:color w:val="000000"/>
          <w:sz w:val="32"/>
          <w:szCs w:val="32"/>
          <w:highlight w:val="none"/>
          <w:u w:val="single"/>
        </w:rPr>
      </w:pPr>
      <w:r>
        <w:rPr>
          <w:rFonts w:ascii="黑体" w:hAnsi="宋体" w:eastAsia="黑体" w:cs="黑体"/>
          <w:iCs/>
          <w:color w:val="000000"/>
          <w:sz w:val="32"/>
          <w:szCs w:val="32"/>
          <w:highlight w:val="none"/>
          <w:u w:val="single"/>
        </w:rPr>
      </w:r>
      <w:r/>
    </w:p>
    <w:p>
      <w:pPr>
        <w:pStyle w:val="937"/>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937"/>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937"/>
        <w:ind w:firstLine="643"/>
        <w:jc w:val="center"/>
        <w:spacing w:beforeAutospacing="0" w:afterAutospacing="0"/>
        <w:rPr>
          <w:i/>
          <w:highlight w:val="none"/>
        </w:rPr>
      </w:pPr>
      <w:r>
        <w:rPr>
          <w:rFonts w:hint="eastAsia" w:ascii="黑体" w:hAnsi="宋体" w:eastAsia="黑体" w:cs="黑体"/>
          <w:iCs/>
          <w:color w:val="000000"/>
          <w:sz w:val="32"/>
          <w:szCs w:val="32"/>
          <w:highlight w:val="none"/>
          <w:u w:val="single"/>
        </w:rPr>
        <w:t xml:space="preserve">八、</w:t>
      </w:r>
      <w:bookmarkStart w:id="243" w:name="OLE_LINK48"/>
      <w:r>
        <w:rPr>
          <w:rFonts w:hint="eastAsia" w:ascii="黑体" w:hAnsi="宋体" w:eastAsia="黑体" w:cs="黑体"/>
          <w:i/>
          <w:color w:val="000000"/>
          <w:sz w:val="32"/>
          <w:szCs w:val="32"/>
          <w:highlight w:val="none"/>
          <w:u w:val="single"/>
        </w:rPr>
        <w:t xml:space="preserve">法人授权书</w:t>
      </w:r>
      <w:r/>
    </w:p>
    <w:p>
      <w:pPr>
        <w:pStyle w:val="937"/>
        <w:ind w:firstLine="482"/>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w:t>
      </w:r>
      <w:r>
        <w:rPr>
          <w:rFonts w:hint="eastAsia" w:ascii="Times New Roman" w:hAnsi="Times New Roman"/>
          <w:color w:val="000000"/>
          <w:highlight w:val="none"/>
          <w:u w:val="single"/>
          <w:lang w:eastAsia="zh-CN"/>
        </w:rPr>
        <w:t xml:space="preserve">JSZC-320922-ZAIX-G2025-0015</w:t>
      </w:r>
      <w:r>
        <w:rPr>
          <w:rFonts w:ascii="Times New Roman" w:hAnsi="Times New Roman"/>
          <w:color w:val="000000"/>
          <w:highlight w:val="none"/>
        </w:rPr>
        <w:t xml:space="preserve">号项目采购活动的合法代理人，以本单位名义全权处理一切与该项目采购有关的事务。</w:t>
      </w:r>
      <w:r/>
    </w:p>
    <w:p>
      <w:pPr>
        <w:pStyle w:val="937"/>
        <w:ind w:firstLine="482"/>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937"/>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937"/>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937"/>
        <w:ind w:firstLine="482"/>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937"/>
        <w:ind w:firstLine="482"/>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937"/>
        <w:ind w:firstLine="482"/>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244" w:name="_Hlt26955070"/>
      <w:r/>
      <w:bookmarkStart w:id="245" w:name="_Hlt26671380"/>
      <w:r/>
      <w:bookmarkStart w:id="246" w:name="_格式3__银行出具的资信证明"/>
      <w:r>
        <w:rPr>
          <w:rFonts w:ascii="Times New Roman" w:hAnsi="Times New Roman"/>
          <w:color w:val="000000"/>
          <w:highlight w:val="none"/>
          <w:u w:val="single"/>
        </w:rPr>
        <w:t xml:space="preserve">                                        </w:t>
      </w:r>
      <w:r/>
    </w:p>
    <w:p>
      <w:pPr>
        <w:pStyle w:val="937"/>
        <w:ind w:firstLine="482"/>
        <w:jc w:val="both"/>
        <w:spacing w:beforeAutospacing="0" w:afterAutospacing="0"/>
        <w:rPr>
          <w:highlight w:val="none"/>
        </w:rPr>
      </w:pPr>
      <w:r>
        <w:rPr>
          <w:highlight w:val="none"/>
        </w:rPr>
      </w:r>
      <w:bookmarkEnd w:id="243"/>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r>
      <w:r/>
    </w:p>
    <w:p>
      <w:pPr>
        <w:pStyle w:val="937"/>
        <w:ind w:firstLine="482"/>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ind w:firstLine="482"/>
        <w:jc w:val="center"/>
        <w:keepLines/>
        <w:keepNext/>
        <w:spacing w:before="260" w:beforeAutospacing="0" w:after="260" w:afterAutospacing="0" w:line="415" w:lineRule="auto"/>
        <w:rPr>
          <w:iCs/>
          <w:highlight w:val="none"/>
        </w:rPr>
      </w:pPr>
      <w:r>
        <w:rPr>
          <w:rFonts w:hint="eastAsia" w:ascii="黑体" w:hAnsi="宋体" w:eastAsia="黑体" w:cs="黑体"/>
          <w:b/>
          <w:iCs/>
          <w:color w:val="000000"/>
          <w:sz w:val="32"/>
          <w:szCs w:val="32"/>
          <w:highlight w:val="none"/>
          <w:u w:val="single"/>
        </w:rPr>
        <w:t xml:space="preserve">九</w:t>
      </w:r>
      <w:r>
        <w:rPr>
          <w:rFonts w:hint="eastAsia" w:ascii="黑体" w:hAnsi="宋体" w:eastAsia="黑体" w:cs="黑体"/>
          <w:b/>
          <w:i/>
          <w:color w:val="000000"/>
          <w:sz w:val="32"/>
          <w:szCs w:val="32"/>
          <w:highlight w:val="none"/>
          <w:u w:val="single"/>
        </w:rPr>
        <w:t xml:space="preserve">、</w:t>
      </w:r>
      <w:bookmarkStart w:id="247" w:name="OLE_LINK49"/>
      <w:r/>
      <w:bookmarkStart w:id="248" w:name="OLE_LINK50"/>
      <w:r>
        <w:rPr>
          <w:rFonts w:hint="eastAsia" w:ascii="黑体" w:hAnsi="宋体" w:eastAsia="黑体" w:cs="黑体"/>
          <w:b/>
          <w:i/>
          <w:color w:val="000000"/>
          <w:sz w:val="32"/>
          <w:szCs w:val="32"/>
          <w:highlight w:val="none"/>
          <w:u w:val="single"/>
        </w:rPr>
        <w:t xml:space="preserve">投标函</w:t>
      </w:r>
      <w:bookmarkEnd w:id="247"/>
      <w:r/>
      <w:r/>
    </w:p>
    <w:p>
      <w:pPr>
        <w:pStyle w:val="937"/>
        <w:spacing w:beforeAutospacing="0" w:afterAutospacing="0" w:line="0" w:lineRule="atLeast"/>
        <w:rPr>
          <w:rFonts w:eastAsia="宋体"/>
          <w:highlight w:val="none"/>
        </w:rPr>
      </w:pPr>
      <w:r>
        <w:rPr>
          <w:rFonts w:hint="eastAsia" w:ascii="宋体" w:hAnsi="宋体" w:eastAsia="宋体" w:cs="宋体"/>
          <w:color w:val="000000"/>
          <w:highlight w:val="none"/>
        </w:rPr>
        <w:t xml:space="preserve">致：滨海县特殊教育学校</w:t>
      </w:r>
      <w:r/>
    </w:p>
    <w:p>
      <w:pPr>
        <w:pStyle w:val="937"/>
        <w:ind w:firstLine="482"/>
        <w:spacing w:beforeAutospacing="0" w:afterAutospacing="0" w:line="0" w:lineRule="atLeast"/>
        <w:rPr>
          <w:highlight w:val="none"/>
        </w:rPr>
      </w:pPr>
      <w:r>
        <w:rPr>
          <w:rFonts w:hint="eastAsia" w:ascii="宋体" w:hAnsi="宋体" w:eastAsia="宋体" w:cs="宋体"/>
          <w:color w:val="000000"/>
          <w:highlight w:val="none"/>
        </w:rPr>
        <w:t xml:space="preserve">根据贵方的</w:t>
      </w:r>
      <w:r>
        <w:rPr>
          <w:rFonts w:hint="eastAsia" w:ascii="Times New Roman" w:hAnsi="Times New Roman" w:eastAsia="宋体"/>
          <w:color w:val="000000"/>
          <w:highlight w:val="none"/>
          <w:u w:val="single"/>
          <w:lang w:eastAsia="zh-CN"/>
        </w:rPr>
        <w:t xml:space="preserve">JSZC-320922-ZAIX-G2025-0015</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937"/>
        <w:ind w:firstLine="482"/>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937"/>
        <w:ind w:firstLine="482"/>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937"/>
        <w:ind w:firstLine="482"/>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937"/>
        <w:ind w:firstLine="482"/>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937"/>
        <w:ind w:firstLine="482"/>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937"/>
        <w:ind w:firstLine="482"/>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937"/>
        <w:ind w:firstLine="482"/>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937"/>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937"/>
        <w:ind w:left="420" w:firstLine="482"/>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937"/>
        <w:ind w:left="420" w:firstLine="482"/>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937"/>
        <w:ind w:left="420" w:firstLine="482"/>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937"/>
        <w:ind w:left="420" w:firstLine="482"/>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937"/>
        <w:ind w:left="420" w:firstLine="482"/>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937"/>
        <w:ind w:left="420" w:firstLine="482"/>
        <w:spacing w:beforeAutospacing="0" w:afterAutospacing="0" w:line="0" w:lineRule="atLeast"/>
        <w:rPr>
          <w:rFonts w:eastAsia="宋体"/>
          <w:highlight w:val="none"/>
        </w:rPr>
      </w:pPr>
      <w:r>
        <w:rPr>
          <w:rFonts w:hint="eastAsia" w:ascii="宋体" w:hAnsi="宋体" w:eastAsia="宋体" w:cs="宋体"/>
          <w:color w:val="000000"/>
          <w:highlight w:val="none"/>
        </w:rPr>
        <w:t xml:space="preserve">账         号：</w:t>
      </w:r>
      <w:r/>
    </w:p>
    <w:p>
      <w:pPr>
        <w:pStyle w:val="937"/>
        <w:ind w:left="420" w:firstLine="482"/>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937"/>
        <w:ind w:firstLine="482"/>
        <w:jc w:val="center"/>
        <w:spacing w:beforeAutospacing="0" w:afterAutospacing="0" w:line="0" w:lineRule="atLeast"/>
        <w:rPr>
          <w:highlight w:val="none"/>
        </w:rPr>
      </w:pPr>
      <w:r>
        <w:rPr>
          <w:highlight w:val="none"/>
        </w:rPr>
        <w:t xml:space="preserve"> </w:t>
      </w:r>
      <w:bookmarkEnd w:id="248"/>
      <w:r/>
      <w:r/>
    </w:p>
    <w:p>
      <w:pPr>
        <w:pStyle w:val="937"/>
        <w:ind w:firstLine="482"/>
        <w:jc w:val="center"/>
        <w:spacing w:beforeAutospacing="0" w:afterAutospacing="0" w:line="0" w:lineRule="atLeast"/>
        <w:rPr>
          <w:highlight w:val="none"/>
        </w:rPr>
      </w:pPr>
      <w:r>
        <w:rPr>
          <w:highlight w:val="none"/>
        </w:rPr>
        <w:t xml:space="preserve"> </w:t>
      </w:r>
      <w:r/>
    </w:p>
    <w:p>
      <w:pPr>
        <w:pStyle w:val="937"/>
        <w:ind w:firstLine="482"/>
        <w:jc w:val="center"/>
        <w:spacing w:beforeAutospacing="0" w:afterAutospacing="0" w:line="0" w:lineRule="atLeast"/>
        <w:rPr>
          <w:highlight w:val="none"/>
        </w:rPr>
      </w:pPr>
      <w:r>
        <w:rPr>
          <w:highlight w:val="none"/>
        </w:rPr>
        <w:t xml:space="preserve"> </w:t>
      </w:r>
      <w:r/>
    </w:p>
    <w:p>
      <w:pPr>
        <w:pStyle w:val="937"/>
        <w:ind w:firstLine="482"/>
        <w:jc w:val="center"/>
        <w:spacing w:beforeAutospacing="0" w:afterAutospacing="0" w:line="0" w:lineRule="atLeast"/>
        <w:rPr>
          <w:highlight w:val="none"/>
        </w:rPr>
      </w:pPr>
      <w:r>
        <w:rPr>
          <w:highlight w:val="none"/>
        </w:rPr>
        <w:t xml:space="preserve"> </w:t>
      </w:r>
      <w:r/>
    </w:p>
    <w:p>
      <w:pPr>
        <w:pStyle w:val="937"/>
        <w:ind w:firstLine="482"/>
        <w:jc w:val="center"/>
        <w:spacing w:beforeAutospacing="0" w:afterAutospacing="0" w:line="0" w:lineRule="atLeast"/>
        <w:rPr>
          <w:highlight w:val="none"/>
        </w:rPr>
      </w:pPr>
      <w:r>
        <w:rPr>
          <w:highlight w:val="none"/>
        </w:rPr>
      </w:r>
      <w:r/>
    </w:p>
    <w:p>
      <w:pPr>
        <w:pStyle w:val="937"/>
        <w:ind w:firstLine="482"/>
        <w:jc w:val="center"/>
        <w:spacing w:beforeAutospacing="0" w:afterAutospacing="0" w:line="0" w:lineRule="atLeast"/>
        <w:rPr>
          <w:highlight w:val="none"/>
        </w:rPr>
      </w:pPr>
      <w:r>
        <w:rPr>
          <w:highlight w:val="none"/>
        </w:rPr>
      </w:r>
      <w:r/>
    </w:p>
    <w:p>
      <w:pPr>
        <w:pStyle w:val="937"/>
        <w:ind w:firstLine="482"/>
        <w:jc w:val="center"/>
        <w:spacing w:beforeAutospacing="0" w:afterAutospacing="0" w:line="0" w:lineRule="atLeast"/>
        <w:rPr>
          <w:highlight w:val="none"/>
        </w:rPr>
      </w:pPr>
      <w:r>
        <w:rPr>
          <w:highlight w:val="none"/>
        </w:rPr>
      </w:r>
      <w:r/>
    </w:p>
    <w:p>
      <w:pPr>
        <w:pStyle w:val="937"/>
        <w:ind w:firstLine="482"/>
        <w:jc w:val="center"/>
        <w:spacing w:beforeAutospacing="0" w:afterAutospacing="0" w:line="0" w:lineRule="atLeast"/>
        <w:rPr>
          <w:highlight w:val="none"/>
        </w:rPr>
      </w:pPr>
      <w:r>
        <w:rPr>
          <w:highlight w:val="none"/>
        </w:rPr>
      </w:r>
      <w:r/>
    </w:p>
    <w:p>
      <w:pPr>
        <w:pStyle w:val="937"/>
        <w:ind w:firstLine="482"/>
        <w:jc w:val="center"/>
        <w:spacing w:beforeAutospacing="0" w:afterAutospacing="0" w:line="0" w:lineRule="atLeast"/>
        <w:rPr>
          <w:highlight w:val="none"/>
        </w:rPr>
      </w:pPr>
      <w:r>
        <w:rPr>
          <w:highlight w:val="none"/>
        </w:rPr>
      </w:r>
      <w:r/>
    </w:p>
    <w:p>
      <w:pPr>
        <w:pStyle w:val="937"/>
        <w:ind w:firstLine="482"/>
        <w:jc w:val="center"/>
        <w:spacing w:beforeAutospacing="0" w:afterAutospacing="0" w:line="0" w:lineRule="atLeast"/>
        <w:rPr>
          <w:highlight w:val="none"/>
        </w:rPr>
      </w:pPr>
      <w:r>
        <w:rPr>
          <w:highlight w:val="none"/>
        </w:rPr>
      </w:r>
      <w:r/>
    </w:p>
    <w:p>
      <w:pPr>
        <w:pStyle w:val="937"/>
        <w:ind w:firstLine="482"/>
        <w:jc w:val="center"/>
        <w:spacing w:beforeAutospacing="0" w:afterAutospacing="0" w:line="0" w:lineRule="atLeast"/>
        <w:rPr>
          <w:highlight w:val="none"/>
        </w:rPr>
      </w:pPr>
      <w:r>
        <w:rPr>
          <w:highlight w:val="none"/>
        </w:rPr>
      </w:r>
      <w:r/>
    </w:p>
    <w:p>
      <w:pPr>
        <w:pStyle w:val="937"/>
        <w:ind w:firstLine="482"/>
        <w:jc w:val="center"/>
        <w:spacing w:beforeAutospacing="0" w:afterAutospacing="0" w:line="0" w:lineRule="atLeast"/>
        <w:rPr>
          <w:rFonts w:hint="eastAsia"/>
          <w:highlight w:val="none"/>
        </w:rPr>
      </w:pPr>
      <w:r>
        <w:rPr>
          <w:rFonts w:hint="eastAsia"/>
          <w:highlight w:val="none"/>
        </w:rPr>
      </w:r>
      <w:r/>
    </w:p>
    <w:p>
      <w:pPr>
        <w:pStyle w:val="937"/>
        <w:ind w:firstLine="482"/>
        <w:jc w:val="center"/>
        <w:spacing w:beforeAutospacing="0" w:afterAutospacing="0" w:line="0" w:lineRule="atLeast"/>
        <w:rPr>
          <w:highlight w:val="none"/>
        </w:rPr>
      </w:pPr>
      <w:r>
        <w:rPr>
          <w:highlight w:val="none"/>
        </w:rPr>
      </w:r>
      <w:r/>
    </w:p>
    <w:p>
      <w:pPr>
        <w:pStyle w:val="937"/>
        <w:ind w:firstLine="482"/>
        <w:jc w:val="center"/>
        <w:spacing w:beforeAutospacing="0" w:afterAutospacing="0" w:line="0" w:lineRule="atLeast"/>
        <w:rPr>
          <w:highlight w:val="none"/>
        </w:rPr>
      </w:pPr>
      <w:r>
        <w:rPr>
          <w:highlight w:val="none"/>
        </w:rPr>
      </w:r>
      <w:r/>
    </w:p>
    <w:p>
      <w:pPr>
        <w:pStyle w:val="937"/>
        <w:ind w:firstLine="482"/>
        <w:jc w:val="center"/>
        <w:spacing w:beforeAutospacing="0" w:afterAutospacing="0" w:line="0" w:lineRule="atLeast"/>
        <w:rPr>
          <w:highlight w:val="none"/>
        </w:rPr>
      </w:pPr>
      <w:r>
        <w:rPr>
          <w:highlight w:val="none"/>
        </w:rPr>
      </w:r>
      <w:r/>
    </w:p>
    <w:p>
      <w:pPr>
        <w:pStyle w:val="937"/>
        <w:ind w:firstLine="482"/>
        <w:jc w:val="center"/>
        <w:spacing w:beforeAutospacing="0" w:afterAutospacing="0" w:line="0" w:lineRule="atLeast"/>
        <w:rPr>
          <w:highlight w:val="none"/>
        </w:rPr>
      </w:pPr>
      <w:r>
        <w:rPr>
          <w:highlight w:val="none"/>
        </w:rPr>
      </w:r>
      <w:r/>
    </w:p>
    <w:p>
      <w:pPr>
        <w:pStyle w:val="937"/>
        <w:ind w:firstLine="482"/>
        <w:jc w:val="center"/>
        <w:spacing w:beforeAutospacing="0" w:afterAutospacing="0" w:line="0" w:lineRule="atLeast"/>
        <w:rPr>
          <w:highlight w:val="none"/>
        </w:rPr>
      </w:pPr>
      <w:r>
        <w:rPr>
          <w:highlight w:val="none"/>
        </w:rPr>
      </w:r>
      <w:r/>
    </w:p>
    <w:p>
      <w:pPr>
        <w:pStyle w:val="937"/>
        <w:jc w:val="both"/>
        <w:spacing w:beforeAutospacing="0" w:afterAutospacing="0" w:line="0" w:lineRule="atLeast"/>
        <w:rPr>
          <w:highlight w:val="none"/>
        </w:rPr>
      </w:pPr>
      <w:r>
        <w:rPr>
          <w:highlight w:val="none"/>
        </w:rPr>
        <w:t xml:space="preserve"> </w:t>
      </w:r>
      <w:r/>
    </w:p>
    <w:p>
      <w:pPr>
        <w:pStyle w:val="937"/>
        <w:ind w:firstLine="643"/>
        <w:jc w:val="center"/>
        <w:spacing w:beforeAutospacing="0" w:afterAutospacing="0" w:line="0" w:lineRule="atLeast"/>
        <w:rPr>
          <w:highlight w:val="none"/>
        </w:rPr>
      </w:pPr>
      <w:r>
        <w:rPr>
          <w:rFonts w:hint="eastAsia" w:ascii="黑体" w:hAnsi="宋体" w:eastAsia="黑体" w:cs="黑体"/>
          <w:b/>
          <w:sz w:val="32"/>
          <w:szCs w:val="32"/>
          <w:highlight w:val="none"/>
          <w:u w:val="single"/>
        </w:rPr>
        <w:t xml:space="preserve">十、</w:t>
      </w:r>
      <w:bookmarkStart w:id="249" w:name="OLE_LINK51"/>
      <w:r>
        <w:rPr>
          <w:rFonts w:hint="eastAsia" w:ascii="黑体" w:hAnsi="宋体" w:eastAsia="黑体" w:cs="黑体"/>
          <w:b/>
          <w:sz w:val="32"/>
          <w:szCs w:val="32"/>
          <w:highlight w:val="none"/>
          <w:u w:val="single"/>
        </w:rPr>
        <w:t xml:space="preserve">中小企业声明函（货物）</w:t>
      </w:r>
      <w:r/>
    </w:p>
    <w:p>
      <w:pPr>
        <w:ind w:firstLine="482"/>
        <w:spacing w:line="500" w:lineRule="exact"/>
        <w:rPr>
          <w:sz w:val="24"/>
          <w:highlight w:val="none"/>
        </w:rPr>
      </w:pPr>
      <w:r>
        <w:rPr>
          <w:rFonts w:hint="eastAsia"/>
          <w:sz w:val="24"/>
          <w:highlight w:val="none"/>
        </w:rPr>
        <w:t xml:space="preserve">本公司（联合体）郑重声明，根据《政府采购促进中小企业发展管理办法》（财库﹝2020﹞46号）的规定，本公司（联合体）参加滨海县特殊教育学校组织的采购编号为</w:t>
      </w:r>
      <w:r>
        <w:rPr>
          <w:rFonts w:hint="eastAsia"/>
          <w:sz w:val="24"/>
          <w:highlight w:val="none"/>
          <w:u w:val="single"/>
          <w:lang w:eastAsia="zh-CN"/>
        </w:rPr>
        <w:t xml:space="preserve">JSZC-320922-ZAIX-G2025-0015</w:t>
      </w:r>
      <w:r>
        <w:rPr>
          <w:rFonts w:hint="eastAsia"/>
          <w:sz w:val="24"/>
          <w:highlight w:val="none"/>
        </w:rPr>
        <w:t xml:space="preserve">的</w:t>
      </w:r>
      <w:r>
        <w:rPr>
          <w:rFonts w:hint="eastAsia"/>
          <w:i/>
          <w:iCs/>
          <w:sz w:val="24"/>
          <w:highlight w:val="none"/>
          <w:u w:val="single"/>
        </w:rPr>
        <w:t xml:space="preserve">滨海县特殊教育学校康复、感统等多功能室建设项目</w:t>
      </w:r>
      <w:r>
        <w:rPr>
          <w:rFonts w:hint="eastAsia"/>
          <w:sz w:val="24"/>
          <w:highlight w:val="none"/>
        </w:rPr>
        <w:t xml:space="preserve">的采购活动，服务全部由符合政策要求的中小企业承接。相关企业（含联合体中的中小企业、签订分包意向协议的中小企业）的具体情况如下：</w:t>
      </w:r>
      <w:r/>
    </w:p>
    <w:p>
      <w:pPr>
        <w:numPr>
          <w:ilvl w:val="0"/>
          <w:numId w:val="15"/>
        </w:numPr>
        <w:ind w:firstLine="482"/>
        <w:spacing w:line="500" w:lineRule="exact"/>
        <w:rPr>
          <w:sz w:val="24"/>
          <w:highlight w:val="none"/>
        </w:rPr>
      </w:pPr>
      <w:r>
        <w:rPr>
          <w:rFonts w:hint="eastAsia"/>
          <w:i/>
          <w:iCs/>
          <w:sz w:val="24"/>
          <w:highlight w:val="none"/>
          <w:u w:val="single"/>
        </w:rPr>
        <w:t xml:space="preserve">（标的名称）</w:t>
      </w:r>
      <w:r>
        <w:rPr>
          <w:rFonts w:hint="eastAsia"/>
          <w:sz w:val="24"/>
          <w:highlight w:val="none"/>
        </w:rPr>
        <w:t xml:space="preserve">，属于</w:t>
      </w:r>
      <w:r>
        <w:rPr>
          <w:rFonts w:hint="eastAsia"/>
          <w:i/>
          <w:iCs/>
          <w:sz w:val="24"/>
          <w:highlight w:val="none"/>
          <w:u w:val="single"/>
        </w:rPr>
        <w:t xml:space="preserve">（采购文件中明确的所属行业）</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，从业人员人，营业收入为万元，资产总额为万元，属于（</w:t>
      </w:r>
      <w:r>
        <w:rPr>
          <w:rFonts w:hint="eastAsia"/>
          <w:i/>
          <w:iCs/>
          <w:sz w:val="24"/>
          <w:highlight w:val="none"/>
          <w:u w:val="single"/>
        </w:rPr>
        <w:t xml:space="preserve">中型企业、小型企业、微型企业</w:t>
      </w:r>
      <w:r>
        <w:rPr>
          <w:rFonts w:hint="eastAsia"/>
          <w:sz w:val="24"/>
          <w:highlight w:val="none"/>
        </w:rPr>
        <w:t xml:space="preserve">）；</w:t>
      </w:r>
      <w:r/>
    </w:p>
    <w:p>
      <w:pPr>
        <w:numPr>
          <w:ilvl w:val="0"/>
          <w:numId w:val="15"/>
        </w:numPr>
        <w:ind w:firstLine="482"/>
        <w:spacing w:line="500" w:lineRule="exact"/>
        <w:rPr>
          <w:sz w:val="24"/>
          <w:highlight w:val="none"/>
        </w:rPr>
      </w:pPr>
      <w:r>
        <w:rPr>
          <w:rFonts w:hint="eastAsia"/>
          <w:i/>
          <w:iCs/>
          <w:sz w:val="24"/>
          <w:highlight w:val="none"/>
          <w:u w:val="single"/>
        </w:rPr>
        <w:t xml:space="preserve">（标的名称）</w:t>
      </w:r>
      <w:r>
        <w:rPr>
          <w:rFonts w:hint="eastAsia"/>
          <w:sz w:val="24"/>
          <w:highlight w:val="none"/>
        </w:rPr>
        <w:t xml:space="preserve">，属于</w:t>
      </w:r>
      <w:r>
        <w:rPr>
          <w:rFonts w:hint="eastAsia"/>
          <w:i/>
          <w:iCs/>
          <w:sz w:val="24"/>
          <w:highlight w:val="none"/>
          <w:u w:val="single"/>
        </w:rPr>
        <w:t xml:space="preserve">（采购文件中明确的所属行业）</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，从业人员人，营业收入为万元，资产总额为万元，属于</w:t>
      </w:r>
      <w:r>
        <w:rPr>
          <w:rFonts w:hint="eastAsia"/>
          <w:i/>
          <w:iCs/>
          <w:sz w:val="24"/>
          <w:highlight w:val="none"/>
        </w:rPr>
        <w:t xml:space="preserve">（</w:t>
      </w:r>
      <w:r>
        <w:rPr>
          <w:rFonts w:hint="eastAsia"/>
          <w:i/>
          <w:iCs/>
          <w:sz w:val="24"/>
          <w:highlight w:val="none"/>
          <w:u w:val="single"/>
        </w:rPr>
        <w:t xml:space="preserve">中型企业、小型企业、微型企业）</w:t>
      </w: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以上企业，不属于大企业的分支机构，不存在控股股东为大企业的情形，也不存在与大企业的负责人为同一人的情形。</w:t>
      </w:r>
      <w:r/>
    </w:p>
    <w:p>
      <w:pPr>
        <w:ind w:firstLine="480"/>
        <w:spacing w:line="500" w:lineRule="exact"/>
        <w:rPr>
          <w:sz w:val="24"/>
          <w:highlight w:val="none"/>
        </w:rPr>
      </w:pPr>
      <w:r>
        <w:rPr>
          <w:rFonts w:hint="eastAsia"/>
          <w:sz w:val="24"/>
          <w:highlight w:val="none"/>
        </w:rPr>
        <w:t xml:space="preserve">本企业对上述声明内容的真实性负责。如有虚假，将依法承担相应责任。</w:t>
      </w:r>
      <w:r/>
    </w:p>
    <w:p>
      <w:pPr>
        <w:pStyle w:val="937"/>
        <w:ind w:right="720"/>
        <w:jc w:val="both"/>
        <w:spacing w:beforeAutospacing="0" w:afterAutospacing="0" w:line="0" w:lineRule="atLeast"/>
        <w:rPr>
          <w:highlight w:val="none"/>
        </w:rPr>
      </w:pPr>
      <w:r>
        <w:rPr>
          <w:highlight w:val="none"/>
        </w:rPr>
        <w:t xml:space="preserve"> </w:t>
      </w:r>
      <w:r/>
    </w:p>
    <w:p>
      <w:pPr>
        <w:pStyle w:val="937"/>
        <w:ind w:right="180" w:firstLine="482"/>
        <w:jc w:val="right"/>
        <w:spacing w:beforeAutospacing="0" w:afterAutospacing="0" w:line="0" w:lineRule="atLeast"/>
        <w:rPr>
          <w:highlight w:val="none"/>
        </w:rPr>
      </w:pPr>
      <w:r>
        <w:rPr>
          <w:rFonts w:hint="eastAsia" w:ascii="宋体" w:hAnsi="宋体" w:eastAsia="宋体" w:cs="宋体"/>
          <w:highlight w:val="none"/>
        </w:rPr>
        <w:t xml:space="preserve">企业名称（加盖CA电子公章）：</w:t>
      </w:r>
      <w:r/>
    </w:p>
    <w:p>
      <w:pPr>
        <w:pStyle w:val="937"/>
        <w:ind w:right="480" w:firstLine="482"/>
        <w:jc w:val="both"/>
        <w:spacing w:beforeAutospacing="0" w:afterAutospacing="0" w:line="0" w:lineRule="atLeast"/>
        <w:rPr>
          <w:highlight w:val="none"/>
        </w:rPr>
      </w:pPr>
      <w:r>
        <w:rPr>
          <w:rFonts w:hint="eastAsia" w:ascii="宋体" w:hAnsi="宋体" w:eastAsia="宋体" w:cs="宋体"/>
          <w:highlight w:val="none"/>
        </w:rPr>
        <w:t xml:space="preserve">日 期：</w:t>
      </w:r>
      <w:r/>
    </w:p>
    <w:p>
      <w:pPr>
        <w:pStyle w:val="937"/>
        <w:ind w:firstLine="482"/>
        <w:jc w:val="both"/>
        <w:spacing w:beforeAutospacing="0" w:afterAutospacing="0" w:line="0" w:lineRule="atLeast"/>
        <w:rPr>
          <w:highlight w:val="none"/>
        </w:rPr>
      </w:pPr>
      <w:r>
        <w:rPr>
          <w:highlight w:val="none"/>
        </w:rPr>
        <w:t xml:space="preserve"> </w:t>
      </w:r>
      <w:r/>
    </w:p>
    <w:p>
      <w:pPr>
        <w:pStyle w:val="937"/>
        <w:ind w:firstLine="482"/>
        <w:jc w:val="both"/>
        <w:spacing w:beforeAutospacing="0" w:afterAutospacing="0" w:line="0" w:lineRule="atLeast"/>
        <w:rPr>
          <w:highlight w:val="none"/>
        </w:rPr>
      </w:pPr>
      <w:r>
        <w:rPr>
          <w:rFonts w:hint="eastAsia" w:ascii="宋体" w:hAnsi="宋体" w:eastAsia="宋体" w:cs="宋体"/>
          <w:highlight w:val="none"/>
        </w:rPr>
        <w:t xml:space="preserve">备注1：从业人员、营业收入、资产总额填报上一年度数据，无上一年度数据的新成立企业可不填报。</w:t>
      </w:r>
      <w:r/>
    </w:p>
    <w:p>
      <w:pPr>
        <w:pStyle w:val="937"/>
        <w:ind w:firstLine="482"/>
        <w:jc w:val="both"/>
        <w:spacing w:beforeAutospacing="0" w:afterAutospacing="0" w:line="0" w:lineRule="atLeast"/>
        <w:rPr>
          <w:highlight w:val="none"/>
        </w:rPr>
      </w:pPr>
      <w:r>
        <w:rPr>
          <w:rFonts w:hint="eastAsia" w:ascii="宋体" w:hAnsi="宋体" w:eastAsia="宋体" w:cs="宋体"/>
          <w:highlight w:val="none"/>
        </w:rPr>
        <w:t xml:space="preserve">备注2：供应商如不提供此声明函，价格将不做相应扣除（如项目全面面向中小企业，则资格审查不通过）。</w:t>
      </w:r>
      <w:r/>
    </w:p>
    <w:p>
      <w:pPr>
        <w:pStyle w:val="937"/>
        <w:ind w:firstLine="643"/>
        <w:jc w:val="center"/>
        <w:spacing w:beforeAutospacing="0" w:afterAutospacing="0" w:line="0" w:lineRule="atLeast"/>
        <w:rPr>
          <w:highlight w:val="none"/>
          <w:u w:val="single"/>
        </w:rPr>
      </w:pPr>
      <w:r>
        <w:rPr>
          <w:rFonts w:hint="eastAsia" w:ascii="黑体" w:hAnsi="宋体" w:eastAsia="黑体" w:cs="黑体"/>
          <w:b/>
          <w:sz w:val="32"/>
          <w:szCs w:val="32"/>
          <w:highlight w:val="none"/>
        </w:rPr>
        <w:br w:type="page" w:clear="all"/>
      </w:r>
      <w:r>
        <w:rPr>
          <w:rFonts w:hint="eastAsia" w:ascii="黑体" w:hAnsi="宋体" w:eastAsia="黑体" w:cs="黑体"/>
          <w:b/>
          <w:color w:val="000000"/>
          <w:sz w:val="32"/>
          <w:szCs w:val="32"/>
          <w:highlight w:val="none"/>
        </w:rPr>
        <w:t xml:space="preserve"> </w:t>
      </w:r>
      <w:r>
        <w:rPr>
          <w:rFonts w:hint="eastAsia" w:ascii="黑体" w:hAnsi="宋体" w:eastAsia="黑体" w:cs="黑体"/>
          <w:b/>
          <w:color w:val="000000"/>
          <w:sz w:val="32"/>
          <w:szCs w:val="32"/>
          <w:highlight w:val="none"/>
          <w:u w:val="single"/>
        </w:rPr>
        <w:t xml:space="preserve">十一、残疾人福利性单位声明函</w:t>
      </w:r>
      <w:r/>
    </w:p>
    <w:p>
      <w:pPr>
        <w:pStyle w:val="937"/>
        <w:ind w:firstLine="482"/>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937"/>
        <w:ind w:firstLine="482"/>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937"/>
        <w:ind w:firstLine="482"/>
        <w:jc w:val="both"/>
        <w:spacing w:beforeAutospacing="0" w:afterAutospacing="0" w:line="0" w:lineRule="atLeast"/>
        <w:rPr>
          <w:highlight w:val="none"/>
        </w:rPr>
      </w:pPr>
      <w:r>
        <w:rPr>
          <w:highlight w:val="none"/>
        </w:rPr>
        <w:t xml:space="preserve"> </w:t>
      </w:r>
      <w:r/>
    </w:p>
    <w:p>
      <w:pPr>
        <w:pStyle w:val="937"/>
        <w:ind w:firstLine="482"/>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937"/>
        <w:ind w:firstLine="482"/>
        <w:jc w:val="both"/>
        <w:spacing w:beforeAutospacing="0" w:afterAutospacing="0" w:line="0" w:lineRule="atLeast"/>
        <w:rPr>
          <w:highlight w:val="none"/>
        </w:rPr>
      </w:pPr>
      <w:r>
        <w:rPr>
          <w:highlight w:val="none"/>
        </w:rPr>
        <w:t xml:space="preserve"> </w:t>
      </w:r>
      <w:r/>
    </w:p>
    <w:p>
      <w:pPr>
        <w:pStyle w:val="937"/>
        <w:ind w:right="1560" w:firstLine="602"/>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937"/>
        <w:ind w:right="1560" w:firstLine="482"/>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937"/>
        <w:jc w:val="center"/>
        <w:spacing w:beforeAutospacing="0" w:afterAutospacing="0" w:line="0" w:lineRule="atLeast"/>
        <w:rPr>
          <w:highlight w:val="none"/>
        </w:rPr>
      </w:pPr>
      <w:r>
        <w:rPr>
          <w:highlight w:val="none"/>
        </w:rPr>
        <w:t xml:space="preserve"> </w:t>
      </w:r>
      <w:bookmarkEnd w:id="249"/>
      <w:r/>
      <w:r/>
    </w:p>
    <w:p>
      <w:pPr>
        <w:pStyle w:val="937"/>
        <w:jc w:val="center"/>
        <w:spacing w:beforeAutospacing="0" w:afterAutospacing="0" w:line="0" w:lineRule="atLeast"/>
        <w:rPr>
          <w:highlight w:val="none"/>
        </w:rPr>
      </w:pPr>
      <w:r>
        <w:rPr>
          <w:highlight w:val="none"/>
        </w:rPr>
        <w:t xml:space="preserve"> </w:t>
      </w:r>
      <w:r/>
    </w:p>
    <w:p>
      <w:pPr>
        <w:pStyle w:val="937"/>
        <w:jc w:val="center"/>
        <w:spacing w:beforeAutospacing="0" w:afterAutospacing="0" w:line="0" w:lineRule="atLeast"/>
        <w:rPr>
          <w:highlight w:val="none"/>
        </w:rPr>
      </w:pPr>
      <w:r>
        <w:rPr>
          <w:highlight w:val="none"/>
        </w:rPr>
        <w:t xml:space="preserve"> </w:t>
      </w:r>
      <w:r/>
    </w:p>
    <w:p>
      <w:pPr>
        <w:pStyle w:val="937"/>
        <w:jc w:val="center"/>
        <w:spacing w:beforeAutospacing="0" w:afterAutospacing="0" w:line="0" w:lineRule="atLeast"/>
        <w:rPr>
          <w:highlight w:val="none"/>
        </w:rPr>
      </w:pPr>
      <w:r>
        <w:rPr>
          <w:highlight w:val="none"/>
        </w:rPr>
        <w:t xml:space="preserve"> </w:t>
      </w:r>
      <w:r/>
    </w:p>
    <w:p>
      <w:pPr>
        <w:pStyle w:val="937"/>
        <w:jc w:val="center"/>
        <w:spacing w:beforeAutospacing="0" w:afterAutospacing="0" w:line="0" w:lineRule="atLeast"/>
        <w:rPr>
          <w:highlight w:val="none"/>
        </w:rPr>
      </w:pPr>
      <w:r>
        <w:rPr>
          <w:highlight w:val="none"/>
        </w:rPr>
        <w:t xml:space="preserve"> </w:t>
      </w:r>
      <w:r/>
    </w:p>
    <w:p>
      <w:pPr>
        <w:pStyle w:val="937"/>
        <w:jc w:val="center"/>
        <w:spacing w:beforeAutospacing="0" w:afterAutospacing="0" w:line="0" w:lineRule="atLeast"/>
        <w:rPr>
          <w:highlight w:val="none"/>
        </w:rPr>
      </w:pPr>
      <w:r>
        <w:rPr>
          <w:highlight w:val="none"/>
        </w:rPr>
        <w:t xml:space="preserve"> </w:t>
      </w:r>
      <w:r/>
    </w:p>
    <w:p>
      <w:pPr>
        <w:pStyle w:val="937"/>
        <w:jc w:val="center"/>
        <w:spacing w:beforeAutospacing="0" w:afterAutospacing="0" w:line="0" w:lineRule="atLeast"/>
        <w:rPr>
          <w:highlight w:val="none"/>
        </w:rPr>
      </w:pPr>
      <w:r>
        <w:rPr>
          <w:highlight w:val="none"/>
        </w:rPr>
        <w:t xml:space="preserve"> </w:t>
      </w:r>
      <w:r/>
    </w:p>
    <w:p>
      <w:pPr>
        <w:pStyle w:val="937"/>
        <w:jc w:val="center"/>
        <w:spacing w:beforeAutospacing="0" w:afterAutospacing="0" w:line="0" w:lineRule="atLeast"/>
        <w:rPr>
          <w:highlight w:val="none"/>
        </w:rPr>
      </w:pPr>
      <w:r>
        <w:rPr>
          <w:highlight w:val="none"/>
        </w:rPr>
        <w:t xml:space="preserve"> </w:t>
      </w:r>
      <w:r/>
    </w:p>
    <w:p>
      <w:pPr>
        <w:pStyle w:val="937"/>
        <w:jc w:val="center"/>
        <w:spacing w:beforeAutospacing="0" w:afterAutospacing="0" w:line="0" w:lineRule="atLeast"/>
        <w:rPr>
          <w:highlight w:val="none"/>
        </w:rPr>
      </w:pPr>
      <w:r>
        <w:rPr>
          <w:highlight w:val="none"/>
        </w:rPr>
        <w:t xml:space="preserve"> </w:t>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rFonts w:hint="eastAsia"/>
          <w:highlight w:val="none"/>
        </w:rPr>
      </w:pPr>
      <w:r>
        <w:rPr>
          <w:rFonts w:hint="eastAsia"/>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jc w:val="center"/>
        <w:spacing w:beforeAutospacing="0" w:afterAutospacing="0" w:line="0" w:lineRule="atLeast"/>
        <w:rPr>
          <w:highlight w:val="none"/>
        </w:rPr>
      </w:pPr>
      <w:r>
        <w:rPr>
          <w:highlight w:val="none"/>
        </w:rPr>
      </w:r>
      <w:r/>
    </w:p>
    <w:p>
      <w:pPr>
        <w:pStyle w:val="937"/>
        <w:ind w:firstLine="643"/>
        <w:jc w:val="center"/>
        <w:spacing w:beforeAutospacing="0" w:afterAutospacing="0"/>
        <w:rPr>
          <w:highlight w:val="none"/>
          <w:u w:val="single"/>
        </w:rPr>
      </w:pPr>
      <w:r>
        <w:rPr>
          <w:rFonts w:hint="eastAsia" w:ascii="黑体" w:hAnsi="宋体" w:eastAsia="黑体" w:cs="黑体"/>
          <w:b/>
          <w:color w:val="000000"/>
          <w:sz w:val="32"/>
          <w:szCs w:val="32"/>
          <w:highlight w:val="none"/>
          <w:u w:val="single"/>
        </w:rPr>
        <w:t xml:space="preserve">十二、</w:t>
      </w:r>
      <w:bookmarkStart w:id="250" w:name="OLE_LINK52"/>
      <w:r/>
      <w:bookmarkStart w:id="251" w:name="OLE_LINK54"/>
      <w:r>
        <w:rPr>
          <w:rFonts w:hint="eastAsia" w:ascii="黑体" w:hAnsi="宋体" w:eastAsia="黑体" w:cs="黑体"/>
          <w:b/>
          <w:color w:val="000000"/>
          <w:sz w:val="32"/>
          <w:szCs w:val="32"/>
          <w:highlight w:val="none"/>
          <w:u w:val="single"/>
        </w:rPr>
        <w:t xml:space="preserve">投标分项报价表</w:t>
      </w:r>
      <w:bookmarkEnd w:id="250"/>
      <w:r/>
      <w:r/>
    </w:p>
    <w:tbl>
      <w:tblPr>
        <w:tblStyle w:val="917"/>
        <w:tblW w:w="851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W w:w="546" w:type="dxa"/>
            <w:vAlign w:val="center"/>
            <w:textDirection w:val="lrTb"/>
            <w:noWrap w:val="false"/>
          </w:tcPr>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W w:w="996" w:type="dxa"/>
            <w:vAlign w:val="center"/>
            <w:textDirection w:val="lrTb"/>
            <w:noWrap w:val="false"/>
          </w:tcPr>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W w:w="905" w:type="dxa"/>
            <w:vAlign w:val="center"/>
            <w:textDirection w:val="lrTb"/>
            <w:noWrap w:val="false"/>
          </w:tcPr>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W w:w="1298" w:type="dxa"/>
            <w:vAlign w:val="center"/>
            <w:textDirection w:val="lrTb"/>
            <w:noWrap w:val="false"/>
          </w:tcPr>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W w:w="746" w:type="dxa"/>
            <w:vAlign w:val="center"/>
            <w:textDirection w:val="lrTb"/>
            <w:noWrap w:val="false"/>
          </w:tcPr>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W w:w="918" w:type="dxa"/>
            <w:vAlign w:val="center"/>
            <w:textDirection w:val="lrTb"/>
            <w:noWrap w:val="false"/>
          </w:tcPr>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W w:w="696" w:type="dxa"/>
            <w:vAlign w:val="center"/>
            <w:textDirection w:val="lrTb"/>
            <w:noWrap w:val="false"/>
          </w:tcPr>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W w:w="1261" w:type="dxa"/>
            <w:vAlign w:val="center"/>
            <w:textDirection w:val="lrTb"/>
            <w:noWrap w:val="false"/>
          </w:tcPr>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W w:w="1151" w:type="dxa"/>
            <w:vAlign w:val="center"/>
            <w:textDirection w:val="lrTb"/>
            <w:noWrap w:val="false"/>
          </w:tcPr>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W w:w="546" w:type="dxa"/>
            <w:vAlign w:val="center"/>
            <w:textDirection w:val="lrTb"/>
            <w:noWrap w:val="false"/>
          </w:tcPr>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W w:w="996" w:type="dxa"/>
            <w:vAlign w:val="center"/>
            <w:textDirection w:val="lrTb"/>
            <w:noWrap w:val="false"/>
          </w:tcPr>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W w:w="905" w:type="dxa"/>
            <w:vAlign w:val="center"/>
            <w:textDirection w:val="lrTb"/>
            <w:noWrap w:val="false"/>
          </w:tcPr>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W w:w="1298" w:type="dxa"/>
            <w:vAlign w:val="center"/>
            <w:textDirection w:val="lrTb"/>
            <w:noWrap w:val="false"/>
          </w:tcPr>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W w:w="746" w:type="dxa"/>
            <w:vAlign w:val="center"/>
            <w:textDirection w:val="lrTb"/>
            <w:noWrap w:val="false"/>
          </w:tcPr>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W w:w="918" w:type="dxa"/>
            <w:vAlign w:val="center"/>
            <w:textDirection w:val="lrTb"/>
            <w:noWrap w:val="false"/>
          </w:tcPr>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W w:w="696" w:type="dxa"/>
            <w:vAlign w:val="center"/>
            <w:textDirection w:val="lrTb"/>
            <w:noWrap w:val="false"/>
          </w:tcPr>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W w:w="1261" w:type="dxa"/>
            <w:vAlign w:val="center"/>
            <w:textDirection w:val="lrTb"/>
            <w:noWrap w:val="false"/>
          </w:tcPr>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W w:w="1151" w:type="dxa"/>
            <w:vAlign w:val="center"/>
            <w:textDirection w:val="lrTb"/>
            <w:noWrap w:val="false"/>
          </w:tcPr>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W w:w="546" w:type="dxa"/>
            <w:vAlign w:val="center"/>
            <w:textDirection w:val="lrTb"/>
            <w:noWrap w:val="false"/>
          </w:tcPr>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W w:w="996"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905"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1298"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746"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918"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696"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1261"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1151"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W w:w="546" w:type="dxa"/>
            <w:vAlign w:val="center"/>
            <w:textDirection w:val="lrTb"/>
            <w:noWrap w:val="false"/>
          </w:tcPr>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W w:w="996"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905"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1298"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746"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918"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696"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1261"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1151"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W w:w="546" w:type="dxa"/>
            <w:vAlign w:val="center"/>
            <w:textDirection w:val="lrTb"/>
            <w:noWrap w:val="false"/>
          </w:tcPr>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W w:w="996"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905"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1298"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746"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918"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696"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1261"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1151"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W w:w="546" w:type="dxa"/>
            <w:vAlign w:val="center"/>
            <w:textDirection w:val="lrTb"/>
            <w:noWrap w:val="false"/>
          </w:tcPr>
          <w:p>
            <w:pPr>
              <w:pStyle w:val="937"/>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W w:w="996" w:type="dxa"/>
            <w:vAlign w:val="center"/>
            <w:textDirection w:val="lrTb"/>
            <w:noWrap w:val="false"/>
          </w:tcPr>
          <w:p>
            <w:pPr>
              <w:pStyle w:val="937"/>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W w:w="905"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1298"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746"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918"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696"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1261"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c>
          <w:tcPr>
            <w:shd w:val="clear" w:color="auto" w:fill="auto"/>
            <w:tcW w:w="1151" w:type="dxa"/>
            <w:vAlign w:val="center"/>
            <w:textDirection w:val="lrTb"/>
            <w:noWrap w:val="false"/>
          </w:tcPr>
          <w:p>
            <w:pPr>
              <w:pStyle w:val="937"/>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W w:w="7366" w:type="dxa"/>
            <w:vAlign w:val="center"/>
            <w:textDirection w:val="lrTb"/>
            <w:noWrap w:val="false"/>
          </w:tcPr>
          <w:p>
            <w:pPr>
              <w:pStyle w:val="937"/>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W w:w="1151" w:type="dxa"/>
            <w:vAlign w:val="center"/>
            <w:textDirection w:val="lrTb"/>
            <w:noWrap w:val="false"/>
          </w:tcPr>
          <w:p>
            <w:pPr>
              <w:pStyle w:val="937"/>
              <w:jc w:val="both"/>
              <w:spacing w:beforeAutospacing="0" w:afterAutospacing="0"/>
              <w:rPr>
                <w:highlight w:val="none"/>
              </w:rPr>
            </w:pPr>
            <w:r>
              <w:rPr>
                <w:highlight w:val="none"/>
              </w:rPr>
              <w:t xml:space="preserve"> </w:t>
            </w:r>
            <w:r/>
          </w:p>
        </w:tc>
      </w:tr>
    </w:tbl>
    <w:p>
      <w:pPr>
        <w:pStyle w:val="937"/>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1.投标报价采用总承包方式，“投标总报价”应包括所投货物（包含与货物相关的服务）人工费包括（人员工资、社会保险费用、福利费、加班费、差旅费、人身意外伤害险等）、评审费、验收费、会务费、投标费用、招标代理服务费、审计费、税金、各类风险费、管理费、利润、国际国内运输等保险费、报关清关、开证、办理全套免税手续费用及其他有关的为完成本项目发生的所有费用，招标文件中另有规定的除外。</w:t>
      </w:r>
      <w:r/>
    </w:p>
    <w:p>
      <w:pPr>
        <w:pStyle w:val="937"/>
        <w:jc w:val="both"/>
        <w:spacing w:beforeAutospacing="0" w:afterAutospacing="0"/>
        <w:rPr>
          <w:highlight w:val="none"/>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rPr>
        <w:t xml:space="preserve">中“投标总报价”数额应当与“开标一览表”中“投标总报价”数额一致。</w:t>
      </w:r>
      <w:r/>
    </w:p>
    <w:p>
      <w:pPr>
        <w:pStyle w:val="937"/>
        <w:jc w:val="both"/>
        <w:spacing w:beforeAutospacing="0" w:afterAutospacing="0"/>
        <w:rPr>
          <w:highlight w:val="none"/>
        </w:rPr>
      </w:pPr>
      <w:r>
        <w:rPr>
          <w:highlight w:val="none"/>
        </w:rPr>
        <w:t xml:space="preserve"> </w:t>
      </w:r>
      <w:bookmarkEnd w:id="251"/>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rFonts w:hint="eastAsia"/>
          <w:highlight w:val="none"/>
        </w:rPr>
      </w:pPr>
      <w:r>
        <w:rPr>
          <w:rFonts w:hint="eastAsia"/>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ind w:firstLine="643"/>
        <w:jc w:val="center"/>
        <w:spacing w:beforeAutospacing="0" w:afterAutospacing="0"/>
        <w:rPr>
          <w:highlight w:val="none"/>
        </w:rPr>
      </w:pPr>
      <w:r>
        <w:rPr>
          <w:rFonts w:hint="eastAsia" w:ascii="黑体" w:hAnsi="宋体" w:eastAsia="黑体" w:cs="黑体"/>
          <w:b/>
          <w:color w:val="000000"/>
          <w:sz w:val="32"/>
          <w:szCs w:val="32"/>
          <w:highlight w:val="none"/>
          <w:u w:val="single"/>
        </w:rPr>
        <w:t xml:space="preserve">十三、</w:t>
      </w:r>
      <w:bookmarkStart w:id="252" w:name="OLE_LINK55"/>
      <w:r/>
      <w:bookmarkStart w:id="253" w:name="OLE_LINK56"/>
      <w:r>
        <w:rPr>
          <w:rFonts w:hint="eastAsia" w:ascii="黑体" w:hAnsi="宋体" w:eastAsia="黑体" w:cs="黑体"/>
          <w:b/>
          <w:color w:val="000000"/>
          <w:sz w:val="32"/>
          <w:szCs w:val="32"/>
          <w:highlight w:val="none"/>
          <w:u w:val="single"/>
        </w:rPr>
        <w:t xml:space="preserve">技术要求响应及偏离表</w:t>
      </w:r>
      <w:bookmarkEnd w:id="252"/>
      <w:r/>
      <w:r/>
    </w:p>
    <w:tbl>
      <w:tblPr>
        <w:tblStyle w:val="917"/>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W w:w="538" w:type="dxa"/>
            <w:vAlign w:val="center"/>
            <w:textDirection w:val="lrTb"/>
            <w:noWrap w:val="false"/>
          </w:tcPr>
          <w:p>
            <w:pPr>
              <w:pStyle w:val="937"/>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W w:w="3026" w:type="dxa"/>
            <w:vAlign w:val="center"/>
            <w:textDirection w:val="lrTb"/>
            <w:noWrap w:val="false"/>
          </w:tcPr>
          <w:p>
            <w:pPr>
              <w:pStyle w:val="937"/>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W w:w="2608" w:type="dxa"/>
            <w:vAlign w:val="center"/>
            <w:textDirection w:val="lrTb"/>
            <w:noWrap w:val="false"/>
          </w:tcPr>
          <w:p>
            <w:pPr>
              <w:pStyle w:val="937"/>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W w:w="1247" w:type="dxa"/>
            <w:vAlign w:val="center"/>
            <w:textDirection w:val="lrTb"/>
            <w:noWrap w:val="false"/>
          </w:tcPr>
          <w:p>
            <w:pPr>
              <w:pStyle w:val="937"/>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W w:w="1101" w:type="dxa"/>
            <w:vAlign w:val="center"/>
            <w:textDirection w:val="lrTb"/>
            <w:noWrap w:val="false"/>
          </w:tcPr>
          <w:p>
            <w:pPr>
              <w:pStyle w:val="937"/>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937"/>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W w:w="53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3026"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260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93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3026"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260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93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3026"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260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93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3026"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260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93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3026"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260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93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3026"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260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93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3026"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260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93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3026" w:type="dxa"/>
            <w:vAlign w:val="center"/>
            <w:textDirection w:val="lrTb"/>
            <w:noWrap w:val="false"/>
          </w:tcPr>
          <w:p>
            <w:pPr>
              <w:pStyle w:val="937"/>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W w:w="260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937"/>
              <w:jc w:val="center"/>
              <w:spacing w:beforeAutospacing="0" w:afterAutospacing="0"/>
              <w:rPr>
                <w:highlight w:val="none"/>
              </w:rPr>
            </w:pPr>
            <w:r>
              <w:rPr>
                <w:highlight w:val="none"/>
              </w:rPr>
              <w:t xml:space="preserve"> </w:t>
            </w:r>
            <w:r/>
          </w:p>
        </w:tc>
      </w:tr>
    </w:tbl>
    <w:p>
      <w:pPr>
        <w:pStyle w:val="937"/>
        <w:jc w:val="both"/>
        <w:spacing w:beforeAutospacing="0" w:afterAutospacing="0"/>
        <w:rPr>
          <w:highlight w:val="none"/>
        </w:rPr>
      </w:pPr>
      <w:r>
        <w:rPr>
          <w:rFonts w:hint="eastAsia" w:ascii="宋体" w:hAnsi="宋体" w:eastAsia="宋体" w:cs="宋体"/>
          <w:color w:val="000000"/>
          <w:highlight w:val="none"/>
        </w:rPr>
        <w:t xml:space="preserve">注： 行数不够，可自行添加。</w:t>
      </w:r>
      <w:bookmarkEnd w:id="253"/>
      <w:r/>
      <w:r/>
    </w:p>
    <w:p>
      <w:pPr>
        <w:pStyle w:val="937"/>
        <w:jc w:val="center"/>
        <w:spacing w:beforeAutospacing="0" w:afterAutospacing="0"/>
        <w:rPr>
          <w:highlight w:val="none"/>
        </w:rPr>
      </w:pPr>
      <w:r>
        <w:rPr>
          <w:highlight w:val="none"/>
        </w:rPr>
        <w:t xml:space="preserve"> </w:t>
      </w:r>
      <w:r/>
    </w:p>
    <w:p>
      <w:pPr>
        <w:pStyle w:val="937"/>
        <w:jc w:val="center"/>
        <w:spacing w:beforeAutospacing="0" w:afterAutospacing="0"/>
        <w:rPr>
          <w:highlight w:val="none"/>
        </w:rPr>
      </w:pPr>
      <w:r>
        <w:rPr>
          <w:highlight w:val="none"/>
        </w:rPr>
        <w:t xml:space="preserve"> </w:t>
      </w:r>
      <w:r/>
    </w:p>
    <w:p>
      <w:pPr>
        <w:pStyle w:val="937"/>
        <w:jc w:val="center"/>
        <w:spacing w:beforeAutospacing="0" w:afterAutospacing="0"/>
        <w:rPr>
          <w:highlight w:val="none"/>
        </w:rPr>
      </w:pPr>
      <w:r>
        <w:rPr>
          <w:highlight w:val="none"/>
        </w:rPr>
        <w:t xml:space="preserve"> </w:t>
      </w:r>
      <w:r/>
    </w:p>
    <w:p>
      <w:pPr>
        <w:pStyle w:val="937"/>
        <w:jc w:val="center"/>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t xml:space="preserve"> </w:t>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t xml:space="preserve"> </w:t>
      </w:r>
      <w:r/>
    </w:p>
    <w:p>
      <w:pPr>
        <w:pStyle w:val="937"/>
        <w:jc w:val="center"/>
        <w:spacing w:beforeAutospacing="0" w:afterAutospacing="0"/>
        <w:rPr>
          <w:highlight w:val="none"/>
        </w:rPr>
      </w:pPr>
      <w:r/>
      <w:bookmarkStart w:id="254" w:name="OLE_LINK59"/>
      <w:r/>
      <w:bookmarkStart w:id="255" w:name="_Hlt26955054"/>
      <w:r>
        <w:rPr>
          <w:rFonts w:hint="eastAsia" w:ascii="黑体" w:hAnsi="宋体" w:eastAsia="黑体" w:cs="黑体"/>
          <w:b/>
          <w:color w:val="000000"/>
          <w:sz w:val="32"/>
          <w:szCs w:val="32"/>
          <w:highlight w:val="none"/>
          <w:u w:val="single"/>
        </w:rPr>
        <w:t xml:space="preserve">十四、商务要求响应及偏离表</w:t>
      </w:r>
      <w:r/>
    </w:p>
    <w:tbl>
      <w:tblPr>
        <w:tblStyle w:val="917"/>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W w:w="538" w:type="dxa"/>
            <w:vAlign w:val="center"/>
            <w:textDirection w:val="lrTb"/>
            <w:noWrap w:val="false"/>
          </w:tcPr>
          <w:p>
            <w:pPr>
              <w:pStyle w:val="937"/>
              <w:jc w:val="center"/>
              <w:spacing w:beforeAutospacing="0" w:afterAutospacing="0"/>
              <w:rPr>
                <w:highlight w:val="none"/>
              </w:rPr>
            </w:pPr>
            <w:r/>
            <w:bookmarkStart w:id="256" w:name="_Hlt26671343"/>
            <w:r/>
            <w:bookmarkStart w:id="257" w:name="_Hlt26955064"/>
            <w:r/>
            <w:bookmarkStart w:id="258" w:name="_Hlt26782999"/>
            <w:r/>
            <w:bookmarkStart w:id="259" w:name="_Hlt26609391"/>
            <w:r/>
            <w:bookmarkStart w:id="260" w:name="_Hlt26671372"/>
            <w:r/>
            <w:bookmarkStart w:id="261" w:name="_Hlt26580838"/>
            <w:r/>
            <w:bookmarkStart w:id="262" w:name="_Hlt26955056"/>
            <w:r/>
            <w:bookmarkStart w:id="263" w:name="_Hlt24879081"/>
            <w:r>
              <w:rPr>
                <w:rFonts w:hint="eastAsia" w:ascii="宋体" w:hAnsi="宋体" w:eastAsia="宋体" w:cs="宋体"/>
                <w:color w:val="000000"/>
                <w:highlight w:val="none"/>
              </w:rPr>
              <w:t xml:space="preserve">序号</w:t>
            </w:r>
            <w:bookmarkEnd w:id="256"/>
            <w:r/>
            <w:bookmarkEnd w:id="257"/>
            <w:r/>
            <w:bookmarkEnd w:id="258"/>
            <w:r/>
            <w:bookmarkEnd w:id="259"/>
            <w:r/>
            <w:bookmarkEnd w:id="260"/>
            <w:r/>
            <w:bookmarkEnd w:id="261"/>
            <w:r/>
            <w:bookmarkEnd w:id="262"/>
            <w:r/>
            <w:bookmarkEnd w:id="263"/>
            <w:r/>
            <w:r/>
          </w:p>
        </w:tc>
        <w:tc>
          <w:tcPr>
            <w:shd w:val="clear" w:color="auto" w:fill="auto"/>
            <w:tcW w:w="3026" w:type="dxa"/>
            <w:vAlign w:val="center"/>
            <w:textDirection w:val="lrTb"/>
            <w:noWrap w:val="false"/>
          </w:tcPr>
          <w:p>
            <w:pPr>
              <w:pStyle w:val="937"/>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W w:w="2608" w:type="dxa"/>
            <w:vAlign w:val="center"/>
            <w:textDirection w:val="lrTb"/>
            <w:noWrap w:val="false"/>
          </w:tcPr>
          <w:p>
            <w:pPr>
              <w:pStyle w:val="937"/>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W w:w="1247" w:type="dxa"/>
            <w:vAlign w:val="center"/>
            <w:textDirection w:val="lrTb"/>
            <w:noWrap w:val="false"/>
          </w:tcPr>
          <w:p>
            <w:pPr>
              <w:pStyle w:val="937"/>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W w:w="1101" w:type="dxa"/>
            <w:vAlign w:val="center"/>
            <w:textDirection w:val="lrTb"/>
            <w:noWrap w:val="false"/>
          </w:tcPr>
          <w:p>
            <w:pPr>
              <w:pStyle w:val="937"/>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937"/>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W w:w="538" w:type="dxa"/>
            <w:vAlign w:val="center"/>
            <w:textDirection w:val="lrTb"/>
            <w:noWrap w:val="false"/>
          </w:tcPr>
          <w:p>
            <w:pPr>
              <w:pStyle w:val="937"/>
              <w:jc w:val="center"/>
              <w:spacing w:beforeAutospacing="0" w:afterAutospacing="0"/>
              <w:rPr>
                <w:highlight w:val="none"/>
              </w:rPr>
            </w:pPr>
            <w:r>
              <w:rPr>
                <w:highlight w:val="none"/>
              </w:rPr>
              <w:t xml:space="preserve"> </w:t>
            </w:r>
            <w:r>
              <w:rPr>
                <w:rFonts w:hint="eastAsia"/>
                <w:highlight w:val="none"/>
              </w:rPr>
              <w:t xml:space="preserve">1</w:t>
            </w:r>
            <w:r/>
          </w:p>
        </w:tc>
        <w:tc>
          <w:tcPr>
            <w:shd w:val="clear" w:color="auto" w:fill="auto"/>
            <w:tcW w:w="3026" w:type="dxa"/>
            <w:vAlign w:val="center"/>
            <w:textDirection w:val="lrTb"/>
            <w:noWrap w:val="false"/>
          </w:tcPr>
          <w:p>
            <w:pPr>
              <w:pStyle w:val="937"/>
              <w:jc w:val="center"/>
              <w:spacing w:beforeAutospacing="0" w:afterAutospacing="0"/>
              <w:rPr>
                <w:highlight w:val="none"/>
              </w:rPr>
            </w:pPr>
            <w:r>
              <w:rPr>
                <w:rFonts w:hint="eastAsia" w:ascii="宋体" w:hAnsi="宋体" w:eastAsia="宋体"/>
                <w:highlight w:val="none"/>
              </w:rPr>
              <w:t xml:space="preserve">合同履行期限：</w:t>
            </w:r>
            <w:r>
              <w:rPr>
                <w:rFonts w:hint="eastAsia" w:ascii="宋体" w:hAnsi="宋体" w:eastAsia="宋体"/>
                <w:highlight w:val="none"/>
              </w:rPr>
              <w:t xml:space="preserve">60日历天内完成全部工作。</w:t>
            </w:r>
            <w:r>
              <w:rPr>
                <w:highlight w:val="none"/>
              </w:rPr>
              <w:t xml:space="preserve"> </w:t>
            </w:r>
            <w:r/>
          </w:p>
        </w:tc>
        <w:tc>
          <w:tcPr>
            <w:shd w:val="clear" w:color="auto" w:fill="auto"/>
            <w:tcW w:w="260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93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937"/>
              <w:jc w:val="center"/>
              <w:spacing w:beforeAutospacing="0" w:afterAutospacing="0"/>
              <w:rPr>
                <w:highlight w:val="none"/>
              </w:rPr>
            </w:pPr>
            <w:r>
              <w:rPr>
                <w:highlight w:val="none"/>
              </w:rPr>
              <w:t xml:space="preserve"> </w:t>
            </w:r>
            <w:r>
              <w:rPr>
                <w:rFonts w:hint="eastAsia"/>
                <w:highlight w:val="none"/>
              </w:rPr>
              <w:t xml:space="preserve">2</w:t>
            </w:r>
            <w:r/>
          </w:p>
        </w:tc>
        <w:tc>
          <w:tcPr>
            <w:shd w:val="clear" w:color="auto" w:fill="auto"/>
            <w:tcW w:w="3026" w:type="dxa"/>
            <w:vAlign w:val="center"/>
            <w:textDirection w:val="lrTb"/>
            <w:noWrap w:val="false"/>
          </w:tcPr>
          <w:p>
            <w:pPr>
              <w:pStyle w:val="937"/>
              <w:jc w:val="center"/>
              <w:spacing w:beforeAutospacing="0" w:afterAutospacing="0"/>
              <w:rPr>
                <w:highlight w:val="none"/>
              </w:rPr>
            </w:pPr>
            <w:r>
              <w:rPr>
                <w:rFonts w:hint="eastAsia"/>
                <w:highlight w:val="none"/>
              </w:rPr>
              <w:t xml:space="preserve">免费质量保修期：</w:t>
            </w:r>
            <w:r>
              <w:rPr>
                <w:rFonts w:hint="eastAsia"/>
                <w:highlight w:val="none"/>
              </w:rPr>
              <w:t xml:space="preserve">货物免费质保期三年，系统软件免费质保期五年</w:t>
            </w:r>
            <w:r>
              <w:rPr>
                <w:rFonts w:hint="eastAsia"/>
                <w:highlight w:val="none"/>
              </w:rPr>
              <w:t xml:space="preserve">。</w:t>
            </w:r>
            <w:r>
              <w:rPr>
                <w:highlight w:val="none"/>
              </w:rPr>
              <w:t xml:space="preserve"> </w:t>
            </w:r>
            <w:r/>
          </w:p>
        </w:tc>
        <w:tc>
          <w:tcPr>
            <w:shd w:val="clear" w:color="auto" w:fill="auto"/>
            <w:tcW w:w="260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93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937"/>
              <w:jc w:val="center"/>
              <w:spacing w:beforeAutospacing="0" w:afterAutospacing="0"/>
              <w:rPr>
                <w:highlight w:val="none"/>
              </w:rPr>
            </w:pPr>
            <w:r>
              <w:rPr>
                <w:highlight w:val="none"/>
              </w:rPr>
              <w:t xml:space="preserve"> </w:t>
            </w:r>
            <w:r>
              <w:rPr>
                <w:rFonts w:hint="eastAsia"/>
                <w:highlight w:val="none"/>
              </w:rPr>
              <w:t xml:space="preserve">3</w:t>
            </w:r>
            <w:r/>
          </w:p>
        </w:tc>
        <w:tc>
          <w:tcPr>
            <w:shd w:val="clear" w:color="auto" w:fill="auto"/>
            <w:tcW w:w="3026" w:type="dxa"/>
            <w:vAlign w:val="center"/>
            <w:textDirection w:val="lrTb"/>
            <w:noWrap w:val="false"/>
          </w:tcPr>
          <w:p>
            <w:pPr>
              <w:pStyle w:val="937"/>
              <w:jc w:val="center"/>
              <w:spacing w:beforeAutospacing="0" w:afterAutospacing="0"/>
              <w:rPr>
                <w:highlight w:val="none"/>
              </w:rPr>
            </w:pPr>
            <w:r>
              <w:rPr>
                <w:rFonts w:hint="eastAsia" w:ascii="宋体" w:hAnsi="宋体" w:eastAsia="宋体"/>
                <w:highlight w:val="none"/>
              </w:rPr>
              <w:t xml:space="preserve">质量标准：合格。</w:t>
            </w:r>
            <w:r>
              <w:rPr>
                <w:highlight w:val="none"/>
              </w:rPr>
              <w:t xml:space="preserve"> </w:t>
            </w:r>
            <w:r/>
          </w:p>
        </w:tc>
        <w:tc>
          <w:tcPr>
            <w:shd w:val="clear" w:color="auto" w:fill="auto"/>
            <w:tcW w:w="260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93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937"/>
              <w:jc w:val="center"/>
              <w:spacing w:beforeAutospacing="0" w:afterAutospacing="0"/>
              <w:rPr>
                <w:highlight w:val="none"/>
              </w:rPr>
            </w:pPr>
            <w:r>
              <w:rPr>
                <w:highlight w:val="none"/>
              </w:rPr>
              <w:t xml:space="preserve"> </w:t>
            </w:r>
            <w:r>
              <w:rPr>
                <w:rFonts w:hint="eastAsia"/>
                <w:highlight w:val="none"/>
              </w:rPr>
              <w:t xml:space="preserve">4</w:t>
            </w:r>
            <w:r/>
          </w:p>
        </w:tc>
        <w:tc>
          <w:tcPr>
            <w:shd w:val="clear" w:color="auto" w:fill="auto"/>
            <w:tcW w:w="3026" w:type="dxa"/>
            <w:vAlign w:val="center"/>
            <w:textDirection w:val="lrTb"/>
            <w:noWrap w:val="false"/>
          </w:tcPr>
          <w:p>
            <w:pPr>
              <w:pStyle w:val="937"/>
              <w:jc w:val="center"/>
              <w:spacing w:beforeAutospacing="0" w:afterAutospacing="0"/>
              <w:rPr>
                <w:highlight w:val="none"/>
              </w:rPr>
            </w:pPr>
            <w:r>
              <w:rPr>
                <w:rFonts w:hint="eastAsia" w:ascii="宋体" w:hAnsi="宋体" w:eastAsia="宋体"/>
                <w:highlight w:val="none"/>
              </w:rPr>
              <w:t xml:space="preserve">项目地点(交货地点)：采购人指定地点。</w:t>
            </w:r>
            <w:r>
              <w:rPr>
                <w:highlight w:val="none"/>
              </w:rPr>
              <w:t xml:space="preserve"> </w:t>
            </w:r>
            <w:r/>
          </w:p>
        </w:tc>
        <w:tc>
          <w:tcPr>
            <w:shd w:val="clear" w:color="auto" w:fill="auto"/>
            <w:tcW w:w="260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93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937"/>
              <w:jc w:val="center"/>
              <w:spacing w:beforeAutospacing="0" w:afterAutospacing="0"/>
              <w:rPr>
                <w:highlight w:val="none"/>
              </w:rPr>
            </w:pPr>
            <w:r>
              <w:rPr>
                <w:rFonts w:hint="eastAsia"/>
                <w:highlight w:val="none"/>
              </w:rPr>
              <w:t xml:space="preserve">5</w:t>
            </w:r>
            <w:r>
              <w:rPr>
                <w:highlight w:val="none"/>
              </w:rPr>
              <w:t xml:space="preserve"> </w:t>
            </w:r>
            <w:r/>
          </w:p>
        </w:tc>
        <w:tc>
          <w:tcPr>
            <w:shd w:val="clear" w:color="auto" w:fill="auto"/>
            <w:tcW w:w="3026" w:type="dxa"/>
            <w:vAlign w:val="center"/>
            <w:textDirection w:val="lrTb"/>
            <w:noWrap w:val="false"/>
          </w:tcPr>
          <w:p>
            <w:pPr>
              <w:pStyle w:val="937"/>
              <w:jc w:val="center"/>
              <w:rPr>
                <w:highlight w:val="none"/>
              </w:rPr>
            </w:pPr>
            <w:r>
              <w:rPr>
                <w:rFonts w:hint="eastAsia"/>
                <w:highlight w:val="none"/>
              </w:rPr>
              <w:t xml:space="preserve">付款方式：</w:t>
            </w:r>
            <w:r>
              <w:rPr>
                <w:rFonts w:hint="eastAsia" w:ascii="宋体" w:hAnsi="宋体"/>
                <w:b/>
                <w:bCs/>
                <w:highlight w:val="none"/>
              </w:rPr>
              <w:t xml:space="preserve">合同签订后7日内支付合同总价的30%作为预付款（中标人须提供合同总价30%的预付款银行保函），中标人按要求将货物送到指定地点并完成安装调试且经甲方验收合格后付至审计价的70%，验收合格满一年后付至审计价的85﹪，验收合格满二年后付至审计价的95﹪，余款在</w:t>
            </w:r>
            <w:r>
              <w:rPr>
                <w:rFonts w:hint="eastAsia" w:ascii="宋体" w:hAnsi="宋体"/>
                <w:b/>
                <w:bCs/>
                <w:highlight w:val="none"/>
                <w:lang w:eastAsia="zh-CN"/>
              </w:rPr>
              <w:t xml:space="preserve">验收合格满五年后</w:t>
            </w:r>
            <w:r>
              <w:rPr>
                <w:rFonts w:hint="eastAsia" w:ascii="宋体" w:hAnsi="宋体"/>
                <w:b/>
                <w:bCs/>
                <w:highlight w:val="none"/>
              </w:rPr>
              <w:t xml:space="preserve">一次性按审计价结清。（结算时，乙方须提供税务发票。收到发票后10个工作日内结算）。</w:t>
            </w:r>
            <w:r/>
          </w:p>
        </w:tc>
        <w:tc>
          <w:tcPr>
            <w:shd w:val="clear" w:color="auto" w:fill="auto"/>
            <w:tcW w:w="260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937"/>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3026" w:type="dxa"/>
            <w:vAlign w:val="center"/>
            <w:textDirection w:val="lrTb"/>
            <w:noWrap w:val="false"/>
          </w:tcPr>
          <w:p>
            <w:pPr>
              <w:pStyle w:val="937"/>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W w:w="2608"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937"/>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937"/>
              <w:jc w:val="center"/>
              <w:spacing w:beforeAutospacing="0" w:afterAutospacing="0"/>
              <w:rPr>
                <w:highlight w:val="none"/>
              </w:rPr>
            </w:pPr>
            <w:r>
              <w:rPr>
                <w:highlight w:val="none"/>
              </w:rPr>
              <w:t xml:space="preserve"> </w:t>
            </w:r>
            <w:r/>
          </w:p>
        </w:tc>
      </w:tr>
    </w:tbl>
    <w:p>
      <w:pPr>
        <w:pStyle w:val="937"/>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937"/>
        <w:jc w:val="both"/>
        <w:spacing w:beforeAutospacing="0" w:afterAutospacing="0" w:line="480" w:lineRule="auto"/>
        <w:rPr>
          <w:highlight w:val="none"/>
        </w:rPr>
      </w:pPr>
      <w:r>
        <w:rPr>
          <w:highlight w:val="none"/>
        </w:rPr>
        <w:t xml:space="preserve"> </w:t>
      </w:r>
      <w:bookmarkEnd w:id="254"/>
      <w:r/>
      <w:r/>
    </w:p>
    <w:p>
      <w:pPr>
        <w:pStyle w:val="937"/>
        <w:jc w:val="both"/>
        <w:spacing w:beforeAutospacing="0" w:afterAutospacing="0" w:line="480" w:lineRule="auto"/>
        <w:rPr>
          <w:highlight w:val="none"/>
        </w:rPr>
      </w:pPr>
      <w:r>
        <w:rPr>
          <w:highlight w:val="none"/>
        </w:rPr>
        <w:t xml:space="preserve"> </w:t>
      </w:r>
      <w:bookmarkStart w:id="264" w:name="_Hlt26671374"/>
      <w:r/>
      <w:bookmarkStart w:id="265" w:name="_Toc462564146"/>
      <w:r/>
      <w:bookmarkStart w:id="266" w:name="_Hlt26955066"/>
      <w:r/>
      <w:bookmarkStart w:id="267" w:name="_Hlt26609389"/>
      <w:r/>
      <w:bookmarkStart w:id="268" w:name="_格式2__法定代表人授权书"/>
      <w:r/>
      <w:r/>
    </w:p>
    <w:p>
      <w:pPr>
        <w:pStyle w:val="937"/>
        <w:ind w:firstLine="643"/>
        <w:jc w:val="center"/>
        <w:spacing w:beforeAutospacing="0" w:afterAutospacing="0"/>
        <w:rPr>
          <w:rFonts w:hint="eastAsia" w:ascii="黑体" w:hAnsi="宋体" w:eastAsia="黑体" w:cs="黑体"/>
          <w:b/>
          <w:color w:val="000000"/>
          <w:sz w:val="32"/>
          <w:szCs w:val="32"/>
          <w:highlight w:val="none"/>
          <w:u w:val="single"/>
        </w:rPr>
      </w:pPr>
      <w:r>
        <w:rPr>
          <w:rFonts w:hint="eastAsia" w:ascii="黑体" w:hAnsi="宋体" w:eastAsia="黑体" w:cs="黑体"/>
          <w:b/>
          <w:color w:val="000000"/>
          <w:sz w:val="32"/>
          <w:szCs w:val="32"/>
          <w:highlight w:val="none"/>
          <w:u w:val="single"/>
        </w:rPr>
      </w:r>
      <w:r/>
    </w:p>
    <w:p>
      <w:pPr>
        <w:pStyle w:val="937"/>
        <w:ind w:firstLine="643"/>
        <w:jc w:val="center"/>
        <w:spacing w:beforeAutospacing="0" w:afterAutospacing="0"/>
        <w:rPr>
          <w:rFonts w:hint="eastAsia" w:ascii="黑体" w:hAnsi="宋体" w:eastAsia="黑体" w:cs="黑体"/>
          <w:b/>
          <w:color w:val="000000"/>
          <w:sz w:val="32"/>
          <w:szCs w:val="32"/>
          <w:highlight w:val="none"/>
          <w:u w:val="single"/>
        </w:rPr>
      </w:pPr>
      <w:r>
        <w:rPr>
          <w:rFonts w:hint="eastAsia" w:ascii="黑体" w:hAnsi="宋体" w:eastAsia="黑体" w:cs="黑体"/>
          <w:b/>
          <w:color w:val="000000"/>
          <w:sz w:val="32"/>
          <w:szCs w:val="32"/>
          <w:highlight w:val="none"/>
          <w:u w:val="single"/>
        </w:rPr>
      </w:r>
      <w:r/>
    </w:p>
    <w:p>
      <w:pPr>
        <w:pStyle w:val="937"/>
        <w:ind w:firstLine="643"/>
        <w:jc w:val="center"/>
        <w:spacing w:beforeAutospacing="0" w:afterAutospacing="0"/>
        <w:rPr>
          <w:rFonts w:hint="eastAsia" w:ascii="黑体" w:hAnsi="宋体" w:eastAsia="黑体" w:cs="黑体"/>
          <w:b/>
          <w:color w:val="000000"/>
          <w:sz w:val="32"/>
          <w:szCs w:val="32"/>
          <w:highlight w:val="none"/>
          <w:u w:val="single"/>
        </w:rPr>
      </w:pPr>
      <w:r>
        <w:rPr>
          <w:rFonts w:hint="eastAsia" w:ascii="黑体" w:hAnsi="宋体" w:eastAsia="黑体" w:cs="黑体"/>
          <w:b/>
          <w:color w:val="000000"/>
          <w:sz w:val="32"/>
          <w:szCs w:val="32"/>
          <w:highlight w:val="none"/>
          <w:u w:val="single"/>
        </w:rPr>
      </w:r>
      <w:r/>
    </w:p>
    <w:p>
      <w:pPr>
        <w:pStyle w:val="937"/>
        <w:ind w:firstLine="643"/>
        <w:jc w:val="center"/>
        <w:spacing w:beforeAutospacing="0" w:afterAutospacing="0"/>
        <w:rPr>
          <w:rFonts w:hint="eastAsia" w:ascii="黑体" w:hAnsi="宋体" w:eastAsia="黑体" w:cs="黑体"/>
          <w:b/>
          <w:color w:val="000000"/>
          <w:sz w:val="32"/>
          <w:szCs w:val="32"/>
          <w:highlight w:val="none"/>
          <w:u w:val="single"/>
        </w:rPr>
      </w:pPr>
      <w:r>
        <w:rPr>
          <w:rFonts w:hint="eastAsia" w:ascii="黑体" w:hAnsi="宋体" w:eastAsia="黑体" w:cs="黑体"/>
          <w:b/>
          <w:color w:val="000000"/>
          <w:sz w:val="32"/>
          <w:szCs w:val="32"/>
          <w:highlight w:val="none"/>
          <w:u w:val="single"/>
        </w:rPr>
      </w:r>
      <w:r/>
    </w:p>
    <w:p>
      <w:pPr>
        <w:pStyle w:val="937"/>
        <w:ind w:firstLine="643"/>
        <w:jc w:val="center"/>
        <w:spacing w:beforeAutospacing="0" w:afterAutospacing="0"/>
        <w:rPr>
          <w:rFonts w:hint="eastAsia" w:ascii="黑体" w:hAnsi="宋体" w:eastAsia="黑体" w:cs="黑体"/>
          <w:b/>
          <w:color w:val="000000"/>
          <w:sz w:val="32"/>
          <w:szCs w:val="32"/>
          <w:highlight w:val="none"/>
          <w:u w:val="single"/>
        </w:rPr>
      </w:pPr>
      <w:r>
        <w:rPr>
          <w:rFonts w:hint="eastAsia" w:ascii="黑体" w:hAnsi="宋体" w:eastAsia="黑体" w:cs="黑体"/>
          <w:b/>
          <w:color w:val="000000"/>
          <w:sz w:val="32"/>
          <w:szCs w:val="32"/>
          <w:highlight w:val="none"/>
          <w:u w:val="single"/>
        </w:rPr>
        <w:t xml:space="preserve">十五、开标一览表</w:t>
      </w:r>
      <w:r/>
    </w:p>
    <w:p>
      <w:pPr>
        <w:pStyle w:val="937"/>
        <w:ind w:firstLine="482"/>
        <w:jc w:val="both"/>
        <w:spacing w:beforeAutospacing="0" w:afterAutospacing="0"/>
        <w:rPr>
          <w:highlight w:val="none"/>
        </w:rPr>
      </w:pPr>
      <w:r>
        <w:rPr>
          <w:rFonts w:hint="eastAsia" w:ascii="宋体" w:hAnsi="宋体" w:eastAsia="宋体" w:cs="宋体"/>
          <w:color w:val="000000"/>
          <w:highlight w:val="none"/>
        </w:rPr>
        <w:t xml:space="preserve">投标人全称（加盖CA电子签章）：</w:t>
      </w:r>
      <w:r/>
    </w:p>
    <w:p>
      <w:pPr>
        <w:pStyle w:val="937"/>
        <w:ind w:firstLine="482"/>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937"/>
        <w:ind w:firstLine="482"/>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项目编号：</w:t>
      </w:r>
      <w:r/>
    </w:p>
    <w:p>
      <w:pPr>
        <w:pStyle w:val="937"/>
        <w:ind w:firstLine="482"/>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917"/>
        <w:tblW w:w="8413"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W w:w="8413" w:type="dxa"/>
            <w:vAlign w:val="center"/>
            <w:textDirection w:val="lrTb"/>
            <w:noWrap w:val="false"/>
          </w:tcPr>
          <w:p>
            <w:pPr>
              <w:pStyle w:val="937"/>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gridSpan w:val="2"/>
            <w:shd w:val="clear" w:color="auto" w:fill="auto"/>
            <w:tcW w:w="8413" w:type="dxa"/>
            <w:vAlign w:val="center"/>
            <w:textDirection w:val="lrTb"/>
            <w:noWrap w:val="false"/>
          </w:tcPr>
          <w:p>
            <w:pPr>
              <w:pStyle w:val="937"/>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highlight w:val="none"/>
              </w:rPr>
              <w:t xml:space="preserve">大写：</w:t>
            </w:r>
            <w:r/>
          </w:p>
        </w:tc>
      </w:tr>
      <w:tr>
        <w:trPr>
          <w:tblCellSpacing w:w="0" w:type="dxa"/>
          <w:trHeight w:val="612"/>
        </w:trPr>
        <w:tc>
          <w:tcPr>
            <w:gridSpan w:val="2"/>
            <w:shd w:val="clear" w:color="auto" w:fill="auto"/>
            <w:tcW w:w="8413" w:type="dxa"/>
            <w:vAlign w:val="center"/>
            <w:textDirection w:val="lrTb"/>
            <w:noWrap w:val="false"/>
          </w:tcPr>
          <w:p>
            <w:pPr>
              <w:pStyle w:val="937"/>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W w:w="2349" w:type="dxa"/>
            <w:vAlign w:val="center"/>
            <w:textDirection w:val="lrTb"/>
            <w:noWrap w:val="false"/>
          </w:tcPr>
          <w:p>
            <w:pPr>
              <w:pStyle w:val="937"/>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W w:w="6064" w:type="dxa"/>
            <w:vAlign w:val="center"/>
            <w:textDirection w:val="lrTb"/>
            <w:noWrap w:val="false"/>
          </w:tcPr>
          <w:p>
            <w:pPr>
              <w:pStyle w:val="937"/>
              <w:spacing w:beforeAutospacing="0" w:afterAutospacing="0" w:line="0" w:lineRule="atLeast"/>
              <w:rPr>
                <w:highlight w:val="none"/>
              </w:rPr>
            </w:pPr>
            <w:r>
              <w:rPr>
                <w:highlight w:val="none"/>
              </w:rPr>
              <w:t xml:space="preserve"> </w:t>
            </w:r>
            <w:r/>
          </w:p>
        </w:tc>
      </w:tr>
    </w:tbl>
    <w:p>
      <w:pPr>
        <w:pStyle w:val="937"/>
        <w:jc w:val="both"/>
        <w:spacing w:beforeAutospacing="0" w:afterAutospacing="0"/>
        <w:rPr>
          <w:highlight w:val="none"/>
        </w:rPr>
      </w:pPr>
      <w:r>
        <w:rPr>
          <w:highlight w:val="none"/>
        </w:rPr>
        <w:t xml:space="preserve"> </w:t>
      </w:r>
      <w:r/>
    </w:p>
    <w:p>
      <w:pPr>
        <w:pStyle w:val="937"/>
        <w:ind w:firstLine="482"/>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rFonts w:hint="eastAsia"/>
          <w:highlight w:val="none"/>
        </w:rPr>
      </w:pPr>
      <w:r>
        <w:rPr>
          <w:rFonts w:hint="eastAsia"/>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jc w:val="both"/>
        <w:spacing w:beforeAutospacing="0" w:afterAutospacing="0"/>
        <w:rPr>
          <w:highlight w:val="none"/>
        </w:rPr>
      </w:pPr>
      <w:r>
        <w:rPr>
          <w:highlight w:val="none"/>
        </w:rPr>
      </w:r>
      <w:r/>
    </w:p>
    <w:p>
      <w:pPr>
        <w:pStyle w:val="937"/>
        <w:ind w:firstLine="643"/>
        <w:jc w:val="center"/>
        <w:spacing w:beforeAutospacing="0" w:afterAutospacing="0"/>
        <w:rPr>
          <w:rFonts w:hint="eastAsia" w:ascii="黑体" w:hAnsi="宋体" w:eastAsia="黑体" w:cs="黑体"/>
          <w:b/>
          <w:color w:val="000000"/>
          <w:sz w:val="32"/>
          <w:szCs w:val="32"/>
          <w:highlight w:val="none"/>
          <w:u w:val="single"/>
        </w:rPr>
      </w:pPr>
      <w:r>
        <w:rPr>
          <w:rFonts w:hint="eastAsia" w:ascii="黑体" w:hAnsi="宋体" w:eastAsia="黑体" w:cs="黑体"/>
          <w:b/>
          <w:color w:val="000000"/>
          <w:sz w:val="32"/>
          <w:szCs w:val="32"/>
          <w:highlight w:val="none"/>
        </w:rPr>
        <w:tab/>
      </w:r>
      <w:r>
        <w:rPr>
          <w:rFonts w:hint="eastAsia" w:ascii="黑体" w:hAnsi="宋体" w:eastAsia="黑体" w:cs="黑体"/>
          <w:b/>
          <w:color w:val="000000"/>
          <w:sz w:val="32"/>
          <w:szCs w:val="32"/>
          <w:highlight w:val="none"/>
          <w:u w:val="single"/>
        </w:rPr>
        <w:t xml:space="preserve">十六、</w:t>
      </w:r>
      <w:r>
        <w:rPr>
          <w:rFonts w:hint="eastAsia" w:ascii="黑体" w:hAnsi="宋体" w:eastAsia="黑体" w:cs="黑体"/>
          <w:b/>
          <w:color w:val="000000"/>
          <w:sz w:val="32"/>
          <w:szCs w:val="32"/>
          <w:highlight w:val="none"/>
          <w:u w:val="single"/>
        </w:rPr>
        <w:t xml:space="preserve">培训方案、技术方案等</w:t>
      </w:r>
      <w:r/>
    </w:p>
    <w:p>
      <w:pPr>
        <w:pStyle w:val="937"/>
        <w:ind w:firstLine="643"/>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937"/>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37"/>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37"/>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37"/>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37"/>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37"/>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37"/>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37"/>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37"/>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37"/>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37"/>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37"/>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37"/>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37"/>
        <w:ind w:firstLine="6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37"/>
        <w:ind w:firstLine="6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37"/>
        <w:ind w:firstLine="6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37"/>
        <w:ind w:firstLine="6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37"/>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37"/>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37"/>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37"/>
        <w:ind w:firstLine="643"/>
        <w:jc w:val="center"/>
        <w:spacing w:beforeAutospacing="0" w:afterAutospacing="0"/>
        <w:rPr>
          <w:rFonts w:hint="eastAsia" w:ascii="黑体" w:hAnsi="宋体" w:eastAsia="黑体" w:cs="黑体"/>
          <w:b/>
          <w:color w:val="000000"/>
          <w:sz w:val="32"/>
          <w:szCs w:val="32"/>
          <w:highlight w:val="none"/>
          <w:u w:val="single"/>
        </w:rPr>
      </w:pPr>
      <w:r>
        <w:rPr>
          <w:rFonts w:hint="eastAsia" w:ascii="黑体" w:hAnsi="宋体" w:eastAsia="黑体" w:cs="黑体"/>
          <w:b/>
          <w:color w:val="000000"/>
          <w:sz w:val="32"/>
          <w:szCs w:val="32"/>
          <w:highlight w:val="none"/>
          <w:u w:val="single"/>
        </w:rPr>
        <w:t xml:space="preserve">十七、</w:t>
      </w:r>
      <w:bookmarkStart w:id="269" w:name="OLE_LINK60"/>
      <w:r/>
      <w:bookmarkStart w:id="270" w:name="OLE_LINK61"/>
      <w:r>
        <w:rPr>
          <w:rFonts w:hint="eastAsia" w:ascii="黑体" w:hAnsi="宋体" w:eastAsia="黑体" w:cs="黑体"/>
          <w:b/>
          <w:color w:val="000000"/>
          <w:sz w:val="32"/>
          <w:szCs w:val="32"/>
          <w:highlight w:val="none"/>
          <w:u w:val="single"/>
        </w:rPr>
        <w:t xml:space="preserve">盐城市政府采购事前信用承诺书</w:t>
      </w:r>
      <w:bookmarkEnd w:id="269"/>
      <w:r/>
      <w:r/>
    </w:p>
    <w:p>
      <w:pPr>
        <w:ind w:firstLine="643"/>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2"/>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2"/>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年月日</w:t>
      </w:r>
      <w:bookmarkEnd w:id="270"/>
      <w:r/>
      <w:r/>
    </w:p>
    <w:p>
      <w:pPr>
        <w:pStyle w:val="937"/>
        <w:jc w:val="center"/>
        <w:spacing w:beforeAutospacing="0" w:afterAutospacing="0"/>
        <w:rPr>
          <w:rFonts w:ascii="宋体" w:hAnsi="宋体" w:eastAsia="宋体" w:cs="宋体"/>
          <w:b/>
          <w:color w:val="000000"/>
          <w:sz w:val="32"/>
          <w:szCs w:val="32"/>
          <w:highlight w:val="none"/>
          <w:u w:val="single"/>
        </w:rPr>
      </w:pPr>
      <w:r>
        <w:rPr>
          <w:rFonts w:ascii="宋体" w:hAnsi="宋体" w:eastAsia="宋体" w:cs="宋体"/>
          <w:b/>
          <w:color w:val="000000"/>
          <w:sz w:val="32"/>
          <w:szCs w:val="32"/>
          <w:highlight w:val="none"/>
          <w:u w:val="single"/>
        </w:rPr>
      </w:r>
      <w:r/>
    </w:p>
    <w:p>
      <w:pPr>
        <w:pStyle w:val="937"/>
        <w:jc w:val="center"/>
        <w:spacing w:beforeAutospacing="0" w:afterAutospacing="0"/>
        <w:rPr>
          <w:rFonts w:ascii="宋体" w:hAnsi="宋体" w:eastAsia="宋体" w:cs="宋体"/>
          <w:b/>
          <w:color w:val="000000"/>
          <w:sz w:val="32"/>
          <w:szCs w:val="32"/>
          <w:highlight w:val="none"/>
          <w:u w:val="single"/>
        </w:rPr>
      </w:pPr>
      <w:r>
        <w:rPr>
          <w:rFonts w:ascii="宋体" w:hAnsi="宋体" w:eastAsia="宋体" w:cs="宋体"/>
          <w:b/>
          <w:color w:val="000000"/>
          <w:sz w:val="32"/>
          <w:szCs w:val="32"/>
          <w:highlight w:val="none"/>
          <w:u w:val="single"/>
        </w:rPr>
      </w:r>
      <w:r/>
    </w:p>
    <w:p>
      <w:pPr>
        <w:pStyle w:val="937"/>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t xml:space="preserve">十八、</w:t>
      </w:r>
      <w:bookmarkStart w:id="271" w:name="OLE_LINK62"/>
      <w:r>
        <w:rPr>
          <w:rFonts w:hint="eastAsia" w:ascii="宋体" w:hAnsi="宋体" w:eastAsia="宋体" w:cs="宋体"/>
          <w:b/>
          <w:color w:val="000000"/>
          <w:sz w:val="32"/>
          <w:szCs w:val="32"/>
          <w:highlight w:val="none"/>
          <w:u w:val="single"/>
        </w:rPr>
        <w:t xml:space="preserve">其他材料（如有）</w:t>
      </w:r>
      <w:bookmarkEnd w:id="271"/>
      <w:r/>
      <w:r/>
    </w:p>
    <w:p>
      <w:pPr>
        <w:pStyle w:val="937"/>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937"/>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937"/>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937"/>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937"/>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937"/>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937"/>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937"/>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937"/>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937"/>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937"/>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937"/>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937"/>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937"/>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937"/>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937"/>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937"/>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937"/>
        <w:jc w:val="center"/>
        <w:spacing w:beforeAutospacing="0" w:afterAutospacing="0"/>
        <w:rPr>
          <w:rFonts w:ascii="宋体" w:hAnsi="宋体" w:eastAsia="宋体" w:cs="宋体"/>
          <w:b/>
          <w:color w:val="000000"/>
          <w:sz w:val="32"/>
          <w:szCs w:val="32"/>
          <w:highlight w:val="none"/>
          <w:u w:val="single"/>
        </w:rPr>
      </w:pPr>
      <w:r>
        <w:rPr>
          <w:rFonts w:ascii="宋体" w:hAnsi="宋体" w:eastAsia="宋体" w:cs="宋体"/>
          <w:b/>
          <w:color w:val="000000"/>
          <w:sz w:val="32"/>
          <w:szCs w:val="32"/>
          <w:highlight w:val="none"/>
          <w:u w:val="single"/>
        </w:rPr>
      </w:r>
      <w:r/>
    </w:p>
    <w:p>
      <w:pPr>
        <w:pStyle w:val="937"/>
        <w:jc w:val="center"/>
        <w:spacing w:beforeAutospacing="0" w:afterAutospacing="0"/>
        <w:rPr>
          <w:rFonts w:ascii="宋体" w:hAnsi="宋体" w:eastAsia="宋体" w:cs="宋体"/>
          <w:b/>
          <w:color w:val="000000"/>
          <w:sz w:val="32"/>
          <w:szCs w:val="32"/>
          <w:highlight w:val="none"/>
          <w:u w:val="single"/>
        </w:rPr>
      </w:pPr>
      <w:r>
        <w:rPr>
          <w:rFonts w:ascii="宋体" w:hAnsi="宋体" w:eastAsia="宋体" w:cs="宋体"/>
          <w:b/>
          <w:color w:val="000000"/>
          <w:sz w:val="32"/>
          <w:szCs w:val="32"/>
          <w:highlight w:val="none"/>
          <w:u w:val="single"/>
        </w:rPr>
      </w:r>
      <w:r/>
    </w:p>
    <w:p>
      <w:pPr>
        <w:pStyle w:val="937"/>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937"/>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bookmarkEnd w:id="8"/>
      <w:r/>
      <w:bookmarkEnd w:id="62"/>
      <w:r/>
      <w:bookmarkEnd w:id="109"/>
      <w:r/>
      <w:bookmarkEnd w:id="110"/>
      <w:r/>
      <w:bookmarkEnd w:id="111"/>
      <w:r/>
      <w:bookmarkEnd w:id="113"/>
      <w:r/>
      <w:bookmarkEnd w:id="114"/>
      <w:r/>
      <w:bookmarkEnd w:id="115"/>
      <w:r/>
      <w:bookmarkEnd w:id="116"/>
      <w:r/>
      <w:bookmarkEnd w:id="117"/>
      <w:r/>
      <w:bookmarkEnd w:id="128"/>
      <w:r/>
      <w:bookmarkEnd w:id="129"/>
      <w:r/>
      <w:bookmarkEnd w:id="136"/>
      <w:r/>
      <w:bookmarkEnd w:id="188"/>
      <w:r/>
      <w:bookmarkEnd w:id="227"/>
      <w:r/>
      <w:bookmarkEnd w:id="231"/>
      <w:r/>
      <w:bookmarkEnd w:id="232"/>
      <w:r/>
      <w:bookmarkEnd w:id="233"/>
      <w:r/>
      <w:bookmarkEnd w:id="242"/>
      <w:r/>
      <w:bookmarkEnd w:id="244"/>
      <w:r/>
      <w:bookmarkEnd w:id="245"/>
      <w:r/>
      <w:bookmarkEnd w:id="246"/>
      <w:r/>
      <w:bookmarkEnd w:id="255"/>
      <w:r/>
      <w:bookmarkEnd w:id="264"/>
      <w:r/>
      <w:bookmarkEnd w:id="265"/>
      <w:r/>
      <w:bookmarkEnd w:id="266"/>
      <w:r/>
      <w:bookmarkEnd w:id="267"/>
      <w:r/>
      <w:bookmarkEnd w:id="268"/>
      <w:r/>
      <w:r/>
    </w:p>
    <w:p>
      <w:pPr>
        <w:pStyle w:val="937"/>
        <w:ind w:firstLine="643"/>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937"/>
        <w:jc w:val="both"/>
        <w:spacing w:before="290"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93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37"/>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3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37"/>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3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93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3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37"/>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3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93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93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937"/>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93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3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93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93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93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937"/>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93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93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质疑事项2</w:t>
      </w:r>
      <w:r/>
    </w:p>
    <w:p>
      <w:pPr>
        <w:pStyle w:val="93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w:t>
      </w:r>
      <w:r/>
    </w:p>
    <w:p>
      <w:pPr>
        <w:pStyle w:val="93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937"/>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937"/>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937"/>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37"/>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37"/>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37"/>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37"/>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937"/>
        <w:ind w:firstLine="482"/>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937"/>
        <w:ind w:firstLine="482"/>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37"/>
        <w:ind w:firstLine="482"/>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937"/>
        <w:ind w:firstLine="482"/>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937"/>
        <w:ind w:firstLine="482"/>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937"/>
        <w:ind w:firstLine="482"/>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37"/>
        <w:spacing w:beforeAutospacing="0" w:afterAutospacing="0"/>
        <w:rPr>
          <w:highlight w:val="none"/>
        </w:rPr>
      </w:pPr>
      <w:r>
        <w:rPr>
          <w:highlight w:val="none"/>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仿宋">
    <w:panose1 w:val="02010609060101010101"/>
  </w:font>
  <w:font w:name="华文楷体">
    <w:panose1 w:val="02010600040101010101"/>
  </w:font>
  <w:font w:name="Wingdings">
    <w:panose1 w:val="05000000000000000000"/>
  </w:font>
  <w:font w:name="Courier New">
    <w:panose1 w:val="02070309020205020404"/>
  </w:font>
  <w:font w:name="Cambria">
    <w:panose1 w:val="02040503050406030204"/>
  </w:font>
  <w:font w:name="Calibri">
    <w:panose1 w:val="020F0502020204030204"/>
  </w:font>
  <w:font w:name="微软雅黑">
    <w:panose1 w:val="020B0503020204020204"/>
  </w:font>
  <w:font w:name="方正兰亭准黑简体">
    <w:panose1 w:val="020B050302020202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22257551"/>
      <w:rPr/>
    </w:sdtPr>
    <w:sdtContent>
      <w:sdt>
        <w:sdtPr>
          <w15:appearance w15:val="boundingBox"/>
          <w:id w:val="1980873714"/>
          <w:rPr/>
        </w:sdtPr>
        <w:sdtContent>
          <w:p>
            <w:pPr>
              <w:pStyle w:val="931"/>
              <w:jc w:val="center"/>
              <w:rPr>
                <w:rFonts w:hint="eastAsia"/>
              </w:rPr>
            </w:pP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92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1"/>
  </w:num>
  <w:num w:numId="3">
    <w:abstractNumId w:val="10"/>
  </w:num>
  <w:num w:numId="4">
    <w:abstractNumId w:val="6"/>
  </w:num>
  <w:num w:numId="5">
    <w:abstractNumId w:val="5"/>
  </w:num>
  <w:num w:numId="6">
    <w:abstractNumId w:val="7"/>
  </w:num>
  <w:num w:numId="7">
    <w:abstractNumId w:val="1"/>
  </w:num>
  <w:num w:numId="8">
    <w:abstractNumId w:val="14"/>
  </w:num>
  <w:num w:numId="9">
    <w:abstractNumId w:val="12"/>
  </w:num>
  <w:num w:numId="10">
    <w:abstractNumId w:val="2"/>
  </w:num>
  <w:num w:numId="11">
    <w:abstractNumId w:val="4"/>
  </w:num>
  <w:num w:numId="12">
    <w:abstractNumId w:val="13"/>
  </w:num>
  <w:num w:numId="13">
    <w:abstractNumId w:val="0"/>
  </w:num>
  <w:num w:numId="14">
    <w:abstractNumId w:val="9"/>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1 Char"/>
    <w:basedOn w:val="916"/>
    <w:link w:val="907"/>
    <w:uiPriority w:val="9"/>
    <w:rPr>
      <w:rFonts w:ascii="Arial" w:hAnsi="Arial" w:eastAsia="Arial" w:cs="Arial"/>
      <w:sz w:val="40"/>
      <w:szCs w:val="40"/>
    </w:rPr>
  </w:style>
  <w:style w:type="character" w:styleId="747">
    <w:name w:val="Heading 2 Char"/>
    <w:basedOn w:val="916"/>
    <w:link w:val="908"/>
    <w:uiPriority w:val="9"/>
    <w:rPr>
      <w:rFonts w:ascii="Arial" w:hAnsi="Arial" w:eastAsia="Arial" w:cs="Arial"/>
      <w:sz w:val="34"/>
    </w:rPr>
  </w:style>
  <w:style w:type="character" w:styleId="748">
    <w:name w:val="Heading 3 Char"/>
    <w:basedOn w:val="916"/>
    <w:link w:val="909"/>
    <w:uiPriority w:val="9"/>
    <w:rPr>
      <w:rFonts w:ascii="Arial" w:hAnsi="Arial" w:eastAsia="Arial" w:cs="Arial"/>
      <w:sz w:val="30"/>
      <w:szCs w:val="30"/>
    </w:rPr>
  </w:style>
  <w:style w:type="character" w:styleId="749">
    <w:name w:val="Heading 4 Char"/>
    <w:basedOn w:val="916"/>
    <w:link w:val="910"/>
    <w:uiPriority w:val="9"/>
    <w:rPr>
      <w:rFonts w:ascii="Arial" w:hAnsi="Arial" w:eastAsia="Arial" w:cs="Arial"/>
      <w:b/>
      <w:bCs/>
      <w:sz w:val="26"/>
      <w:szCs w:val="26"/>
    </w:rPr>
  </w:style>
  <w:style w:type="character" w:styleId="750">
    <w:name w:val="Heading 5 Char"/>
    <w:basedOn w:val="916"/>
    <w:link w:val="911"/>
    <w:uiPriority w:val="9"/>
    <w:rPr>
      <w:rFonts w:ascii="Arial" w:hAnsi="Arial" w:eastAsia="Arial" w:cs="Arial"/>
      <w:b/>
      <w:bCs/>
      <w:sz w:val="24"/>
      <w:szCs w:val="24"/>
    </w:rPr>
  </w:style>
  <w:style w:type="character" w:styleId="751">
    <w:name w:val="Heading 6 Char"/>
    <w:basedOn w:val="916"/>
    <w:link w:val="912"/>
    <w:uiPriority w:val="9"/>
    <w:rPr>
      <w:rFonts w:ascii="Arial" w:hAnsi="Arial" w:eastAsia="Arial" w:cs="Arial"/>
      <w:b/>
      <w:bCs/>
      <w:sz w:val="22"/>
      <w:szCs w:val="22"/>
    </w:rPr>
  </w:style>
  <w:style w:type="character" w:styleId="752">
    <w:name w:val="Heading 7 Char"/>
    <w:basedOn w:val="916"/>
    <w:link w:val="913"/>
    <w:uiPriority w:val="9"/>
    <w:rPr>
      <w:rFonts w:ascii="Arial" w:hAnsi="Arial" w:eastAsia="Arial" w:cs="Arial"/>
      <w:b/>
      <w:bCs/>
      <w:i/>
      <w:iCs/>
      <w:sz w:val="22"/>
      <w:szCs w:val="22"/>
    </w:rPr>
  </w:style>
  <w:style w:type="character" w:styleId="753">
    <w:name w:val="Heading 8 Char"/>
    <w:basedOn w:val="916"/>
    <w:link w:val="914"/>
    <w:uiPriority w:val="9"/>
    <w:rPr>
      <w:rFonts w:ascii="Arial" w:hAnsi="Arial" w:eastAsia="Arial" w:cs="Arial"/>
      <w:i/>
      <w:iCs/>
      <w:sz w:val="22"/>
      <w:szCs w:val="22"/>
    </w:rPr>
  </w:style>
  <w:style w:type="character" w:styleId="754">
    <w:name w:val="Heading 9 Char"/>
    <w:basedOn w:val="916"/>
    <w:link w:val="915"/>
    <w:uiPriority w:val="9"/>
    <w:rPr>
      <w:rFonts w:ascii="Arial" w:hAnsi="Arial" w:eastAsia="Arial" w:cs="Arial"/>
      <w:i/>
      <w:iCs/>
      <w:sz w:val="21"/>
      <w:szCs w:val="21"/>
    </w:rPr>
  </w:style>
  <w:style w:type="paragraph" w:styleId="755">
    <w:name w:val="No Spacing"/>
    <w:uiPriority w:val="1"/>
    <w:qFormat/>
    <w:pPr>
      <w:spacing w:before="0" w:after="0" w:line="240" w:lineRule="auto"/>
    </w:pPr>
  </w:style>
  <w:style w:type="character" w:styleId="756">
    <w:name w:val="Title Char"/>
    <w:basedOn w:val="916"/>
    <w:link w:val="938"/>
    <w:uiPriority w:val="10"/>
    <w:rPr>
      <w:sz w:val="48"/>
      <w:szCs w:val="48"/>
    </w:rPr>
  </w:style>
  <w:style w:type="paragraph" w:styleId="757">
    <w:name w:val="Subtitle"/>
    <w:basedOn w:val="906"/>
    <w:next w:val="906"/>
    <w:link w:val="758"/>
    <w:uiPriority w:val="11"/>
    <w:qFormat/>
    <w:pPr>
      <w:spacing w:before="200" w:after="200"/>
    </w:pPr>
    <w:rPr>
      <w:sz w:val="24"/>
      <w:szCs w:val="24"/>
    </w:rPr>
  </w:style>
  <w:style w:type="character" w:styleId="758">
    <w:name w:val="Subtitle Char"/>
    <w:basedOn w:val="916"/>
    <w:link w:val="757"/>
    <w:uiPriority w:val="11"/>
    <w:rPr>
      <w:sz w:val="24"/>
      <w:szCs w:val="24"/>
    </w:rPr>
  </w:style>
  <w:style w:type="paragraph" w:styleId="759">
    <w:name w:val="Quote"/>
    <w:basedOn w:val="906"/>
    <w:next w:val="906"/>
    <w:link w:val="760"/>
    <w:uiPriority w:val="29"/>
    <w:qFormat/>
    <w:pPr>
      <w:ind w:left="720" w:right="720"/>
    </w:pPr>
    <w:rPr>
      <w:i/>
    </w:rPr>
  </w:style>
  <w:style w:type="character" w:styleId="760">
    <w:name w:val="Quote Char"/>
    <w:link w:val="759"/>
    <w:uiPriority w:val="29"/>
    <w:rPr>
      <w:i/>
    </w:rPr>
  </w:style>
  <w:style w:type="paragraph" w:styleId="761">
    <w:name w:val="Intense Quote"/>
    <w:basedOn w:val="906"/>
    <w:next w:val="906"/>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character" w:styleId="763">
    <w:name w:val="Header Char"/>
    <w:basedOn w:val="916"/>
    <w:link w:val="932"/>
    <w:uiPriority w:val="99"/>
  </w:style>
  <w:style w:type="character" w:styleId="764">
    <w:name w:val="Footer Char"/>
    <w:basedOn w:val="916"/>
    <w:link w:val="931"/>
    <w:uiPriority w:val="99"/>
  </w:style>
  <w:style w:type="paragraph" w:styleId="765">
    <w:name w:val="Caption"/>
    <w:basedOn w:val="906"/>
    <w:next w:val="906"/>
    <w:uiPriority w:val="35"/>
    <w:semiHidden/>
    <w:unhideWhenUsed/>
    <w:qFormat/>
    <w:pPr>
      <w:spacing w:line="276" w:lineRule="auto"/>
    </w:pPr>
    <w:rPr>
      <w:b/>
      <w:bCs/>
      <w:color w:val="4f81bd" w:themeColor="accent1"/>
      <w:sz w:val="18"/>
      <w:szCs w:val="18"/>
    </w:rPr>
  </w:style>
  <w:style w:type="character" w:styleId="766">
    <w:name w:val="Caption Char"/>
    <w:basedOn w:val="765"/>
    <w:link w:val="931"/>
    <w:uiPriority w:val="99"/>
  </w:style>
  <w:style w:type="table" w:styleId="767">
    <w:name w:val="Table Grid Light"/>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8">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1 Light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5">
    <w:name w:val="Grid Table 1 Light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6">
    <w:name w:val="Grid Table 1 Light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7">
    <w:name w:val="Grid Table 1 Light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8">
    <w:name w:val="Grid Table 1 Light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9">
    <w:name w:val="Grid Table 1 Light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0">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2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2">
    <w:name w:val="Grid Table 2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2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2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2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6">
    <w:name w:val="Grid Table 2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7">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4 - Accent 1"/>
    <w:basedOn w:val="9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6">
    <w:name w:val="Grid Table 4 - Accent 2"/>
    <w:basedOn w:val="9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7">
    <w:name w:val="Grid Table 4 - Accent 3"/>
    <w:basedOn w:val="9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8">
    <w:name w:val="Grid Table 4 - Accent 4"/>
    <w:basedOn w:val="9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9">
    <w:name w:val="Grid Table 4 - Accent 5"/>
    <w:basedOn w:val="9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0">
    <w:name w:val="Grid Table 4 - Accent 6"/>
    <w:basedOn w:val="9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1">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5 Dark- Accent 1"/>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3">
    <w:name w:val="Grid Table 5 Dark - Accent 2"/>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4">
    <w:name w:val="Grid Table 5 Dark - Accent 3"/>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5">
    <w:name w:val="Grid Table 5 Dark- Accent 4"/>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6">
    <w:name w:val="Grid Table 5 Dark - Accent 5"/>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7">
    <w:name w:val="Grid Table 5 Dark - Accent 6"/>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8">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6 Colorful - Accent 1"/>
    <w:basedOn w:val="9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10">
    <w:name w:val="Grid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1">
    <w:name w:val="Grid Table 6 Colorful - Accent 3"/>
    <w:basedOn w:val="9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2">
    <w:name w:val="Grid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3">
    <w:name w:val="Grid Table 6 Colorful - Accent 5"/>
    <w:basedOn w:val="9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4">
    <w:name w:val="Grid Table 6 Colorful - Accent 6"/>
    <w:basedOn w:val="9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5">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Grid Table 7 Colorful - Accent 1"/>
    <w:basedOn w:val="9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7">
    <w:name w:val="Grid Table 7 Colorful - Accent 2"/>
    <w:basedOn w:val="9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7 Colorful - Accent 3"/>
    <w:basedOn w:val="9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7 Colorful - Accent 4"/>
    <w:basedOn w:val="9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7 Colorful - Accent 5"/>
    <w:basedOn w:val="9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1">
    <w:name w:val="Grid Table 7 Colorful - Accent 6"/>
    <w:basedOn w:val="9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2">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1 Light - Accent 1"/>
    <w:basedOn w:val="91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4">
    <w:name w:val="List Table 1 Light - Accent 2"/>
    <w:basedOn w:val="91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5">
    <w:name w:val="List Table 1 Light - Accent 3"/>
    <w:basedOn w:val="91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6">
    <w:name w:val="List Table 1 Light - Accent 4"/>
    <w:basedOn w:val="91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7">
    <w:name w:val="List Table 1 Light - Accent 5"/>
    <w:basedOn w:val="91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8">
    <w:name w:val="List Table 1 Light - Accent 6"/>
    <w:basedOn w:val="91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9">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2 - Accent 1"/>
    <w:basedOn w:val="9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1">
    <w:name w:val="List Table 2 - Accent 2"/>
    <w:basedOn w:val="9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2">
    <w:name w:val="List Table 2 - Accent 3"/>
    <w:basedOn w:val="9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3">
    <w:name w:val="List Table 2 - Accent 4"/>
    <w:basedOn w:val="9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4">
    <w:name w:val="List Table 2 - Accent 5"/>
    <w:basedOn w:val="9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5">
    <w:name w:val="List Table 2 - Accent 6"/>
    <w:basedOn w:val="9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6">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3 - Accent 1"/>
    <w:basedOn w:val="9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8">
    <w:name w:val="List Table 3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9">
    <w:name w:val="List Table 3 - Accent 3"/>
    <w:basedOn w:val="9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0">
    <w:name w:val="List Table 3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1">
    <w:name w:val="List Table 3 - Accent 5"/>
    <w:basedOn w:val="9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42">
    <w:name w:val="List Table 3 - Accent 6"/>
    <w:basedOn w:val="9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3">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 Accent 1"/>
    <w:basedOn w:val="9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5">
    <w:name w:val="List Table 4 - Accent 2"/>
    <w:basedOn w:val="9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6">
    <w:name w:val="List Table 4 - Accent 3"/>
    <w:basedOn w:val="9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7">
    <w:name w:val="List Table 4 - Accent 4"/>
    <w:basedOn w:val="9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8">
    <w:name w:val="List Table 4 - Accent 5"/>
    <w:basedOn w:val="9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9">
    <w:name w:val="List Table 4 - Accent 6"/>
    <w:basedOn w:val="9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0">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1"/>
    <w:basedOn w:val="9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2"/>
    <w:basedOn w:val="9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3"/>
    <w:basedOn w:val="9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4"/>
    <w:basedOn w:val="9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5"/>
    <w:basedOn w:val="9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6"/>
    <w:basedOn w:val="9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8">
    <w:name w:val="List Table 6 Colorful - Accent 1"/>
    <w:basedOn w:val="9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9">
    <w:name w:val="List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0">
    <w:name w:val="List Table 6 Colorful - Accent 3"/>
    <w:basedOn w:val="9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1">
    <w:name w:val="List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2">
    <w:name w:val="List Table 6 Colorful - Accent 5"/>
    <w:basedOn w:val="9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3">
    <w:name w:val="List Table 6 Colorful - Accent 6"/>
    <w:basedOn w:val="9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4">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5">
    <w:name w:val="List Table 7 Colorful - Accent 1"/>
    <w:basedOn w:val="9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6">
    <w:name w:val="List Table 7 Colorful - Accent 2"/>
    <w:basedOn w:val="9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7">
    <w:name w:val="List Table 7 Colorful - Accent 3"/>
    <w:basedOn w:val="9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8">
    <w:name w:val="List Table 7 Colorful - Accent 4"/>
    <w:basedOn w:val="9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9">
    <w:name w:val="List Table 7 Colorful - Accent 5"/>
    <w:basedOn w:val="9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70">
    <w:name w:val="List Table 7 Colorful - Accent 6"/>
    <w:basedOn w:val="9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1">
    <w:name w:val="Lined - Accent"/>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Lined - Accent 1"/>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3">
    <w:name w:val="Lined - Accent 2"/>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4">
    <w:name w:val="Lined - Accent 3"/>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5">
    <w:name w:val="Lined - Accent 4"/>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6">
    <w:name w:val="Lined - Accent 5"/>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7">
    <w:name w:val="Lined - Accent 6"/>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8">
    <w:name w:val="Bordered &amp; Lined - Accent"/>
    <w:basedOn w:val="9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Bordered &amp; Lined - Accent 1"/>
    <w:basedOn w:val="9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0">
    <w:name w:val="Bordered &amp; Lined - Accent 2"/>
    <w:basedOn w:val="9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1">
    <w:name w:val="Bordered &amp; Lined - Accent 3"/>
    <w:basedOn w:val="9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2">
    <w:name w:val="Bordered &amp; Lined - Accent 4"/>
    <w:basedOn w:val="9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3">
    <w:name w:val="Bordered &amp; Lined - Accent 5"/>
    <w:basedOn w:val="9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4">
    <w:name w:val="Bordered &amp; Lined - Accent 6"/>
    <w:basedOn w:val="9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5">
    <w:name w:val="Bordered"/>
    <w:basedOn w:val="9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6">
    <w:name w:val="Bordered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7">
    <w:name w:val="Bordered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8">
    <w:name w:val="Bordered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9">
    <w:name w:val="Bordered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0">
    <w:name w:val="Bordered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1">
    <w:name w:val="Bordered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2">
    <w:name w:val="footnote text"/>
    <w:basedOn w:val="906"/>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basedOn w:val="916"/>
    <w:uiPriority w:val="99"/>
    <w:unhideWhenUsed/>
    <w:rPr>
      <w:vertAlign w:val="superscript"/>
    </w:rPr>
  </w:style>
  <w:style w:type="paragraph" w:styleId="895">
    <w:name w:val="endnote text"/>
    <w:basedOn w:val="906"/>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basedOn w:val="916"/>
    <w:uiPriority w:val="99"/>
    <w:semiHidden/>
    <w:unhideWhenUsed/>
    <w:rPr>
      <w:vertAlign w:val="superscript"/>
    </w:rPr>
  </w:style>
  <w:style w:type="paragraph" w:styleId="898">
    <w:name w:val="toc 4"/>
    <w:basedOn w:val="906"/>
    <w:next w:val="906"/>
    <w:uiPriority w:val="39"/>
    <w:unhideWhenUsed/>
    <w:pPr>
      <w:ind w:left="850" w:right="0" w:firstLine="0"/>
      <w:spacing w:after="57"/>
    </w:pPr>
  </w:style>
  <w:style w:type="paragraph" w:styleId="899">
    <w:name w:val="toc 5"/>
    <w:basedOn w:val="906"/>
    <w:next w:val="906"/>
    <w:uiPriority w:val="39"/>
    <w:unhideWhenUsed/>
    <w:pPr>
      <w:ind w:left="1134" w:right="0" w:firstLine="0"/>
      <w:spacing w:after="57"/>
    </w:pPr>
  </w:style>
  <w:style w:type="paragraph" w:styleId="900">
    <w:name w:val="toc 6"/>
    <w:basedOn w:val="906"/>
    <w:next w:val="906"/>
    <w:uiPriority w:val="39"/>
    <w:unhideWhenUsed/>
    <w:pPr>
      <w:ind w:left="1417" w:right="0" w:firstLine="0"/>
      <w:spacing w:after="57"/>
    </w:pPr>
  </w:style>
  <w:style w:type="paragraph" w:styleId="901">
    <w:name w:val="toc 7"/>
    <w:basedOn w:val="906"/>
    <w:next w:val="906"/>
    <w:uiPriority w:val="39"/>
    <w:unhideWhenUsed/>
    <w:pPr>
      <w:ind w:left="1701" w:right="0" w:firstLine="0"/>
      <w:spacing w:after="57"/>
    </w:pPr>
  </w:style>
  <w:style w:type="paragraph" w:styleId="902">
    <w:name w:val="toc 8"/>
    <w:basedOn w:val="906"/>
    <w:next w:val="906"/>
    <w:uiPriority w:val="39"/>
    <w:unhideWhenUsed/>
    <w:pPr>
      <w:ind w:left="1984" w:right="0" w:firstLine="0"/>
      <w:spacing w:after="57"/>
    </w:pPr>
  </w:style>
  <w:style w:type="paragraph" w:styleId="903">
    <w:name w:val="toc 9"/>
    <w:basedOn w:val="906"/>
    <w:next w:val="906"/>
    <w:uiPriority w:val="39"/>
    <w:unhideWhenUsed/>
    <w:pPr>
      <w:ind w:left="2268" w:right="0" w:firstLine="0"/>
      <w:spacing w:after="57"/>
    </w:pPr>
  </w:style>
  <w:style w:type="paragraph" w:styleId="904">
    <w:name w:val="TOC Heading"/>
    <w:uiPriority w:val="39"/>
    <w:unhideWhenUsed/>
  </w:style>
  <w:style w:type="paragraph" w:styleId="905">
    <w:name w:val="table of figures"/>
    <w:basedOn w:val="906"/>
    <w:next w:val="906"/>
    <w:uiPriority w:val="99"/>
    <w:unhideWhenUsed/>
    <w:pPr>
      <w:spacing w:after="0" w:afterAutospacing="0"/>
    </w:pPr>
  </w:style>
  <w:style w:type="paragraph" w:styleId="90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07">
    <w:name w:val="Heading 1"/>
    <w:basedOn w:val="906"/>
    <w:next w:val="906"/>
    <w:link w:val="956"/>
    <w:uiPriority w:val="0"/>
    <w:qFormat/>
    <w:pPr>
      <w:keepLines/>
      <w:keepNext/>
      <w:spacing w:before="340" w:after="330" w:line="578" w:lineRule="auto"/>
      <w:outlineLvl w:val="0"/>
    </w:pPr>
    <w:rPr>
      <w:b/>
      <w:bCs/>
      <w:sz w:val="44"/>
      <w:szCs w:val="44"/>
    </w:rPr>
  </w:style>
  <w:style w:type="paragraph" w:styleId="908">
    <w:name w:val="Heading 2"/>
    <w:basedOn w:val="906"/>
    <w:next w:val="906"/>
    <w:link w:val="964"/>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909">
    <w:name w:val="Heading 3"/>
    <w:basedOn w:val="906"/>
    <w:next w:val="906"/>
    <w:link w:val="957"/>
    <w:uiPriority w:val="0"/>
    <w:unhideWhenUsed/>
    <w:qFormat/>
    <w:pPr>
      <w:keepLines/>
      <w:keepNext/>
      <w:spacing w:before="260" w:after="260" w:line="416" w:lineRule="auto"/>
      <w:outlineLvl w:val="2"/>
    </w:pPr>
    <w:rPr>
      <w:b/>
      <w:bCs/>
      <w:sz w:val="32"/>
      <w:szCs w:val="32"/>
    </w:rPr>
  </w:style>
  <w:style w:type="paragraph" w:styleId="910">
    <w:name w:val="Heading 4"/>
    <w:basedOn w:val="906"/>
    <w:next w:val="906"/>
    <w:link w:val="958"/>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911">
    <w:name w:val="Heading 5"/>
    <w:basedOn w:val="906"/>
    <w:next w:val="906"/>
    <w:link w:val="959"/>
    <w:uiPriority w:val="0"/>
    <w:qFormat/>
    <w:pPr>
      <w:ind w:left="3600" w:firstLine="200"/>
      <w:jc w:val="left"/>
      <w:keepLines/>
      <w:keepNext/>
      <w:spacing w:before="280" w:after="290" w:line="376" w:lineRule="auto"/>
      <w:outlineLvl w:val="4"/>
    </w:pPr>
    <w:rPr>
      <w:rFonts w:ascii="Times New Roman" w:hAnsi="Times New Roman" w:eastAsia="宋体" w:cs="Times New Roman"/>
      <w:b/>
      <w:bCs/>
      <w:sz w:val="28"/>
      <w:szCs w:val="28"/>
    </w:rPr>
  </w:style>
  <w:style w:type="paragraph" w:styleId="912">
    <w:name w:val="Heading 6"/>
    <w:basedOn w:val="906"/>
    <w:next w:val="906"/>
    <w:link w:val="960"/>
    <w:uiPriority w:val="0"/>
    <w:qFormat/>
    <w:pPr>
      <w:ind w:left="4320" w:firstLine="200"/>
      <w:jc w:val="left"/>
      <w:keepLines/>
      <w:keepNext/>
      <w:spacing w:before="240" w:after="64" w:line="320" w:lineRule="auto"/>
      <w:outlineLvl w:val="5"/>
    </w:pPr>
    <w:rPr>
      <w:rFonts w:ascii="Arial" w:hAnsi="Arial" w:eastAsia="黑体" w:cs="Times New Roman"/>
      <w:b/>
      <w:bCs/>
      <w:sz w:val="24"/>
    </w:rPr>
  </w:style>
  <w:style w:type="paragraph" w:styleId="913">
    <w:name w:val="Heading 7"/>
    <w:basedOn w:val="906"/>
    <w:next w:val="906"/>
    <w:link w:val="961"/>
    <w:uiPriority w:val="0"/>
    <w:qFormat/>
    <w:pPr>
      <w:ind w:left="5040" w:firstLine="200"/>
      <w:jc w:val="left"/>
      <w:keepLines/>
      <w:keepNext/>
      <w:spacing w:before="240" w:after="64" w:line="320" w:lineRule="auto"/>
      <w:outlineLvl w:val="6"/>
    </w:pPr>
    <w:rPr>
      <w:rFonts w:ascii="Times New Roman" w:hAnsi="Times New Roman" w:eastAsia="宋体" w:cs="Times New Roman"/>
      <w:b/>
      <w:bCs/>
      <w:sz w:val="24"/>
    </w:rPr>
  </w:style>
  <w:style w:type="paragraph" w:styleId="914">
    <w:name w:val="Heading 8"/>
    <w:basedOn w:val="906"/>
    <w:next w:val="906"/>
    <w:link w:val="962"/>
    <w:uiPriority w:val="0"/>
    <w:qFormat/>
    <w:pPr>
      <w:ind w:left="5760" w:firstLine="200"/>
      <w:jc w:val="left"/>
      <w:keepLines/>
      <w:keepNext/>
      <w:spacing w:before="240" w:after="64" w:line="320" w:lineRule="auto"/>
      <w:outlineLvl w:val="7"/>
    </w:pPr>
    <w:rPr>
      <w:rFonts w:ascii="Arial" w:hAnsi="Arial" w:eastAsia="黑体" w:cs="Times New Roman"/>
      <w:sz w:val="24"/>
    </w:rPr>
  </w:style>
  <w:style w:type="paragraph" w:styleId="915">
    <w:name w:val="Heading 9"/>
    <w:basedOn w:val="906"/>
    <w:next w:val="906"/>
    <w:link w:val="963"/>
    <w:uiPriority w:val="0"/>
    <w:qFormat/>
    <w:pPr>
      <w:ind w:left="6480" w:firstLine="200"/>
      <w:jc w:val="left"/>
      <w:keepLines/>
      <w:keepNext/>
      <w:spacing w:before="240" w:after="64" w:line="320" w:lineRule="auto"/>
      <w:outlineLvl w:val="8"/>
    </w:pPr>
    <w:rPr>
      <w:rFonts w:ascii="Arial" w:hAnsi="Arial" w:eastAsia="黑体" w:cs="Times New Roman"/>
      <w:szCs w:val="21"/>
    </w:rPr>
  </w:style>
  <w:style w:type="character" w:styleId="916" w:default="1">
    <w:name w:val="Default Paragraph Font"/>
    <w:uiPriority w:val="1"/>
    <w:semiHidden/>
    <w:unhideWhenUsed/>
    <w:qFormat/>
  </w:style>
  <w:style w:type="table" w:styleId="917" w:default="1">
    <w:name w:val="Normal Table"/>
    <w:uiPriority w:val="99"/>
    <w:semiHidden/>
    <w:unhideWhenUsed/>
    <w:qFormat/>
    <w:tblPr>
      <w:tblCellMar>
        <w:left w:w="108" w:type="dxa"/>
        <w:top w:w="0" w:type="dxa"/>
        <w:right w:w="108" w:type="dxa"/>
        <w:bottom w:w="0" w:type="dxa"/>
      </w:tblCellMar>
    </w:tblPr>
  </w:style>
  <w:style w:type="paragraph" w:styleId="918">
    <w:name w:val="List Number 2"/>
    <w:basedOn w:val="906"/>
    <w:uiPriority w:val="0"/>
    <w:unhideWhenUsed/>
    <w:qFormat/>
    <w:pPr>
      <w:contextualSpacing/>
      <w:ind w:firstLine="200"/>
      <w:jc w:val="left"/>
      <w:spacing w:line="360" w:lineRule="auto"/>
      <w:tabs>
        <w:tab w:val="left" w:pos="780" w:leader="none"/>
      </w:tabs>
    </w:pPr>
    <w:rPr>
      <w:rFonts w:ascii="方正兰亭准黑简体" w:hAnsi="方正兰亭准黑简体" w:eastAsia="方正兰亭准黑简体" w:cs="黑体"/>
      <w:sz w:val="24"/>
      <w:szCs w:val="22"/>
    </w:rPr>
  </w:style>
  <w:style w:type="paragraph" w:styleId="919">
    <w:name w:val="Normal Indent"/>
    <w:basedOn w:val="906"/>
    <w:uiPriority w:val="0"/>
    <w:qFormat/>
    <w:pPr>
      <w:ind w:left="200" w:firstLine="200"/>
      <w:jc w:val="left"/>
      <w:spacing w:line="360" w:lineRule="auto"/>
    </w:pPr>
    <w:rPr>
      <w:rFonts w:ascii="方正兰亭准黑简体" w:hAnsi="方正兰亭准黑简体" w:eastAsia="方正兰亭准黑简体" w:cs="黑体"/>
      <w:sz w:val="24"/>
      <w:szCs w:val="22"/>
    </w:rPr>
  </w:style>
  <w:style w:type="paragraph" w:styleId="920">
    <w:name w:val="Document Map"/>
    <w:basedOn w:val="906"/>
    <w:link w:val="970"/>
    <w:uiPriority w:val="0"/>
    <w:qFormat/>
    <w:pPr>
      <w:ind w:firstLine="1440"/>
      <w:jc w:val="left"/>
      <w:shd w:val="clear" w:color="auto" w:fill="000080"/>
    </w:pPr>
    <w:rPr>
      <w:rFonts w:ascii="Times New Roman" w:hAnsi="Times New Roman" w:eastAsia="宋体" w:cs="Times New Roman"/>
    </w:rPr>
  </w:style>
  <w:style w:type="paragraph" w:styleId="921">
    <w:name w:val="annotation text"/>
    <w:basedOn w:val="906"/>
    <w:link w:val="977"/>
    <w:uiPriority w:val="0"/>
    <w:qFormat/>
    <w:pPr>
      <w:jc w:val="left"/>
    </w:pPr>
  </w:style>
  <w:style w:type="paragraph" w:styleId="922">
    <w:name w:val="Body Text"/>
    <w:basedOn w:val="906"/>
    <w:next w:val="906"/>
    <w:link w:val="968"/>
    <w:uiPriority w:val="99"/>
    <w:unhideWhenUsed/>
    <w:qFormat/>
    <w:pPr>
      <w:spacing w:after="120"/>
    </w:pPr>
    <w:rPr>
      <w:rFonts w:ascii="Calibri" w:hAnsi="Calibri"/>
      <w:szCs w:val="22"/>
    </w:rPr>
  </w:style>
  <w:style w:type="paragraph" w:styleId="923">
    <w:name w:val="Body Text Indent"/>
    <w:basedOn w:val="906"/>
    <w:next w:val="924"/>
    <w:link w:val="971"/>
    <w:uiPriority w:val="0"/>
    <w:qFormat/>
    <w:pPr>
      <w:ind w:left="420" w:firstLine="1440"/>
      <w:jc w:val="left"/>
      <w:spacing w:after="120"/>
    </w:pPr>
    <w:rPr>
      <w:rFonts w:ascii="Times New Roman" w:hAnsi="Times New Roman" w:eastAsia="宋体" w:cs="Times New Roman"/>
    </w:rPr>
  </w:style>
  <w:style w:type="paragraph" w:styleId="924">
    <w:name w:val="envelope return"/>
    <w:basedOn w:val="906"/>
    <w:uiPriority w:val="99"/>
    <w:unhideWhenUsed/>
    <w:qFormat/>
    <w:pPr>
      <w:ind w:firstLine="1440"/>
      <w:jc w:val="left"/>
    </w:pPr>
    <w:rPr>
      <w:rFonts w:ascii="Cambria" w:hAnsi="Cambria" w:eastAsia="宋体" w:cs="Times New Roman"/>
    </w:rPr>
  </w:style>
  <w:style w:type="paragraph" w:styleId="925">
    <w:name w:val="Block Text"/>
    <w:basedOn w:val="906"/>
    <w:uiPriority w:val="0"/>
    <w:unhideWhenUsed/>
    <w:qFormat/>
    <w:pPr>
      <w:ind w:left="1440"/>
      <w:spacing w:after="120"/>
    </w:pPr>
    <w:rPr>
      <w:rFonts w:hint="eastAsia" w:ascii="Times New Roman" w:hAnsi="Times New Roman" w:eastAsia="宋体" w:cs="Times New Roman"/>
      <w:szCs w:val="21"/>
    </w:rPr>
  </w:style>
  <w:style w:type="paragraph" w:styleId="926">
    <w:name w:val="List Bullet 2"/>
    <w:basedOn w:val="906"/>
    <w:uiPriority w:val="0"/>
    <w:qFormat/>
    <w:pPr>
      <w:numPr>
        <w:ilvl w:val="0"/>
        <w:numId w:val="1"/>
      </w:numPr>
      <w:ind w:left="0" w:firstLine="200"/>
      <w:jc w:val="left"/>
    </w:pPr>
    <w:rPr>
      <w:rFonts w:ascii="Times New Roman" w:hAnsi="Times New Roman" w:eastAsia="宋体" w:cs="Times New Roman"/>
    </w:rPr>
  </w:style>
  <w:style w:type="paragraph" w:styleId="927">
    <w:name w:val="toc 3"/>
    <w:basedOn w:val="906"/>
    <w:next w:val="906"/>
    <w:uiPriority w:val="39"/>
    <w:unhideWhenUsed/>
    <w:qFormat/>
    <w:pPr>
      <w:ind w:left="440" w:firstLine="1440"/>
      <w:jc w:val="left"/>
      <w:spacing w:after="100" w:line="276" w:lineRule="auto"/>
      <w:widowControl/>
    </w:pPr>
    <w:rPr>
      <w:rFonts w:ascii="Calibri" w:hAnsi="Calibri" w:eastAsia="宋体" w:cs="Times New Roman"/>
      <w:sz w:val="22"/>
      <w:szCs w:val="22"/>
    </w:rPr>
  </w:style>
  <w:style w:type="paragraph" w:styleId="928">
    <w:name w:val="Plain Text"/>
    <w:basedOn w:val="906"/>
    <w:link w:val="967"/>
    <w:uiPriority w:val="0"/>
    <w:unhideWhenUsed/>
    <w:qFormat/>
    <w:rPr>
      <w:rFonts w:ascii="宋体" w:hAnsi="Courier New" w:cs="Courier New"/>
      <w:szCs w:val="21"/>
    </w:rPr>
  </w:style>
  <w:style w:type="paragraph" w:styleId="929">
    <w:name w:val="Body Text Indent 2"/>
    <w:basedOn w:val="906"/>
    <w:link w:val="972"/>
    <w:uiPriority w:val="0"/>
    <w:qFormat/>
    <w:pPr>
      <w:ind w:left="420" w:firstLine="1440"/>
      <w:jc w:val="left"/>
      <w:spacing w:after="120" w:line="480" w:lineRule="auto"/>
    </w:pPr>
    <w:rPr>
      <w:rFonts w:ascii="Times New Roman" w:hAnsi="Times New Roman" w:eastAsia="宋体" w:cs="Times New Roman"/>
    </w:rPr>
  </w:style>
  <w:style w:type="paragraph" w:styleId="930">
    <w:name w:val="Balloon Text"/>
    <w:basedOn w:val="906"/>
    <w:link w:val="973"/>
    <w:uiPriority w:val="0"/>
    <w:qFormat/>
    <w:pPr>
      <w:ind w:firstLine="1440"/>
      <w:jc w:val="left"/>
    </w:pPr>
    <w:rPr>
      <w:rFonts w:ascii="Times New Roman" w:hAnsi="Times New Roman" w:eastAsia="宋体" w:cs="Times New Roman"/>
      <w:sz w:val="18"/>
      <w:szCs w:val="18"/>
    </w:rPr>
  </w:style>
  <w:style w:type="paragraph" w:styleId="931">
    <w:name w:val="Footer"/>
    <w:basedOn w:val="906"/>
    <w:link w:val="950"/>
    <w:uiPriority w:val="99"/>
    <w:qFormat/>
    <w:pPr>
      <w:jc w:val="left"/>
      <w:tabs>
        <w:tab w:val="center" w:pos="4153" w:leader="none"/>
        <w:tab w:val="right" w:pos="8306" w:leader="none"/>
      </w:tabs>
    </w:pPr>
    <w:rPr>
      <w:sz w:val="18"/>
      <w:szCs w:val="18"/>
    </w:rPr>
  </w:style>
  <w:style w:type="paragraph" w:styleId="932">
    <w:name w:val="Header"/>
    <w:basedOn w:val="906"/>
    <w:link w:val="949"/>
    <w:uiPriority w:val="99"/>
    <w:qFormat/>
    <w:pPr>
      <w:jc w:val="center"/>
      <w:tabs>
        <w:tab w:val="center" w:pos="4153" w:leader="none"/>
        <w:tab w:val="right" w:pos="8306" w:leader="none"/>
      </w:tabs>
      <w:pBdr>
        <w:bottom w:val="single" w:color="auto" w:sz="6" w:space="1"/>
      </w:pBdr>
    </w:pPr>
    <w:rPr>
      <w:sz w:val="18"/>
      <w:szCs w:val="18"/>
    </w:rPr>
  </w:style>
  <w:style w:type="paragraph" w:styleId="933">
    <w:name w:val="toc 1"/>
    <w:basedOn w:val="906"/>
    <w:next w:val="906"/>
    <w:uiPriority w:val="39"/>
    <w:unhideWhenUsed/>
    <w:qFormat/>
    <w:pPr>
      <w:ind w:firstLine="1440"/>
      <w:jc w:val="left"/>
      <w:spacing w:after="100" w:line="276" w:lineRule="auto"/>
      <w:widowControl/>
    </w:pPr>
    <w:rPr>
      <w:rFonts w:ascii="Calibri" w:hAnsi="Calibri" w:eastAsia="宋体" w:cs="Times New Roman"/>
      <w:sz w:val="22"/>
      <w:szCs w:val="22"/>
    </w:rPr>
  </w:style>
  <w:style w:type="paragraph" w:styleId="934">
    <w:name w:val="Body Text Indent 3"/>
    <w:basedOn w:val="906"/>
    <w:link w:val="974"/>
    <w:uiPriority w:val="0"/>
    <w:qFormat/>
    <w:pPr>
      <w:ind w:left="420" w:firstLine="1440"/>
      <w:jc w:val="left"/>
      <w:spacing w:after="120"/>
    </w:pPr>
    <w:rPr>
      <w:rFonts w:ascii="Times New Roman" w:hAnsi="Times New Roman" w:eastAsia="宋体" w:cs="Times New Roman"/>
      <w:sz w:val="16"/>
      <w:szCs w:val="16"/>
    </w:rPr>
  </w:style>
  <w:style w:type="paragraph" w:styleId="935">
    <w:name w:val="toc 2"/>
    <w:basedOn w:val="906"/>
    <w:next w:val="906"/>
    <w:uiPriority w:val="39"/>
    <w:unhideWhenUsed/>
    <w:qFormat/>
    <w:pPr>
      <w:ind w:left="220" w:firstLine="1440"/>
      <w:jc w:val="left"/>
      <w:spacing w:after="100" w:line="276" w:lineRule="auto"/>
      <w:widowControl/>
    </w:pPr>
    <w:rPr>
      <w:rFonts w:ascii="Calibri" w:hAnsi="Calibri" w:eastAsia="宋体" w:cs="Times New Roman"/>
      <w:sz w:val="22"/>
      <w:szCs w:val="22"/>
    </w:rPr>
  </w:style>
  <w:style w:type="paragraph" w:styleId="936">
    <w:name w:val="Body Text 2"/>
    <w:basedOn w:val="906"/>
    <w:link w:val="975"/>
    <w:uiPriority w:val="0"/>
    <w:qFormat/>
    <w:pPr>
      <w:ind w:firstLine="1440"/>
      <w:jc w:val="left"/>
      <w:spacing w:line="700" w:lineRule="exact"/>
    </w:pPr>
    <w:rPr>
      <w:rFonts w:ascii="Times New Roman" w:hAnsi="Times New Roman" w:eastAsia="宋体" w:cs="Times New Roman"/>
      <w:sz w:val="28"/>
    </w:rPr>
  </w:style>
  <w:style w:type="paragraph" w:styleId="937">
    <w:name w:val="Normal (Web)"/>
    <w:basedOn w:val="906"/>
    <w:uiPriority w:val="0"/>
    <w:qFormat/>
    <w:pPr>
      <w:jc w:val="left"/>
      <w:spacing w:beforeAutospacing="1" w:afterAutospacing="1"/>
    </w:pPr>
    <w:rPr>
      <w:rFonts w:cs="Times New Roman"/>
      <w:sz w:val="24"/>
    </w:rPr>
  </w:style>
  <w:style w:type="paragraph" w:styleId="938">
    <w:name w:val="Title"/>
    <w:basedOn w:val="906"/>
    <w:next w:val="906"/>
    <w:link w:val="976"/>
    <w:uiPriority w:val="0"/>
    <w:qFormat/>
    <w:pPr>
      <w:ind w:firstLine="1440"/>
      <w:jc w:val="center"/>
      <w:spacing w:before="240" w:after="60"/>
      <w:outlineLvl w:val="0"/>
    </w:pPr>
    <w:rPr>
      <w:rFonts w:ascii="Cambria" w:hAnsi="Cambria" w:eastAsia="宋体" w:cs="Times New Roman"/>
      <w:b/>
      <w:bCs/>
      <w:sz w:val="32"/>
      <w:szCs w:val="32"/>
    </w:rPr>
  </w:style>
  <w:style w:type="paragraph" w:styleId="939">
    <w:name w:val="annotation subject"/>
    <w:basedOn w:val="921"/>
    <w:next w:val="921"/>
    <w:link w:val="978"/>
    <w:uiPriority w:val="0"/>
    <w:qFormat/>
    <w:pPr>
      <w:ind w:firstLine="1440"/>
    </w:pPr>
    <w:rPr>
      <w:rFonts w:ascii="Times New Roman" w:hAnsi="Times New Roman" w:eastAsia="宋体" w:cs="Times New Roman"/>
      <w:b/>
      <w:bCs/>
    </w:rPr>
  </w:style>
  <w:style w:type="paragraph" w:styleId="940">
    <w:name w:val="Body Text First Indent"/>
    <w:basedOn w:val="922"/>
    <w:link w:val="969"/>
    <w:uiPriority w:val="0"/>
    <w:qFormat/>
    <w:pPr>
      <w:ind w:firstLine="420"/>
    </w:pPr>
    <w:rPr>
      <w:rFonts w:asciiTheme="minorHAnsi" w:hAnsiTheme="minorHAnsi"/>
      <w:szCs w:val="24"/>
    </w:rPr>
  </w:style>
  <w:style w:type="paragraph" w:styleId="941">
    <w:name w:val="Body Text First Indent 2"/>
    <w:basedOn w:val="923"/>
    <w:link w:val="979"/>
    <w:uiPriority w:val="0"/>
    <w:qFormat/>
    <w:pPr>
      <w:ind w:firstLine="420"/>
    </w:pPr>
  </w:style>
  <w:style w:type="table" w:styleId="942">
    <w:name w:val="Table Grid"/>
    <w:basedOn w:val="91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3">
    <w:name w:val="Strong"/>
    <w:basedOn w:val="916"/>
    <w:uiPriority w:val="0"/>
    <w:qFormat/>
    <w:rPr>
      <w:b/>
    </w:rPr>
  </w:style>
  <w:style w:type="character" w:styleId="944">
    <w:name w:val="page number"/>
    <w:uiPriority w:val="0"/>
    <w:qFormat/>
  </w:style>
  <w:style w:type="character" w:styleId="945">
    <w:name w:val="FollowedHyperlink"/>
    <w:basedOn w:val="916"/>
    <w:uiPriority w:val="99"/>
    <w:unhideWhenUsed/>
    <w:qFormat/>
    <w:rPr>
      <w:color w:val="954f72" w:themeColor="followedHyperlink"/>
      <w:u w:val="single"/>
      <w14:textFill>
        <w14:solidFill>
          <w14:schemeClr w14:val="folHlink"/>
        </w14:solidFill>
      </w14:textFill>
    </w:rPr>
  </w:style>
  <w:style w:type="character" w:styleId="946">
    <w:name w:val="Hyperlink"/>
    <w:uiPriority w:val="99"/>
    <w:unhideWhenUsed/>
    <w:qFormat/>
    <w:rPr>
      <w:color w:val="0000ff"/>
      <w:u w:val="single"/>
    </w:rPr>
  </w:style>
  <w:style w:type="character" w:styleId="947">
    <w:name w:val="annotation reference"/>
    <w:uiPriority w:val="0"/>
    <w:qFormat/>
    <w:rPr>
      <w:sz w:val="21"/>
      <w:szCs w:val="21"/>
    </w:rPr>
  </w:style>
  <w:style w:type="paragraph" w:styleId="948" w:customStyle="1">
    <w:name w:val="Default"/>
    <w:basedOn w:val="906"/>
    <w:uiPriority w:val="0"/>
    <w:qFormat/>
    <w:pPr>
      <w:jc w:val="left"/>
    </w:pPr>
    <w:rPr>
      <w:rFonts w:ascii="宋体" w:hAnsi="Calibri" w:cs="宋体"/>
      <w:color w:val="000000"/>
      <w:sz w:val="24"/>
    </w:rPr>
  </w:style>
  <w:style w:type="character" w:styleId="949" w:customStyle="1">
    <w:name w:val="页眉 字符"/>
    <w:basedOn w:val="916"/>
    <w:link w:val="932"/>
    <w:uiPriority w:val="99"/>
    <w:qFormat/>
    <w:rPr>
      <w:rFonts w:asciiTheme="minorHAnsi" w:hAnsiTheme="minorHAnsi" w:eastAsiaTheme="minorEastAsia" w:cstheme="minorBidi"/>
      <w:sz w:val="18"/>
      <w:szCs w:val="18"/>
    </w:rPr>
  </w:style>
  <w:style w:type="character" w:styleId="950" w:customStyle="1">
    <w:name w:val="页脚 字符"/>
    <w:basedOn w:val="916"/>
    <w:link w:val="931"/>
    <w:uiPriority w:val="99"/>
    <w:qFormat/>
    <w:rPr>
      <w:rFonts w:asciiTheme="minorHAnsi" w:hAnsiTheme="minorHAnsi" w:eastAsiaTheme="minorEastAsia" w:cstheme="minorBidi"/>
      <w:sz w:val="18"/>
      <w:szCs w:val="18"/>
    </w:rPr>
  </w:style>
  <w:style w:type="paragraph" w:styleId="95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52" w:customStyle="1">
    <w:name w:val="页脚1"/>
    <w:basedOn w:val="906"/>
    <w:uiPriority w:val="99"/>
    <w:unhideWhenUsed/>
    <w:qFormat/>
    <w:pPr>
      <w:jc w:val="left"/>
      <w:tabs>
        <w:tab w:val="center" w:pos="4153" w:leader="none"/>
        <w:tab w:val="right" w:pos="8306" w:leader="none"/>
      </w:tabs>
    </w:pPr>
    <w:rPr>
      <w:sz w:val="18"/>
      <w:szCs w:val="18"/>
    </w:rPr>
  </w:style>
  <w:style w:type="paragraph" w:styleId="953" w:customStyle="1">
    <w:name w:val="普通正文"/>
    <w:basedOn w:val="906"/>
    <w:uiPriority w:val="0"/>
    <w:qFormat/>
    <w:pPr>
      <w:ind w:firstLine="480"/>
      <w:jc w:val="left"/>
      <w:spacing w:before="120" w:after="120" w:line="360" w:lineRule="auto"/>
    </w:pPr>
    <w:rPr>
      <w:rFonts w:ascii="Arial" w:hAnsi="Arial" w:eastAsia="等线" w:cs="Arial"/>
      <w:sz w:val="24"/>
    </w:rPr>
  </w:style>
  <w:style w:type="paragraph" w:styleId="954" w:customStyle="1">
    <w:name w:val="正文首行缩进 21"/>
    <w:basedOn w:val="955"/>
    <w:uiPriority w:val="0"/>
    <w:qFormat/>
    <w:pPr>
      <w:ind w:firstLine="420"/>
    </w:pPr>
  </w:style>
  <w:style w:type="paragraph" w:styleId="955" w:customStyle="1">
    <w:name w:val="正文文本缩进1"/>
    <w:basedOn w:val="906"/>
    <w:uiPriority w:val="0"/>
    <w:qFormat/>
    <w:pPr>
      <w:ind w:left="420"/>
      <w:spacing w:after="120"/>
    </w:pPr>
  </w:style>
  <w:style w:type="character" w:styleId="956" w:customStyle="1">
    <w:name w:val="标题 1 字符"/>
    <w:basedOn w:val="916"/>
    <w:link w:val="907"/>
    <w:uiPriority w:val="0"/>
    <w:qFormat/>
    <w:rPr>
      <w:rFonts w:asciiTheme="minorHAnsi" w:hAnsiTheme="minorHAnsi" w:eastAsiaTheme="minorEastAsia" w:cstheme="minorBidi"/>
      <w:b/>
      <w:bCs/>
      <w:sz w:val="44"/>
      <w:szCs w:val="44"/>
    </w:rPr>
  </w:style>
  <w:style w:type="character" w:styleId="957" w:customStyle="1">
    <w:name w:val="标题 3 字符"/>
    <w:basedOn w:val="916"/>
    <w:link w:val="909"/>
    <w:uiPriority w:val="0"/>
    <w:qFormat/>
    <w:rPr>
      <w:rFonts w:asciiTheme="minorHAnsi" w:hAnsiTheme="minorHAnsi" w:eastAsiaTheme="minorEastAsia" w:cstheme="minorBidi"/>
      <w:b/>
      <w:bCs/>
      <w:sz w:val="32"/>
      <w:szCs w:val="32"/>
    </w:rPr>
  </w:style>
  <w:style w:type="character" w:styleId="958" w:customStyle="1">
    <w:name w:val="标题 4 字符"/>
    <w:basedOn w:val="916"/>
    <w:link w:val="910"/>
    <w:uiPriority w:val="0"/>
    <w:qFormat/>
    <w:rPr>
      <w:rFonts w:asciiTheme="majorHAnsi" w:hAnsiTheme="majorHAnsi" w:eastAsiaTheme="majorEastAsia" w:cstheme="majorBidi"/>
      <w:b/>
      <w:bCs/>
      <w:sz w:val="28"/>
      <w:szCs w:val="28"/>
    </w:rPr>
  </w:style>
  <w:style w:type="character" w:styleId="959" w:customStyle="1">
    <w:name w:val="标题 5 字符"/>
    <w:basedOn w:val="916"/>
    <w:link w:val="911"/>
    <w:uiPriority w:val="0"/>
    <w:qFormat/>
    <w:rPr>
      <w:b/>
      <w:bCs/>
      <w:sz w:val="28"/>
      <w:szCs w:val="28"/>
    </w:rPr>
  </w:style>
  <w:style w:type="character" w:styleId="960" w:customStyle="1">
    <w:name w:val="标题 6 字符"/>
    <w:basedOn w:val="916"/>
    <w:link w:val="912"/>
    <w:uiPriority w:val="0"/>
    <w:qFormat/>
    <w:rPr>
      <w:rFonts w:ascii="Arial" w:hAnsi="Arial" w:eastAsia="黑体"/>
      <w:b/>
      <w:bCs/>
      <w:sz w:val="24"/>
      <w:szCs w:val="24"/>
    </w:rPr>
  </w:style>
  <w:style w:type="character" w:styleId="961" w:customStyle="1">
    <w:name w:val="标题 7 字符"/>
    <w:basedOn w:val="916"/>
    <w:link w:val="913"/>
    <w:uiPriority w:val="0"/>
    <w:qFormat/>
    <w:rPr>
      <w:b/>
      <w:bCs/>
      <w:sz w:val="24"/>
      <w:szCs w:val="24"/>
    </w:rPr>
  </w:style>
  <w:style w:type="character" w:styleId="962" w:customStyle="1">
    <w:name w:val="标题 8 字符"/>
    <w:basedOn w:val="916"/>
    <w:link w:val="914"/>
    <w:uiPriority w:val="0"/>
    <w:qFormat/>
    <w:rPr>
      <w:rFonts w:ascii="Arial" w:hAnsi="Arial" w:eastAsia="黑体"/>
      <w:sz w:val="24"/>
      <w:szCs w:val="24"/>
    </w:rPr>
  </w:style>
  <w:style w:type="character" w:styleId="963" w:customStyle="1">
    <w:name w:val="标题 9 字符"/>
    <w:basedOn w:val="916"/>
    <w:link w:val="915"/>
    <w:uiPriority w:val="0"/>
    <w:qFormat/>
    <w:rPr>
      <w:rFonts w:ascii="Arial" w:hAnsi="Arial" w:eastAsia="黑体"/>
      <w:sz w:val="21"/>
      <w:szCs w:val="21"/>
    </w:rPr>
  </w:style>
  <w:style w:type="character" w:styleId="964" w:customStyle="1">
    <w:name w:val="标题 2 字符"/>
    <w:basedOn w:val="916"/>
    <w:link w:val="908"/>
    <w:uiPriority w:val="0"/>
    <w:qFormat/>
    <w:rPr>
      <w:rFonts w:ascii="宋体" w:hAnsi="宋体"/>
      <w:b/>
      <w:bCs/>
      <w:sz w:val="36"/>
      <w:szCs w:val="36"/>
    </w:rPr>
  </w:style>
  <w:style w:type="character" w:styleId="965" w:customStyle="1">
    <w:name w:val="批注文字 字符"/>
    <w:basedOn w:val="916"/>
    <w:uiPriority w:val="0"/>
    <w:qFormat/>
    <w:rPr>
      <w:rFonts w:asciiTheme="minorHAnsi" w:hAnsiTheme="minorHAnsi" w:eastAsiaTheme="minorEastAsia" w:cstheme="minorBidi"/>
      <w:sz w:val="21"/>
      <w:szCs w:val="24"/>
    </w:rPr>
  </w:style>
  <w:style w:type="character" w:styleId="966" w:customStyle="1">
    <w:name w:val="正文文本 字符"/>
    <w:basedOn w:val="916"/>
    <w:uiPriority w:val="99"/>
    <w:qFormat/>
    <w:rPr>
      <w:rFonts w:ascii="Calibri" w:hAnsi="Calibri" w:eastAsiaTheme="minorEastAsia" w:cstheme="minorBidi"/>
      <w:sz w:val="21"/>
      <w:szCs w:val="22"/>
    </w:rPr>
  </w:style>
  <w:style w:type="character" w:styleId="967" w:customStyle="1">
    <w:name w:val="纯文本 字符"/>
    <w:basedOn w:val="916"/>
    <w:link w:val="928"/>
    <w:uiPriority w:val="0"/>
    <w:qFormat/>
    <w:rPr>
      <w:rFonts w:ascii="宋体" w:hAnsi="Courier New" w:cs="Courier New" w:eastAsiaTheme="minorEastAsia"/>
      <w:sz w:val="21"/>
      <w:szCs w:val="21"/>
    </w:rPr>
  </w:style>
  <w:style w:type="character" w:styleId="968" w:customStyle="1">
    <w:name w:val="正文文本 字符1"/>
    <w:basedOn w:val="916"/>
    <w:link w:val="922"/>
    <w:uiPriority w:val="99"/>
    <w:qFormat/>
    <w:rPr>
      <w:rFonts w:ascii="Calibri" w:hAnsi="Calibri" w:eastAsiaTheme="minorEastAsia" w:cstheme="minorBidi"/>
      <w:sz w:val="21"/>
      <w:szCs w:val="22"/>
    </w:rPr>
  </w:style>
  <w:style w:type="character" w:styleId="969" w:customStyle="1">
    <w:name w:val="正文文本首行缩进 字符"/>
    <w:basedOn w:val="968"/>
    <w:link w:val="940"/>
    <w:uiPriority w:val="0"/>
    <w:qFormat/>
    <w:rPr>
      <w:rFonts w:asciiTheme="minorHAnsi" w:hAnsiTheme="minorHAnsi" w:eastAsiaTheme="minorEastAsia" w:cstheme="minorBidi"/>
      <w:sz w:val="21"/>
      <w:szCs w:val="24"/>
    </w:rPr>
  </w:style>
  <w:style w:type="character" w:styleId="970" w:customStyle="1">
    <w:name w:val="文档结构图 字符"/>
    <w:basedOn w:val="916"/>
    <w:link w:val="920"/>
    <w:uiPriority w:val="0"/>
    <w:qFormat/>
    <w:rPr>
      <w:sz w:val="21"/>
      <w:szCs w:val="24"/>
      <w:shd w:val="clear" w:color="auto" w:fill="000080"/>
    </w:rPr>
  </w:style>
  <w:style w:type="character" w:styleId="971" w:customStyle="1">
    <w:name w:val="正文文本缩进 字符"/>
    <w:basedOn w:val="916"/>
    <w:link w:val="923"/>
    <w:uiPriority w:val="0"/>
    <w:qFormat/>
    <w:rPr>
      <w:sz w:val="21"/>
      <w:szCs w:val="24"/>
    </w:rPr>
  </w:style>
  <w:style w:type="character" w:styleId="972" w:customStyle="1">
    <w:name w:val="正文文本缩进 2 字符"/>
    <w:basedOn w:val="916"/>
    <w:link w:val="929"/>
    <w:uiPriority w:val="0"/>
    <w:qFormat/>
    <w:rPr>
      <w:sz w:val="21"/>
      <w:szCs w:val="24"/>
    </w:rPr>
  </w:style>
  <w:style w:type="character" w:styleId="973" w:customStyle="1">
    <w:name w:val="批注框文本 字符"/>
    <w:basedOn w:val="916"/>
    <w:link w:val="930"/>
    <w:uiPriority w:val="0"/>
    <w:qFormat/>
    <w:rPr>
      <w:sz w:val="18"/>
      <w:szCs w:val="18"/>
    </w:rPr>
  </w:style>
  <w:style w:type="character" w:styleId="974" w:customStyle="1">
    <w:name w:val="正文文本缩进 3 字符"/>
    <w:basedOn w:val="916"/>
    <w:link w:val="934"/>
    <w:uiPriority w:val="0"/>
    <w:qFormat/>
    <w:rPr>
      <w:sz w:val="16"/>
      <w:szCs w:val="16"/>
    </w:rPr>
  </w:style>
  <w:style w:type="character" w:styleId="975" w:customStyle="1">
    <w:name w:val="正文文本 2 字符"/>
    <w:basedOn w:val="916"/>
    <w:link w:val="936"/>
    <w:uiPriority w:val="0"/>
    <w:qFormat/>
    <w:rPr>
      <w:sz w:val="28"/>
      <w:szCs w:val="24"/>
    </w:rPr>
  </w:style>
  <w:style w:type="character" w:styleId="976" w:customStyle="1">
    <w:name w:val="标题 字符"/>
    <w:basedOn w:val="916"/>
    <w:link w:val="938"/>
    <w:uiPriority w:val="0"/>
    <w:qFormat/>
    <w:rPr>
      <w:rFonts w:ascii="Cambria" w:hAnsi="Cambria"/>
      <w:b/>
      <w:bCs/>
      <w:sz w:val="32"/>
      <w:szCs w:val="32"/>
    </w:rPr>
  </w:style>
  <w:style w:type="character" w:styleId="977" w:customStyle="1">
    <w:name w:val="批注文字 字符1"/>
    <w:basedOn w:val="916"/>
    <w:link w:val="921"/>
    <w:uiPriority w:val="0"/>
    <w:qFormat/>
    <w:rPr>
      <w:rFonts w:asciiTheme="minorHAnsi" w:hAnsiTheme="minorHAnsi" w:eastAsiaTheme="minorEastAsia" w:cstheme="minorBidi"/>
      <w:sz w:val="21"/>
      <w:szCs w:val="24"/>
    </w:rPr>
  </w:style>
  <w:style w:type="character" w:styleId="978" w:customStyle="1">
    <w:name w:val="批注主题 字符"/>
    <w:basedOn w:val="977"/>
    <w:link w:val="939"/>
    <w:uiPriority w:val="0"/>
    <w:qFormat/>
    <w:rPr>
      <w:rFonts w:asciiTheme="minorHAnsi" w:hAnsiTheme="minorHAnsi" w:eastAsiaTheme="minorEastAsia" w:cstheme="minorBidi"/>
      <w:b/>
      <w:bCs/>
      <w:sz w:val="21"/>
      <w:szCs w:val="24"/>
    </w:rPr>
  </w:style>
  <w:style w:type="character" w:styleId="979" w:customStyle="1">
    <w:name w:val="正文文本首行缩进 2 字符"/>
    <w:basedOn w:val="971"/>
    <w:link w:val="941"/>
    <w:uiPriority w:val="0"/>
    <w:qFormat/>
    <w:rPr>
      <w:sz w:val="21"/>
      <w:szCs w:val="24"/>
    </w:rPr>
  </w:style>
  <w:style w:type="paragraph" w:styleId="980" w:customStyle="1">
    <w:name w:val="my正文"/>
    <w:basedOn w:val="906"/>
    <w:uiPriority w:val="0"/>
    <w:qFormat/>
    <w:pPr>
      <w:ind w:firstLine="480"/>
      <w:jc w:val="left"/>
      <w:spacing w:line="360" w:lineRule="auto"/>
    </w:pPr>
    <w:rPr>
      <w:rFonts w:ascii="Times New Roman" w:hAnsi="Times New Roman" w:eastAsia="宋体" w:cs="Times New Roman"/>
      <w:sz w:val="24"/>
    </w:rPr>
  </w:style>
  <w:style w:type="character" w:styleId="981" w:customStyle="1">
    <w:name w:val="标题 3 Char"/>
    <w:uiPriority w:val="0"/>
    <w:qFormat/>
    <w:rPr>
      <w:b/>
      <w:bCs/>
      <w:sz w:val="32"/>
      <w:szCs w:val="32"/>
    </w:rPr>
  </w:style>
  <w:style w:type="character" w:styleId="982" w:customStyle="1">
    <w:name w:val="font01"/>
    <w:uiPriority w:val="0"/>
    <w:qFormat/>
    <w:rPr>
      <w:rFonts w:hint="eastAsia" w:ascii="宋体" w:hAnsi="宋体" w:eastAsia="宋体" w:cs="宋体"/>
      <w:color w:val="000000"/>
      <w:sz w:val="22"/>
      <w:szCs w:val="22"/>
      <w:u w:val="none"/>
    </w:rPr>
  </w:style>
  <w:style w:type="character" w:styleId="983" w:customStyle="1">
    <w:name w:val="font21"/>
    <w:uiPriority w:val="0"/>
    <w:qFormat/>
    <w:rPr>
      <w:rFonts w:hint="eastAsia" w:ascii="宋体" w:hAnsi="宋体" w:eastAsia="宋体" w:cs="宋体"/>
      <w:color w:val="ff0000"/>
      <w:sz w:val="22"/>
      <w:szCs w:val="22"/>
      <w:u w:val="none"/>
    </w:rPr>
  </w:style>
  <w:style w:type="character" w:styleId="984" w:customStyle="1">
    <w:name w:val="目录 Char"/>
    <w:link w:val="985"/>
    <w:uiPriority w:val="0"/>
    <w:qFormat/>
    <w:rPr>
      <w:rFonts w:ascii="方正兰亭准黑简体" w:hAnsi="方正兰亭准黑简体" w:eastAsia="方正兰亭准黑简体" w:cs="黑体"/>
      <w:sz w:val="24"/>
      <w:szCs w:val="22"/>
    </w:rPr>
  </w:style>
  <w:style w:type="paragraph" w:styleId="985" w:customStyle="1">
    <w:name w:val="目录"/>
    <w:basedOn w:val="906"/>
    <w:link w:val="984"/>
    <w:uiPriority w:val="0"/>
    <w:qFormat/>
    <w:pPr>
      <w:ind w:firstLine="1440"/>
      <w:jc w:val="left"/>
      <w:spacing w:line="360" w:lineRule="auto"/>
      <w:tabs>
        <w:tab w:val="left" w:pos="840" w:leader="none"/>
        <w:tab w:val="right" w:pos="8296" w:leader="dot"/>
      </w:tabs>
    </w:pPr>
    <w:rPr>
      <w:rFonts w:ascii="方正兰亭准黑简体" w:hAnsi="方正兰亭准黑简体" w:eastAsia="方正兰亭准黑简体" w:cs="黑体"/>
      <w:sz w:val="24"/>
      <w:szCs w:val="22"/>
    </w:rPr>
  </w:style>
  <w:style w:type="character" w:styleId="986" w:customStyle="1">
    <w:name w:val="正文2 Char"/>
    <w:link w:val="987"/>
    <w:uiPriority w:val="0"/>
    <w:qFormat/>
    <w:rPr>
      <w:sz w:val="24"/>
      <w:szCs w:val="24"/>
    </w:rPr>
  </w:style>
  <w:style w:type="paragraph" w:styleId="987" w:customStyle="1">
    <w:name w:val="正文2"/>
    <w:basedOn w:val="906"/>
    <w:link w:val="986"/>
    <w:uiPriority w:val="0"/>
    <w:qFormat/>
    <w:pPr>
      <w:ind w:left="1134" w:firstLine="1440"/>
      <w:jc w:val="left"/>
      <w:spacing w:line="480" w:lineRule="atLeast"/>
      <w:widowControl/>
    </w:pPr>
    <w:rPr>
      <w:rFonts w:ascii="Times New Roman" w:hAnsi="Times New Roman" w:eastAsia="宋体" w:cs="Times New Roman"/>
      <w:sz w:val="24"/>
    </w:rPr>
  </w:style>
  <w:style w:type="character" w:styleId="988" w:customStyle="1">
    <w:name w:val="font41"/>
    <w:uiPriority w:val="0"/>
    <w:qFormat/>
    <w:rPr>
      <w:rFonts w:hint="eastAsia" w:ascii="宋体" w:hAnsi="宋体" w:eastAsia="宋体" w:cs="宋体"/>
      <w:color w:val="000000"/>
      <w:sz w:val="20"/>
      <w:szCs w:val="20"/>
      <w:u w:val="none"/>
    </w:rPr>
  </w:style>
  <w:style w:type="character" w:styleId="989" w:customStyle="1">
    <w:name w:val="font11"/>
    <w:uiPriority w:val="0"/>
    <w:qFormat/>
    <w:rPr>
      <w:rFonts w:hint="eastAsia" w:ascii="宋体" w:hAnsi="宋体" w:eastAsia="宋体" w:cs="宋体"/>
      <w:color w:val="000000"/>
      <w:sz w:val="22"/>
      <w:szCs w:val="22"/>
      <w:u w:val="none"/>
    </w:rPr>
  </w:style>
  <w:style w:type="character" w:styleId="990" w:customStyle="1">
    <w:name w:val="font31"/>
    <w:uiPriority w:val="0"/>
    <w:qFormat/>
    <w:rPr>
      <w:rFonts w:hint="eastAsia" w:ascii="宋体" w:hAnsi="宋体" w:eastAsia="宋体" w:cs="宋体"/>
      <w:color w:val="000000"/>
      <w:sz w:val="22"/>
      <w:szCs w:val="22"/>
      <w:u w:val="none"/>
    </w:rPr>
  </w:style>
  <w:style w:type="character" w:styleId="991" w:customStyle="1">
    <w:name w:val="样式 四号1"/>
    <w:uiPriority w:val="0"/>
    <w:qFormat/>
    <w:rPr>
      <w:rFonts w:ascii="Times New Roman" w:hAnsi="Times New Roman" w:eastAsia="宋体"/>
      <w:sz w:val="28"/>
    </w:rPr>
  </w:style>
  <w:style w:type="character" w:styleId="992" w:customStyle="1">
    <w:name w:val="正文-首行缩进 Char"/>
    <w:link w:val="993"/>
    <w:uiPriority w:val="0"/>
    <w:qFormat/>
    <w:rPr>
      <w:rFonts w:ascii="方正兰亭准黑简体" w:hAnsi="方正兰亭准黑简体" w:eastAsia="方正兰亭准黑简体" w:cs="黑体"/>
      <w:sz w:val="24"/>
      <w:szCs w:val="22"/>
    </w:rPr>
  </w:style>
  <w:style w:type="paragraph" w:styleId="993" w:customStyle="1">
    <w:name w:val="正文-首行缩进"/>
    <w:basedOn w:val="906"/>
    <w:link w:val="992"/>
    <w:uiPriority w:val="0"/>
    <w:qFormat/>
    <w:pPr>
      <w:ind w:firstLine="420"/>
      <w:jc w:val="left"/>
      <w:spacing w:line="360" w:lineRule="auto"/>
    </w:pPr>
    <w:rPr>
      <w:rFonts w:ascii="方正兰亭准黑简体" w:hAnsi="方正兰亭准黑简体" w:eastAsia="方正兰亭准黑简体" w:cs="黑体"/>
      <w:sz w:val="24"/>
      <w:szCs w:val="22"/>
    </w:rPr>
  </w:style>
  <w:style w:type="character" w:styleId="994" w:customStyle="1">
    <w:name w:val="标题 3 Char1"/>
    <w:uiPriority w:val="0"/>
    <w:qFormat/>
    <w:rPr>
      <w:rFonts w:ascii="黑体" w:eastAsia="黑体"/>
      <w:b/>
      <w:bCs/>
      <w:sz w:val="28"/>
      <w:szCs w:val="28"/>
    </w:rPr>
  </w:style>
  <w:style w:type="character" w:styleId="995" w:customStyle="1">
    <w:name w:val="列表段落 字符"/>
    <w:link w:val="996"/>
    <w:uiPriority w:val="34"/>
    <w:qFormat/>
    <w:rPr>
      <w:sz w:val="21"/>
      <w:szCs w:val="24"/>
    </w:rPr>
  </w:style>
  <w:style w:type="paragraph" w:styleId="996">
    <w:name w:val="List Paragraph"/>
    <w:basedOn w:val="906"/>
    <w:link w:val="995"/>
    <w:uiPriority w:val="34"/>
    <w:qFormat/>
    <w:pPr>
      <w:ind w:firstLine="420"/>
      <w:jc w:val="left"/>
    </w:pPr>
    <w:rPr>
      <w:rFonts w:ascii="Times New Roman" w:hAnsi="Times New Roman" w:eastAsia="宋体" w:cs="Times New Roman"/>
    </w:rPr>
  </w:style>
  <w:style w:type="paragraph" w:styleId="997" w:customStyle="1">
    <w:name w:val="_Style 15"/>
    <w:basedOn w:val="906"/>
    <w:next w:val="996"/>
    <w:uiPriority w:val="99"/>
    <w:qFormat/>
    <w:pPr>
      <w:ind w:firstLine="420"/>
      <w:jc w:val="left"/>
      <w:spacing w:line="300" w:lineRule="auto"/>
    </w:pPr>
    <w:rPr>
      <w:rFonts w:ascii="Times New Roman" w:hAnsi="Times New Roman" w:eastAsia="宋体" w:cs="Times New Roman"/>
    </w:rPr>
  </w:style>
  <w:style w:type="paragraph" w:styleId="998" w:customStyle="1">
    <w:name w:val="content_p"/>
    <w:basedOn w:val="906"/>
    <w:uiPriority w:val="0"/>
    <w:qFormat/>
    <w:pPr>
      <w:ind w:firstLine="1440"/>
      <w:jc w:val="left"/>
      <w:spacing w:before="100" w:beforeAutospacing="1" w:after="100" w:afterAutospacing="1"/>
      <w:widowControl/>
    </w:pPr>
    <w:rPr>
      <w:rFonts w:ascii="宋体" w:hAnsi="宋体" w:eastAsia="宋体" w:cs="宋体"/>
      <w:sz w:val="24"/>
    </w:rPr>
  </w:style>
  <w:style w:type="paragraph" w:styleId="999" w:customStyle="1">
    <w:name w:val="a"/>
    <w:basedOn w:val="906"/>
    <w:uiPriority w:val="0"/>
    <w:qFormat/>
    <w:pPr>
      <w:ind w:firstLine="1440"/>
      <w:jc w:val="left"/>
      <w:widowControl/>
    </w:pPr>
    <w:rPr>
      <w:rFonts w:ascii="宋体" w:hAnsi="宋体" w:eastAsia="宋体" w:cs="宋体"/>
      <w:sz w:val="24"/>
    </w:rPr>
  </w:style>
  <w:style w:type="paragraph" w:styleId="1000" w:customStyle="1">
    <w:name w:val="样式 宋体 四号 居中 行距: 1.5 倍行距"/>
    <w:basedOn w:val="906"/>
    <w:uiPriority w:val="0"/>
    <w:qFormat/>
    <w:pPr>
      <w:ind w:firstLine="1440"/>
      <w:jc w:val="center"/>
      <w:spacing w:line="360" w:lineRule="auto"/>
    </w:pPr>
    <w:rPr>
      <w:rFonts w:ascii="宋体" w:hAnsi="Cambria" w:eastAsia="宋体" w:cs="宋体"/>
      <w:sz w:val="28"/>
      <w:szCs w:val="20"/>
    </w:rPr>
  </w:style>
  <w:style w:type="paragraph" w:styleId="1001" w:customStyle="1">
    <w:name w:val="缩紧正文 Char"/>
    <w:basedOn w:val="906"/>
    <w:uiPriority w:val="0"/>
    <w:qFormat/>
    <w:pPr>
      <w:ind w:firstLine="480"/>
      <w:jc w:val="left"/>
      <w:spacing w:before="120" w:after="120" w:line="400" w:lineRule="exact"/>
    </w:pPr>
    <w:rPr>
      <w:rFonts w:ascii="宋体" w:hAnsi="宋体" w:eastAsia="宋体" w:cs="宋体"/>
      <w:sz w:val="24"/>
      <w:szCs w:val="20"/>
    </w:rPr>
  </w:style>
  <w:style w:type="paragraph" w:styleId="1002" w:customStyle="1">
    <w:name w:val="标书标题4 Char"/>
    <w:basedOn w:val="910"/>
    <w:uiPriority w:val="0"/>
    <w:qFormat/>
    <w:pPr>
      <w:ind w:left="2369" w:hanging="420"/>
      <w:jc w:val="left"/>
      <w:keepLines w:val="0"/>
      <w:keepNext w:val="0"/>
      <w:spacing w:before="0" w:after="0" w:line="360" w:lineRule="auto"/>
      <w:tabs>
        <w:tab w:val="left" w:pos="2369" w:leader="none"/>
      </w:tabs>
    </w:pPr>
    <w:rPr>
      <w:rFonts w:ascii="宋体" w:hAnsi="宋体" w:eastAsia="宋体" w:cs="Times New Roman"/>
      <w:bCs w:val="0"/>
      <w:sz w:val="24"/>
      <w:lang w:val="en-GB"/>
    </w:rPr>
  </w:style>
  <w:style w:type="paragraph" w:styleId="1003" w:customStyle="1">
    <w:name w:val="列出段落1"/>
    <w:basedOn w:val="906"/>
    <w:uiPriority w:val="0"/>
    <w:qFormat/>
    <w:pPr>
      <w:ind w:firstLine="420"/>
      <w:jc w:val="left"/>
    </w:pPr>
    <w:rPr>
      <w:rFonts w:ascii="Calibri" w:hAnsi="Calibri" w:eastAsia="宋体" w:cs="Times New Roman"/>
      <w:szCs w:val="22"/>
    </w:rPr>
  </w:style>
  <w:style w:type="paragraph" w:styleId="1004" w:customStyle="1">
    <w:name w:val="列表段落1"/>
    <w:basedOn w:val="906"/>
    <w:uiPriority w:val="0"/>
    <w:qFormat/>
    <w:pPr>
      <w:ind w:firstLine="420"/>
      <w:jc w:val="left"/>
    </w:pPr>
    <w:rPr>
      <w:rFonts w:ascii="Calibri" w:hAnsi="Calibri" w:eastAsia="宋体" w:cs="Times New Roman"/>
      <w:szCs w:val="22"/>
    </w:rPr>
  </w:style>
  <w:style w:type="paragraph" w:styleId="1005" w:customStyle="1">
    <w:name w:val="样式 仿宋 行距: 1.5 倍行距"/>
    <w:basedOn w:val="906"/>
    <w:uiPriority w:val="0"/>
    <w:qFormat/>
    <w:pPr>
      <w:ind w:firstLine="1440"/>
      <w:jc w:val="left"/>
      <w:spacing w:line="360" w:lineRule="auto"/>
    </w:pPr>
    <w:rPr>
      <w:rFonts w:ascii="仿宋" w:hAnsi="仿宋" w:eastAsia="仿宋" w:cs="宋体"/>
      <w:sz w:val="24"/>
      <w:szCs w:val="20"/>
    </w:rPr>
  </w:style>
  <w:style w:type="paragraph" w:styleId="1006" w:customStyle="1">
    <w:name w:val="缩紧正文 Char Char"/>
    <w:basedOn w:val="906"/>
    <w:uiPriority w:val="0"/>
    <w:qFormat/>
    <w:pPr>
      <w:ind w:firstLine="480"/>
      <w:jc w:val="left"/>
      <w:spacing w:before="120" w:after="120" w:line="400" w:lineRule="exact"/>
    </w:pPr>
    <w:rPr>
      <w:rFonts w:ascii="宋体" w:hAnsi="宋体" w:eastAsia="宋体" w:cs="宋体"/>
      <w:sz w:val="24"/>
    </w:rPr>
  </w:style>
  <w:style w:type="paragraph" w:styleId="1007" w:customStyle="1">
    <w:name w:val="TOC 标题1"/>
    <w:basedOn w:val="907"/>
    <w:next w:val="906"/>
    <w:uiPriority w:val="39"/>
    <w:qFormat/>
    <w:pPr>
      <w:ind w:firstLine="200"/>
      <w:jc w:val="left"/>
      <w:spacing w:before="480" w:after="0" w:line="276" w:lineRule="auto"/>
      <w:widowControl/>
      <w:outlineLvl w:val="9"/>
    </w:pPr>
    <w:rPr>
      <w:rFonts w:ascii="Cambria" w:hAnsi="Cambria" w:eastAsia="宋体" w:cs="Times New Roman"/>
      <w:color w:val="365f91"/>
      <w:sz w:val="28"/>
      <w:szCs w:val="28"/>
    </w:rPr>
  </w:style>
  <w:style w:type="paragraph" w:styleId="1008" w:customStyle="1">
    <w:name w:val="我的正文"/>
    <w:basedOn w:val="906"/>
    <w:uiPriority w:val="0"/>
    <w:qFormat/>
    <w:pPr>
      <w:ind w:firstLine="480"/>
      <w:jc w:val="left"/>
      <w:spacing w:line="360" w:lineRule="auto"/>
    </w:pPr>
    <w:rPr>
      <w:rFonts w:ascii="宋体" w:hAnsi="宋体" w:eastAsia="宋体" w:cs="Times New Roman"/>
      <w:color w:val="000000"/>
      <w:sz w:val="24"/>
    </w:rPr>
  </w:style>
  <w:style w:type="paragraph" w:styleId="1009" w:customStyle="1">
    <w:name w:val="标书标题3"/>
    <w:basedOn w:val="909"/>
    <w:uiPriority w:val="0"/>
    <w:qFormat/>
    <w:pPr>
      <w:ind w:left="504" w:hanging="504"/>
      <w:jc w:val="left"/>
      <w:keepLines w:val="0"/>
      <w:keepNext w:val="0"/>
      <w:spacing w:before="0" w:after="0" w:line="240" w:lineRule="auto"/>
      <w:tabs>
        <w:tab w:val="left" w:pos="284" w:leader="none"/>
        <w:tab w:val="left" w:pos="1740" w:leader="none"/>
      </w:tabs>
    </w:pPr>
    <w:rPr>
      <w:rFonts w:ascii="宋体" w:hAnsi="宋体" w:eastAsia="宋体" w:cs="宋体"/>
      <w:bCs w:val="0"/>
      <w:sz w:val="28"/>
      <w:szCs w:val="24"/>
    </w:rPr>
  </w:style>
  <w:style w:type="paragraph" w:styleId="1010" w:customStyle="1">
    <w:name w:val="文档正文 Char Char"/>
    <w:basedOn w:val="906"/>
    <w:next w:val="906"/>
    <w:uiPriority w:val="0"/>
    <w:qFormat/>
    <w:pPr>
      <w:ind w:firstLine="480"/>
      <w:jc w:val="left"/>
      <w:spacing w:line="480" w:lineRule="exact"/>
    </w:pPr>
    <w:rPr>
      <w:rFonts w:ascii="宋体" w:hAnsi="Times New Roman" w:eastAsia="宋体" w:cs="Times New Roman"/>
      <w:sz w:val="24"/>
    </w:rPr>
  </w:style>
  <w:style w:type="paragraph" w:styleId="1011" w:customStyle="1">
    <w:name w:val="缩紧正文"/>
    <w:basedOn w:val="906"/>
    <w:uiPriority w:val="0"/>
    <w:qFormat/>
    <w:pPr>
      <w:ind w:firstLine="480"/>
      <w:jc w:val="left"/>
      <w:spacing w:before="120" w:after="120" w:line="400" w:lineRule="exact"/>
    </w:pPr>
    <w:rPr>
      <w:rFonts w:ascii="宋体" w:hAnsi="宋体" w:eastAsia="宋体" w:cs="宋体"/>
      <w:sz w:val="24"/>
    </w:rPr>
  </w:style>
  <w:style w:type="paragraph" w:styleId="1012" w:customStyle="1">
    <w:name w:val="工可正文"/>
    <w:basedOn w:val="928"/>
    <w:uiPriority w:val="0"/>
    <w:qFormat/>
    <w:pPr>
      <w:ind w:firstLine="560"/>
      <w:jc w:val="left"/>
    </w:pPr>
    <w:rPr>
      <w:rFonts w:ascii="Times New Roman" w:hAnsi="Times New Roman" w:eastAsia="宋体" w:cs="Times New Roman"/>
      <w:sz w:val="28"/>
      <w:szCs w:val="20"/>
    </w:rPr>
  </w:style>
  <w:style w:type="paragraph" w:styleId="1013" w:customStyle="1">
    <w:name w:val="正文首行缩进1(Crlf+Shift+M)"/>
    <w:uiPriority w:val="0"/>
    <w:qFormat/>
    <w:pPr>
      <w:ind w:firstLine="420"/>
      <w:spacing w:before="120" w:after="120" w:line="360" w:lineRule="auto"/>
    </w:pPr>
    <w:rPr>
      <w:rFonts w:ascii="Arial" w:hAnsi="Arial" w:eastAsia="宋体" w:cs="宋体"/>
      <w:sz w:val="21"/>
      <w:lang w:val="en-US" w:eastAsia="zh-CN" w:bidi="ar-SA"/>
    </w:rPr>
  </w:style>
  <w:style w:type="paragraph" w:styleId="1014" w:customStyle="1">
    <w:name w:val="标准正文"/>
    <w:basedOn w:val="906"/>
    <w:uiPriority w:val="0"/>
    <w:qFormat/>
    <w:pPr>
      <w:ind w:firstLine="480"/>
      <w:jc w:val="left"/>
      <w:spacing w:line="360" w:lineRule="auto"/>
    </w:pPr>
    <w:rPr>
      <w:rFonts w:ascii="Times New Roman" w:hAnsi="Times New Roman" w:eastAsia="宋体" w:cs="Times New Roman"/>
      <w:sz w:val="24"/>
      <w:szCs w:val="20"/>
    </w:rPr>
  </w:style>
  <w:style w:type="paragraph" w:styleId="1015" w:customStyle="1">
    <w:name w:val="样式 首行缩进:  2 字符"/>
    <w:basedOn w:val="906"/>
    <w:uiPriority w:val="99"/>
    <w:qFormat/>
    <w:pPr>
      <w:ind w:firstLine="1440"/>
      <w:jc w:val="left"/>
    </w:pPr>
    <w:rPr>
      <w:rFonts w:ascii="Times New Roman" w:hAnsi="Times New Roman" w:eastAsia="宋体" w:cs="Times New Roman"/>
      <w:sz w:val="24"/>
      <w:lang w:val="zh-CN"/>
    </w:rPr>
  </w:style>
  <w:style w:type="table" w:styleId="1016" w:customStyle="1">
    <w:name w:val="Table Normal"/>
    <w:uiPriority w:val="0"/>
    <w:unhideWhenUsed/>
    <w:qFormat/>
    <w:tblPr>
      <w:tblCellMar>
        <w:left w:w="0" w:type="dxa"/>
        <w:top w:w="0" w:type="dxa"/>
        <w:right w:w="0" w:type="dxa"/>
        <w:bottom w:w="0" w:type="dxa"/>
      </w:tblCellMar>
    </w:tblPr>
  </w:style>
  <w:style w:type="character" w:styleId="1017" w:customStyle="1">
    <w:name w:val="font51"/>
    <w:uiPriority w:val="0"/>
    <w:qFormat/>
    <w:rPr>
      <w:rFonts w:hint="eastAsia" w:ascii="宋体" w:hAnsi="宋体" w:eastAsia="宋体" w:cs="宋体"/>
      <w:color w:val="000000"/>
      <w:sz w:val="24"/>
      <w:szCs w:val="24"/>
      <w:u w:val="none"/>
    </w:rPr>
  </w:style>
  <w:style w:type="character" w:styleId="1018" w:customStyle="1">
    <w:name w:val="font71"/>
    <w:basedOn w:val="916"/>
    <w:uiPriority w:val="0"/>
    <w:qFormat/>
    <w:rPr>
      <w:rFonts w:hint="eastAsia" w:ascii="微软雅黑" w:hAnsi="微软雅黑" w:eastAsia="微软雅黑" w:cs="微软雅黑"/>
      <w:color w:val="000000"/>
      <w:sz w:val="20"/>
      <w:szCs w:val="20"/>
      <w:u w:val="none"/>
    </w:rPr>
  </w:style>
  <w:style w:type="character" w:styleId="1019" w:customStyle="1">
    <w:name w:val="font112"/>
    <w:basedOn w:val="916"/>
    <w:uiPriority w:val="0"/>
    <w:qFormat/>
    <w:rPr>
      <w:rFonts w:ascii="Wingdings 2" w:hAnsi="Wingdings 2" w:eastAsia="Wingdings 2" w:cs="Wingdings 2"/>
      <w:color w:val="000000"/>
      <w:sz w:val="20"/>
      <w:szCs w:val="20"/>
      <w:u w:val="none"/>
    </w:rPr>
  </w:style>
  <w:style w:type="paragraph" w:styleId="1020"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1021" w:customStyle="1">
    <w:name w:val="Other|1"/>
    <w:basedOn w:val="906"/>
    <w:uiPriority w:val="0"/>
    <w:qFormat/>
    <w:pPr>
      <w:ind w:firstLine="1440"/>
      <w:jc w:val="left"/>
    </w:pPr>
    <w:rPr>
      <w:rFonts w:ascii="宋体" w:hAnsi="宋体" w:eastAsia="宋体" w:cs="宋体"/>
      <w:sz w:val="20"/>
      <w:szCs w:val="20"/>
      <w:lang w:val="zh-TW" w:eastAsia="zh-TW" w:bidi="zh-TW"/>
    </w:rPr>
  </w:style>
  <w:style w:type="paragraph" w:styleId="1022" w:customStyle="1">
    <w:name w:val="正文空2格  1."/>
    <w:basedOn w:val="906"/>
    <w:uiPriority w:val="0"/>
    <w:qFormat/>
    <w:pPr>
      <w:ind w:firstLine="480"/>
    </w:pPr>
    <w:rPr>
      <w:rFonts w:cs="宋体"/>
      <w:szCs w:val="20"/>
    </w:rPr>
  </w:style>
  <w:style w:type="paragraph" w:styleId="1023" w:customStyle="1">
    <w:name w:val="Normal_6"/>
    <w:uiPriority w:val="0"/>
    <w:qFormat/>
    <w:rPr>
      <w:rFonts w:ascii="Times New Roman" w:hAnsi="Times New Roman" w:eastAsia="Times New Roman" w:cs="Times New Roman"/>
      <w:sz w:val="24"/>
      <w:szCs w:val="24"/>
      <w:lang w:val="en-US" w:eastAsia="zh-CN" w:bidi="ar-SA"/>
    </w:rPr>
  </w:style>
  <w:style w:type="numbering" w:styleId="1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南翠莲</cp:lastModifiedBy>
  <cp:revision>55</cp:revision>
  <dcterms:created xsi:type="dcterms:W3CDTF">2025-04-14T01:03:00Z</dcterms:created>
  <dcterms:modified xsi:type="dcterms:W3CDTF">2025-06-12T06:45:01Z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96CF80DAAFEB4C9093E6A07F97887F5B_13</vt:lpwstr>
  </property>
  <property fmtid="{D5CDD505-2E9C-101B-9397-08002B2CF9AE}" pid="4" name="KSOTemplateDocerSaveRecord">
    <vt:lpwstr>eyJoZGlkIjoiMTM5M2JmNzY4MDIyMzhmZmYzZjFiMjU3ZTkyNWRkN2EiLCJ1c2VySWQiOiIxMDc1NDQxNTA2In0=</vt:lpwstr>
  </property>
</Properties>
</file>