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1285" w:firstLineChars="400"/>
        <w:rPr>
          <w:rFonts w:ascii="黑体" w:hAnsi="Arial" w:eastAsia="黑体" w:cs="Times New Roman"/>
          <w:b/>
          <w:color w:val="000000"/>
          <w:kern w:val="0"/>
          <w:sz w:val="44"/>
          <w:szCs w:val="21"/>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color w:val="000000"/>
          <w:kern w:val="0"/>
          <w:sz w:val="32"/>
          <w:szCs w:val="24"/>
          <w:highlight w:val="none"/>
        </w:rPr>
        <w:t>：东海县双店镇联建联栋智能花卉温室大棚数字化建设项目</w:t>
      </w:r>
    </w:p>
    <w:p>
      <w:pPr>
        <w:spacing w:line="480" w:lineRule="auto"/>
        <w:ind w:firstLine="1285" w:firstLineChars="400"/>
        <w:rPr>
          <w:rFonts w:ascii="黑体" w:hAnsi="Arial" w:eastAsia="黑体" w:cs="Times New Roman"/>
          <w:b/>
          <w:color w:val="000000"/>
          <w:kern w:val="0"/>
          <w:sz w:val="44"/>
          <w:szCs w:val="21"/>
        </w:rPr>
      </w:pPr>
      <w:r>
        <w:rPr>
          <w:rFonts w:hint="eastAsia" w:ascii="Arial" w:hAnsi="Arial" w:eastAsia="宋体" w:cs="Times New Roman"/>
          <w:b/>
          <w:bCs/>
          <w:kern w:val="0"/>
          <w:sz w:val="32"/>
          <w:szCs w:val="24"/>
        </w:rPr>
        <w:t>项目编号：JSZC-320722-JZCG-G2024-0020</w:t>
      </w: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ind w:firstLine="1606" w:firstLineChars="500"/>
        <w:rPr>
          <w:rFonts w:hint="eastAsia" w:ascii="Arial" w:hAnsi="Arial" w:eastAsia="宋体" w:cs="Times New Roman"/>
          <w:b/>
          <w:bCs/>
          <w:kern w:val="0"/>
          <w:sz w:val="32"/>
          <w:szCs w:val="24"/>
          <w:lang w:eastAsia="zh-CN"/>
        </w:rPr>
      </w:pPr>
      <w:r>
        <w:rPr>
          <w:rFonts w:hint="eastAsia" w:ascii="Arial" w:hAnsi="Arial" w:eastAsia="宋体" w:cs="Times New Roman"/>
          <w:b/>
          <w:bCs/>
          <w:kern w:val="0"/>
          <w:sz w:val="32"/>
          <w:szCs w:val="24"/>
        </w:rPr>
        <w:t>采   购   人：东海县双店镇人民政府</w:t>
      </w:r>
    </w:p>
    <w:p>
      <w:pPr>
        <w:spacing w:before="120" w:after="120" w:line="360" w:lineRule="auto"/>
        <w:jc w:val="center"/>
        <w:rPr>
          <w:rFonts w:hint="eastAsia" w:ascii="Arial" w:hAnsi="Arial" w:eastAsia="宋体" w:cs="Times New Roman"/>
          <w:b/>
          <w:bCs/>
          <w:kern w:val="0"/>
          <w:sz w:val="32"/>
          <w:szCs w:val="24"/>
        </w:rPr>
      </w:pPr>
      <w:r>
        <w:rPr>
          <w:rFonts w:hint="eastAsia" w:ascii="Arial" w:hAnsi="Arial" w:eastAsia="宋体" w:cs="Times New Roman"/>
          <w:b/>
          <w:bCs/>
          <w:kern w:val="0"/>
          <w:sz w:val="32"/>
          <w:szCs w:val="24"/>
        </w:rPr>
        <w:t>采购代理机构：东海县政府采购中心</w:t>
      </w:r>
    </w:p>
    <w:p>
      <w:pPr>
        <w:spacing w:before="120" w:after="120" w:line="360" w:lineRule="auto"/>
        <w:jc w:val="center"/>
      </w:pPr>
      <w:r>
        <w:rPr>
          <w:rFonts w:hint="eastAsia" w:ascii="Arial" w:hAnsi="Arial" w:eastAsia="宋体" w:cs="Times New Roman"/>
          <w:b/>
          <w:bCs/>
          <w:color w:val="000000"/>
          <w:kern w:val="0"/>
          <w:sz w:val="32"/>
          <w:szCs w:val="24"/>
        </w:rPr>
        <w:t>2024年</w:t>
      </w:r>
      <w:r>
        <w:rPr>
          <w:rFonts w:hint="eastAsia" w:ascii="Arial" w:hAnsi="Arial" w:eastAsia="宋体" w:cs="Times New Roman"/>
          <w:b/>
          <w:bCs/>
          <w:color w:val="000000"/>
          <w:kern w:val="0"/>
          <w:sz w:val="32"/>
          <w:szCs w:val="24"/>
          <w:lang w:val="en-US" w:eastAsia="zh-CN"/>
        </w:rPr>
        <w:t>9</w:t>
      </w:r>
      <w:r>
        <w:rPr>
          <w:rFonts w:hint="eastAsia" w:ascii="Arial" w:hAnsi="Arial" w:eastAsia="宋体" w:cs="Times New Roman"/>
          <w:b/>
          <w:bCs/>
          <w:color w:val="000000"/>
          <w:kern w:val="0"/>
          <w:sz w:val="32"/>
          <w:szCs w:val="24"/>
        </w:rPr>
        <w:t>月</w:t>
      </w:r>
      <w:r>
        <w:br w:type="page"/>
      </w:r>
      <w:r>
        <w:fldChar w:fldCharType="begin"/>
      </w:r>
      <w:r>
        <w:instrText xml:space="preserve"> TOC \o "1-1" \u </w:instrText>
      </w:r>
      <w:r>
        <w:fldChar w:fldCharType="separate"/>
      </w:r>
    </w:p>
    <w:p>
      <w:pPr>
        <w:pStyle w:val="2"/>
        <w:spacing w:beforeLines="50" w:afterLines="50" w:line="360" w:lineRule="auto"/>
        <w:jc w:val="center"/>
        <w:rPr>
          <w:rFonts w:ascii="黑体" w:hAnsi="黑体" w:eastAsia="黑体"/>
          <w:b w:val="0"/>
        </w:rPr>
      </w:pPr>
      <w:r>
        <w:rPr>
          <w:rFonts w:hint="eastAsia" w:ascii="黑体" w:hAnsi="黑体" w:eastAsia="黑体"/>
          <w:b w:val="0"/>
        </w:rPr>
        <w:t>目  录</w:t>
      </w:r>
    </w:p>
    <w:p>
      <w:pPr>
        <w:pStyle w:val="15"/>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pPr>
        <w:pStyle w:val="15"/>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pPr>
        <w:pStyle w:val="15"/>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22</w:t>
      </w:r>
      <w:r>
        <w:rPr>
          <w:sz w:val="32"/>
        </w:rPr>
        <w:fldChar w:fldCharType="end"/>
      </w:r>
    </w:p>
    <w:p>
      <w:pPr>
        <w:pStyle w:val="15"/>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27</w:t>
      </w:r>
      <w:r>
        <w:rPr>
          <w:sz w:val="32"/>
        </w:rPr>
        <w:fldChar w:fldCharType="end"/>
      </w:r>
    </w:p>
    <w:p>
      <w:pPr>
        <w:pStyle w:val="15"/>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44</w:t>
      </w:r>
      <w:r>
        <w:rPr>
          <w:sz w:val="32"/>
        </w:rPr>
        <w:fldChar w:fldCharType="end"/>
      </w:r>
    </w:p>
    <w:p>
      <w:pPr>
        <w:pStyle w:val="15"/>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44</w:t>
      </w:r>
      <w:r>
        <w:rPr>
          <w:sz w:val="32"/>
        </w:rPr>
        <w:fldChar w:fldCharType="end"/>
      </w:r>
    </w:p>
    <w:p>
      <w:pPr>
        <w:widowControl/>
        <w:jc w:val="left"/>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r>
        <w:fldChar w:fldCharType="end"/>
      </w:r>
      <w:r>
        <w:br w:type="page"/>
      </w:r>
      <w:bookmarkStart w:id="0" w:name="_Toc155796356"/>
    </w:p>
    <w:p>
      <w:pPr>
        <w:pStyle w:val="2"/>
        <w:spacing w:beforeLines="50" w:afterLines="50" w:line="360" w:lineRule="auto"/>
        <w:ind w:firstLine="2200" w:firstLineChars="500"/>
        <w:jc w:val="both"/>
        <w:rPr>
          <w:rFonts w:ascii="黑体" w:hAnsi="黑体" w:eastAsia="黑体"/>
          <w:b w:val="0"/>
        </w:rPr>
      </w:pPr>
      <w:r>
        <w:rPr>
          <w:rFonts w:hint="eastAsia" w:ascii="黑体" w:hAnsi="黑体" w:eastAsia="黑体"/>
          <w:b w:val="0"/>
        </w:rPr>
        <w:t>第一章  投标邀请</w:t>
      </w:r>
      <w:bookmarkEnd w:id="0"/>
    </w:p>
    <w:p>
      <w:pPr>
        <w:spacing w:line="500" w:lineRule="exact"/>
        <w:ind w:firstLine="480" w:firstLineChars="200"/>
        <w:jc w:val="left"/>
        <w:rPr>
          <w:sz w:val="24"/>
          <w:szCs w:val="24"/>
        </w:rPr>
      </w:pPr>
      <w:r>
        <w:rPr>
          <w:rFonts w:hint="eastAsia"/>
          <w:sz w:val="24"/>
          <w:szCs w:val="24"/>
        </w:rPr>
        <w:t>受</w:t>
      </w:r>
      <w:r>
        <w:rPr>
          <w:rFonts w:hint="eastAsia"/>
          <w:sz w:val="24"/>
          <w:szCs w:val="24"/>
          <w:highlight w:val="none"/>
        </w:rPr>
        <w:t>东海县双店镇人民政府的</w:t>
      </w:r>
      <w:r>
        <w:rPr>
          <w:rFonts w:hint="eastAsia"/>
          <w:sz w:val="24"/>
          <w:szCs w:val="24"/>
        </w:rPr>
        <w:t>委托，</w:t>
      </w:r>
      <w:r>
        <w:rPr>
          <w:rFonts w:hint="eastAsia"/>
          <w:sz w:val="24"/>
          <w:szCs w:val="24"/>
          <w:lang w:eastAsia="zh-CN"/>
        </w:rPr>
        <w:t>东海县政府采购中</w:t>
      </w:r>
      <w:r>
        <w:rPr>
          <w:rFonts w:hint="eastAsia"/>
          <w:sz w:val="24"/>
          <w:szCs w:val="24"/>
          <w:highlight w:val="none"/>
          <w:lang w:eastAsia="zh-CN"/>
        </w:rPr>
        <w:t>心</w:t>
      </w:r>
      <w:r>
        <w:rPr>
          <w:rFonts w:hint="eastAsia"/>
          <w:sz w:val="24"/>
          <w:szCs w:val="24"/>
          <w:highlight w:val="none"/>
        </w:rPr>
        <w:t>就东海县双店镇联建联栋智能花卉温室大棚数字化建设项目项目</w:t>
      </w:r>
      <w:r>
        <w:rPr>
          <w:rFonts w:hint="eastAsia"/>
          <w:sz w:val="24"/>
          <w:szCs w:val="24"/>
        </w:rPr>
        <w:t>（</w:t>
      </w:r>
      <w:r>
        <w:rPr>
          <w:rFonts w:ascii="Segoe UI" w:hAnsi="Segoe UI" w:eastAsia="Segoe UI" w:cs="Segoe UI"/>
          <w:i w:val="0"/>
          <w:caps w:val="0"/>
          <w:spacing w:val="0"/>
          <w:sz w:val="21"/>
          <w:szCs w:val="21"/>
          <w:shd w:val="clear" w:fill="FFFFFF"/>
        </w:rPr>
        <w:t>JSZC-320722-JZCG-G2024-0020</w:t>
      </w:r>
      <w:r>
        <w:rPr>
          <w:rFonts w:hint="eastAsia"/>
          <w:sz w:val="24"/>
          <w:szCs w:val="24"/>
        </w:rPr>
        <w:t>）进行公开招标采购，欢迎符合条件的供应商投标。</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522" w:type="dxa"/>
          </w:tcPr>
          <w:p>
            <w:pPr>
              <w:spacing w:line="500" w:lineRule="exact"/>
              <w:jc w:val="left"/>
              <w:rPr>
                <w:sz w:val="24"/>
                <w:szCs w:val="24"/>
              </w:rPr>
            </w:pPr>
            <w:r>
              <w:rPr>
                <w:rFonts w:hint="eastAsia"/>
                <w:sz w:val="24"/>
                <w:szCs w:val="24"/>
              </w:rPr>
              <w:t>项目概况</w:t>
            </w:r>
          </w:p>
          <w:p>
            <w:pPr>
              <w:spacing w:line="500" w:lineRule="exact"/>
              <w:jc w:val="left"/>
              <w:rPr>
                <w:sz w:val="24"/>
                <w:szCs w:val="24"/>
              </w:rPr>
            </w:pPr>
            <w:r>
              <w:rPr>
                <w:rFonts w:hint="eastAsia"/>
                <w:sz w:val="24"/>
                <w:szCs w:val="24"/>
                <w:highlight w:val="none"/>
              </w:rPr>
              <w:t>东海县双店镇联建联栋智能花卉温室大棚数字化建设项目招标项目的潜在投标人应在江苏政府采购网自行免费下载招标文件，并于2024年</w:t>
            </w:r>
            <w:r>
              <w:rPr>
                <w:rFonts w:hint="eastAsia"/>
                <w:sz w:val="24"/>
                <w:szCs w:val="24"/>
                <w:highlight w:val="none"/>
                <w:lang w:val="en-US" w:eastAsia="zh-CN"/>
              </w:rPr>
              <w:t>9</w:t>
            </w:r>
            <w:r>
              <w:rPr>
                <w:rFonts w:hint="eastAsia"/>
                <w:sz w:val="24"/>
                <w:szCs w:val="24"/>
                <w:highlight w:val="none"/>
              </w:rPr>
              <w:t>月</w:t>
            </w:r>
            <w:r>
              <w:rPr>
                <w:rFonts w:hint="eastAsia"/>
                <w:sz w:val="24"/>
                <w:szCs w:val="24"/>
                <w:highlight w:val="none"/>
                <w:lang w:val="en-US" w:eastAsia="zh-CN"/>
              </w:rPr>
              <w:t>24</w:t>
            </w:r>
            <w:r>
              <w:rPr>
                <w:rFonts w:hint="eastAsia"/>
                <w:sz w:val="24"/>
                <w:szCs w:val="24"/>
                <w:highlight w:val="none"/>
              </w:rPr>
              <w:t>日</w:t>
            </w:r>
            <w:r>
              <w:rPr>
                <w:rFonts w:hint="eastAsia"/>
                <w:sz w:val="24"/>
                <w:szCs w:val="24"/>
                <w:highlight w:val="none"/>
                <w:lang w:val="en-US" w:eastAsia="zh-CN"/>
              </w:rPr>
              <w:t xml:space="preserve"> </w:t>
            </w:r>
            <w:r>
              <w:rPr>
                <w:rFonts w:hint="eastAsia"/>
                <w:sz w:val="24"/>
                <w:szCs w:val="24"/>
                <w:highlight w:val="none"/>
              </w:rPr>
              <w:t>（</w:t>
            </w:r>
            <w:r>
              <w:rPr>
                <w:rFonts w:hint="eastAsia"/>
                <w:sz w:val="24"/>
                <w:szCs w:val="24"/>
              </w:rPr>
              <w:t>北京时间）前递交（上传）投标文件。</w:t>
            </w:r>
          </w:p>
        </w:tc>
      </w:tr>
    </w:tbl>
    <w:p>
      <w:pPr>
        <w:pStyle w:val="4"/>
        <w:spacing w:before="0" w:after="0" w:line="360" w:lineRule="auto"/>
        <w:rPr>
          <w:rFonts w:ascii="黑体" w:hAnsi="黑体" w:eastAsia="黑体"/>
          <w:b w:val="0"/>
        </w:rPr>
      </w:pPr>
      <w:r>
        <w:rPr>
          <w:rFonts w:hint="eastAsia" w:ascii="黑体" w:hAnsi="黑体" w:eastAsia="黑体"/>
          <w:b w:val="0"/>
        </w:rPr>
        <w:t>一、项目基本情况</w:t>
      </w:r>
    </w:p>
    <w:p>
      <w:pPr>
        <w:spacing w:line="500" w:lineRule="exact"/>
        <w:ind w:firstLine="480" w:firstLineChars="200"/>
        <w:jc w:val="left"/>
        <w:rPr>
          <w:sz w:val="24"/>
          <w:szCs w:val="24"/>
        </w:rPr>
      </w:pPr>
      <w:r>
        <w:rPr>
          <w:rFonts w:hint="eastAsia"/>
          <w:sz w:val="24"/>
          <w:szCs w:val="24"/>
        </w:rPr>
        <w:t>项目编号：</w:t>
      </w:r>
      <w:r>
        <w:rPr>
          <w:rFonts w:ascii="Segoe UI" w:hAnsi="Segoe UI" w:eastAsia="Segoe UI" w:cs="Segoe UI"/>
          <w:i w:val="0"/>
          <w:caps w:val="0"/>
          <w:spacing w:val="0"/>
          <w:sz w:val="21"/>
          <w:szCs w:val="21"/>
          <w:shd w:val="clear" w:fill="FFFFFF"/>
        </w:rPr>
        <w:t>JSZC-320722-JZCG-G2024-0020</w:t>
      </w:r>
    </w:p>
    <w:p>
      <w:pPr>
        <w:spacing w:line="500" w:lineRule="exact"/>
        <w:ind w:firstLine="480" w:firstLineChars="200"/>
        <w:jc w:val="left"/>
        <w:rPr>
          <w:sz w:val="24"/>
          <w:szCs w:val="24"/>
        </w:rPr>
      </w:pPr>
      <w:r>
        <w:rPr>
          <w:rFonts w:hint="eastAsia"/>
          <w:sz w:val="24"/>
          <w:szCs w:val="24"/>
        </w:rPr>
        <w:t>项目名称：东海县双店镇联建联栋智能花卉温室大棚数字化建设项目</w:t>
      </w:r>
    </w:p>
    <w:p>
      <w:pPr>
        <w:spacing w:line="500" w:lineRule="exact"/>
        <w:ind w:firstLine="480" w:firstLineChars="200"/>
        <w:jc w:val="left"/>
        <w:rPr>
          <w:rFonts w:hint="eastAsia" w:eastAsiaTheme="minorEastAsia"/>
          <w:sz w:val="24"/>
          <w:szCs w:val="24"/>
          <w:lang w:val="en-US" w:eastAsia="zh-CN"/>
        </w:rPr>
      </w:pPr>
      <w:r>
        <w:rPr>
          <w:rFonts w:hint="eastAsia"/>
          <w:sz w:val="24"/>
          <w:szCs w:val="24"/>
        </w:rPr>
        <w:t>预算金额：135万元，报价超出预算金额的按无效响应处理</w:t>
      </w:r>
      <w:r>
        <w:rPr>
          <w:rFonts w:hint="eastAsia"/>
          <w:sz w:val="24"/>
          <w:szCs w:val="24"/>
          <w:lang w:eastAsia="zh-CN"/>
        </w:rPr>
        <w:t>。</w:t>
      </w:r>
    </w:p>
    <w:p>
      <w:pPr>
        <w:spacing w:line="500" w:lineRule="exact"/>
        <w:ind w:firstLine="480" w:firstLineChars="200"/>
        <w:jc w:val="left"/>
        <w:rPr>
          <w:sz w:val="24"/>
          <w:szCs w:val="24"/>
        </w:rPr>
      </w:pPr>
      <w:r>
        <w:rPr>
          <w:rFonts w:hint="eastAsia"/>
          <w:sz w:val="24"/>
          <w:szCs w:val="24"/>
        </w:rPr>
        <w:t>最高限价：</w:t>
      </w:r>
      <w:r>
        <w:rPr>
          <w:rFonts w:hint="eastAsia"/>
          <w:sz w:val="24"/>
          <w:szCs w:val="24"/>
          <w:highlight w:val="none"/>
        </w:rPr>
        <w:t xml:space="preserve"> 135 万元</w:t>
      </w:r>
    </w:p>
    <w:p>
      <w:pPr>
        <w:spacing w:line="500" w:lineRule="exact"/>
        <w:ind w:firstLine="480" w:firstLineChars="200"/>
        <w:jc w:val="left"/>
        <w:rPr>
          <w:sz w:val="24"/>
          <w:szCs w:val="24"/>
        </w:rPr>
      </w:pPr>
      <w:r>
        <w:rPr>
          <w:rFonts w:hint="eastAsia"/>
          <w:sz w:val="24"/>
          <w:szCs w:val="24"/>
        </w:rPr>
        <w:t>采购方式：公开招标</w:t>
      </w:r>
    </w:p>
    <w:p>
      <w:pPr>
        <w:spacing w:line="500" w:lineRule="exact"/>
        <w:ind w:firstLine="480" w:firstLineChars="200"/>
        <w:jc w:val="left"/>
        <w:rPr>
          <w:sz w:val="24"/>
          <w:szCs w:val="24"/>
        </w:rPr>
      </w:pPr>
      <w:r>
        <w:rPr>
          <w:rFonts w:hint="eastAsia"/>
          <w:sz w:val="24"/>
          <w:szCs w:val="24"/>
        </w:rPr>
        <w:t>采购需求</w:t>
      </w:r>
      <w:r>
        <w:rPr>
          <w:rFonts w:hint="eastAsia"/>
          <w:sz w:val="24"/>
          <w:szCs w:val="24"/>
          <w:highlight w:val="none"/>
        </w:rPr>
        <w:t>：东海县双店镇联建联栋智能花卉温室大棚数字化建设项目。（详细内容见本招标文件第四章）</w:t>
      </w:r>
    </w:p>
    <w:p>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pPr>
        <w:spacing w:line="500" w:lineRule="exact"/>
        <w:ind w:firstLine="480" w:firstLineChars="200"/>
        <w:jc w:val="left"/>
        <w:rPr>
          <w:sz w:val="24"/>
          <w:szCs w:val="24"/>
          <w:highlight w:val="none"/>
        </w:rPr>
      </w:pPr>
      <w:r>
        <w:rPr>
          <w:rFonts w:hint="eastAsia"/>
          <w:sz w:val="24"/>
          <w:szCs w:val="24"/>
          <w:highlight w:val="none"/>
          <w:lang w:eastAsia="zh-CN"/>
        </w:rPr>
        <w:t>交货期</w:t>
      </w:r>
      <w:r>
        <w:rPr>
          <w:rFonts w:hint="eastAsia"/>
          <w:sz w:val="24"/>
          <w:szCs w:val="24"/>
          <w:highlight w:val="none"/>
        </w:rPr>
        <w:t>：60日历天（具体开工日期以采购人发出的书面开工令为准）</w:t>
      </w:r>
    </w:p>
    <w:p>
      <w:pPr>
        <w:spacing w:line="500" w:lineRule="exact"/>
        <w:ind w:firstLine="480" w:firstLineChars="200"/>
        <w:jc w:val="left"/>
        <w:rPr>
          <w:sz w:val="24"/>
          <w:szCs w:val="24"/>
        </w:rPr>
      </w:pPr>
      <w:r>
        <w:rPr>
          <w:rFonts w:hint="eastAsia"/>
          <w:sz w:val="24"/>
          <w:szCs w:val="24"/>
        </w:rPr>
        <w:t>本项目（是/否）接受联合体投标：不接受联合体。</w:t>
      </w:r>
    </w:p>
    <w:p>
      <w:pPr>
        <w:pStyle w:val="4"/>
        <w:spacing w:before="0" w:after="0" w:line="360" w:lineRule="auto"/>
        <w:rPr>
          <w:rFonts w:ascii="黑体" w:hAnsi="黑体" w:eastAsia="黑体"/>
          <w:b w:val="0"/>
        </w:rPr>
      </w:pPr>
      <w:r>
        <w:rPr>
          <w:rFonts w:hint="eastAsia" w:ascii="黑体" w:hAnsi="黑体" w:eastAsia="黑体"/>
          <w:b w:val="0"/>
        </w:rPr>
        <w:t>二、申请人的资格要求</w:t>
      </w:r>
    </w:p>
    <w:p>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2.</w:t>
      </w:r>
      <w:r>
        <w:rPr>
          <w:rFonts w:hint="eastAsia"/>
          <w:sz w:val="24"/>
          <w:szCs w:val="24"/>
          <w:lang w:val="en-US" w:eastAsia="zh-CN"/>
        </w:rPr>
        <w:t>2022或2023年度</w:t>
      </w:r>
      <w:r>
        <w:rPr>
          <w:rFonts w:hint="eastAsia"/>
          <w:sz w:val="24"/>
          <w:szCs w:val="24"/>
        </w:rPr>
        <w:t>度的财务状况报告；（成立不满一年无需提供）</w:t>
      </w:r>
    </w:p>
    <w:p>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pPr>
        <w:spacing w:line="500" w:lineRule="exact"/>
        <w:ind w:firstLine="480" w:firstLineChars="200"/>
        <w:jc w:val="left"/>
        <w:rPr>
          <w:sz w:val="24"/>
          <w:szCs w:val="24"/>
        </w:rPr>
      </w:pPr>
      <w:r>
        <w:rPr>
          <w:rFonts w:hint="eastAsia"/>
          <w:sz w:val="24"/>
          <w:szCs w:val="24"/>
        </w:rPr>
        <w:t>6.法律、行政法规规定的其他条件；（如有，请按要求提供）</w:t>
      </w:r>
    </w:p>
    <w:p>
      <w:pPr>
        <w:spacing w:line="500" w:lineRule="exact"/>
        <w:ind w:firstLine="480" w:firstLineChars="20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pPr>
        <w:spacing w:line="500" w:lineRule="exact"/>
        <w:ind w:firstLine="480" w:firstLineChars="200"/>
        <w:jc w:val="left"/>
        <w:rPr>
          <w:sz w:val="24"/>
          <w:szCs w:val="24"/>
        </w:rPr>
      </w:pPr>
      <w:r>
        <w:rPr>
          <w:rFonts w:hint="eastAsia"/>
          <w:sz w:val="24"/>
          <w:szCs w:val="24"/>
        </w:rPr>
        <w:t>（二）落实政府采购政策需满足的资格要求：无。</w:t>
      </w:r>
    </w:p>
    <w:p>
      <w:pPr>
        <w:spacing w:line="500" w:lineRule="exact"/>
        <w:ind w:firstLine="480" w:firstLineChars="200"/>
        <w:jc w:val="left"/>
        <w:rPr>
          <w:sz w:val="24"/>
          <w:szCs w:val="24"/>
        </w:rPr>
      </w:pPr>
      <w:r>
        <w:rPr>
          <w:rFonts w:hint="eastAsia"/>
          <w:sz w:val="24"/>
          <w:szCs w:val="24"/>
        </w:rPr>
        <w:t>（三）本项目的特定资格要求：无。</w:t>
      </w:r>
    </w:p>
    <w:p>
      <w:pPr>
        <w:pStyle w:val="4"/>
        <w:spacing w:before="0" w:after="0" w:line="360" w:lineRule="auto"/>
        <w:rPr>
          <w:rFonts w:ascii="黑体" w:hAnsi="黑体" w:eastAsia="黑体"/>
          <w:b w:val="0"/>
        </w:rPr>
      </w:pPr>
      <w:r>
        <w:rPr>
          <w:rFonts w:hint="eastAsia" w:ascii="黑体" w:hAnsi="黑体" w:eastAsia="黑体"/>
          <w:b w:val="0"/>
        </w:rPr>
        <w:t>三、获取招标文件</w:t>
      </w:r>
    </w:p>
    <w:p>
      <w:pPr>
        <w:spacing w:line="500" w:lineRule="exact"/>
        <w:ind w:firstLine="480" w:firstLineChars="20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sz w:val="24"/>
          <w:szCs w:val="24"/>
          <w:highlight w:val="none"/>
        </w:rPr>
        <w:t>：2024年</w:t>
      </w:r>
      <w:r>
        <w:rPr>
          <w:rFonts w:hint="eastAsia" w:asciiTheme="minorEastAsia" w:hAnsiTheme="minorEastAsia"/>
          <w:sz w:val="24"/>
          <w:szCs w:val="24"/>
          <w:highlight w:val="none"/>
          <w:lang w:val="en-US" w:eastAsia="zh-CN"/>
        </w:rPr>
        <w:t>9</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rPr>
        <w:t>日 至 2024年</w:t>
      </w:r>
      <w:r>
        <w:rPr>
          <w:rFonts w:hint="eastAsia" w:asciiTheme="minorEastAsia" w:hAnsiTheme="minorEastAsia"/>
          <w:sz w:val="24"/>
          <w:szCs w:val="24"/>
          <w:highlight w:val="none"/>
          <w:lang w:val="en-US" w:eastAsia="zh-CN"/>
        </w:rPr>
        <w:t>9</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12</w:t>
      </w:r>
      <w:r>
        <w:rPr>
          <w:rFonts w:hint="eastAsia" w:asciiTheme="minorEastAsia" w:hAnsiTheme="minorEastAsia"/>
          <w:sz w:val="24"/>
          <w:szCs w:val="24"/>
          <w:highlight w:val="none"/>
        </w:rPr>
        <w:t>日，</w:t>
      </w:r>
      <w:r>
        <w:rPr>
          <w:rFonts w:hint="eastAsia" w:asciiTheme="minorEastAsia" w:hAnsiTheme="minorEastAsia"/>
          <w:sz w:val="24"/>
          <w:szCs w:val="24"/>
        </w:rPr>
        <w:t>每天上午0:00-12:00，12:00-23:59（北京时间，法定节假日除外）</w:t>
      </w:r>
    </w:p>
    <w:p>
      <w:pPr>
        <w:spacing w:line="500" w:lineRule="exact"/>
        <w:ind w:firstLine="480" w:firstLineChars="200"/>
        <w:jc w:val="left"/>
        <w:rPr>
          <w:rFonts w:hint="eastAsia"/>
          <w:sz w:val="24"/>
          <w:szCs w:val="24"/>
        </w:rPr>
      </w:pPr>
      <w:r>
        <w:rPr>
          <w:rFonts w:hint="eastAsia"/>
          <w:sz w:val="24"/>
          <w:szCs w:val="24"/>
        </w:rPr>
        <w:t>地点：江苏政府采购网</w:t>
      </w:r>
    </w:p>
    <w:p>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pPr>
        <w:spacing w:line="500" w:lineRule="exact"/>
        <w:ind w:firstLine="480" w:firstLineChars="200"/>
        <w:jc w:val="left"/>
        <w:rPr>
          <w:sz w:val="24"/>
          <w:szCs w:val="24"/>
        </w:rPr>
      </w:pPr>
      <w:r>
        <w:rPr>
          <w:rFonts w:hint="eastAsia"/>
          <w:sz w:val="24"/>
          <w:szCs w:val="24"/>
        </w:rPr>
        <w:t>售价：0.00元</w:t>
      </w:r>
    </w:p>
    <w:p>
      <w:pPr>
        <w:pStyle w:val="4"/>
        <w:spacing w:before="0" w:after="0" w:line="360" w:lineRule="auto"/>
        <w:rPr>
          <w:rFonts w:ascii="黑体" w:hAnsi="黑体" w:eastAsia="黑体"/>
          <w:b w:val="0"/>
        </w:rPr>
      </w:pPr>
      <w:r>
        <w:rPr>
          <w:rFonts w:hint="eastAsia" w:ascii="黑体" w:hAnsi="黑体" w:eastAsia="黑体"/>
          <w:b w:val="0"/>
        </w:rPr>
        <w:t>四、提交投标文件截止时间、开标时间和地点</w:t>
      </w:r>
    </w:p>
    <w:p>
      <w:pPr>
        <w:spacing w:line="500" w:lineRule="exact"/>
        <w:ind w:firstLine="480" w:firstLineChars="200"/>
        <w:jc w:val="left"/>
        <w:rPr>
          <w:sz w:val="24"/>
          <w:szCs w:val="24"/>
        </w:rPr>
      </w:pPr>
      <w:r>
        <w:rPr>
          <w:rFonts w:hint="eastAsia"/>
          <w:sz w:val="24"/>
          <w:szCs w:val="24"/>
        </w:rPr>
        <w:t>提交投标文件截止时</w:t>
      </w:r>
      <w:r>
        <w:rPr>
          <w:rFonts w:hint="eastAsia"/>
          <w:sz w:val="24"/>
          <w:szCs w:val="24"/>
          <w:highlight w:val="none"/>
        </w:rPr>
        <w:t>间：2024年</w:t>
      </w:r>
      <w:r>
        <w:rPr>
          <w:rFonts w:hint="eastAsia"/>
          <w:sz w:val="24"/>
          <w:szCs w:val="24"/>
          <w:highlight w:val="none"/>
          <w:lang w:val="en-US" w:eastAsia="zh-CN"/>
        </w:rPr>
        <w:t>9</w:t>
      </w:r>
      <w:r>
        <w:rPr>
          <w:rFonts w:hint="eastAsia"/>
          <w:sz w:val="24"/>
          <w:szCs w:val="24"/>
          <w:highlight w:val="none"/>
        </w:rPr>
        <w:t>月</w:t>
      </w:r>
      <w:r>
        <w:rPr>
          <w:rFonts w:hint="eastAsia"/>
          <w:sz w:val="24"/>
          <w:szCs w:val="24"/>
          <w:highlight w:val="none"/>
          <w:lang w:val="en-US" w:eastAsia="zh-CN"/>
        </w:rPr>
        <w:t>24</w:t>
      </w:r>
      <w:r>
        <w:rPr>
          <w:rFonts w:hint="eastAsia"/>
          <w:sz w:val="24"/>
          <w:szCs w:val="24"/>
          <w:highlight w:val="none"/>
        </w:rPr>
        <w:t>日9:00:00（</w:t>
      </w:r>
      <w:r>
        <w:rPr>
          <w:rFonts w:hint="eastAsia"/>
          <w:sz w:val="24"/>
          <w:szCs w:val="24"/>
        </w:rPr>
        <w:t>北京时间）</w:t>
      </w:r>
    </w:p>
    <w:p>
      <w:pPr>
        <w:spacing w:line="500" w:lineRule="exact"/>
        <w:ind w:firstLine="480" w:firstLineChars="200"/>
        <w:jc w:val="left"/>
        <w:rPr>
          <w:sz w:val="24"/>
          <w:szCs w:val="24"/>
        </w:rPr>
      </w:pPr>
      <w:r>
        <w:rPr>
          <w:rFonts w:hint="eastAsia"/>
          <w:sz w:val="24"/>
          <w:szCs w:val="24"/>
        </w:rPr>
        <w:t>开标时间：提交投标文件截止时间</w:t>
      </w:r>
    </w:p>
    <w:p>
      <w:pPr>
        <w:spacing w:line="500" w:lineRule="exact"/>
        <w:ind w:firstLine="480" w:firstLineChars="200"/>
        <w:jc w:val="left"/>
      </w:pPr>
      <w:r>
        <w:rPr>
          <w:rFonts w:hint="eastAsia"/>
          <w:sz w:val="24"/>
          <w:szCs w:val="24"/>
        </w:rPr>
        <w:t>开标地点：“苏采云”政府采购交易系统网上开标大厅</w:t>
      </w:r>
    </w:p>
    <w:p>
      <w:pPr>
        <w:pStyle w:val="4"/>
        <w:spacing w:before="0" w:after="0" w:line="360" w:lineRule="auto"/>
        <w:rPr>
          <w:rFonts w:ascii="黑体" w:hAnsi="黑体" w:eastAsia="黑体"/>
          <w:b w:val="0"/>
        </w:rPr>
      </w:pPr>
      <w:r>
        <w:rPr>
          <w:rFonts w:hint="eastAsia" w:ascii="黑体" w:hAnsi="黑体" w:eastAsia="黑体"/>
          <w:b w:val="0"/>
        </w:rPr>
        <w:t>五、公告期限</w:t>
      </w:r>
    </w:p>
    <w:p>
      <w:pPr>
        <w:spacing w:line="500" w:lineRule="exact"/>
        <w:ind w:firstLine="480" w:firstLineChars="200"/>
        <w:jc w:val="left"/>
        <w:rPr>
          <w:sz w:val="24"/>
          <w:szCs w:val="24"/>
        </w:rPr>
      </w:pPr>
      <w:r>
        <w:rPr>
          <w:rFonts w:hint="eastAsia"/>
          <w:sz w:val="24"/>
          <w:szCs w:val="24"/>
        </w:rPr>
        <w:t>自本公告发布之日起5个工作日。</w:t>
      </w:r>
    </w:p>
    <w:p>
      <w:pPr>
        <w:pStyle w:val="4"/>
        <w:spacing w:before="0" w:after="0" w:line="360" w:lineRule="auto"/>
        <w:rPr>
          <w:rFonts w:ascii="黑体" w:hAnsi="黑体" w:eastAsia="黑体"/>
          <w:b w:val="0"/>
        </w:rPr>
      </w:pPr>
      <w:r>
        <w:rPr>
          <w:rFonts w:hint="eastAsia" w:ascii="黑体" w:hAnsi="黑体" w:eastAsia="黑体"/>
          <w:b w:val="0"/>
        </w:rPr>
        <w:t>六、其他补充事宜</w:t>
      </w:r>
    </w:p>
    <w:p>
      <w:pPr>
        <w:spacing w:line="500" w:lineRule="exact"/>
        <w:ind w:firstLine="480" w:firstLineChars="200"/>
        <w:jc w:val="left"/>
        <w:rPr>
          <w:sz w:val="24"/>
          <w:szCs w:val="24"/>
        </w:rPr>
      </w:pPr>
      <w:r>
        <w:rPr>
          <w:rFonts w:hint="eastAsia"/>
          <w:sz w:val="24"/>
          <w:szCs w:val="24"/>
        </w:rPr>
        <w:t>1.本次招标不收取投标保证金。</w:t>
      </w:r>
    </w:p>
    <w:p>
      <w:pPr>
        <w:spacing w:line="500" w:lineRule="exact"/>
        <w:ind w:firstLine="480" w:firstLineChars="20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pPr>
        <w:spacing w:line="500" w:lineRule="exact"/>
        <w:ind w:firstLine="480" w:firstLineChars="20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pPr>
        <w:spacing w:line="500" w:lineRule="exact"/>
        <w:ind w:firstLine="480" w:firstLineChars="20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spacing w:line="500" w:lineRule="exact"/>
        <w:ind w:firstLine="480" w:firstLineChars="200"/>
        <w:jc w:val="left"/>
        <w:rPr>
          <w:sz w:val="24"/>
          <w:szCs w:val="24"/>
        </w:rPr>
      </w:pPr>
      <w:r>
        <w:rPr>
          <w:rFonts w:hint="eastAsia"/>
          <w:sz w:val="24"/>
          <w:szCs w:val="24"/>
        </w:rPr>
        <w:t>http://www.ccgp-jiangsu.gov.cn/jiangsu/zlxz/ee/ee3a4bc5a3454aa2b0d9312230633ce9.html</w:t>
      </w:r>
    </w:p>
    <w:p>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pPr>
        <w:pStyle w:val="4"/>
        <w:spacing w:before="0" w:after="0" w:line="360" w:lineRule="auto"/>
        <w:rPr>
          <w:rFonts w:ascii="黑体" w:hAnsi="黑体" w:eastAsia="黑体"/>
          <w:b w:val="0"/>
        </w:rPr>
      </w:pPr>
      <w:r>
        <w:rPr>
          <w:rFonts w:hint="eastAsia" w:ascii="黑体" w:hAnsi="黑体" w:eastAsia="黑体"/>
          <w:b w:val="0"/>
        </w:rPr>
        <w:t>七、对本次招标提出询问，请按以下方式联系</w:t>
      </w:r>
    </w:p>
    <w:p>
      <w:pPr>
        <w:spacing w:line="500" w:lineRule="exact"/>
        <w:ind w:firstLine="480" w:firstLineChars="200"/>
        <w:jc w:val="left"/>
        <w:rPr>
          <w:sz w:val="24"/>
          <w:szCs w:val="24"/>
        </w:rPr>
      </w:pPr>
      <w:r>
        <w:rPr>
          <w:rFonts w:hint="eastAsia"/>
          <w:sz w:val="24"/>
          <w:szCs w:val="24"/>
        </w:rPr>
        <w:t>1.采购人信息</w:t>
      </w:r>
    </w:p>
    <w:p>
      <w:pPr>
        <w:spacing w:line="500" w:lineRule="exact"/>
        <w:ind w:firstLine="480" w:firstLineChars="200"/>
        <w:jc w:val="left"/>
        <w:rPr>
          <w:sz w:val="24"/>
          <w:szCs w:val="24"/>
        </w:rPr>
      </w:pPr>
      <w:r>
        <w:rPr>
          <w:rFonts w:hint="eastAsia"/>
          <w:sz w:val="24"/>
          <w:szCs w:val="24"/>
        </w:rPr>
        <w:t>名    称：东海县双店镇人民政府</w:t>
      </w:r>
    </w:p>
    <w:p>
      <w:pPr>
        <w:spacing w:line="500" w:lineRule="exact"/>
        <w:ind w:firstLine="480" w:firstLineChars="200"/>
        <w:jc w:val="left"/>
        <w:rPr>
          <w:sz w:val="24"/>
          <w:szCs w:val="24"/>
        </w:rPr>
      </w:pPr>
      <w:r>
        <w:rPr>
          <w:rFonts w:hint="eastAsia"/>
          <w:sz w:val="24"/>
          <w:szCs w:val="24"/>
        </w:rPr>
        <w:t>地    址：连云港市东海县双店镇中央路与双新路交汇处西北</w:t>
      </w:r>
    </w:p>
    <w:p>
      <w:pPr>
        <w:spacing w:line="500" w:lineRule="exact"/>
        <w:ind w:firstLine="480" w:firstLineChars="200"/>
        <w:jc w:val="left"/>
        <w:rPr>
          <w:sz w:val="24"/>
          <w:szCs w:val="24"/>
        </w:rPr>
      </w:pPr>
      <w:r>
        <w:rPr>
          <w:rFonts w:hint="eastAsia"/>
          <w:sz w:val="24"/>
          <w:szCs w:val="24"/>
        </w:rPr>
        <w:t>联 系 人：郝镇长</w:t>
      </w:r>
    </w:p>
    <w:p>
      <w:pPr>
        <w:spacing w:line="500" w:lineRule="exact"/>
        <w:ind w:firstLine="480" w:firstLineChars="200"/>
        <w:jc w:val="left"/>
        <w:rPr>
          <w:sz w:val="24"/>
          <w:szCs w:val="24"/>
        </w:rPr>
      </w:pPr>
      <w:r>
        <w:rPr>
          <w:rFonts w:hint="eastAsia"/>
          <w:sz w:val="24"/>
          <w:szCs w:val="24"/>
        </w:rPr>
        <w:t>联系电话：15896139846</w:t>
      </w:r>
    </w:p>
    <w:p>
      <w:pPr>
        <w:spacing w:line="500" w:lineRule="exact"/>
        <w:ind w:firstLine="480" w:firstLineChars="200"/>
        <w:jc w:val="left"/>
        <w:rPr>
          <w:sz w:val="24"/>
          <w:szCs w:val="24"/>
        </w:rPr>
      </w:pPr>
      <w:r>
        <w:rPr>
          <w:rFonts w:hint="eastAsia"/>
          <w:sz w:val="24"/>
          <w:szCs w:val="24"/>
        </w:rPr>
        <w:t>2.采购代理机构信息</w:t>
      </w:r>
    </w:p>
    <w:p>
      <w:pPr>
        <w:spacing w:line="500" w:lineRule="exact"/>
        <w:ind w:firstLine="480" w:firstLineChars="200"/>
        <w:jc w:val="left"/>
        <w:rPr>
          <w:sz w:val="24"/>
          <w:szCs w:val="24"/>
        </w:rPr>
      </w:pPr>
      <w:r>
        <w:rPr>
          <w:rFonts w:hint="eastAsia"/>
          <w:sz w:val="24"/>
          <w:szCs w:val="24"/>
        </w:rPr>
        <w:t>名    称：东海县政府采购中心</w:t>
      </w:r>
    </w:p>
    <w:p>
      <w:pPr>
        <w:spacing w:line="500" w:lineRule="exact"/>
        <w:ind w:firstLine="480" w:firstLineChars="200"/>
        <w:jc w:val="left"/>
        <w:rPr>
          <w:sz w:val="24"/>
          <w:szCs w:val="24"/>
        </w:rPr>
      </w:pPr>
      <w:r>
        <w:rPr>
          <w:rFonts w:hint="eastAsia"/>
          <w:sz w:val="24"/>
          <w:szCs w:val="24"/>
        </w:rPr>
        <w:t>地    址：东海县政务服务中心五楼</w:t>
      </w:r>
    </w:p>
    <w:p>
      <w:pPr>
        <w:spacing w:line="500" w:lineRule="exact"/>
        <w:ind w:firstLine="480" w:firstLineChars="200"/>
        <w:jc w:val="left"/>
        <w:rPr>
          <w:sz w:val="24"/>
          <w:szCs w:val="24"/>
        </w:rPr>
      </w:pPr>
      <w:r>
        <w:rPr>
          <w:rFonts w:hint="eastAsia"/>
          <w:sz w:val="24"/>
          <w:szCs w:val="24"/>
        </w:rPr>
        <w:t xml:space="preserve">联 系 人：陈工  </w:t>
      </w:r>
    </w:p>
    <w:p>
      <w:pPr>
        <w:spacing w:line="500" w:lineRule="exact"/>
        <w:ind w:firstLine="480" w:firstLineChars="200"/>
        <w:jc w:val="left"/>
        <w:rPr>
          <w:sz w:val="24"/>
          <w:szCs w:val="24"/>
        </w:rPr>
      </w:pPr>
      <w:r>
        <w:rPr>
          <w:rFonts w:hint="eastAsia"/>
          <w:sz w:val="24"/>
          <w:szCs w:val="24"/>
        </w:rPr>
        <w:t>联系电话：051887292719</w:t>
      </w:r>
    </w:p>
    <w:p>
      <w:pPr>
        <w:spacing w:line="500" w:lineRule="exact"/>
        <w:ind w:firstLine="480" w:firstLineChars="200"/>
        <w:jc w:val="left"/>
        <w:rPr>
          <w:sz w:val="24"/>
          <w:szCs w:val="24"/>
        </w:rPr>
      </w:pPr>
      <w:r>
        <w:rPr>
          <w:rFonts w:hint="eastAsia"/>
          <w:sz w:val="24"/>
          <w:szCs w:val="24"/>
        </w:rPr>
        <w:t>3.项目联系方式</w:t>
      </w:r>
    </w:p>
    <w:p>
      <w:pPr>
        <w:spacing w:line="500" w:lineRule="exact"/>
        <w:ind w:firstLine="480" w:firstLineChars="200"/>
        <w:jc w:val="left"/>
        <w:rPr>
          <w:sz w:val="24"/>
          <w:szCs w:val="24"/>
        </w:rPr>
      </w:pPr>
      <w:r>
        <w:rPr>
          <w:rFonts w:hint="eastAsia"/>
          <w:sz w:val="24"/>
          <w:szCs w:val="24"/>
        </w:rPr>
        <w:t>项目联系人</w:t>
      </w:r>
      <w:r>
        <w:rPr>
          <w:rFonts w:hint="eastAsia"/>
          <w:sz w:val="24"/>
          <w:szCs w:val="24"/>
          <w:highlight w:val="none"/>
        </w:rPr>
        <w:t>：郝镇长</w:t>
      </w:r>
    </w:p>
    <w:p>
      <w:pPr>
        <w:spacing w:line="500" w:lineRule="exact"/>
        <w:ind w:firstLine="480" w:firstLineChars="200"/>
        <w:jc w:val="left"/>
        <w:rPr>
          <w:sz w:val="24"/>
          <w:szCs w:val="24"/>
        </w:rPr>
      </w:pPr>
      <w:r>
        <w:rPr>
          <w:rFonts w:hint="eastAsia"/>
          <w:sz w:val="24"/>
          <w:szCs w:val="24"/>
        </w:rPr>
        <w:t>电      话：15896139846</w:t>
      </w:r>
      <w:r>
        <w:rPr>
          <w:sz w:val="24"/>
          <w:szCs w:val="24"/>
        </w:rPr>
        <w:t xml:space="preserve"> </w:t>
      </w:r>
    </w:p>
    <w:p>
      <w:pPr>
        <w:widowControl/>
        <w:jc w:val="left"/>
        <w:rPr>
          <w:rFonts w:ascii="黑体" w:hAnsi="黑体" w:eastAsia="黑体"/>
          <w:bCs/>
          <w:kern w:val="44"/>
          <w:sz w:val="44"/>
          <w:szCs w:val="44"/>
        </w:rPr>
      </w:pPr>
      <w:bookmarkStart w:id="1" w:name="_Toc155796357"/>
      <w:r>
        <w:rPr>
          <w:rFonts w:ascii="黑体" w:hAnsi="黑体" w:eastAsia="黑体"/>
          <w:b/>
        </w:rPr>
        <w:br w:type="page"/>
      </w:r>
    </w:p>
    <w:p>
      <w:pPr>
        <w:pStyle w:val="2"/>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1"/>
    </w:p>
    <w:p>
      <w:pPr>
        <w:pStyle w:val="4"/>
        <w:spacing w:before="0" w:after="0" w:line="360" w:lineRule="auto"/>
        <w:rPr>
          <w:rFonts w:ascii="黑体" w:hAnsi="黑体" w:eastAsia="黑体"/>
          <w:b w:val="0"/>
        </w:rPr>
      </w:pPr>
      <w:r>
        <w:rPr>
          <w:rFonts w:hint="eastAsia" w:ascii="黑体" w:hAnsi="黑体" w:eastAsia="黑体"/>
          <w:b w:val="0"/>
        </w:rPr>
        <w:t>一、总则</w:t>
      </w:r>
    </w:p>
    <w:p>
      <w:pPr>
        <w:pStyle w:val="3"/>
        <w:spacing w:before="0" w:after="0" w:line="360" w:lineRule="auto"/>
        <w:ind w:firstLine="562" w:firstLineChars="200"/>
        <w:jc w:val="left"/>
        <w:rPr>
          <w:sz w:val="28"/>
          <w:szCs w:val="28"/>
        </w:rPr>
      </w:pPr>
      <w:r>
        <w:rPr>
          <w:rFonts w:hint="eastAsia"/>
          <w:sz w:val="28"/>
          <w:szCs w:val="28"/>
        </w:rPr>
        <w:t>1、采购方式</w:t>
      </w:r>
    </w:p>
    <w:p>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pPr>
        <w:pStyle w:val="3"/>
        <w:spacing w:before="0" w:after="0" w:line="360" w:lineRule="auto"/>
        <w:ind w:firstLine="562" w:firstLineChars="200"/>
        <w:jc w:val="left"/>
        <w:rPr>
          <w:sz w:val="28"/>
          <w:szCs w:val="28"/>
        </w:rPr>
      </w:pPr>
      <w:r>
        <w:rPr>
          <w:rFonts w:hint="eastAsia"/>
          <w:sz w:val="28"/>
          <w:szCs w:val="28"/>
        </w:rPr>
        <w:t>2、合格的投标人</w:t>
      </w:r>
    </w:p>
    <w:p>
      <w:pPr>
        <w:spacing w:line="500" w:lineRule="exact"/>
        <w:ind w:firstLine="480" w:firstLineChars="200"/>
        <w:jc w:val="left"/>
        <w:rPr>
          <w:sz w:val="24"/>
          <w:szCs w:val="24"/>
        </w:rPr>
      </w:pPr>
      <w:r>
        <w:rPr>
          <w:rFonts w:hint="eastAsia"/>
          <w:sz w:val="24"/>
          <w:szCs w:val="24"/>
        </w:rPr>
        <w:t>2.1 满足招标公告中申请人的资格要求的规定。</w:t>
      </w:r>
    </w:p>
    <w:p>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pPr>
        <w:spacing w:line="500" w:lineRule="exact"/>
        <w:ind w:firstLine="480" w:firstLineChars="200"/>
        <w:jc w:val="left"/>
        <w:rPr>
          <w:sz w:val="24"/>
          <w:szCs w:val="24"/>
        </w:rPr>
      </w:pPr>
      <w:r>
        <w:rPr>
          <w:rFonts w:hint="eastAsia"/>
          <w:sz w:val="24"/>
          <w:szCs w:val="24"/>
        </w:rPr>
        <w:t>2.3 满足本招标文件全部实质性要求和条件的规定。</w:t>
      </w:r>
    </w:p>
    <w:p>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pPr>
        <w:pStyle w:val="3"/>
        <w:spacing w:before="0" w:after="0" w:line="360" w:lineRule="auto"/>
        <w:ind w:firstLine="562" w:firstLineChars="200"/>
        <w:jc w:val="left"/>
        <w:rPr>
          <w:sz w:val="28"/>
          <w:szCs w:val="28"/>
        </w:rPr>
      </w:pPr>
      <w:r>
        <w:rPr>
          <w:rFonts w:hint="eastAsia"/>
          <w:sz w:val="28"/>
          <w:szCs w:val="28"/>
        </w:rPr>
        <w:t>3、适用法律</w:t>
      </w:r>
    </w:p>
    <w:p>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pPr>
        <w:pStyle w:val="3"/>
        <w:spacing w:before="0" w:after="0" w:line="360" w:lineRule="auto"/>
        <w:ind w:firstLine="562" w:firstLineChars="200"/>
        <w:jc w:val="left"/>
        <w:rPr>
          <w:sz w:val="28"/>
          <w:szCs w:val="28"/>
        </w:rPr>
      </w:pPr>
      <w:r>
        <w:rPr>
          <w:rFonts w:hint="eastAsia"/>
          <w:sz w:val="28"/>
          <w:szCs w:val="28"/>
        </w:rPr>
        <w:t>4、投标费用</w:t>
      </w:r>
    </w:p>
    <w:p>
      <w:pPr>
        <w:spacing w:line="500" w:lineRule="exact"/>
        <w:ind w:firstLine="480" w:firstLineChars="200"/>
        <w:jc w:val="left"/>
        <w:rPr>
          <w:sz w:val="24"/>
          <w:szCs w:val="24"/>
        </w:rPr>
      </w:pPr>
      <w:r>
        <w:rPr>
          <w:rFonts w:hint="eastAsia"/>
          <w:sz w:val="24"/>
          <w:szCs w:val="24"/>
        </w:rPr>
        <w:t>4.1 投标人应自行承担所有与参与投标有关的费用，无论投标过程中的做法和结果如何，采购人和</w:t>
      </w:r>
      <w:r>
        <w:rPr>
          <w:rFonts w:hint="eastAsia"/>
          <w:sz w:val="24"/>
          <w:szCs w:val="24"/>
          <w:lang w:eastAsia="zh-CN"/>
        </w:rPr>
        <w:t>东海县政府采购中心</w:t>
      </w:r>
      <w:r>
        <w:rPr>
          <w:rFonts w:hint="eastAsia"/>
          <w:sz w:val="24"/>
          <w:szCs w:val="24"/>
        </w:rPr>
        <w:t>（以下简称</w:t>
      </w:r>
      <w:r>
        <w:rPr>
          <w:rFonts w:hint="eastAsia"/>
          <w:sz w:val="24"/>
          <w:szCs w:val="24"/>
          <w:lang w:eastAsia="zh-CN"/>
        </w:rPr>
        <w:t>采购中心</w:t>
      </w:r>
      <w:r>
        <w:rPr>
          <w:rFonts w:hint="eastAsia"/>
          <w:sz w:val="24"/>
          <w:szCs w:val="24"/>
        </w:rPr>
        <w:t>）在任何情况下均无义务和责任承担这些费用。</w:t>
      </w:r>
    </w:p>
    <w:p>
      <w:pPr>
        <w:spacing w:line="500" w:lineRule="exact"/>
        <w:ind w:firstLine="480" w:firstLineChars="200"/>
        <w:jc w:val="left"/>
        <w:rPr>
          <w:sz w:val="24"/>
          <w:szCs w:val="24"/>
        </w:rPr>
      </w:pPr>
      <w:r>
        <w:rPr>
          <w:rFonts w:hint="eastAsia"/>
          <w:sz w:val="24"/>
          <w:szCs w:val="24"/>
        </w:rPr>
        <w:t>4.2 本次招标采购人和</w:t>
      </w:r>
      <w:r>
        <w:rPr>
          <w:rFonts w:hint="eastAsia"/>
          <w:sz w:val="24"/>
          <w:szCs w:val="24"/>
          <w:lang w:eastAsia="zh-CN"/>
        </w:rPr>
        <w:t>采购中心</w:t>
      </w:r>
      <w:r>
        <w:rPr>
          <w:rFonts w:hint="eastAsia"/>
          <w:sz w:val="24"/>
          <w:szCs w:val="24"/>
        </w:rPr>
        <w:t>不收取标书工本费与中标服务费。</w:t>
      </w:r>
    </w:p>
    <w:p>
      <w:pPr>
        <w:pStyle w:val="3"/>
        <w:spacing w:before="0" w:after="0" w:line="360" w:lineRule="auto"/>
        <w:ind w:firstLine="562" w:firstLineChars="200"/>
        <w:jc w:val="left"/>
        <w:rPr>
          <w:sz w:val="28"/>
          <w:szCs w:val="28"/>
        </w:rPr>
      </w:pPr>
      <w:r>
        <w:rPr>
          <w:rFonts w:hint="eastAsia"/>
          <w:sz w:val="28"/>
          <w:szCs w:val="28"/>
        </w:rPr>
        <w:t>5、招标文件的约束力</w:t>
      </w:r>
    </w:p>
    <w:p>
      <w:pPr>
        <w:spacing w:line="500" w:lineRule="exact"/>
        <w:ind w:firstLine="480" w:firstLineChars="200"/>
        <w:jc w:val="left"/>
        <w:rPr>
          <w:sz w:val="24"/>
          <w:szCs w:val="24"/>
        </w:rPr>
      </w:pPr>
      <w:r>
        <w:rPr>
          <w:rFonts w:hint="eastAsia"/>
          <w:sz w:val="24"/>
          <w:szCs w:val="24"/>
        </w:rPr>
        <w:t>5.1 投标人一旦参与本项目采购活动，即被认为接受了本招标文件的规定和约束。</w:t>
      </w:r>
    </w:p>
    <w:p>
      <w:pPr>
        <w:pStyle w:val="4"/>
        <w:spacing w:before="0" w:after="0" w:line="360" w:lineRule="auto"/>
        <w:rPr>
          <w:rFonts w:ascii="黑体" w:hAnsi="黑体" w:eastAsia="黑体"/>
          <w:b w:val="0"/>
        </w:rPr>
      </w:pPr>
      <w:r>
        <w:rPr>
          <w:rFonts w:hint="eastAsia" w:ascii="黑体" w:hAnsi="黑体" w:eastAsia="黑体"/>
          <w:b w:val="0"/>
        </w:rPr>
        <w:t>二、招标文件</w:t>
      </w:r>
    </w:p>
    <w:p>
      <w:pPr>
        <w:pStyle w:val="3"/>
        <w:spacing w:before="0" w:after="0" w:line="360" w:lineRule="auto"/>
        <w:ind w:firstLine="562" w:firstLineChars="200"/>
        <w:jc w:val="left"/>
        <w:rPr>
          <w:sz w:val="28"/>
          <w:szCs w:val="28"/>
        </w:rPr>
      </w:pPr>
      <w:r>
        <w:rPr>
          <w:rFonts w:hint="eastAsia"/>
          <w:sz w:val="28"/>
          <w:szCs w:val="28"/>
        </w:rPr>
        <w:t>6、招标文件的构成</w:t>
      </w:r>
    </w:p>
    <w:p>
      <w:pPr>
        <w:spacing w:line="500" w:lineRule="exact"/>
        <w:ind w:firstLine="480" w:firstLineChars="200"/>
        <w:jc w:val="left"/>
        <w:rPr>
          <w:sz w:val="24"/>
          <w:szCs w:val="24"/>
        </w:rPr>
      </w:pPr>
      <w:r>
        <w:rPr>
          <w:rFonts w:hint="eastAsia"/>
          <w:sz w:val="24"/>
          <w:szCs w:val="24"/>
        </w:rPr>
        <w:t>6.1 招标文件由以下部分构成：</w:t>
      </w:r>
    </w:p>
    <w:p>
      <w:pPr>
        <w:spacing w:line="500" w:lineRule="exact"/>
        <w:ind w:firstLine="480" w:firstLineChars="200"/>
        <w:jc w:val="left"/>
        <w:rPr>
          <w:sz w:val="24"/>
          <w:szCs w:val="24"/>
        </w:rPr>
      </w:pPr>
      <w:r>
        <w:rPr>
          <w:rFonts w:hint="eastAsia"/>
          <w:sz w:val="24"/>
          <w:szCs w:val="24"/>
        </w:rPr>
        <w:t>（1）投标邀请</w:t>
      </w:r>
    </w:p>
    <w:p>
      <w:pPr>
        <w:spacing w:line="500" w:lineRule="exact"/>
        <w:ind w:firstLine="480" w:firstLineChars="200"/>
        <w:jc w:val="left"/>
        <w:rPr>
          <w:sz w:val="24"/>
          <w:szCs w:val="24"/>
        </w:rPr>
      </w:pPr>
      <w:r>
        <w:rPr>
          <w:rFonts w:hint="eastAsia"/>
          <w:sz w:val="24"/>
          <w:szCs w:val="24"/>
        </w:rPr>
        <w:t>（2）投标人须知</w:t>
      </w:r>
    </w:p>
    <w:p>
      <w:pPr>
        <w:spacing w:line="500" w:lineRule="exact"/>
        <w:ind w:firstLine="480" w:firstLineChars="200"/>
        <w:jc w:val="left"/>
        <w:rPr>
          <w:sz w:val="24"/>
          <w:szCs w:val="24"/>
        </w:rPr>
      </w:pPr>
      <w:r>
        <w:rPr>
          <w:rFonts w:hint="eastAsia"/>
          <w:sz w:val="24"/>
          <w:szCs w:val="24"/>
        </w:rPr>
        <w:t>（3）合同文本</w:t>
      </w:r>
    </w:p>
    <w:p>
      <w:pPr>
        <w:spacing w:line="500" w:lineRule="exact"/>
        <w:ind w:firstLine="480" w:firstLineChars="200"/>
        <w:jc w:val="left"/>
        <w:rPr>
          <w:sz w:val="24"/>
          <w:szCs w:val="24"/>
        </w:rPr>
      </w:pPr>
      <w:r>
        <w:rPr>
          <w:rFonts w:hint="eastAsia"/>
          <w:sz w:val="24"/>
          <w:szCs w:val="24"/>
        </w:rPr>
        <w:t>（4）采购需求</w:t>
      </w:r>
    </w:p>
    <w:p>
      <w:pPr>
        <w:spacing w:line="500" w:lineRule="exact"/>
        <w:ind w:firstLine="480" w:firstLineChars="200"/>
        <w:jc w:val="left"/>
        <w:rPr>
          <w:sz w:val="24"/>
          <w:szCs w:val="24"/>
        </w:rPr>
      </w:pPr>
      <w:r>
        <w:rPr>
          <w:rFonts w:hint="eastAsia"/>
          <w:sz w:val="24"/>
          <w:szCs w:val="24"/>
        </w:rPr>
        <w:t>（5）评标方法与评标标准</w:t>
      </w:r>
    </w:p>
    <w:p>
      <w:pPr>
        <w:spacing w:line="500" w:lineRule="exact"/>
        <w:ind w:firstLine="480" w:firstLineChars="200"/>
        <w:jc w:val="left"/>
        <w:rPr>
          <w:sz w:val="24"/>
          <w:szCs w:val="24"/>
        </w:rPr>
      </w:pPr>
      <w:r>
        <w:rPr>
          <w:rFonts w:hint="eastAsia"/>
          <w:sz w:val="24"/>
          <w:szCs w:val="24"/>
        </w:rPr>
        <w:t>（6）投标文件格式</w:t>
      </w:r>
    </w:p>
    <w:p>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pPr>
        <w:pStyle w:val="3"/>
        <w:spacing w:before="0" w:after="0" w:line="360" w:lineRule="auto"/>
        <w:ind w:firstLine="562" w:firstLineChars="200"/>
        <w:jc w:val="left"/>
        <w:rPr>
          <w:sz w:val="28"/>
          <w:szCs w:val="28"/>
        </w:rPr>
      </w:pPr>
      <w:r>
        <w:rPr>
          <w:rFonts w:hint="eastAsia"/>
          <w:sz w:val="28"/>
          <w:szCs w:val="28"/>
        </w:rPr>
        <w:t>7、招标文件的澄清</w:t>
      </w:r>
    </w:p>
    <w:p>
      <w:pPr>
        <w:spacing w:line="500" w:lineRule="exact"/>
        <w:ind w:firstLine="480" w:firstLineChars="20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pPr>
        <w:pStyle w:val="3"/>
        <w:spacing w:before="0" w:after="0" w:line="360" w:lineRule="auto"/>
        <w:ind w:firstLine="562" w:firstLineChars="200"/>
        <w:jc w:val="left"/>
        <w:rPr>
          <w:sz w:val="28"/>
          <w:szCs w:val="28"/>
        </w:rPr>
      </w:pPr>
      <w:r>
        <w:rPr>
          <w:rFonts w:hint="eastAsia"/>
          <w:sz w:val="28"/>
          <w:szCs w:val="28"/>
        </w:rPr>
        <w:t>8、招标文件的修改</w:t>
      </w:r>
    </w:p>
    <w:p>
      <w:pPr>
        <w:spacing w:line="500" w:lineRule="exact"/>
        <w:ind w:firstLine="480" w:firstLineChars="20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pPr>
        <w:spacing w:line="500" w:lineRule="exact"/>
        <w:ind w:firstLine="480" w:firstLineChars="20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pPr>
        <w:pStyle w:val="4"/>
        <w:spacing w:before="0" w:after="0" w:line="360" w:lineRule="auto"/>
        <w:rPr>
          <w:rFonts w:ascii="黑体" w:hAnsi="黑体" w:eastAsia="黑体"/>
          <w:b w:val="0"/>
        </w:rPr>
      </w:pPr>
      <w:r>
        <w:rPr>
          <w:rFonts w:hint="eastAsia" w:ascii="黑体" w:hAnsi="黑体" w:eastAsia="黑体"/>
          <w:b w:val="0"/>
        </w:rPr>
        <w:t>三、投标文件编制</w:t>
      </w:r>
    </w:p>
    <w:p>
      <w:pPr>
        <w:pStyle w:val="3"/>
        <w:spacing w:before="0" w:after="0" w:line="360" w:lineRule="auto"/>
        <w:ind w:firstLine="562" w:firstLineChars="200"/>
        <w:jc w:val="left"/>
        <w:rPr>
          <w:sz w:val="28"/>
          <w:szCs w:val="28"/>
        </w:rPr>
      </w:pPr>
      <w:r>
        <w:rPr>
          <w:rFonts w:hint="eastAsia"/>
          <w:sz w:val="28"/>
          <w:szCs w:val="28"/>
        </w:rPr>
        <w:t>9、投标文件编写注意事项</w:t>
      </w:r>
    </w:p>
    <w:p>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Style w:val="3"/>
        <w:spacing w:before="0" w:after="0" w:line="360" w:lineRule="auto"/>
        <w:ind w:firstLine="562" w:firstLineChars="200"/>
        <w:jc w:val="left"/>
        <w:rPr>
          <w:sz w:val="28"/>
          <w:szCs w:val="28"/>
        </w:rPr>
      </w:pPr>
      <w:r>
        <w:rPr>
          <w:rFonts w:hint="eastAsia"/>
          <w:sz w:val="28"/>
          <w:szCs w:val="28"/>
        </w:rPr>
        <w:t>10、投标文件的语言及度量衡单位</w:t>
      </w:r>
    </w:p>
    <w:p>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pPr>
        <w:pStyle w:val="3"/>
        <w:spacing w:before="0" w:after="0" w:line="360" w:lineRule="auto"/>
        <w:ind w:firstLine="562" w:firstLineChars="200"/>
        <w:jc w:val="left"/>
        <w:rPr>
          <w:sz w:val="28"/>
          <w:szCs w:val="28"/>
        </w:rPr>
      </w:pPr>
      <w:r>
        <w:rPr>
          <w:rFonts w:hint="eastAsia"/>
          <w:sz w:val="28"/>
          <w:szCs w:val="28"/>
        </w:rPr>
        <w:t>11、投标文件的构成</w:t>
      </w:r>
    </w:p>
    <w:p>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pPr>
        <w:pStyle w:val="3"/>
        <w:spacing w:before="0" w:after="0" w:line="360" w:lineRule="auto"/>
        <w:ind w:firstLine="562" w:firstLineChars="200"/>
        <w:jc w:val="left"/>
        <w:rPr>
          <w:sz w:val="28"/>
          <w:szCs w:val="28"/>
        </w:rPr>
      </w:pPr>
      <w:r>
        <w:rPr>
          <w:rFonts w:hint="eastAsia"/>
          <w:sz w:val="28"/>
          <w:szCs w:val="28"/>
        </w:rPr>
        <w:t>12、证明投标人及投标标的符合招标文件规定的文件</w:t>
      </w:r>
    </w:p>
    <w:p>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pPr>
        <w:pStyle w:val="3"/>
        <w:spacing w:before="0" w:after="0" w:line="360" w:lineRule="auto"/>
        <w:ind w:firstLine="562" w:firstLineChars="200"/>
        <w:jc w:val="left"/>
      </w:pPr>
      <w:r>
        <w:rPr>
          <w:rFonts w:hint="eastAsia"/>
          <w:sz w:val="28"/>
          <w:szCs w:val="28"/>
        </w:rPr>
        <w:t>13、投标分项报价表</w:t>
      </w:r>
    </w:p>
    <w:p>
      <w:pPr>
        <w:spacing w:line="500" w:lineRule="exact"/>
        <w:ind w:firstLine="480" w:firstLineChars="200"/>
        <w:jc w:val="left"/>
        <w:rPr>
          <w:sz w:val="24"/>
          <w:szCs w:val="24"/>
        </w:rPr>
      </w:pPr>
      <w:r>
        <w:rPr>
          <w:rFonts w:hint="eastAsia"/>
          <w:sz w:val="24"/>
          <w:szCs w:val="24"/>
        </w:rPr>
        <w:t>13.1 投标人应根据投标报价要求在投标分项报价表中列明各项投标单价、总价等，未全部列示的作无效响应处理。</w:t>
      </w:r>
    </w:p>
    <w:p>
      <w:pPr>
        <w:spacing w:line="500" w:lineRule="exact"/>
        <w:ind w:firstLine="480" w:firstLineChars="200"/>
        <w:jc w:val="left"/>
        <w:rPr>
          <w:sz w:val="24"/>
          <w:szCs w:val="24"/>
        </w:rPr>
      </w:pPr>
      <w:r>
        <w:rPr>
          <w:rFonts w:hint="eastAsia"/>
          <w:sz w:val="24"/>
          <w:szCs w:val="24"/>
        </w:rPr>
        <w:t>13.2 投标文件中的单价和总价无特殊规定的采用人民币报价，以元为单位标注。招标文件中另有规定的按规定执行。</w:t>
      </w:r>
    </w:p>
    <w:p>
      <w:pPr>
        <w:pStyle w:val="3"/>
        <w:spacing w:before="0" w:after="0" w:line="360" w:lineRule="auto"/>
        <w:ind w:firstLine="562" w:firstLineChars="200"/>
        <w:jc w:val="left"/>
        <w:rPr>
          <w:sz w:val="28"/>
          <w:szCs w:val="28"/>
        </w:rPr>
      </w:pPr>
      <w:r>
        <w:rPr>
          <w:rFonts w:hint="eastAsia"/>
          <w:sz w:val="28"/>
          <w:szCs w:val="28"/>
        </w:rPr>
        <w:t>14、技术要求响应及偏离表、商务要求响应及偏离表</w:t>
      </w:r>
    </w:p>
    <w:p>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pPr>
        <w:pStyle w:val="3"/>
        <w:spacing w:before="0" w:after="0" w:line="360" w:lineRule="auto"/>
        <w:ind w:firstLine="562" w:firstLineChars="200"/>
        <w:jc w:val="left"/>
        <w:rPr>
          <w:sz w:val="28"/>
          <w:szCs w:val="28"/>
        </w:rPr>
      </w:pPr>
      <w:r>
        <w:rPr>
          <w:rFonts w:hint="eastAsia"/>
          <w:sz w:val="28"/>
          <w:szCs w:val="28"/>
        </w:rPr>
        <w:t>15、服务承诺、培训计划、人员安排及其他</w:t>
      </w:r>
    </w:p>
    <w:p>
      <w:pPr>
        <w:spacing w:line="500" w:lineRule="exact"/>
        <w:ind w:firstLine="480" w:firstLineChars="20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pPr>
        <w:spacing w:line="500" w:lineRule="exact"/>
        <w:ind w:firstLine="480" w:firstLineChars="200"/>
        <w:jc w:val="left"/>
        <w:rPr>
          <w:sz w:val="24"/>
          <w:szCs w:val="24"/>
        </w:rPr>
      </w:pPr>
      <w:r>
        <w:rPr>
          <w:rFonts w:hint="eastAsia"/>
          <w:sz w:val="24"/>
          <w:szCs w:val="24"/>
        </w:rPr>
        <w:t>15.2 投标人应根据招标文件要求提供培训计划、人员安排等。</w:t>
      </w:r>
    </w:p>
    <w:p>
      <w:pPr>
        <w:spacing w:line="500" w:lineRule="exact"/>
        <w:ind w:firstLine="480" w:firstLineChars="200"/>
        <w:jc w:val="left"/>
        <w:rPr>
          <w:sz w:val="24"/>
          <w:szCs w:val="24"/>
        </w:rPr>
      </w:pPr>
      <w:r>
        <w:rPr>
          <w:rFonts w:hint="eastAsia"/>
          <w:sz w:val="24"/>
          <w:szCs w:val="24"/>
        </w:rPr>
        <w:t>15.3 投标人应根据招标文件要求提供所投标的的主要组成部分、功能设计、实现思路及关键技术等。</w:t>
      </w:r>
    </w:p>
    <w:p>
      <w:pPr>
        <w:pStyle w:val="3"/>
        <w:spacing w:before="0" w:after="0" w:line="360" w:lineRule="auto"/>
        <w:ind w:firstLine="562" w:firstLineChars="200"/>
        <w:jc w:val="left"/>
        <w:rPr>
          <w:sz w:val="28"/>
          <w:szCs w:val="28"/>
        </w:rPr>
      </w:pPr>
      <w:r>
        <w:rPr>
          <w:rFonts w:hint="eastAsia"/>
          <w:sz w:val="28"/>
          <w:szCs w:val="28"/>
        </w:rPr>
        <w:t>16、投标函和开标一览表</w:t>
      </w:r>
    </w:p>
    <w:p>
      <w:pPr>
        <w:spacing w:line="500" w:lineRule="exact"/>
        <w:ind w:firstLine="480" w:firstLineChars="200"/>
        <w:jc w:val="left"/>
        <w:rPr>
          <w:sz w:val="24"/>
          <w:szCs w:val="24"/>
        </w:rPr>
      </w:pPr>
      <w:r>
        <w:rPr>
          <w:rFonts w:hint="eastAsia"/>
          <w:sz w:val="24"/>
          <w:szCs w:val="24"/>
        </w:rPr>
        <w:t>16.1 投标人应按照招标文件提供的格式完整、正确填写投标函、开标一览表。</w:t>
      </w:r>
    </w:p>
    <w:p>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pPr>
        <w:pStyle w:val="3"/>
        <w:spacing w:before="0" w:after="0" w:line="360" w:lineRule="auto"/>
        <w:ind w:firstLine="562" w:firstLineChars="200"/>
        <w:jc w:val="left"/>
        <w:rPr>
          <w:sz w:val="28"/>
          <w:szCs w:val="28"/>
        </w:rPr>
      </w:pPr>
      <w:r>
        <w:rPr>
          <w:rFonts w:hint="eastAsia"/>
          <w:sz w:val="28"/>
          <w:szCs w:val="28"/>
        </w:rPr>
        <w:t>17、投标有效期</w:t>
      </w:r>
    </w:p>
    <w:p>
      <w:pPr>
        <w:spacing w:line="500" w:lineRule="exact"/>
        <w:ind w:firstLine="480" w:firstLineChars="20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pPr>
        <w:spacing w:line="500" w:lineRule="exact"/>
        <w:ind w:firstLine="480" w:firstLineChars="200"/>
        <w:jc w:val="left"/>
        <w:rPr>
          <w:sz w:val="24"/>
          <w:szCs w:val="24"/>
        </w:rPr>
      </w:pPr>
      <w:r>
        <w:rPr>
          <w:rFonts w:hint="eastAsia"/>
          <w:sz w:val="24"/>
          <w:szCs w:val="24"/>
        </w:rPr>
        <w:t>17.2 在特殊情况下，</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pPr>
        <w:pStyle w:val="4"/>
        <w:spacing w:before="0" w:after="0" w:line="360" w:lineRule="auto"/>
        <w:rPr>
          <w:rFonts w:ascii="黑体" w:hAnsi="黑体" w:eastAsia="黑体"/>
          <w:b w:val="0"/>
        </w:rPr>
      </w:pPr>
      <w:r>
        <w:rPr>
          <w:rFonts w:hint="eastAsia" w:ascii="黑体" w:hAnsi="黑体" w:eastAsia="黑体"/>
          <w:b w:val="0"/>
        </w:rPr>
        <w:t>四、投标文件递交</w:t>
      </w:r>
    </w:p>
    <w:p>
      <w:pPr>
        <w:pStyle w:val="3"/>
        <w:spacing w:before="0" w:after="0" w:line="360" w:lineRule="auto"/>
        <w:ind w:firstLine="562" w:firstLineChars="200"/>
        <w:jc w:val="left"/>
        <w:rPr>
          <w:sz w:val="28"/>
          <w:szCs w:val="28"/>
        </w:rPr>
      </w:pPr>
      <w:r>
        <w:rPr>
          <w:rFonts w:hint="eastAsia"/>
          <w:sz w:val="28"/>
          <w:szCs w:val="28"/>
        </w:rPr>
        <w:t>18、电子投标文件的递交</w:t>
      </w:r>
    </w:p>
    <w:p>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pPr>
        <w:pStyle w:val="3"/>
        <w:spacing w:before="0" w:after="0" w:line="360" w:lineRule="auto"/>
        <w:ind w:firstLine="562" w:firstLineChars="200"/>
        <w:jc w:val="left"/>
        <w:rPr>
          <w:sz w:val="28"/>
          <w:szCs w:val="28"/>
        </w:rPr>
      </w:pPr>
      <w:r>
        <w:rPr>
          <w:rFonts w:hint="eastAsia"/>
          <w:sz w:val="28"/>
          <w:szCs w:val="28"/>
        </w:rPr>
        <w:t>19、投标截止时间</w:t>
      </w:r>
    </w:p>
    <w:p>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pPr>
        <w:spacing w:line="500" w:lineRule="exact"/>
        <w:ind w:firstLine="480" w:firstLineChars="20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pPr>
        <w:spacing w:line="500" w:lineRule="exact"/>
        <w:ind w:firstLine="480" w:firstLineChars="20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pPr>
        <w:pStyle w:val="3"/>
        <w:spacing w:before="0" w:after="0" w:line="360" w:lineRule="auto"/>
        <w:ind w:firstLine="562" w:firstLineChars="200"/>
        <w:jc w:val="left"/>
        <w:rPr>
          <w:sz w:val="28"/>
          <w:szCs w:val="28"/>
        </w:rPr>
      </w:pPr>
      <w:r>
        <w:rPr>
          <w:rFonts w:hint="eastAsia"/>
          <w:sz w:val="28"/>
          <w:szCs w:val="28"/>
        </w:rPr>
        <w:t>20、投标文件的拒收</w:t>
      </w:r>
    </w:p>
    <w:p>
      <w:pPr>
        <w:spacing w:line="500" w:lineRule="exact"/>
        <w:ind w:firstLine="480" w:firstLineChars="20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pPr>
        <w:pStyle w:val="3"/>
        <w:spacing w:before="0" w:after="0" w:line="360" w:lineRule="auto"/>
        <w:ind w:firstLine="562" w:firstLineChars="200"/>
        <w:jc w:val="left"/>
        <w:rPr>
          <w:sz w:val="28"/>
          <w:szCs w:val="28"/>
        </w:rPr>
      </w:pPr>
      <w:r>
        <w:rPr>
          <w:rFonts w:hint="eastAsia"/>
          <w:sz w:val="28"/>
          <w:szCs w:val="28"/>
        </w:rPr>
        <w:t>21、投标文件的撤回和修改</w:t>
      </w:r>
    </w:p>
    <w:p>
      <w:pPr>
        <w:spacing w:line="500" w:lineRule="exact"/>
        <w:ind w:firstLine="480" w:firstLineChars="20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pPr>
        <w:spacing w:line="500" w:lineRule="exact"/>
        <w:ind w:firstLine="480" w:firstLineChars="20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pPr>
        <w:spacing w:line="500" w:lineRule="exact"/>
        <w:ind w:firstLine="480" w:firstLineChars="200"/>
        <w:jc w:val="left"/>
        <w:rPr>
          <w:sz w:val="24"/>
          <w:szCs w:val="24"/>
        </w:rPr>
      </w:pPr>
      <w:r>
        <w:rPr>
          <w:rFonts w:hint="eastAsia"/>
          <w:sz w:val="24"/>
          <w:szCs w:val="24"/>
        </w:rPr>
        <w:t>21.3 在投标截止时间至招标文件规定的投标有效期满之间的这段时间内，投标人不得撤回其投标。</w:t>
      </w:r>
    </w:p>
    <w:p>
      <w:pPr>
        <w:pStyle w:val="4"/>
        <w:spacing w:before="0" w:after="0" w:line="360" w:lineRule="auto"/>
        <w:rPr>
          <w:rFonts w:ascii="黑体" w:hAnsi="黑体" w:eastAsia="黑体"/>
          <w:b w:val="0"/>
        </w:rPr>
      </w:pPr>
      <w:r>
        <w:rPr>
          <w:rFonts w:hint="eastAsia" w:ascii="黑体" w:hAnsi="黑体" w:eastAsia="黑体"/>
          <w:b w:val="0"/>
        </w:rPr>
        <w:t>五、开标与评标</w:t>
      </w:r>
    </w:p>
    <w:p>
      <w:pPr>
        <w:pStyle w:val="3"/>
        <w:spacing w:before="0" w:after="0" w:line="360" w:lineRule="auto"/>
        <w:ind w:firstLine="562" w:firstLineChars="200"/>
        <w:jc w:val="left"/>
        <w:rPr>
          <w:sz w:val="28"/>
          <w:szCs w:val="28"/>
        </w:rPr>
      </w:pPr>
      <w:r>
        <w:rPr>
          <w:rFonts w:hint="eastAsia"/>
          <w:sz w:val="28"/>
          <w:szCs w:val="28"/>
        </w:rPr>
        <w:t>22、开标</w:t>
      </w:r>
    </w:p>
    <w:p>
      <w:pPr>
        <w:spacing w:line="500" w:lineRule="exact"/>
        <w:ind w:firstLine="480" w:firstLineChars="20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pPr>
        <w:spacing w:line="500" w:lineRule="exact"/>
        <w:ind w:firstLine="480" w:firstLineChars="20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pPr>
        <w:spacing w:line="500" w:lineRule="exact"/>
        <w:ind w:firstLine="480" w:firstLineChars="200"/>
        <w:jc w:val="left"/>
        <w:rPr>
          <w:sz w:val="24"/>
          <w:szCs w:val="24"/>
        </w:rPr>
      </w:pPr>
      <w:r>
        <w:rPr>
          <w:rFonts w:hint="eastAsia"/>
          <w:sz w:val="24"/>
          <w:szCs w:val="24"/>
        </w:rPr>
        <w:t>22.5 投标人未参加开标的，视同认可开标结果。</w:t>
      </w:r>
    </w:p>
    <w:p>
      <w:pPr>
        <w:spacing w:line="500" w:lineRule="exact"/>
        <w:ind w:firstLine="480" w:firstLineChars="20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pPr>
        <w:pStyle w:val="3"/>
        <w:spacing w:before="0" w:after="0" w:line="360" w:lineRule="auto"/>
        <w:ind w:firstLine="562" w:firstLineChars="200"/>
        <w:jc w:val="left"/>
        <w:rPr>
          <w:sz w:val="28"/>
          <w:szCs w:val="28"/>
        </w:rPr>
      </w:pPr>
      <w:r>
        <w:rPr>
          <w:rFonts w:hint="eastAsia"/>
          <w:sz w:val="28"/>
          <w:szCs w:val="28"/>
        </w:rPr>
        <w:t>23、评标委员会</w:t>
      </w:r>
    </w:p>
    <w:p>
      <w:pPr>
        <w:spacing w:line="500" w:lineRule="exact"/>
        <w:ind w:firstLine="480" w:firstLineChars="20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pPr>
        <w:pStyle w:val="3"/>
        <w:spacing w:before="0" w:after="0" w:line="360" w:lineRule="auto"/>
        <w:ind w:firstLine="562" w:firstLineChars="200"/>
        <w:jc w:val="left"/>
        <w:rPr>
          <w:sz w:val="28"/>
          <w:szCs w:val="28"/>
        </w:rPr>
      </w:pPr>
      <w:r>
        <w:rPr>
          <w:rFonts w:hint="eastAsia"/>
          <w:sz w:val="28"/>
          <w:szCs w:val="28"/>
        </w:rPr>
        <w:t>24、评标过程的保密与公正</w:t>
      </w:r>
    </w:p>
    <w:p>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pPr>
        <w:spacing w:line="500" w:lineRule="exact"/>
        <w:ind w:firstLine="480" w:firstLineChars="20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pPr>
        <w:pStyle w:val="3"/>
        <w:spacing w:before="0" w:after="0" w:line="360" w:lineRule="auto"/>
        <w:ind w:firstLine="562" w:firstLineChars="200"/>
        <w:jc w:val="left"/>
        <w:rPr>
          <w:sz w:val="28"/>
          <w:szCs w:val="28"/>
        </w:rPr>
      </w:pPr>
      <w:r>
        <w:rPr>
          <w:rFonts w:hint="eastAsia"/>
          <w:sz w:val="28"/>
          <w:szCs w:val="28"/>
        </w:rPr>
        <w:t>25、投标文件的澄清</w:t>
      </w:r>
    </w:p>
    <w:p>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pPr>
        <w:spacing w:line="500" w:lineRule="exact"/>
        <w:ind w:firstLine="480" w:firstLineChars="200"/>
        <w:jc w:val="left"/>
        <w:rPr>
          <w:sz w:val="24"/>
          <w:szCs w:val="24"/>
        </w:rPr>
      </w:pPr>
      <w:r>
        <w:rPr>
          <w:rFonts w:hint="eastAsia"/>
          <w:sz w:val="24"/>
          <w:szCs w:val="24"/>
        </w:rPr>
        <w:t>评委会并非对每个投标人都提出澄清、说明或者补正要求。</w:t>
      </w:r>
    </w:p>
    <w:p>
      <w:pPr>
        <w:spacing w:line="500" w:lineRule="exact"/>
        <w:ind w:firstLine="480" w:firstLineChars="20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pPr>
        <w:spacing w:line="500" w:lineRule="exact"/>
        <w:ind w:firstLine="480" w:firstLineChars="200"/>
        <w:jc w:val="left"/>
        <w:rPr>
          <w:sz w:val="24"/>
          <w:szCs w:val="24"/>
        </w:rPr>
      </w:pPr>
      <w:r>
        <w:rPr>
          <w:rFonts w:hint="eastAsia"/>
          <w:sz w:val="24"/>
          <w:szCs w:val="24"/>
        </w:rPr>
        <w:t>25.3 接到评委会澄清、说明或者补正要求的投标人如未按要求响应，其风险由投标人自行承担。</w:t>
      </w:r>
    </w:p>
    <w:p>
      <w:pPr>
        <w:pStyle w:val="3"/>
        <w:spacing w:before="0" w:after="0" w:line="360" w:lineRule="auto"/>
        <w:ind w:firstLine="562" w:firstLineChars="200"/>
        <w:jc w:val="left"/>
        <w:rPr>
          <w:sz w:val="28"/>
          <w:szCs w:val="28"/>
        </w:rPr>
      </w:pPr>
      <w:r>
        <w:rPr>
          <w:rFonts w:hint="eastAsia"/>
          <w:sz w:val="28"/>
          <w:szCs w:val="28"/>
        </w:rPr>
        <w:t>26、对投标文件的初审</w:t>
      </w:r>
    </w:p>
    <w:p>
      <w:pPr>
        <w:spacing w:line="500" w:lineRule="exact"/>
        <w:ind w:firstLine="480" w:firstLineChars="200"/>
        <w:jc w:val="left"/>
        <w:rPr>
          <w:sz w:val="24"/>
          <w:szCs w:val="24"/>
        </w:rPr>
      </w:pPr>
      <w:r>
        <w:rPr>
          <w:rFonts w:hint="eastAsia"/>
          <w:sz w:val="24"/>
          <w:szCs w:val="24"/>
        </w:rPr>
        <w:t>26.1 投标文件初审分为资格审查和符合性审查。</w:t>
      </w:r>
    </w:p>
    <w:p>
      <w:pPr>
        <w:spacing w:line="500" w:lineRule="exact"/>
        <w:ind w:firstLine="480" w:firstLineChars="20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pPr>
        <w:spacing w:line="500" w:lineRule="exact"/>
        <w:ind w:firstLine="480" w:firstLineChars="20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采购人在进行资格审查的同时，将在信用中国网站（www.creditchina.gov.cn）、中国政府采购网（www.ccgp.gov.cn）查询投标人的信用记录，以确定投标人是否具备投标资格，查询结果留存并归档。</w:t>
      </w:r>
    </w:p>
    <w:p>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pPr>
        <w:spacing w:line="500" w:lineRule="exact"/>
        <w:ind w:firstLine="480" w:firstLineChars="20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pPr>
        <w:spacing w:line="500" w:lineRule="exact"/>
        <w:ind w:firstLine="480" w:firstLineChars="200"/>
        <w:jc w:val="left"/>
        <w:rPr>
          <w:sz w:val="24"/>
          <w:szCs w:val="24"/>
        </w:rPr>
      </w:pPr>
      <w:r>
        <w:rPr>
          <w:rFonts w:hint="eastAsia"/>
          <w:sz w:val="24"/>
          <w:szCs w:val="24"/>
        </w:rPr>
        <w:t>未通过资格审查或符合性审查的投标人，将通过“苏采云”系统中告知其未通过的原因，评审结束后，将不再告知。</w:t>
      </w:r>
    </w:p>
    <w:p>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eastAsia="zh-CN"/>
        </w:rPr>
        <w:t>采购中心</w:t>
      </w:r>
      <w:r>
        <w:rPr>
          <w:rFonts w:hint="eastAsia"/>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pPr>
        <w:spacing w:line="500" w:lineRule="exact"/>
        <w:ind w:firstLine="480" w:firstLineChars="200"/>
        <w:jc w:val="left"/>
        <w:rPr>
          <w:sz w:val="24"/>
          <w:szCs w:val="24"/>
        </w:rPr>
      </w:pPr>
      <w:r>
        <w:rPr>
          <w:rFonts w:hint="eastAsia"/>
          <w:sz w:val="24"/>
          <w:szCs w:val="24"/>
        </w:rPr>
        <w:t>（2）大写金额和小写金额不一致的，以大写金额为准。</w:t>
      </w:r>
    </w:p>
    <w:p>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pPr>
        <w:spacing w:line="500" w:lineRule="exact"/>
        <w:ind w:firstLine="480" w:firstLineChars="200"/>
        <w:jc w:val="left"/>
        <w:rPr>
          <w:sz w:val="24"/>
          <w:szCs w:val="24"/>
        </w:rPr>
      </w:pPr>
      <w:r>
        <w:rPr>
          <w:rFonts w:hint="eastAsia"/>
          <w:sz w:val="24"/>
          <w:szCs w:val="24"/>
        </w:rPr>
        <w:t>同时出现两种以上错误的，按照前款规定的顺序修正。</w:t>
      </w:r>
    </w:p>
    <w:p>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pPr>
        <w:spacing w:line="500" w:lineRule="exact"/>
        <w:ind w:firstLine="480" w:firstLineChars="20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pPr>
        <w:pStyle w:val="3"/>
        <w:spacing w:before="0" w:after="0" w:line="360" w:lineRule="auto"/>
        <w:ind w:firstLine="562" w:firstLineChars="200"/>
        <w:jc w:val="left"/>
        <w:rPr>
          <w:sz w:val="28"/>
          <w:szCs w:val="28"/>
        </w:rPr>
      </w:pPr>
      <w:r>
        <w:rPr>
          <w:rFonts w:hint="eastAsia"/>
          <w:sz w:val="28"/>
          <w:szCs w:val="28"/>
        </w:rPr>
        <w:t>27、无效投标条款和废标条款</w:t>
      </w:r>
    </w:p>
    <w:p>
      <w:pPr>
        <w:spacing w:line="500" w:lineRule="exact"/>
        <w:ind w:firstLine="480" w:firstLineChars="200"/>
        <w:jc w:val="left"/>
        <w:rPr>
          <w:sz w:val="24"/>
          <w:szCs w:val="24"/>
        </w:rPr>
      </w:pPr>
      <w:r>
        <w:rPr>
          <w:rFonts w:hint="eastAsia"/>
          <w:sz w:val="24"/>
          <w:szCs w:val="24"/>
        </w:rPr>
        <w:t>27.1 无效投标条款：</w:t>
      </w:r>
    </w:p>
    <w:p>
      <w:pPr>
        <w:spacing w:line="500" w:lineRule="exact"/>
        <w:ind w:firstLine="480" w:firstLineChars="200"/>
        <w:jc w:val="left"/>
        <w:rPr>
          <w:sz w:val="24"/>
          <w:szCs w:val="24"/>
        </w:rPr>
      </w:pPr>
      <w:r>
        <w:rPr>
          <w:rFonts w:hint="eastAsia"/>
          <w:sz w:val="24"/>
          <w:szCs w:val="24"/>
        </w:rPr>
        <w:t>（1）投标人未按照招标文件要求递交（上传）电子投标文件的。</w:t>
      </w:r>
    </w:p>
    <w:p>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pPr>
        <w:spacing w:line="500" w:lineRule="exact"/>
        <w:ind w:firstLine="480" w:firstLineChars="200"/>
        <w:jc w:val="left"/>
        <w:rPr>
          <w:sz w:val="24"/>
          <w:szCs w:val="24"/>
        </w:rPr>
      </w:pPr>
      <w:r>
        <w:rPr>
          <w:rFonts w:hint="eastAsia"/>
          <w:sz w:val="24"/>
          <w:szCs w:val="24"/>
        </w:rPr>
        <w:t>（3）投标人不具备招标文件中规定的资格要求的。</w:t>
      </w:r>
    </w:p>
    <w:p>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pPr>
        <w:spacing w:line="500" w:lineRule="exact"/>
        <w:ind w:firstLine="480" w:firstLineChars="200"/>
        <w:jc w:val="left"/>
        <w:rPr>
          <w:sz w:val="24"/>
          <w:szCs w:val="24"/>
        </w:rPr>
      </w:pPr>
      <w:r>
        <w:rPr>
          <w:rFonts w:hint="eastAsia"/>
          <w:sz w:val="24"/>
          <w:szCs w:val="24"/>
        </w:rPr>
        <w:t>（5）投标人提交两个（含两个）以上不同的投标报价的。</w:t>
      </w:r>
    </w:p>
    <w:p>
      <w:pPr>
        <w:spacing w:line="500" w:lineRule="exact"/>
        <w:ind w:firstLine="480" w:firstLineChars="200"/>
        <w:jc w:val="left"/>
        <w:rPr>
          <w:sz w:val="24"/>
          <w:szCs w:val="24"/>
        </w:rPr>
      </w:pPr>
      <w:r>
        <w:rPr>
          <w:rFonts w:hint="eastAsia"/>
          <w:sz w:val="24"/>
          <w:szCs w:val="24"/>
        </w:rPr>
        <w:t>（6）投标人的报价超过了采购预算或者最高限价的。</w:t>
      </w:r>
    </w:p>
    <w:p>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pPr>
        <w:spacing w:line="500" w:lineRule="exact"/>
        <w:ind w:firstLine="480" w:firstLineChars="200"/>
        <w:jc w:val="left"/>
        <w:rPr>
          <w:sz w:val="24"/>
          <w:szCs w:val="24"/>
        </w:rPr>
      </w:pPr>
      <w:r>
        <w:rPr>
          <w:rFonts w:hint="eastAsia"/>
          <w:sz w:val="24"/>
          <w:szCs w:val="24"/>
        </w:rPr>
        <w:t>（8）不符合招标文件规定的实质性要求和条件的。（本招标文件中斜体且有下划线部分为实质性要求和条件）</w:t>
      </w:r>
    </w:p>
    <w:p>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pPr>
        <w:spacing w:line="500" w:lineRule="exact"/>
        <w:ind w:firstLine="480" w:firstLineChars="200"/>
        <w:jc w:val="left"/>
        <w:rPr>
          <w:sz w:val="24"/>
          <w:szCs w:val="24"/>
        </w:rPr>
      </w:pPr>
      <w:r>
        <w:rPr>
          <w:rFonts w:hint="eastAsia"/>
          <w:sz w:val="24"/>
          <w:szCs w:val="24"/>
        </w:rPr>
        <w:t>（10）投标人未通过符合性审查的。</w:t>
      </w:r>
    </w:p>
    <w:p>
      <w:pPr>
        <w:spacing w:line="500" w:lineRule="exact"/>
        <w:ind w:firstLine="480" w:firstLineChars="200"/>
        <w:jc w:val="left"/>
        <w:rPr>
          <w:sz w:val="24"/>
          <w:szCs w:val="24"/>
        </w:rPr>
      </w:pPr>
      <w:r>
        <w:rPr>
          <w:rFonts w:hint="eastAsia"/>
          <w:sz w:val="24"/>
          <w:szCs w:val="24"/>
        </w:rPr>
        <w:t>（11）投标文件含有采购人不能接受的附加条件的。</w:t>
      </w:r>
    </w:p>
    <w:p>
      <w:pPr>
        <w:spacing w:line="500" w:lineRule="exact"/>
        <w:ind w:firstLine="480" w:firstLineChars="200"/>
        <w:jc w:val="left"/>
        <w:rPr>
          <w:sz w:val="24"/>
          <w:szCs w:val="24"/>
        </w:rPr>
      </w:pPr>
      <w:r>
        <w:rPr>
          <w:rFonts w:hint="eastAsia"/>
          <w:sz w:val="24"/>
          <w:szCs w:val="24"/>
        </w:rPr>
        <w:t>（12）投标文件未按照招标文件要求加盖公章（CA电子公章）的。</w:t>
      </w:r>
    </w:p>
    <w:p>
      <w:pPr>
        <w:spacing w:line="500" w:lineRule="exact"/>
        <w:ind w:firstLine="480" w:firstLineChars="200"/>
        <w:jc w:val="left"/>
        <w:rPr>
          <w:sz w:val="24"/>
          <w:szCs w:val="24"/>
        </w:rPr>
      </w:pPr>
      <w:r>
        <w:rPr>
          <w:rFonts w:hint="eastAsia"/>
          <w:sz w:val="24"/>
          <w:szCs w:val="24"/>
        </w:rPr>
        <w:t>（13）其他法律、法规及本招标文件规定的属于无效投标的情形。</w:t>
      </w:r>
    </w:p>
    <w:p>
      <w:pPr>
        <w:spacing w:line="500" w:lineRule="exact"/>
        <w:ind w:firstLine="480" w:firstLineChars="200"/>
        <w:jc w:val="left"/>
        <w:rPr>
          <w:sz w:val="24"/>
          <w:szCs w:val="24"/>
        </w:rPr>
      </w:pPr>
      <w:r>
        <w:rPr>
          <w:rFonts w:hint="eastAsia"/>
          <w:sz w:val="24"/>
          <w:szCs w:val="24"/>
        </w:rPr>
        <w:t>27.2 有下列情形之一的，视为投标人串通投标，投标无效：</w:t>
      </w:r>
    </w:p>
    <w:p>
      <w:pPr>
        <w:spacing w:line="500" w:lineRule="exact"/>
        <w:ind w:firstLine="480" w:firstLineChars="200"/>
        <w:jc w:val="left"/>
        <w:rPr>
          <w:sz w:val="24"/>
          <w:szCs w:val="24"/>
        </w:rPr>
      </w:pPr>
      <w:r>
        <w:rPr>
          <w:rFonts w:hint="eastAsia"/>
          <w:sz w:val="24"/>
          <w:szCs w:val="24"/>
        </w:rPr>
        <w:t>（1）不同投标人的投标文件由同一单位或者个人编制。</w:t>
      </w:r>
    </w:p>
    <w:p>
      <w:pPr>
        <w:spacing w:line="500" w:lineRule="exact"/>
        <w:ind w:firstLine="480" w:firstLineChars="200"/>
        <w:jc w:val="left"/>
        <w:rPr>
          <w:sz w:val="24"/>
          <w:szCs w:val="24"/>
        </w:rPr>
      </w:pPr>
      <w:r>
        <w:rPr>
          <w:rFonts w:hint="eastAsia"/>
          <w:sz w:val="24"/>
          <w:szCs w:val="24"/>
        </w:rPr>
        <w:t>（2）不同投标人委托同一单位或者个人办理投标事宜。</w:t>
      </w:r>
    </w:p>
    <w:p>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pPr>
        <w:spacing w:line="500" w:lineRule="exact"/>
        <w:ind w:firstLine="480" w:firstLineChars="200"/>
        <w:jc w:val="left"/>
        <w:rPr>
          <w:sz w:val="24"/>
          <w:szCs w:val="24"/>
        </w:rPr>
      </w:pPr>
      <w:r>
        <w:rPr>
          <w:rFonts w:hint="eastAsia"/>
          <w:sz w:val="24"/>
          <w:szCs w:val="24"/>
        </w:rPr>
        <w:t>（5）不同投标人的投标文件相互混装。</w:t>
      </w:r>
    </w:p>
    <w:p>
      <w:pPr>
        <w:spacing w:line="500" w:lineRule="exact"/>
        <w:ind w:firstLine="480" w:firstLineChars="200"/>
        <w:jc w:val="left"/>
        <w:rPr>
          <w:sz w:val="24"/>
          <w:szCs w:val="24"/>
        </w:rPr>
      </w:pPr>
      <w:r>
        <w:rPr>
          <w:rFonts w:hint="eastAsia"/>
          <w:sz w:val="24"/>
          <w:szCs w:val="24"/>
        </w:rPr>
        <w:t>27.3 废标条款：</w:t>
      </w:r>
    </w:p>
    <w:p>
      <w:pPr>
        <w:spacing w:line="500" w:lineRule="exact"/>
        <w:ind w:firstLine="480" w:firstLineChars="200"/>
        <w:jc w:val="left"/>
        <w:rPr>
          <w:sz w:val="24"/>
          <w:szCs w:val="24"/>
        </w:rPr>
      </w:pPr>
      <w:r>
        <w:rPr>
          <w:rFonts w:hint="eastAsia"/>
          <w:sz w:val="24"/>
          <w:szCs w:val="24"/>
        </w:rPr>
        <w:t>（1）因“苏采云”系统故障原因造成开标不成功的。</w:t>
      </w:r>
    </w:p>
    <w:p>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pPr>
        <w:spacing w:line="500" w:lineRule="exact"/>
        <w:ind w:firstLine="480" w:firstLineChars="200"/>
        <w:jc w:val="left"/>
        <w:rPr>
          <w:sz w:val="24"/>
          <w:szCs w:val="24"/>
        </w:rPr>
      </w:pPr>
      <w:r>
        <w:rPr>
          <w:rFonts w:hint="eastAsia"/>
          <w:sz w:val="24"/>
          <w:szCs w:val="24"/>
        </w:rPr>
        <w:t>（4）出现影响采购公正的违法、违规行为的。</w:t>
      </w:r>
    </w:p>
    <w:p>
      <w:pPr>
        <w:spacing w:line="500" w:lineRule="exact"/>
        <w:ind w:firstLine="480" w:firstLineChars="200"/>
        <w:jc w:val="left"/>
        <w:rPr>
          <w:sz w:val="24"/>
          <w:szCs w:val="24"/>
        </w:rPr>
      </w:pPr>
      <w:r>
        <w:rPr>
          <w:rFonts w:hint="eastAsia"/>
          <w:sz w:val="24"/>
          <w:szCs w:val="24"/>
        </w:rPr>
        <w:t>（5）因重大变故，采购任务取消的。</w:t>
      </w:r>
    </w:p>
    <w:p>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pPr>
        <w:pStyle w:val="4"/>
        <w:spacing w:before="0" w:after="0" w:line="360" w:lineRule="auto"/>
        <w:rPr>
          <w:rFonts w:ascii="黑体" w:hAnsi="黑体" w:eastAsia="黑体"/>
          <w:b w:val="0"/>
        </w:rPr>
      </w:pPr>
      <w:r>
        <w:rPr>
          <w:rFonts w:hint="eastAsia" w:ascii="黑体" w:hAnsi="黑体" w:eastAsia="黑体"/>
          <w:b w:val="0"/>
        </w:rPr>
        <w:t>六、定标</w:t>
      </w:r>
    </w:p>
    <w:p>
      <w:pPr>
        <w:pStyle w:val="3"/>
        <w:spacing w:before="0" w:after="0" w:line="360" w:lineRule="auto"/>
        <w:ind w:firstLine="562" w:firstLineChars="200"/>
        <w:jc w:val="left"/>
        <w:rPr>
          <w:sz w:val="28"/>
          <w:szCs w:val="28"/>
        </w:rPr>
      </w:pPr>
      <w:r>
        <w:rPr>
          <w:rFonts w:hint="eastAsia"/>
          <w:sz w:val="28"/>
          <w:szCs w:val="28"/>
        </w:rPr>
        <w:t>28、确定中标单位</w:t>
      </w:r>
    </w:p>
    <w:p>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pPr>
        <w:spacing w:line="500" w:lineRule="exact"/>
        <w:ind w:firstLine="480" w:firstLineChars="200"/>
        <w:jc w:val="left"/>
        <w:rPr>
          <w:sz w:val="24"/>
          <w:szCs w:val="24"/>
        </w:rPr>
      </w:pPr>
      <w:r>
        <w:rPr>
          <w:rFonts w:hint="eastAsia"/>
          <w:sz w:val="24"/>
          <w:szCs w:val="24"/>
        </w:rPr>
        <w:t>28.2 采购人应根据评委会推荐的中标候选人确定中标人。</w:t>
      </w:r>
    </w:p>
    <w:p>
      <w:pPr>
        <w:spacing w:line="500" w:lineRule="exact"/>
        <w:ind w:firstLine="480" w:firstLineChars="20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pPr>
        <w:spacing w:line="500" w:lineRule="exact"/>
        <w:ind w:firstLine="480" w:firstLineChars="200"/>
        <w:jc w:val="left"/>
        <w:rPr>
          <w:sz w:val="24"/>
          <w:szCs w:val="24"/>
        </w:rPr>
      </w:pPr>
      <w:r>
        <w:rPr>
          <w:rFonts w:hint="eastAsia"/>
          <w:sz w:val="24"/>
          <w:szCs w:val="24"/>
        </w:rPr>
        <w:t>28.4 若有充分证据证明，中标人存在下列情形之一的，一经查实，将被取消中标资格：</w:t>
      </w:r>
    </w:p>
    <w:p>
      <w:pPr>
        <w:spacing w:line="500" w:lineRule="exact"/>
        <w:ind w:firstLine="480" w:firstLineChars="200"/>
        <w:jc w:val="left"/>
        <w:rPr>
          <w:sz w:val="24"/>
          <w:szCs w:val="24"/>
        </w:rPr>
      </w:pPr>
      <w:r>
        <w:rPr>
          <w:rFonts w:hint="eastAsia"/>
          <w:sz w:val="24"/>
          <w:szCs w:val="24"/>
        </w:rPr>
        <w:t>（1）提供虚假材料谋取中标、成交的。</w:t>
      </w:r>
    </w:p>
    <w:p>
      <w:pPr>
        <w:spacing w:line="500" w:lineRule="exact"/>
        <w:ind w:firstLine="480" w:firstLineChars="200"/>
        <w:jc w:val="left"/>
        <w:rPr>
          <w:sz w:val="24"/>
          <w:szCs w:val="24"/>
        </w:rPr>
      </w:pPr>
      <w:r>
        <w:rPr>
          <w:rFonts w:hint="eastAsia"/>
          <w:sz w:val="24"/>
          <w:szCs w:val="24"/>
        </w:rPr>
        <w:t>（2）采取不正当手段诋毁、排挤其他供应商的。</w:t>
      </w:r>
    </w:p>
    <w:p>
      <w:pPr>
        <w:spacing w:line="500" w:lineRule="exact"/>
        <w:ind w:firstLine="480" w:firstLineChars="20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pPr>
        <w:spacing w:line="500" w:lineRule="exact"/>
        <w:ind w:firstLine="480" w:firstLineChars="20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pPr>
        <w:spacing w:line="500" w:lineRule="exact"/>
        <w:ind w:firstLine="480" w:firstLineChars="200"/>
        <w:jc w:val="left"/>
        <w:rPr>
          <w:sz w:val="24"/>
          <w:szCs w:val="24"/>
        </w:rPr>
      </w:pPr>
      <w:r>
        <w:rPr>
          <w:rFonts w:hint="eastAsia"/>
          <w:sz w:val="24"/>
          <w:szCs w:val="24"/>
        </w:rPr>
        <w:t>（5）在招标采购过程中与采购人进行协商谈判的。</w:t>
      </w:r>
    </w:p>
    <w:p>
      <w:pPr>
        <w:spacing w:line="500" w:lineRule="exact"/>
        <w:ind w:firstLine="480" w:firstLineChars="200"/>
        <w:jc w:val="left"/>
        <w:rPr>
          <w:sz w:val="24"/>
          <w:szCs w:val="24"/>
        </w:rPr>
      </w:pPr>
      <w:r>
        <w:rPr>
          <w:rFonts w:hint="eastAsia"/>
          <w:sz w:val="24"/>
          <w:szCs w:val="24"/>
        </w:rPr>
        <w:t>（6）属于本招标文件规定的无效情形，但在评标过程中又未被评委会发现的。</w:t>
      </w:r>
    </w:p>
    <w:p>
      <w:pPr>
        <w:pStyle w:val="3"/>
        <w:spacing w:before="0" w:after="0" w:line="360" w:lineRule="auto"/>
        <w:ind w:firstLine="562" w:firstLineChars="200"/>
        <w:jc w:val="left"/>
        <w:rPr>
          <w:sz w:val="28"/>
          <w:szCs w:val="28"/>
        </w:rPr>
      </w:pPr>
      <w:r>
        <w:rPr>
          <w:rFonts w:hint="eastAsia"/>
          <w:sz w:val="28"/>
          <w:szCs w:val="28"/>
        </w:rPr>
        <w:t>29、中标通知书</w:t>
      </w:r>
    </w:p>
    <w:p>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pPr>
        <w:spacing w:line="500" w:lineRule="exact"/>
        <w:ind w:firstLine="480" w:firstLineChars="20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pPr>
        <w:spacing w:line="500" w:lineRule="exact"/>
        <w:ind w:firstLine="480" w:firstLineChars="200"/>
        <w:jc w:val="left"/>
        <w:rPr>
          <w:sz w:val="24"/>
          <w:szCs w:val="24"/>
        </w:rPr>
      </w:pPr>
      <w:r>
        <w:rPr>
          <w:rFonts w:hint="eastAsia"/>
          <w:sz w:val="24"/>
          <w:szCs w:val="24"/>
        </w:rPr>
        <w:t>29.3 中标人应在中标后七个工作日内，向采购人和</w:t>
      </w:r>
      <w:r>
        <w:rPr>
          <w:rFonts w:hint="eastAsia"/>
          <w:sz w:val="24"/>
          <w:szCs w:val="24"/>
          <w:lang w:eastAsia="zh-CN"/>
        </w:rPr>
        <w:t>采购中心</w:t>
      </w:r>
      <w:r>
        <w:rPr>
          <w:rFonts w:hint="eastAsia"/>
          <w:sz w:val="24"/>
          <w:szCs w:val="24"/>
        </w:rPr>
        <w:t>各提供一份与电子投标文件一致的纸质打印胶装投标文件，封面、骑缝需加盖公章。</w:t>
      </w:r>
    </w:p>
    <w:p>
      <w:pPr>
        <w:pStyle w:val="4"/>
        <w:spacing w:before="0" w:after="0" w:line="360" w:lineRule="auto"/>
        <w:rPr>
          <w:rFonts w:ascii="黑体" w:hAnsi="黑体" w:eastAsia="黑体"/>
          <w:b w:val="0"/>
        </w:rPr>
      </w:pPr>
      <w:r>
        <w:rPr>
          <w:rFonts w:hint="eastAsia" w:ascii="黑体" w:hAnsi="黑体" w:eastAsia="黑体"/>
          <w:b w:val="0"/>
        </w:rPr>
        <w:t>七、授予合同</w:t>
      </w:r>
    </w:p>
    <w:p>
      <w:pPr>
        <w:pStyle w:val="3"/>
        <w:spacing w:before="0" w:after="0" w:line="360" w:lineRule="auto"/>
        <w:ind w:firstLine="562" w:firstLineChars="200"/>
        <w:jc w:val="left"/>
        <w:rPr>
          <w:sz w:val="28"/>
          <w:szCs w:val="28"/>
        </w:rPr>
      </w:pPr>
      <w:r>
        <w:rPr>
          <w:rFonts w:hint="eastAsia"/>
          <w:sz w:val="28"/>
          <w:szCs w:val="28"/>
        </w:rPr>
        <w:t>30、履约保证金</w:t>
      </w:r>
    </w:p>
    <w:p>
      <w:pPr>
        <w:spacing w:line="500" w:lineRule="exact"/>
        <w:ind w:firstLine="480" w:firstLineChars="20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pPr>
        <w:spacing w:line="500" w:lineRule="exact"/>
        <w:ind w:firstLine="480" w:firstLineChars="20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pPr>
        <w:spacing w:line="500" w:lineRule="exact"/>
        <w:ind w:firstLine="480" w:firstLineChars="20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pPr>
        <w:spacing w:line="500" w:lineRule="exact"/>
        <w:ind w:firstLine="480" w:firstLineChars="200"/>
        <w:jc w:val="left"/>
        <w:rPr>
          <w:sz w:val="24"/>
          <w:szCs w:val="24"/>
        </w:rPr>
      </w:pPr>
      <w:r>
        <w:rPr>
          <w:rFonts w:hint="eastAsia"/>
          <w:sz w:val="24"/>
          <w:szCs w:val="24"/>
        </w:rPr>
        <w:t>30.4 逾期退还履约保证金的采购人承担违约责任，按照中国人民银行同期贷款基准利率向中标人支付超期资金占用费。</w:t>
      </w:r>
    </w:p>
    <w:p>
      <w:pPr>
        <w:spacing w:line="500" w:lineRule="exact"/>
        <w:ind w:firstLine="480" w:firstLineChars="200"/>
        <w:jc w:val="left"/>
        <w:rPr>
          <w:sz w:val="24"/>
          <w:szCs w:val="24"/>
        </w:rPr>
      </w:pPr>
      <w:r>
        <w:rPr>
          <w:rFonts w:hint="eastAsia"/>
          <w:sz w:val="24"/>
          <w:szCs w:val="24"/>
        </w:rPr>
        <w:t>30.5 本项目履约保证金要求详见招标文件第四章 采购需求。</w:t>
      </w:r>
    </w:p>
    <w:p>
      <w:pPr>
        <w:pStyle w:val="3"/>
        <w:spacing w:before="0" w:after="0" w:line="360" w:lineRule="auto"/>
        <w:ind w:firstLine="562" w:firstLineChars="200"/>
        <w:jc w:val="left"/>
        <w:rPr>
          <w:sz w:val="28"/>
          <w:szCs w:val="28"/>
        </w:rPr>
      </w:pPr>
      <w:r>
        <w:rPr>
          <w:rFonts w:hint="eastAsia"/>
          <w:sz w:val="28"/>
          <w:szCs w:val="28"/>
        </w:rPr>
        <w:t>31、签订合同</w:t>
      </w:r>
    </w:p>
    <w:p>
      <w:pPr>
        <w:spacing w:line="500" w:lineRule="exact"/>
        <w:ind w:firstLine="480" w:firstLineChars="200"/>
        <w:jc w:val="left"/>
        <w:rPr>
          <w:sz w:val="24"/>
          <w:szCs w:val="24"/>
        </w:rPr>
      </w:pPr>
      <w:r>
        <w:rPr>
          <w:rFonts w:hint="eastAsia"/>
          <w:sz w:val="24"/>
          <w:szCs w:val="24"/>
        </w:rPr>
        <w:t>31.1 中标人应当在中标通知书发出之日起三十日内，按照招标文件和中标人投标文件的规定，与采购人签订政府采购合同。</w:t>
      </w:r>
    </w:p>
    <w:p>
      <w:pPr>
        <w:spacing w:line="500" w:lineRule="exact"/>
        <w:ind w:firstLine="480" w:firstLineChars="200"/>
        <w:jc w:val="left"/>
        <w:rPr>
          <w:sz w:val="24"/>
          <w:szCs w:val="24"/>
        </w:rPr>
      </w:pPr>
      <w:r>
        <w:rPr>
          <w:rFonts w:hint="eastAsia"/>
          <w:sz w:val="24"/>
          <w:szCs w:val="24"/>
        </w:rPr>
        <w:t>31.2 招标文件、中标人的投标文件及招标过程中有关澄清、承诺等文件均应作为合同附件。</w:t>
      </w:r>
    </w:p>
    <w:p>
      <w:pPr>
        <w:spacing w:line="500" w:lineRule="exact"/>
        <w:ind w:firstLine="480" w:firstLineChars="20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pPr>
        <w:pStyle w:val="3"/>
        <w:spacing w:before="0" w:after="0" w:line="360" w:lineRule="auto"/>
        <w:ind w:firstLine="562" w:firstLineChars="200"/>
        <w:jc w:val="left"/>
        <w:rPr>
          <w:sz w:val="28"/>
          <w:szCs w:val="28"/>
        </w:rPr>
      </w:pPr>
      <w:r>
        <w:rPr>
          <w:rFonts w:hint="eastAsia"/>
          <w:sz w:val="28"/>
          <w:szCs w:val="28"/>
        </w:rPr>
        <w:t>32、合同标的的追加</w:t>
      </w:r>
    </w:p>
    <w:p>
      <w:pPr>
        <w:spacing w:line="500" w:lineRule="exact"/>
        <w:ind w:firstLine="480" w:firstLineChars="20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pPr>
        <w:pStyle w:val="3"/>
        <w:spacing w:before="0" w:after="0" w:line="360" w:lineRule="auto"/>
        <w:ind w:firstLine="562" w:firstLineChars="200"/>
        <w:jc w:val="left"/>
        <w:rPr>
          <w:sz w:val="28"/>
          <w:szCs w:val="28"/>
        </w:rPr>
      </w:pPr>
      <w:r>
        <w:rPr>
          <w:rFonts w:hint="eastAsia"/>
          <w:sz w:val="28"/>
          <w:szCs w:val="28"/>
        </w:rPr>
        <w:t>33、政府采购履约资金扶持政策</w:t>
      </w:r>
    </w:p>
    <w:p>
      <w:pPr>
        <w:spacing w:line="500" w:lineRule="exact"/>
        <w:ind w:firstLine="480" w:firstLineChars="200"/>
        <w:jc w:val="left"/>
        <w:rPr>
          <w:sz w:val="24"/>
          <w:szCs w:val="24"/>
        </w:rPr>
      </w:pPr>
      <w:r>
        <w:rPr>
          <w:rFonts w:hint="eastAsia"/>
          <w:sz w:val="24"/>
          <w:szCs w:val="24"/>
        </w:rPr>
        <w:t>33.1 中标人可凭政府采购合同办理融资贷款，详情请见江苏政府采购网“政采贷”专栏。</w:t>
      </w:r>
    </w:p>
    <w:p>
      <w:pPr>
        <w:pStyle w:val="4"/>
        <w:spacing w:before="0" w:after="0" w:line="360" w:lineRule="auto"/>
        <w:rPr>
          <w:rFonts w:ascii="黑体" w:hAnsi="黑体" w:eastAsia="黑体"/>
          <w:b w:val="0"/>
        </w:rPr>
      </w:pPr>
      <w:r>
        <w:rPr>
          <w:rFonts w:hint="eastAsia" w:ascii="黑体" w:hAnsi="黑体" w:eastAsia="黑体"/>
          <w:b w:val="0"/>
        </w:rPr>
        <w:t>八、询问与质疑</w:t>
      </w:r>
    </w:p>
    <w:p>
      <w:pPr>
        <w:pStyle w:val="3"/>
        <w:spacing w:before="0" w:after="0" w:line="360" w:lineRule="auto"/>
        <w:ind w:firstLine="562" w:firstLineChars="200"/>
        <w:jc w:val="left"/>
        <w:rPr>
          <w:sz w:val="28"/>
          <w:szCs w:val="28"/>
        </w:rPr>
      </w:pPr>
      <w:r>
        <w:rPr>
          <w:rFonts w:hint="eastAsia"/>
          <w:sz w:val="28"/>
          <w:szCs w:val="28"/>
        </w:rPr>
        <w:t>34、询问</w:t>
      </w:r>
    </w:p>
    <w:p>
      <w:pPr>
        <w:spacing w:line="500" w:lineRule="exact"/>
        <w:ind w:firstLine="480" w:firstLineChars="20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pPr>
        <w:pStyle w:val="3"/>
        <w:spacing w:before="0" w:after="0" w:line="360" w:lineRule="auto"/>
        <w:ind w:firstLine="562" w:firstLineChars="200"/>
        <w:jc w:val="left"/>
        <w:rPr>
          <w:sz w:val="28"/>
          <w:szCs w:val="28"/>
        </w:rPr>
      </w:pPr>
      <w:r>
        <w:rPr>
          <w:rFonts w:hint="eastAsia"/>
          <w:sz w:val="28"/>
          <w:szCs w:val="28"/>
        </w:rPr>
        <w:t>35、质疑提出</w:t>
      </w:r>
    </w:p>
    <w:p>
      <w:pPr>
        <w:spacing w:line="500" w:lineRule="exact"/>
        <w:ind w:firstLine="480" w:firstLineChars="200"/>
        <w:jc w:val="left"/>
        <w:rPr>
          <w:sz w:val="24"/>
          <w:szCs w:val="24"/>
        </w:rPr>
      </w:pPr>
      <w:r>
        <w:rPr>
          <w:rFonts w:hint="eastAsia"/>
          <w:sz w:val="24"/>
          <w:szCs w:val="24"/>
        </w:rPr>
        <w:t>35.1 提出质疑的供应商应当是参与所质疑项目采购活动的供应商。</w:t>
      </w:r>
    </w:p>
    <w:p>
      <w:pPr>
        <w:spacing w:line="500" w:lineRule="exact"/>
        <w:ind w:firstLine="480" w:firstLineChars="20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采购中心</w:t>
      </w:r>
      <w:r>
        <w:rPr>
          <w:rFonts w:hint="eastAsia"/>
          <w:sz w:val="24"/>
          <w:szCs w:val="24"/>
        </w:rPr>
        <w:t>提出质疑。</w:t>
      </w:r>
    </w:p>
    <w:p>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pPr>
        <w:spacing w:line="500" w:lineRule="exact"/>
        <w:ind w:firstLine="480" w:firstLineChars="200"/>
        <w:jc w:val="left"/>
        <w:rPr>
          <w:sz w:val="24"/>
          <w:szCs w:val="24"/>
        </w:rPr>
      </w:pPr>
      <w:r>
        <w:rPr>
          <w:rFonts w:hint="eastAsia"/>
          <w:sz w:val="24"/>
          <w:szCs w:val="24"/>
        </w:rPr>
        <w:t>未按照采购公告要求获取采购文件的供应商，视为未参与该项目采购活动，不具备对该采购文件提出质疑的法定权利。</w:t>
      </w:r>
    </w:p>
    <w:p>
      <w:pPr>
        <w:spacing w:line="500" w:lineRule="exact"/>
        <w:ind w:firstLine="480" w:firstLineChars="20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pPr>
        <w:spacing w:line="500" w:lineRule="exact"/>
        <w:ind w:firstLine="480" w:firstLineChars="20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pPr>
        <w:spacing w:line="500" w:lineRule="exact"/>
        <w:ind w:firstLine="480" w:firstLineChars="200"/>
        <w:jc w:val="left"/>
        <w:rPr>
          <w:sz w:val="24"/>
          <w:szCs w:val="24"/>
        </w:rPr>
      </w:pPr>
      <w:r>
        <w:rPr>
          <w:rFonts w:hint="eastAsia"/>
          <w:sz w:val="24"/>
          <w:szCs w:val="24"/>
        </w:rPr>
        <w:t>35.5 质疑函应当使用范本，详见招标文件第六章。供应商提出质疑应当提交质疑函和必要的证明材料，应当包括下列内容：</w:t>
      </w:r>
    </w:p>
    <w:p>
      <w:pPr>
        <w:spacing w:line="500" w:lineRule="exact"/>
        <w:ind w:firstLine="480" w:firstLineChars="200"/>
        <w:jc w:val="left"/>
        <w:rPr>
          <w:sz w:val="24"/>
          <w:szCs w:val="24"/>
        </w:rPr>
      </w:pPr>
      <w:r>
        <w:rPr>
          <w:rFonts w:hint="eastAsia"/>
          <w:sz w:val="24"/>
          <w:szCs w:val="24"/>
        </w:rPr>
        <w:t>（1）供应商的姓名或者名称、地址、邮编、联系人及联系电话；</w:t>
      </w:r>
    </w:p>
    <w:p>
      <w:pPr>
        <w:spacing w:line="500" w:lineRule="exact"/>
        <w:ind w:firstLine="480" w:firstLineChars="200"/>
        <w:jc w:val="left"/>
        <w:rPr>
          <w:sz w:val="24"/>
          <w:szCs w:val="24"/>
        </w:rPr>
      </w:pPr>
      <w:r>
        <w:rPr>
          <w:rFonts w:hint="eastAsia"/>
          <w:sz w:val="24"/>
          <w:szCs w:val="24"/>
        </w:rPr>
        <w:t>（2）质疑项目的名称、编号；</w:t>
      </w:r>
    </w:p>
    <w:p>
      <w:pPr>
        <w:spacing w:line="500" w:lineRule="exact"/>
        <w:ind w:firstLine="480" w:firstLineChars="200"/>
        <w:jc w:val="left"/>
        <w:rPr>
          <w:sz w:val="24"/>
          <w:szCs w:val="24"/>
        </w:rPr>
      </w:pPr>
      <w:r>
        <w:rPr>
          <w:rFonts w:hint="eastAsia"/>
          <w:sz w:val="24"/>
          <w:szCs w:val="24"/>
        </w:rPr>
        <w:t>（3）具体、明确的质疑事项和与质疑事项相关的请求；</w:t>
      </w:r>
    </w:p>
    <w:p>
      <w:pPr>
        <w:spacing w:line="500" w:lineRule="exact"/>
        <w:ind w:firstLine="480" w:firstLineChars="200"/>
        <w:jc w:val="left"/>
        <w:rPr>
          <w:sz w:val="24"/>
          <w:szCs w:val="24"/>
        </w:rPr>
      </w:pPr>
      <w:r>
        <w:rPr>
          <w:rFonts w:hint="eastAsia"/>
          <w:sz w:val="24"/>
          <w:szCs w:val="24"/>
        </w:rPr>
        <w:t>（4）事实依据；</w:t>
      </w:r>
    </w:p>
    <w:p>
      <w:pPr>
        <w:spacing w:line="500" w:lineRule="exact"/>
        <w:ind w:firstLine="480" w:firstLineChars="200"/>
        <w:jc w:val="left"/>
        <w:rPr>
          <w:sz w:val="24"/>
          <w:szCs w:val="24"/>
        </w:rPr>
      </w:pPr>
      <w:r>
        <w:rPr>
          <w:rFonts w:hint="eastAsia"/>
          <w:sz w:val="24"/>
          <w:szCs w:val="24"/>
        </w:rPr>
        <w:t>（5）必要的法律依据；</w:t>
      </w:r>
    </w:p>
    <w:p>
      <w:pPr>
        <w:spacing w:line="500" w:lineRule="exact"/>
        <w:ind w:firstLine="480" w:firstLineChars="200"/>
        <w:jc w:val="left"/>
        <w:rPr>
          <w:sz w:val="24"/>
          <w:szCs w:val="24"/>
        </w:rPr>
      </w:pPr>
      <w:r>
        <w:rPr>
          <w:rFonts w:hint="eastAsia"/>
          <w:sz w:val="24"/>
          <w:szCs w:val="24"/>
        </w:rPr>
        <w:t>（6）提出质疑的日期；</w:t>
      </w:r>
    </w:p>
    <w:p>
      <w:pPr>
        <w:spacing w:line="500" w:lineRule="exact"/>
        <w:ind w:firstLine="480" w:firstLineChars="200"/>
        <w:jc w:val="left"/>
        <w:rPr>
          <w:sz w:val="24"/>
          <w:szCs w:val="24"/>
        </w:rPr>
      </w:pPr>
      <w:r>
        <w:rPr>
          <w:rFonts w:hint="eastAsia"/>
          <w:sz w:val="24"/>
          <w:szCs w:val="24"/>
        </w:rPr>
        <w:t>（7）必要的证明材料；</w:t>
      </w:r>
    </w:p>
    <w:p>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pPr>
        <w:pStyle w:val="3"/>
        <w:spacing w:before="0" w:after="0" w:line="360" w:lineRule="auto"/>
        <w:ind w:firstLine="562" w:firstLineChars="200"/>
        <w:jc w:val="left"/>
        <w:rPr>
          <w:sz w:val="24"/>
          <w:szCs w:val="24"/>
        </w:rPr>
      </w:pPr>
      <w:r>
        <w:rPr>
          <w:rFonts w:hint="eastAsia"/>
          <w:sz w:val="28"/>
          <w:szCs w:val="28"/>
        </w:rPr>
        <w:t>36、质疑函的受理和答复</w:t>
      </w:r>
    </w:p>
    <w:p>
      <w:pPr>
        <w:spacing w:line="500" w:lineRule="exact"/>
        <w:ind w:firstLine="480" w:firstLineChars="20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pPr>
        <w:spacing w:line="500" w:lineRule="exact"/>
        <w:ind w:firstLine="480" w:firstLineChars="200"/>
        <w:jc w:val="left"/>
        <w:rPr>
          <w:sz w:val="24"/>
          <w:szCs w:val="24"/>
        </w:rPr>
      </w:pPr>
      <w:r>
        <w:rPr>
          <w:rFonts w:hint="eastAsia"/>
          <w:sz w:val="24"/>
          <w:szCs w:val="24"/>
        </w:rPr>
        <w:t>36.2 对符合法定要求的质疑，采购人、</w:t>
      </w:r>
      <w:r>
        <w:rPr>
          <w:rFonts w:hint="eastAsia"/>
          <w:sz w:val="24"/>
          <w:szCs w:val="24"/>
          <w:lang w:eastAsia="zh-CN"/>
        </w:rPr>
        <w:t>采购中心</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500" w:lineRule="exact"/>
        <w:ind w:firstLine="480" w:firstLineChars="200"/>
        <w:jc w:val="left"/>
        <w:rPr>
          <w:sz w:val="24"/>
          <w:szCs w:val="24"/>
        </w:rPr>
      </w:pPr>
      <w:r>
        <w:rPr>
          <w:rFonts w:hint="eastAsia"/>
          <w:sz w:val="24"/>
          <w:szCs w:val="24"/>
        </w:rPr>
        <w:t>36.3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有权要求其补充必要的证明材料，质疑供应商未在法定时间内补充必要的证明材料的，视同放弃质疑。</w:t>
      </w:r>
    </w:p>
    <w:p>
      <w:pPr>
        <w:spacing w:line="500" w:lineRule="exact"/>
        <w:ind w:firstLine="480" w:firstLineChars="200"/>
        <w:jc w:val="left"/>
        <w:rPr>
          <w:sz w:val="24"/>
          <w:szCs w:val="24"/>
        </w:rPr>
      </w:pPr>
      <w:r>
        <w:rPr>
          <w:rFonts w:hint="eastAsia"/>
          <w:sz w:val="24"/>
          <w:szCs w:val="24"/>
        </w:rPr>
        <w:t>36.4 以下情形的质疑依法不予受理：</w:t>
      </w:r>
    </w:p>
    <w:p>
      <w:pPr>
        <w:spacing w:line="500" w:lineRule="exact"/>
        <w:ind w:firstLine="480" w:firstLineChars="200"/>
        <w:jc w:val="left"/>
        <w:rPr>
          <w:sz w:val="24"/>
          <w:szCs w:val="24"/>
        </w:rPr>
      </w:pPr>
      <w:r>
        <w:rPr>
          <w:rFonts w:hint="eastAsia"/>
          <w:sz w:val="24"/>
          <w:szCs w:val="24"/>
        </w:rPr>
        <w:t>（1）内容不符合《政府采购质疑和投诉办法》第十二条规定的质疑。</w:t>
      </w:r>
    </w:p>
    <w:p>
      <w:pPr>
        <w:spacing w:line="500" w:lineRule="exact"/>
        <w:ind w:firstLine="480" w:firstLineChars="200"/>
        <w:jc w:val="left"/>
        <w:rPr>
          <w:sz w:val="24"/>
          <w:szCs w:val="24"/>
        </w:rPr>
      </w:pPr>
      <w:r>
        <w:rPr>
          <w:rFonts w:hint="eastAsia"/>
          <w:sz w:val="24"/>
          <w:szCs w:val="24"/>
        </w:rPr>
        <w:t>（2）超出政府采购法定期限的质疑。</w:t>
      </w:r>
    </w:p>
    <w:p>
      <w:pPr>
        <w:spacing w:line="500" w:lineRule="exact"/>
        <w:ind w:firstLine="480" w:firstLineChars="200"/>
        <w:jc w:val="left"/>
        <w:rPr>
          <w:sz w:val="24"/>
          <w:szCs w:val="24"/>
        </w:rPr>
      </w:pPr>
      <w:r>
        <w:rPr>
          <w:rFonts w:hint="eastAsia"/>
          <w:sz w:val="24"/>
          <w:szCs w:val="24"/>
        </w:rPr>
        <w:t>（3）以传真、电子邮件等方式递交的非原件形式的质疑。</w:t>
      </w:r>
    </w:p>
    <w:p>
      <w:pPr>
        <w:spacing w:line="500" w:lineRule="exact"/>
        <w:ind w:firstLine="480" w:firstLineChars="200"/>
        <w:jc w:val="left"/>
        <w:rPr>
          <w:sz w:val="24"/>
          <w:szCs w:val="24"/>
        </w:rPr>
      </w:pPr>
      <w:r>
        <w:rPr>
          <w:rFonts w:hint="eastAsia"/>
          <w:sz w:val="24"/>
          <w:szCs w:val="24"/>
        </w:rPr>
        <w:t>（4）未参与采购活动或在采购活动中自身权益未受到损害的供应商提出的质疑。</w:t>
      </w:r>
    </w:p>
    <w:p>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pPr>
        <w:spacing w:line="500" w:lineRule="exact"/>
        <w:ind w:firstLine="480" w:firstLineChars="20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pPr>
        <w:pStyle w:val="3"/>
        <w:spacing w:before="0" w:after="0" w:line="360" w:lineRule="auto"/>
        <w:ind w:firstLine="562" w:firstLineChars="200"/>
        <w:jc w:val="left"/>
        <w:rPr>
          <w:sz w:val="28"/>
          <w:szCs w:val="28"/>
        </w:rPr>
      </w:pPr>
      <w:r>
        <w:rPr>
          <w:rFonts w:hint="eastAsia"/>
          <w:sz w:val="28"/>
          <w:szCs w:val="28"/>
        </w:rPr>
        <w:t>37、质疑处理</w:t>
      </w:r>
    </w:p>
    <w:p>
      <w:pPr>
        <w:spacing w:line="500" w:lineRule="exact"/>
        <w:ind w:firstLine="480" w:firstLineChars="200"/>
        <w:jc w:val="left"/>
        <w:rPr>
          <w:sz w:val="24"/>
          <w:szCs w:val="24"/>
        </w:rPr>
      </w:pPr>
      <w:r>
        <w:rPr>
          <w:rFonts w:hint="eastAsia"/>
          <w:sz w:val="24"/>
          <w:szCs w:val="24"/>
        </w:rPr>
        <w:t>37.1 质疑供应商未按照法定程序进行质疑投诉的，视为一般失信行为。</w:t>
      </w:r>
    </w:p>
    <w:p>
      <w:pPr>
        <w:spacing w:line="500" w:lineRule="exact"/>
        <w:ind w:firstLine="480" w:firstLineChars="200"/>
        <w:jc w:val="left"/>
        <w:rPr>
          <w:sz w:val="24"/>
          <w:szCs w:val="24"/>
        </w:rPr>
      </w:pPr>
      <w:r>
        <w:rPr>
          <w:rFonts w:hint="eastAsia"/>
          <w:sz w:val="24"/>
          <w:szCs w:val="24"/>
        </w:rPr>
        <w:t>37.2 质疑供应商不配合或者采取不正当手段干扰政府采购质疑、投诉处理工作的，视为一般失信行为。</w:t>
      </w:r>
    </w:p>
    <w:p>
      <w:pPr>
        <w:spacing w:line="500" w:lineRule="exact"/>
        <w:ind w:firstLine="480" w:firstLineChars="200"/>
        <w:jc w:val="left"/>
        <w:rPr>
          <w:sz w:val="24"/>
          <w:szCs w:val="24"/>
        </w:rPr>
      </w:pPr>
      <w:r>
        <w:rPr>
          <w:rFonts w:hint="eastAsia"/>
          <w:sz w:val="24"/>
          <w:szCs w:val="24"/>
        </w:rPr>
        <w:t>37.3 质疑供应商投诉受理期间，就同一事项多头举报，干扰财政部门投诉处理的，视为一般失信行为。</w:t>
      </w:r>
    </w:p>
    <w:p>
      <w:pPr>
        <w:spacing w:line="500" w:lineRule="exact"/>
        <w:ind w:firstLine="480" w:firstLineChars="200"/>
        <w:jc w:val="left"/>
        <w:rPr>
          <w:sz w:val="24"/>
          <w:szCs w:val="24"/>
        </w:rPr>
      </w:pPr>
      <w:r>
        <w:rPr>
          <w:rFonts w:hint="eastAsia"/>
          <w:sz w:val="24"/>
          <w:szCs w:val="24"/>
        </w:rPr>
        <w:t>37.4 质疑供应商在全国范围12个月内三次以上质疑查无实据的，视为一般失信行为。</w:t>
      </w:r>
    </w:p>
    <w:p>
      <w:pPr>
        <w:spacing w:line="500" w:lineRule="exact"/>
        <w:ind w:firstLine="480" w:firstLineChars="20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500" w:lineRule="exact"/>
        <w:ind w:firstLine="480" w:firstLineChars="200"/>
        <w:jc w:val="left"/>
        <w:rPr>
          <w:sz w:val="24"/>
          <w:szCs w:val="24"/>
        </w:rPr>
      </w:pPr>
      <w:r>
        <w:rPr>
          <w:rFonts w:hint="eastAsia"/>
          <w:sz w:val="24"/>
          <w:szCs w:val="24"/>
        </w:rPr>
        <w:t>37.6 质疑供应商在全国范围12个月内三次以上投诉查无实据的，视为严重失信行为。</w:t>
      </w:r>
    </w:p>
    <w:p>
      <w:pPr>
        <w:spacing w:line="500" w:lineRule="exact"/>
        <w:ind w:firstLine="480" w:firstLineChars="200"/>
        <w:jc w:val="left"/>
        <w:rPr>
          <w:sz w:val="24"/>
          <w:szCs w:val="24"/>
        </w:rPr>
      </w:pPr>
      <w:r>
        <w:rPr>
          <w:rFonts w:hint="eastAsia"/>
          <w:sz w:val="24"/>
          <w:szCs w:val="24"/>
        </w:rPr>
        <w:t>37.7 未尽事宜，依照有关法律、法规执行。</w:t>
      </w:r>
    </w:p>
    <w:p>
      <w:pPr>
        <w:pStyle w:val="4"/>
        <w:spacing w:before="0" w:after="0" w:line="360" w:lineRule="auto"/>
        <w:rPr>
          <w:rFonts w:ascii="黑体" w:hAnsi="黑体" w:eastAsia="黑体"/>
          <w:b w:val="0"/>
        </w:rPr>
      </w:pPr>
      <w:r>
        <w:rPr>
          <w:rFonts w:hint="eastAsia" w:ascii="黑体" w:hAnsi="黑体" w:eastAsia="黑体"/>
          <w:b w:val="0"/>
        </w:rPr>
        <w:t>九、政府采购政策功能</w:t>
      </w:r>
    </w:p>
    <w:p>
      <w:pPr>
        <w:pStyle w:val="3"/>
        <w:spacing w:before="0" w:after="0" w:line="360" w:lineRule="auto"/>
        <w:ind w:firstLine="562" w:firstLineChars="200"/>
        <w:jc w:val="left"/>
        <w:rPr>
          <w:sz w:val="28"/>
          <w:szCs w:val="28"/>
        </w:rPr>
      </w:pPr>
      <w:r>
        <w:rPr>
          <w:rFonts w:hint="eastAsia"/>
          <w:sz w:val="28"/>
          <w:szCs w:val="28"/>
        </w:rPr>
        <w:t>38、促进中小企业发展</w:t>
      </w:r>
    </w:p>
    <w:p>
      <w:pPr>
        <w:spacing w:line="500" w:lineRule="exact"/>
        <w:ind w:firstLine="480" w:firstLineChars="200"/>
        <w:jc w:val="left"/>
        <w:rPr>
          <w:sz w:val="24"/>
          <w:szCs w:val="24"/>
        </w:rPr>
      </w:pPr>
      <w:r>
        <w:rPr>
          <w:rFonts w:hint="eastAsia"/>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pPr>
        <w:spacing w:line="500" w:lineRule="exact"/>
        <w:ind w:firstLine="480" w:firstLineChars="200"/>
        <w:jc w:val="left"/>
        <w:rPr>
          <w:sz w:val="24"/>
          <w:szCs w:val="24"/>
        </w:rPr>
      </w:pPr>
      <w:r>
        <w:rPr>
          <w:rFonts w:hint="eastAsia"/>
          <w:sz w:val="24"/>
          <w:szCs w:val="24"/>
        </w:rPr>
        <w:t>38.2 本项目对提供的服务全部由小型企业、微型企业、残疾人福利性单位和监狱企业承接的报价给予10%的扣除，用扣除后的价格参与评审。</w:t>
      </w:r>
    </w:p>
    <w:p>
      <w:pPr>
        <w:spacing w:line="500" w:lineRule="exact"/>
        <w:ind w:firstLine="480" w:firstLineChars="200"/>
        <w:jc w:val="left"/>
        <w:rPr>
          <w:sz w:val="24"/>
          <w:szCs w:val="24"/>
        </w:rPr>
      </w:pPr>
      <w:r>
        <w:rPr>
          <w:rFonts w:hint="eastAsia"/>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pPr>
        <w:spacing w:line="500" w:lineRule="exact"/>
        <w:ind w:firstLine="480" w:firstLineChars="200"/>
        <w:jc w:val="left"/>
        <w:rPr>
          <w:sz w:val="24"/>
          <w:szCs w:val="24"/>
        </w:rPr>
      </w:pPr>
      <w:r>
        <w:rPr>
          <w:rFonts w:hint="eastAsia"/>
          <w:sz w:val="24"/>
          <w:szCs w:val="24"/>
        </w:rPr>
        <w:t xml:space="preserve">38.3 参加本项目政府采购活动的供应商享受价格评审优惠的应当提供的材料： </w:t>
      </w:r>
    </w:p>
    <w:p>
      <w:pPr>
        <w:spacing w:line="500" w:lineRule="exact"/>
        <w:ind w:firstLine="480" w:firstLineChars="200"/>
        <w:jc w:val="left"/>
        <w:rPr>
          <w:sz w:val="24"/>
          <w:szCs w:val="24"/>
        </w:rPr>
      </w:pPr>
      <w:r>
        <w:rPr>
          <w:rFonts w:hint="eastAsia"/>
          <w:sz w:val="24"/>
          <w:szCs w:val="24"/>
        </w:rPr>
        <w:t>（1）投标人为小型企业、微型企业的，提供《中小企业声明函》（第六章 投标文件格式）。</w:t>
      </w:r>
    </w:p>
    <w:p>
      <w:pPr>
        <w:spacing w:line="500" w:lineRule="exact"/>
        <w:ind w:firstLine="480" w:firstLineChars="20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pPr>
        <w:spacing w:line="500" w:lineRule="exact"/>
        <w:ind w:firstLine="480" w:firstLineChars="20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pPr>
        <w:spacing w:line="500" w:lineRule="exact"/>
        <w:ind w:firstLine="480" w:firstLineChars="200"/>
        <w:jc w:val="left"/>
        <w:rPr>
          <w:sz w:val="24"/>
          <w:szCs w:val="24"/>
        </w:rPr>
      </w:pPr>
      <w:r>
        <w:rPr>
          <w:rFonts w:hint="eastAsia"/>
          <w:sz w:val="24"/>
          <w:szCs w:val="24"/>
        </w:rPr>
        <w:t>38.4 残疾人福利单位、监狱企业属于小型、微型企业的，不重复享受政策。</w:t>
      </w:r>
    </w:p>
    <w:p>
      <w:pPr>
        <w:spacing w:line="500" w:lineRule="exact"/>
        <w:ind w:firstLine="480" w:firstLineChars="200"/>
        <w:jc w:val="left"/>
        <w:rPr>
          <w:sz w:val="24"/>
          <w:szCs w:val="24"/>
        </w:rPr>
      </w:pPr>
      <w:r>
        <w:rPr>
          <w:rFonts w:hint="eastAsia"/>
          <w:sz w:val="24"/>
          <w:szCs w:val="24"/>
        </w:rPr>
        <w:t>38.5 享受扶持政策获得政府采购合同的，小微型企业不得将合同分包给大中型企业，中型企业不得将合同分包给大型企业。</w:t>
      </w:r>
    </w:p>
    <w:p>
      <w:pPr>
        <w:spacing w:line="500" w:lineRule="exact"/>
        <w:ind w:firstLine="480" w:firstLineChars="200"/>
        <w:jc w:val="left"/>
        <w:rPr>
          <w:sz w:val="24"/>
          <w:szCs w:val="24"/>
          <w:highlight w:val="yellow"/>
        </w:rPr>
      </w:pPr>
    </w:p>
    <w:p>
      <w:pPr>
        <w:pStyle w:val="3"/>
        <w:spacing w:before="0" w:after="0" w:line="360" w:lineRule="auto"/>
        <w:ind w:firstLine="562" w:firstLineChars="200"/>
        <w:jc w:val="left"/>
        <w:rPr>
          <w:sz w:val="28"/>
          <w:szCs w:val="28"/>
        </w:rPr>
      </w:pPr>
      <w:r>
        <w:rPr>
          <w:rFonts w:hint="eastAsia"/>
          <w:sz w:val="28"/>
          <w:szCs w:val="28"/>
        </w:rPr>
        <w:t>39、支持绿色发展</w:t>
      </w:r>
    </w:p>
    <w:p>
      <w:pPr>
        <w:spacing w:line="500" w:lineRule="exact"/>
        <w:ind w:firstLine="480" w:firstLineChars="200"/>
        <w:jc w:val="left"/>
        <w:rPr>
          <w:sz w:val="24"/>
          <w:szCs w:val="24"/>
        </w:rPr>
      </w:pPr>
      <w:r>
        <w:rPr>
          <w:rFonts w:hint="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pPr>
        <w:spacing w:line="500" w:lineRule="exact"/>
        <w:ind w:firstLine="480" w:firstLineChars="200"/>
        <w:jc w:val="left"/>
        <w:rPr>
          <w:sz w:val="24"/>
          <w:szCs w:val="24"/>
        </w:rPr>
      </w:pPr>
      <w:r>
        <w:rPr>
          <w:rFonts w:hint="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pStyle w:val="3"/>
        <w:spacing w:before="0" w:after="0" w:line="360" w:lineRule="auto"/>
        <w:ind w:firstLine="562" w:firstLineChars="200"/>
        <w:jc w:val="left"/>
        <w:rPr>
          <w:sz w:val="28"/>
          <w:szCs w:val="28"/>
        </w:rPr>
      </w:pPr>
      <w:r>
        <w:rPr>
          <w:rFonts w:hint="eastAsia"/>
          <w:sz w:val="28"/>
          <w:szCs w:val="28"/>
        </w:rPr>
        <w:t>40、政府采购需求标准</w:t>
      </w:r>
    </w:p>
    <w:p>
      <w:pPr>
        <w:spacing w:line="500" w:lineRule="exact"/>
        <w:ind w:firstLine="480" w:firstLineChars="200"/>
        <w:jc w:val="left"/>
        <w:rPr>
          <w:rFonts w:hint="eastAsia"/>
          <w:sz w:val="24"/>
          <w:szCs w:val="24"/>
        </w:rPr>
      </w:pPr>
      <w:r>
        <w:rPr>
          <w:rFonts w:hint="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pStyle w:val="3"/>
        <w:spacing w:before="0" w:after="0" w:line="360" w:lineRule="auto"/>
        <w:ind w:firstLine="562" w:firstLineChars="200"/>
        <w:jc w:val="left"/>
        <w:rPr>
          <w:rFonts w:hint="default"/>
          <w:sz w:val="28"/>
          <w:szCs w:val="28"/>
          <w:lang w:val="en-US" w:eastAsia="zh-CN"/>
        </w:rPr>
      </w:pPr>
      <w:r>
        <w:rPr>
          <w:rFonts w:hint="eastAsia"/>
          <w:sz w:val="28"/>
          <w:szCs w:val="28"/>
          <w:lang w:val="en-US" w:eastAsia="zh-CN"/>
        </w:rPr>
        <w:t>41、中标（成交）供应商采用电子履约保函（保险）形式具体操作：登录江苏政府采购网的保险保函模块进行办理。 </w:t>
      </w:r>
    </w:p>
    <w:p>
      <w:pPr>
        <w:widowControl/>
        <w:jc w:val="left"/>
        <w:rPr>
          <w:sz w:val="24"/>
          <w:szCs w:val="24"/>
        </w:rPr>
      </w:pPr>
      <w:r>
        <w:rPr>
          <w:sz w:val="24"/>
          <w:szCs w:val="24"/>
        </w:rPr>
        <w:br w:type="page"/>
      </w:r>
    </w:p>
    <w:p>
      <w:pPr>
        <w:pStyle w:val="2"/>
        <w:spacing w:beforeLines="50" w:afterLines="50" w:line="360" w:lineRule="auto"/>
        <w:jc w:val="center"/>
        <w:rPr>
          <w:rFonts w:ascii="黑体" w:hAnsi="黑体" w:eastAsia="黑体"/>
          <w:b w:val="0"/>
        </w:rPr>
      </w:pPr>
      <w:bookmarkStart w:id="2" w:name="_Toc155796358"/>
      <w:r>
        <w:rPr>
          <w:rFonts w:hint="eastAsia" w:ascii="黑体" w:hAnsi="黑体" w:eastAsia="黑体"/>
          <w:b w:val="0"/>
        </w:rPr>
        <w:t>第三章  合同文本</w:t>
      </w:r>
      <w:bookmarkEnd w:id="2"/>
    </w:p>
    <w:p>
      <w:pPr>
        <w:spacing w:line="500" w:lineRule="exact"/>
        <w:ind w:firstLine="480" w:firstLineChars="200"/>
        <w:jc w:val="left"/>
        <w:rPr>
          <w:sz w:val="24"/>
          <w:szCs w:val="24"/>
        </w:rPr>
      </w:pPr>
      <w:r>
        <w:rPr>
          <w:rFonts w:hint="eastAsia"/>
          <w:sz w:val="24"/>
          <w:szCs w:val="24"/>
        </w:rPr>
        <w:t>（备注：以下为中标后签订本项目合同的通用条款，中标人不得提出实质性的修改，签订合同时请删除本条备注。）</w:t>
      </w:r>
    </w:p>
    <w:p>
      <w:pPr>
        <w:spacing w:line="500" w:lineRule="exact"/>
        <w:ind w:firstLine="480" w:firstLineChars="200"/>
        <w:jc w:val="left"/>
        <w:rPr>
          <w:sz w:val="24"/>
          <w:szCs w:val="24"/>
        </w:rPr>
      </w:pPr>
    </w:p>
    <w:p>
      <w:pPr>
        <w:spacing w:line="500" w:lineRule="exact"/>
        <w:ind w:firstLine="480" w:firstLineChars="200"/>
        <w:jc w:val="left"/>
        <w:rPr>
          <w:sz w:val="24"/>
          <w:szCs w:val="24"/>
        </w:rPr>
      </w:pPr>
    </w:p>
    <w:p>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pPr>
        <w:spacing w:line="500" w:lineRule="exact"/>
        <w:jc w:val="center"/>
        <w:rPr>
          <w:rFonts w:ascii="黑体" w:hAnsi="黑体" w:eastAsia="黑体"/>
          <w:sz w:val="28"/>
          <w:szCs w:val="24"/>
        </w:rPr>
      </w:pPr>
      <w:r>
        <w:rPr>
          <w:rFonts w:hint="eastAsia" w:ascii="黑体" w:hAnsi="黑体" w:eastAsia="黑体"/>
          <w:sz w:val="28"/>
          <w:szCs w:val="24"/>
        </w:rPr>
        <w:t>（合同编号：***）</w:t>
      </w:r>
    </w:p>
    <w:p>
      <w:pPr>
        <w:spacing w:line="500" w:lineRule="exact"/>
        <w:jc w:val="left"/>
        <w:rPr>
          <w:sz w:val="24"/>
          <w:szCs w:val="24"/>
        </w:rPr>
      </w:pPr>
      <w:r>
        <w:rPr>
          <w:rFonts w:hint="eastAsia"/>
          <w:sz w:val="24"/>
          <w:szCs w:val="24"/>
        </w:rPr>
        <w:t>甲方：（买方）_________</w:t>
      </w:r>
    </w:p>
    <w:p>
      <w:pPr>
        <w:spacing w:line="500" w:lineRule="exact"/>
        <w:jc w:val="left"/>
        <w:rPr>
          <w:sz w:val="24"/>
          <w:szCs w:val="24"/>
        </w:rPr>
      </w:pPr>
      <w:r>
        <w:rPr>
          <w:rFonts w:hint="eastAsia"/>
          <w:sz w:val="24"/>
          <w:szCs w:val="24"/>
        </w:rPr>
        <w:t>乙方：（卖方）_________</w:t>
      </w:r>
    </w:p>
    <w:p>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pPr>
        <w:spacing w:line="500" w:lineRule="exact"/>
        <w:ind w:firstLine="480" w:firstLineChars="200"/>
        <w:jc w:val="left"/>
        <w:rPr>
          <w:sz w:val="24"/>
          <w:szCs w:val="24"/>
        </w:rPr>
      </w:pPr>
      <w:r>
        <w:rPr>
          <w:sz w:val="24"/>
          <w:szCs w:val="24"/>
        </w:rPr>
        <w:t>1.1 服务内容：</w:t>
      </w:r>
      <w:r>
        <w:rPr>
          <w:sz w:val="24"/>
          <w:szCs w:val="24"/>
          <w:u w:val="single"/>
        </w:rPr>
        <w:t xml:space="preserve">      </w:t>
      </w:r>
      <w:r>
        <w:rPr>
          <w:sz w:val="24"/>
          <w:szCs w:val="24"/>
        </w:rPr>
        <w:t>。</w:t>
      </w:r>
    </w:p>
    <w:p>
      <w:pPr>
        <w:spacing w:line="500" w:lineRule="exact"/>
        <w:ind w:firstLine="480" w:firstLineChars="200"/>
        <w:jc w:val="left"/>
        <w:rPr>
          <w:sz w:val="24"/>
          <w:szCs w:val="24"/>
        </w:rPr>
      </w:pPr>
      <w:r>
        <w:rPr>
          <w:sz w:val="24"/>
          <w:szCs w:val="24"/>
        </w:rPr>
        <w:t>1.2 服务要求：</w:t>
      </w:r>
      <w:r>
        <w:rPr>
          <w:sz w:val="24"/>
          <w:szCs w:val="24"/>
          <w:u w:val="single"/>
        </w:rPr>
        <w:t xml:space="preserve">      </w:t>
      </w:r>
      <w:r>
        <w:rPr>
          <w:sz w:val="24"/>
          <w:szCs w:val="24"/>
        </w:rPr>
        <w:t>。</w:t>
      </w:r>
    </w:p>
    <w:p>
      <w:pPr>
        <w:spacing w:line="500" w:lineRule="exact"/>
        <w:ind w:firstLine="480" w:firstLineChars="200"/>
        <w:jc w:val="left"/>
        <w:rPr>
          <w:sz w:val="24"/>
          <w:szCs w:val="24"/>
        </w:rPr>
      </w:pPr>
      <w:r>
        <w:rPr>
          <w:rFonts w:hint="eastAsia"/>
          <w:sz w:val="24"/>
          <w:szCs w:val="24"/>
        </w:rPr>
        <w:t>1.3 服务标准：</w:t>
      </w:r>
      <w:r>
        <w:rPr>
          <w:sz w:val="24"/>
          <w:szCs w:val="24"/>
          <w:u w:val="single"/>
        </w:rPr>
        <w:t xml:space="preserve">      </w:t>
      </w:r>
      <w:r>
        <w:rPr>
          <w:sz w:val="24"/>
          <w:szCs w:val="24"/>
        </w:rPr>
        <w:t>。</w:t>
      </w:r>
    </w:p>
    <w:p>
      <w:pPr>
        <w:spacing w:line="500" w:lineRule="exact"/>
        <w:ind w:firstLine="480" w:firstLineChars="20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pPr>
        <w:spacing w:line="500" w:lineRule="exact"/>
        <w:ind w:firstLine="480" w:firstLineChars="200"/>
        <w:jc w:val="left"/>
        <w:rPr>
          <w:sz w:val="24"/>
          <w:szCs w:val="24"/>
        </w:rPr>
      </w:pPr>
      <w:r>
        <w:rPr>
          <w:rFonts w:hint="eastAsia"/>
          <w:sz w:val="24"/>
          <w:szCs w:val="24"/>
        </w:rPr>
        <w:t>3.1 乙方应按招标文件规定的时间向甲方提供有关技术资料。</w:t>
      </w:r>
    </w:p>
    <w:p>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pPr>
        <w:spacing w:line="500" w:lineRule="exact"/>
        <w:ind w:firstLine="480" w:firstLineChars="20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pPr>
        <w:spacing w:line="500" w:lineRule="exact"/>
        <w:ind w:firstLine="480" w:firstLineChars="200"/>
        <w:jc w:val="left"/>
        <w:rPr>
          <w:sz w:val="24"/>
          <w:szCs w:val="24"/>
        </w:rPr>
      </w:pPr>
      <w:r>
        <w:rPr>
          <w:rFonts w:hint="eastAsia"/>
          <w:sz w:val="24"/>
          <w:szCs w:val="24"/>
        </w:rPr>
        <w:t>5.1 乙方保证所交付标的的所有权完全属于乙方且无任何抵押、查封等产权瑕疵。</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pPr>
        <w:spacing w:line="500" w:lineRule="exact"/>
        <w:ind w:firstLine="480" w:firstLineChars="200"/>
        <w:jc w:val="left"/>
        <w:rPr>
          <w:sz w:val="24"/>
          <w:szCs w:val="24"/>
        </w:rPr>
      </w:pPr>
      <w:r>
        <w:rPr>
          <w:rFonts w:hint="eastAsia"/>
          <w:sz w:val="24"/>
          <w:szCs w:val="24"/>
        </w:rPr>
        <w:t>6.1 本合同不收取履约保证金。</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pPr>
        <w:spacing w:line="500" w:lineRule="exact"/>
        <w:ind w:firstLine="480" w:firstLineChars="200"/>
        <w:jc w:val="left"/>
        <w:rPr>
          <w:sz w:val="24"/>
          <w:szCs w:val="24"/>
        </w:rPr>
      </w:pPr>
      <w:r>
        <w:rPr>
          <w:rFonts w:hint="eastAsia"/>
          <w:sz w:val="24"/>
          <w:szCs w:val="24"/>
        </w:rPr>
        <w:t>7.2 如有转让和未经甲方同意的分包行为，甲方有权终止合同。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pPr>
        <w:spacing w:line="500" w:lineRule="exact"/>
        <w:ind w:firstLine="480" w:firstLineChars="20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pPr>
        <w:spacing w:line="500" w:lineRule="exact"/>
        <w:ind w:firstLine="480" w:firstLineChars="200"/>
        <w:jc w:val="left"/>
        <w:rPr>
          <w:sz w:val="24"/>
          <w:szCs w:val="24"/>
        </w:rPr>
      </w:pPr>
      <w:r>
        <w:rPr>
          <w:rFonts w:hint="eastAsia"/>
          <w:sz w:val="24"/>
          <w:szCs w:val="24"/>
        </w:rPr>
        <w:t>9.1 交 付 期：_________。</w:t>
      </w:r>
    </w:p>
    <w:p>
      <w:pPr>
        <w:spacing w:line="500" w:lineRule="exact"/>
        <w:ind w:firstLine="480" w:firstLineChars="200"/>
        <w:jc w:val="left"/>
        <w:rPr>
          <w:sz w:val="24"/>
          <w:szCs w:val="24"/>
        </w:rPr>
      </w:pPr>
      <w:r>
        <w:rPr>
          <w:rFonts w:hint="eastAsia"/>
          <w:sz w:val="24"/>
          <w:szCs w:val="24"/>
        </w:rPr>
        <w:t>9.2 交付方式：_________。</w:t>
      </w:r>
    </w:p>
    <w:p>
      <w:pPr>
        <w:spacing w:line="500" w:lineRule="exact"/>
        <w:ind w:firstLine="480" w:firstLineChars="200"/>
        <w:jc w:val="left"/>
        <w:rPr>
          <w:sz w:val="24"/>
          <w:szCs w:val="24"/>
        </w:rPr>
      </w:pPr>
      <w:r>
        <w:rPr>
          <w:rFonts w:hint="eastAsia"/>
          <w:sz w:val="24"/>
          <w:szCs w:val="24"/>
        </w:rPr>
        <w:t>9.3 交付地点：_________。</w:t>
      </w:r>
    </w:p>
    <w:p>
      <w:pPr>
        <w:spacing w:line="500" w:lineRule="exact"/>
        <w:ind w:firstLine="480" w:firstLineChars="20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pPr>
        <w:spacing w:line="500" w:lineRule="exact"/>
        <w:ind w:firstLine="480" w:firstLineChars="20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pPr>
        <w:spacing w:line="500" w:lineRule="exact"/>
        <w:ind w:firstLine="480" w:firstLineChars="200"/>
        <w:jc w:val="left"/>
        <w:rPr>
          <w:sz w:val="24"/>
          <w:szCs w:val="24"/>
        </w:rPr>
      </w:pPr>
      <w:r>
        <w:rPr>
          <w:rFonts w:hint="eastAsia"/>
          <w:sz w:val="24"/>
          <w:szCs w:val="24"/>
        </w:rPr>
        <w:t>10.1 付款方式：_________。</w:t>
      </w:r>
    </w:p>
    <w:p>
      <w:pPr>
        <w:spacing w:line="500" w:lineRule="exact"/>
        <w:ind w:firstLine="480" w:firstLineChars="20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pPr>
        <w:spacing w:line="500" w:lineRule="exact"/>
        <w:ind w:firstLine="480" w:firstLineChars="200"/>
        <w:jc w:val="left"/>
        <w:rPr>
          <w:sz w:val="24"/>
          <w:szCs w:val="24"/>
        </w:rPr>
      </w:pPr>
      <w:r>
        <w:rPr>
          <w:rFonts w:hint="eastAsia"/>
          <w:sz w:val="24"/>
          <w:szCs w:val="24"/>
        </w:rPr>
        <w:t>11.1 本合同执行中相关的一切税费均由乙方负担。</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pPr>
        <w:spacing w:line="500" w:lineRule="exact"/>
        <w:ind w:firstLine="480" w:firstLineChars="200"/>
        <w:jc w:val="left"/>
        <w:rPr>
          <w:sz w:val="24"/>
          <w:szCs w:val="24"/>
        </w:rPr>
      </w:pPr>
      <w:r>
        <w:rPr>
          <w:rFonts w:hint="eastAsia"/>
          <w:sz w:val="24"/>
          <w:szCs w:val="24"/>
        </w:rPr>
        <w:t>（1）更换：由乙方承担所产生的全部费用。</w:t>
      </w:r>
    </w:p>
    <w:p>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pPr>
        <w:spacing w:line="500" w:lineRule="exact"/>
        <w:ind w:firstLine="480" w:firstLineChars="20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pPr>
        <w:spacing w:line="500" w:lineRule="exact"/>
        <w:ind w:firstLine="480" w:firstLineChars="200"/>
        <w:jc w:val="left"/>
        <w:rPr>
          <w:sz w:val="24"/>
          <w:szCs w:val="24"/>
        </w:rPr>
      </w:pPr>
      <w:r>
        <w:rPr>
          <w:rFonts w:hint="eastAsia"/>
          <w:sz w:val="24"/>
          <w:szCs w:val="24"/>
        </w:rPr>
        <w:t>13.1 甲方依法组织履约验收工作。</w:t>
      </w:r>
    </w:p>
    <w:p>
      <w:pPr>
        <w:spacing w:line="500" w:lineRule="exact"/>
        <w:ind w:firstLine="480" w:firstLineChars="20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500" w:lineRule="exact"/>
        <w:ind w:firstLine="480" w:firstLineChars="200"/>
        <w:jc w:val="left"/>
        <w:rPr>
          <w:sz w:val="24"/>
          <w:szCs w:val="24"/>
        </w:rPr>
      </w:pPr>
      <w:r>
        <w:rPr>
          <w:rFonts w:hint="eastAsia"/>
          <w:sz w:val="24"/>
          <w:szCs w:val="24"/>
        </w:rPr>
        <w:t>13.3 对于实际使用人和甲方分离的项目，甲方邀请实际使用人参与验收。</w:t>
      </w:r>
    </w:p>
    <w:p>
      <w:pPr>
        <w:spacing w:line="500" w:lineRule="exact"/>
        <w:ind w:firstLine="480" w:firstLineChars="200"/>
        <w:jc w:val="left"/>
        <w:rPr>
          <w:sz w:val="24"/>
          <w:szCs w:val="24"/>
        </w:rPr>
      </w:pPr>
      <w:r>
        <w:rPr>
          <w:rFonts w:hint="eastAsia"/>
          <w:sz w:val="24"/>
          <w:szCs w:val="24"/>
        </w:rPr>
        <w:t>13.4 如有必要，甲方邀请参加本项目的其他供应商或第三方专业机构及专家参与验收，相关意见将作为验收书的参考资料。</w:t>
      </w:r>
    </w:p>
    <w:p>
      <w:pPr>
        <w:spacing w:line="500" w:lineRule="exact"/>
        <w:ind w:firstLine="480" w:firstLineChars="20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500" w:lineRule="exact"/>
        <w:ind w:firstLine="480" w:firstLineChars="20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pPr>
        <w:spacing w:line="500" w:lineRule="exact"/>
        <w:ind w:firstLine="480" w:firstLineChars="20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pPr>
        <w:spacing w:line="500" w:lineRule="exact"/>
        <w:ind w:firstLine="480" w:firstLineChars="20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pPr>
        <w:spacing w:line="500" w:lineRule="exact"/>
        <w:ind w:firstLine="480" w:firstLineChars="200"/>
        <w:jc w:val="left"/>
        <w:rPr>
          <w:sz w:val="24"/>
          <w:szCs w:val="24"/>
        </w:rPr>
      </w:pPr>
      <w:r>
        <w:rPr>
          <w:rFonts w:hint="eastAsia"/>
          <w:sz w:val="24"/>
          <w:szCs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pPr>
        <w:spacing w:line="500" w:lineRule="exact"/>
        <w:ind w:firstLine="480" w:firstLineChars="20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pPr>
        <w:spacing w:line="500" w:lineRule="exact"/>
        <w:ind w:firstLine="480" w:firstLineChars="200"/>
        <w:jc w:val="left"/>
        <w:rPr>
          <w:sz w:val="24"/>
          <w:szCs w:val="24"/>
        </w:rPr>
      </w:pPr>
      <w:r>
        <w:rPr>
          <w:rFonts w:hint="eastAsia"/>
          <w:sz w:val="24"/>
          <w:szCs w:val="24"/>
        </w:rPr>
        <w:t>15.2 不可抗力事件发生后，应立即通知对方，并寄送有关权威机构出具的证明。</w:t>
      </w:r>
    </w:p>
    <w:p>
      <w:pPr>
        <w:spacing w:line="500" w:lineRule="exact"/>
        <w:ind w:firstLine="480" w:firstLineChars="200"/>
        <w:jc w:val="left"/>
        <w:rPr>
          <w:sz w:val="24"/>
          <w:szCs w:val="24"/>
        </w:rPr>
      </w:pPr>
      <w:r>
        <w:rPr>
          <w:rFonts w:hint="eastAsia"/>
          <w:sz w:val="24"/>
          <w:szCs w:val="24"/>
        </w:rPr>
        <w:t>15.3 不可抗力事件延续120天以上，双方应通过友好协商，确定是否继续履行合同。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pPr>
        <w:spacing w:line="500" w:lineRule="exact"/>
        <w:ind w:firstLine="480" w:firstLineChars="20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w:t>
      </w:r>
      <w:r>
        <w:rPr>
          <w:rFonts w:hint="eastAsia"/>
          <w:sz w:val="24"/>
          <w:szCs w:val="24"/>
          <w:u w:val="single"/>
          <w:lang w:val="en-US" w:eastAsia="zh-CN"/>
        </w:rPr>
        <w:t>2</w:t>
      </w:r>
      <w:r>
        <w:rPr>
          <w:rFonts w:hint="eastAsia"/>
          <w:sz w:val="24"/>
          <w:szCs w:val="24"/>
          <w:u w:val="single"/>
        </w:rPr>
        <w:t>）</w:t>
      </w:r>
      <w:r>
        <w:rPr>
          <w:rFonts w:hint="eastAsia"/>
          <w:sz w:val="24"/>
          <w:szCs w:val="24"/>
        </w:rPr>
        <w:t>种方式解决：</w:t>
      </w:r>
    </w:p>
    <w:p>
      <w:pPr>
        <w:spacing w:line="500" w:lineRule="exact"/>
        <w:ind w:firstLine="480" w:firstLineChars="200"/>
        <w:jc w:val="left"/>
        <w:rPr>
          <w:sz w:val="24"/>
          <w:szCs w:val="24"/>
        </w:rPr>
      </w:pPr>
      <w:r>
        <w:rPr>
          <w:rFonts w:hint="eastAsia"/>
          <w:sz w:val="24"/>
          <w:szCs w:val="24"/>
        </w:rPr>
        <w:t>（1）向连云港仲裁委员会申请仲裁。</w:t>
      </w:r>
    </w:p>
    <w:p>
      <w:pPr>
        <w:spacing w:line="500" w:lineRule="exact"/>
        <w:ind w:firstLine="480" w:firstLineChars="200"/>
        <w:jc w:val="left"/>
        <w:rPr>
          <w:sz w:val="24"/>
          <w:szCs w:val="24"/>
        </w:rPr>
      </w:pPr>
      <w:r>
        <w:rPr>
          <w:rFonts w:hint="eastAsia"/>
          <w:sz w:val="24"/>
          <w:szCs w:val="24"/>
        </w:rPr>
        <w:t>（2）向合同签订地法院起诉，合同签订地在此约定为连云港市。</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pPr>
        <w:spacing w:line="500" w:lineRule="exact"/>
        <w:ind w:firstLine="480" w:firstLineChars="200"/>
        <w:jc w:val="left"/>
        <w:rPr>
          <w:sz w:val="24"/>
          <w:szCs w:val="24"/>
        </w:rPr>
      </w:pPr>
      <w:r>
        <w:rPr>
          <w:rFonts w:hint="eastAsia"/>
          <w:sz w:val="24"/>
          <w:szCs w:val="24"/>
        </w:rPr>
        <w:t>17.1 合同经双方法定代表人或授权代表签字并加盖单位公章后生效。</w:t>
      </w:r>
    </w:p>
    <w:p>
      <w:pPr>
        <w:spacing w:line="500" w:lineRule="exact"/>
        <w:ind w:firstLine="480" w:firstLineChars="20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pPr>
        <w:spacing w:line="500" w:lineRule="exact"/>
        <w:ind w:firstLine="480" w:firstLineChars="200"/>
        <w:jc w:val="left"/>
        <w:rPr>
          <w:sz w:val="24"/>
          <w:szCs w:val="24"/>
        </w:rPr>
      </w:pPr>
      <w:r>
        <w:rPr>
          <w:rFonts w:hint="eastAsia"/>
          <w:sz w:val="24"/>
          <w:szCs w:val="24"/>
        </w:rPr>
        <w:t>17.3 本合同正本一式四份，具有同等法律效力，甲方执二份、乙方执一份，甲方报一份至政府采购监督管理部门。</w:t>
      </w:r>
    </w:p>
    <w:p>
      <w:pPr>
        <w:spacing w:line="500" w:lineRule="exact"/>
        <w:ind w:firstLine="480" w:firstLineChars="200"/>
        <w:jc w:val="left"/>
        <w:rPr>
          <w:sz w:val="24"/>
          <w:szCs w:val="24"/>
        </w:rPr>
      </w:pPr>
    </w:p>
    <w:p>
      <w:pPr>
        <w:spacing w:line="500" w:lineRule="exact"/>
        <w:ind w:firstLine="480" w:firstLineChars="200"/>
        <w:jc w:val="left"/>
        <w:rPr>
          <w:sz w:val="24"/>
          <w:szCs w:val="24"/>
        </w:rPr>
      </w:pPr>
    </w:p>
    <w:p>
      <w:pPr>
        <w:spacing w:line="500" w:lineRule="exact"/>
        <w:ind w:firstLine="480" w:firstLineChars="200"/>
        <w:jc w:val="left"/>
        <w:rPr>
          <w:sz w:val="24"/>
          <w:szCs w:val="24"/>
        </w:rPr>
      </w:pPr>
      <w:r>
        <w:rPr>
          <w:rFonts w:hint="eastAsia"/>
          <w:sz w:val="24"/>
          <w:szCs w:val="24"/>
        </w:rPr>
        <w:t xml:space="preserve">甲方：                        乙方： </w:t>
      </w:r>
    </w:p>
    <w:p>
      <w:pPr>
        <w:spacing w:line="500" w:lineRule="exact"/>
        <w:ind w:firstLine="480" w:firstLineChars="200"/>
        <w:jc w:val="left"/>
        <w:rPr>
          <w:sz w:val="24"/>
          <w:szCs w:val="24"/>
        </w:rPr>
      </w:pPr>
      <w:r>
        <w:rPr>
          <w:rFonts w:hint="eastAsia"/>
          <w:sz w:val="24"/>
          <w:szCs w:val="24"/>
        </w:rPr>
        <w:t xml:space="preserve">地址：                        地址： </w:t>
      </w:r>
    </w:p>
    <w:p>
      <w:pPr>
        <w:spacing w:line="500" w:lineRule="exact"/>
        <w:ind w:firstLine="480" w:firstLineChars="200"/>
        <w:jc w:val="left"/>
        <w:rPr>
          <w:sz w:val="24"/>
          <w:szCs w:val="24"/>
        </w:rPr>
      </w:pPr>
      <w:r>
        <w:rPr>
          <w:rFonts w:hint="eastAsia"/>
          <w:sz w:val="24"/>
          <w:szCs w:val="24"/>
        </w:rPr>
        <w:t>法定代表人或授权代表：        法定代表人或授权代表：</w:t>
      </w:r>
    </w:p>
    <w:p>
      <w:pPr>
        <w:spacing w:line="500" w:lineRule="exact"/>
        <w:ind w:firstLine="480" w:firstLineChars="200"/>
        <w:jc w:val="left"/>
        <w:rPr>
          <w:sz w:val="24"/>
          <w:szCs w:val="24"/>
        </w:rPr>
      </w:pPr>
      <w:r>
        <w:rPr>
          <w:rFonts w:hint="eastAsia"/>
          <w:sz w:val="24"/>
          <w:szCs w:val="24"/>
        </w:rPr>
        <w:t xml:space="preserve">联系电话：                    联系电话：     </w:t>
      </w:r>
    </w:p>
    <w:p>
      <w:pPr>
        <w:spacing w:line="500" w:lineRule="exact"/>
        <w:ind w:firstLine="480" w:firstLineChars="200"/>
        <w:jc w:val="left"/>
        <w:rPr>
          <w:sz w:val="24"/>
          <w:szCs w:val="24"/>
        </w:rPr>
      </w:pPr>
      <w:r>
        <w:rPr>
          <w:rFonts w:hint="eastAsia"/>
          <w:sz w:val="24"/>
          <w:szCs w:val="24"/>
        </w:rPr>
        <w:t xml:space="preserve">                                     </w:t>
      </w:r>
    </w:p>
    <w:p>
      <w:pPr>
        <w:spacing w:line="500" w:lineRule="exact"/>
        <w:ind w:firstLine="480" w:firstLineChars="200"/>
        <w:jc w:val="right"/>
        <w:rPr>
          <w:sz w:val="24"/>
          <w:szCs w:val="24"/>
        </w:rPr>
      </w:pPr>
      <w:r>
        <w:rPr>
          <w:rFonts w:hint="eastAsia"/>
          <w:sz w:val="24"/>
          <w:szCs w:val="24"/>
        </w:rPr>
        <w:t>签订日期：       年    月    日</w:t>
      </w:r>
    </w:p>
    <w:p>
      <w:pPr>
        <w:widowControl/>
        <w:jc w:val="left"/>
        <w:rPr>
          <w:sz w:val="24"/>
          <w:szCs w:val="24"/>
        </w:rPr>
      </w:pPr>
      <w:r>
        <w:rPr>
          <w:sz w:val="24"/>
          <w:szCs w:val="24"/>
        </w:rPr>
        <w:br w:type="page"/>
      </w:r>
    </w:p>
    <w:p>
      <w:pPr>
        <w:pStyle w:val="2"/>
        <w:spacing w:beforeLines="50" w:afterLines="50" w:line="360" w:lineRule="auto"/>
        <w:jc w:val="center"/>
        <w:rPr>
          <w:rFonts w:ascii="黑体" w:hAnsi="黑体" w:eastAsia="黑体"/>
          <w:b w:val="0"/>
        </w:rPr>
      </w:pPr>
      <w:bookmarkStart w:id="3" w:name="_Toc155796359"/>
      <w:r>
        <w:rPr>
          <w:rFonts w:hint="eastAsia" w:ascii="黑体" w:hAnsi="黑体" w:eastAsia="黑体"/>
          <w:b w:val="0"/>
        </w:rPr>
        <w:t>第四章  采购需求</w:t>
      </w:r>
      <w:bookmarkEnd w:id="3"/>
    </w:p>
    <w:p>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sz w:val="24"/>
          <w:szCs w:val="24"/>
          <w:highlight w:val="yellow"/>
          <w:u w:val="single"/>
        </w:rPr>
        <w:t>软件和信息技术服务业</w:t>
      </w:r>
      <w:r>
        <w:rPr>
          <w:rFonts w:hint="eastAsia"/>
          <w:sz w:val="24"/>
          <w:szCs w:val="24"/>
        </w:rPr>
        <w:t>。</w:t>
      </w:r>
    </w:p>
    <w:p>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tbl>
      <w:tblPr>
        <w:tblStyle w:val="18"/>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Borders>
              <w:top w:val="single" w:color="auto" w:sz="4" w:space="0"/>
            </w:tcBorders>
          </w:tcPr>
          <w:p>
            <w:pPr>
              <w:spacing w:line="500" w:lineRule="exact"/>
              <w:jc w:val="center"/>
              <w:rPr>
                <w:b/>
                <w:sz w:val="24"/>
                <w:szCs w:val="24"/>
              </w:rPr>
            </w:pPr>
            <w:r>
              <w:rPr>
                <w:b/>
                <w:sz w:val="24"/>
                <w:szCs w:val="24"/>
              </w:rPr>
              <w:t>序号</w:t>
            </w:r>
          </w:p>
        </w:tc>
        <w:tc>
          <w:tcPr>
            <w:tcW w:w="7689" w:type="dxa"/>
            <w:tcBorders>
              <w:top w:val="single" w:color="auto" w:sz="4" w:space="0"/>
            </w:tcBorders>
          </w:tcPr>
          <w:p>
            <w:pPr>
              <w:spacing w:line="500" w:lineRule="exact"/>
              <w:jc w:val="center"/>
              <w:rPr>
                <w:b/>
                <w:sz w:val="24"/>
                <w:szCs w:val="24"/>
              </w:rPr>
            </w:pPr>
            <w:r>
              <w:rPr>
                <w:b/>
                <w:sz w:val="24"/>
                <w:szCs w:val="24"/>
              </w:rPr>
              <w:t>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500" w:lineRule="exact"/>
              <w:jc w:val="center"/>
              <w:rPr>
                <w:sz w:val="24"/>
                <w:szCs w:val="24"/>
              </w:rPr>
            </w:pPr>
            <w:r>
              <w:rPr>
                <w:rFonts w:hint="eastAsia"/>
                <w:sz w:val="24"/>
                <w:szCs w:val="24"/>
              </w:rPr>
              <w:t>1</w:t>
            </w:r>
          </w:p>
        </w:tc>
        <w:tc>
          <w:tcPr>
            <w:tcW w:w="7689" w:type="dxa"/>
          </w:tcPr>
          <w:p>
            <w:pPr>
              <w:spacing w:line="500" w:lineRule="exact"/>
              <w:jc w:val="left"/>
              <w:rPr>
                <w:sz w:val="24"/>
                <w:szCs w:val="24"/>
              </w:rPr>
            </w:pPr>
            <w:r>
              <w:rPr>
                <w:rFonts w:hint="eastAsia"/>
                <w:sz w:val="24"/>
                <w:szCs w:val="24"/>
              </w:rPr>
              <w:t>★1.付款方式：以县财政拨付项目资金进度为依据进行拨付，拨付至合同款97%，项目履约完成后付清余款。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500" w:lineRule="exact"/>
              <w:jc w:val="center"/>
              <w:rPr>
                <w:rFonts w:hint="default" w:eastAsiaTheme="minorEastAsia"/>
                <w:sz w:val="24"/>
                <w:szCs w:val="24"/>
                <w:lang w:val="en-US" w:eastAsia="zh-CN"/>
              </w:rPr>
            </w:pPr>
            <w:r>
              <w:rPr>
                <w:rFonts w:hint="eastAsia"/>
                <w:sz w:val="24"/>
                <w:szCs w:val="24"/>
                <w:lang w:val="en-US" w:eastAsia="zh-CN"/>
              </w:rPr>
              <w:t>2.</w:t>
            </w:r>
          </w:p>
        </w:tc>
        <w:tc>
          <w:tcPr>
            <w:tcW w:w="7689" w:type="dxa"/>
          </w:tcPr>
          <w:p>
            <w:pPr>
              <w:spacing w:line="500" w:lineRule="exact"/>
              <w:jc w:val="left"/>
              <w:rPr>
                <w:rFonts w:hint="eastAsia"/>
                <w:sz w:val="24"/>
                <w:szCs w:val="24"/>
              </w:rPr>
            </w:pPr>
            <w:r>
              <w:rPr>
                <w:rFonts w:hint="eastAsia"/>
                <w:sz w:val="24"/>
                <w:szCs w:val="24"/>
              </w:rPr>
              <w:t>★</w:t>
            </w:r>
            <w:r>
              <w:rPr>
                <w:rFonts w:hint="eastAsia"/>
                <w:sz w:val="24"/>
                <w:szCs w:val="24"/>
                <w:lang w:val="en-US" w:eastAsia="zh-CN"/>
              </w:rPr>
              <w:t>管理电脑必须是节能产品。</w:t>
            </w:r>
          </w:p>
        </w:tc>
      </w:tr>
    </w:tbl>
    <w:p>
      <w:pPr>
        <w:ind w:firstLine="480" w:firstLineChars="200"/>
        <w:rPr>
          <w:sz w:val="24"/>
          <w:szCs w:val="24"/>
        </w:rPr>
      </w:pPr>
    </w:p>
    <w:p>
      <w:pPr>
        <w:ind w:firstLine="480" w:firstLineChars="200"/>
        <w:rPr>
          <w:sz w:val="24"/>
          <w:szCs w:val="24"/>
        </w:rPr>
      </w:pPr>
    </w:p>
    <w:p>
      <w:pPr>
        <w:pStyle w:val="16"/>
        <w:keepNext w:val="0"/>
        <w:keepLines w:val="0"/>
        <w:pageBreakBefore w:val="0"/>
        <w:kinsoku/>
        <w:wordWrap/>
        <w:overflowPunct/>
        <w:topLinePunct w:val="0"/>
        <w:autoSpaceDE/>
        <w:autoSpaceDN/>
        <w:bidi w:val="0"/>
        <w:adjustRightInd/>
        <w:snapToGrid w:val="0"/>
        <w:spacing w:after="0" w:line="360" w:lineRule="auto"/>
        <w:ind w:left="0" w:leftChars="0" w:firstLine="0" w:firstLineChars="0"/>
        <w:textAlignment w:val="auto"/>
        <w:outlineLvl w:val="0"/>
        <w:rPr>
          <w:rFonts w:hint="eastAsia" w:asciiTheme="minorEastAsia" w:hAnsiTheme="minorEastAsia" w:eastAsiaTheme="minorEastAsia" w:cstheme="minorEastAsia"/>
          <w:b/>
          <w:bCs/>
          <w:color w:val="000000"/>
          <w:kern w:val="2"/>
          <w:sz w:val="28"/>
          <w:szCs w:val="28"/>
          <w:highlight w:val="none"/>
          <w:lang w:val="en-US" w:eastAsia="zh-CN" w:bidi="ar-SA"/>
        </w:rPr>
      </w:pPr>
      <w:bookmarkStart w:id="4" w:name="_Toc26060"/>
      <w:bookmarkStart w:id="5" w:name="_Toc13278"/>
      <w:r>
        <w:rPr>
          <w:rFonts w:hint="eastAsia" w:asciiTheme="minorEastAsia" w:hAnsiTheme="minorEastAsia" w:eastAsiaTheme="minorEastAsia" w:cstheme="minorEastAsia"/>
          <w:b/>
          <w:bCs/>
          <w:color w:val="000000"/>
          <w:kern w:val="2"/>
          <w:sz w:val="28"/>
          <w:szCs w:val="28"/>
          <w:highlight w:val="none"/>
          <w:lang w:val="en-US" w:eastAsia="zh-CN" w:bidi="ar-SA"/>
        </w:rPr>
        <w:t>一、项目背景</w:t>
      </w:r>
      <w:bookmarkEnd w:id="4"/>
      <w:bookmarkEnd w:id="5"/>
    </w:p>
    <w:p>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Theme="minorEastAsia" w:hAnsiTheme="minorEastAsia" w:eastAsiaTheme="minorEastAsia" w:cstheme="minorEastAsia"/>
          <w:color w:val="000000"/>
          <w:kern w:val="0"/>
          <w:sz w:val="24"/>
          <w:szCs w:val="24"/>
          <w:highlight w:val="none"/>
          <w:lang w:val="en-US" w:eastAsia="zh-CN" w:bidi="ar-SA"/>
        </w:rPr>
      </w:pPr>
      <w:bookmarkStart w:id="6" w:name="_Toc21026"/>
      <w:bookmarkStart w:id="7" w:name="_Toc4977"/>
      <w:r>
        <w:rPr>
          <w:rFonts w:hint="eastAsia" w:asciiTheme="minorEastAsia" w:hAnsiTheme="minorEastAsia" w:eastAsiaTheme="minorEastAsia" w:cstheme="minorEastAsia"/>
          <w:color w:val="000000"/>
          <w:kern w:val="0"/>
          <w:sz w:val="24"/>
          <w:szCs w:val="24"/>
          <w:highlight w:val="none"/>
          <w:lang w:val="en-US" w:eastAsia="zh-CN" w:bidi="ar-SA"/>
        </w:rPr>
        <w:t>项目位于双店镇北沟村村部东面，北沟村为知名的华东地区鲜切花种植基地。随着国内消费市场的稳定复苏，消费端对于鲜切花的种类和品质有了更高的要求。根据市场向导，双店镇花卉在传统品种基础上，品种结构需向高档化、多元化发展。同时对标云南鲜花产品质量，科技赋能种植技术，通过现代化温室的应用和改进，进一步增强脱毒育苗、基质栽培等技术。</w:t>
      </w:r>
    </w:p>
    <w:p>
      <w:pPr>
        <w:pStyle w:val="34"/>
        <w:keepNext w:val="0"/>
        <w:keepLines w:val="0"/>
        <w:pageBreakBefore w:val="0"/>
        <w:kinsoku/>
        <w:wordWrap/>
        <w:overflowPunct/>
        <w:topLinePunct w:val="0"/>
        <w:autoSpaceDE/>
        <w:autoSpaceDN/>
        <w:bidi w:val="0"/>
        <w:adjustRightInd/>
        <w:snapToGrid w:val="0"/>
        <w:spacing w:line="360" w:lineRule="auto"/>
        <w:ind w:left="0" w:firstLine="480" w:firstLineChars="20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kern w:val="0"/>
          <w:sz w:val="24"/>
          <w:szCs w:val="24"/>
          <w:highlight w:val="none"/>
          <w:lang w:val="en-US" w:eastAsia="zh-CN" w:bidi="ar-SA"/>
        </w:rPr>
        <w:t>基于上述背景，双店镇积极推动鲜花主导产业提质升级，新建一个连栋智能花卉温室大棚，开展新品种、新技术的种植示范</w:t>
      </w:r>
      <w:r>
        <w:rPr>
          <w:rFonts w:hint="eastAsia" w:asciiTheme="minorEastAsia" w:hAnsiTheme="minorEastAsia" w:eastAsiaTheme="minorEastAsia" w:cstheme="minorEastAsia"/>
          <w:color w:val="00000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t>二、建设目标</w:t>
      </w:r>
      <w:bookmarkEnd w:id="6"/>
      <w:bookmarkEnd w:id="7"/>
    </w:p>
    <w:p>
      <w:pPr>
        <w:keepNext w:val="0"/>
        <w:keepLines w:val="0"/>
        <w:pageBreakBefore w:val="0"/>
        <w:widowControl/>
        <w:kinsoku/>
        <w:wordWrap/>
        <w:overflowPunct/>
        <w:topLinePunct w:val="0"/>
        <w:autoSpaceDE/>
        <w:autoSpaceDN/>
        <w:bidi w:val="0"/>
        <w:adjustRightInd/>
        <w:snapToGrid w:val="0"/>
        <w:spacing w:line="360" w:lineRule="auto"/>
        <w:ind w:left="0" w:firstLine="48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kern w:val="0"/>
          <w:sz w:val="24"/>
          <w:szCs w:val="20"/>
          <w:highlight w:val="none"/>
          <w:lang w:val="en-US" w:eastAsia="zh-CN" w:bidi="ar-SA"/>
        </w:rPr>
        <w:t>项目建成后可带动周边约100名农户学习新型种植技术，降低种植成本支出，，增加鲜花产品附加值，提高农户纯收入。通过打造连栋智能花卉温室大棚，提档升级双店鲜切花基地基础设施，提升访客参观体验感，有利于宣传双店鲜切花文化，进一步提升双店鲜切花品牌形象</w:t>
      </w:r>
      <w:r>
        <w:rPr>
          <w:rFonts w:hint="eastAsia" w:asciiTheme="minorEastAsia" w:hAnsiTheme="minorEastAsia" w:eastAsiaTheme="minorEastAsia" w:cstheme="minorEastAsia"/>
          <w:kern w:val="0"/>
          <w:sz w:val="24"/>
          <w:szCs w:val="20"/>
          <w:highlight w:val="none"/>
          <w:lang w:val="en-US" w:eastAsia="zh-Hans" w:bidi="ar-SA"/>
        </w:rPr>
        <w:t>。</w:t>
      </w:r>
    </w:p>
    <w:p>
      <w:pPr>
        <w:pStyle w:val="16"/>
        <w:keepNext w:val="0"/>
        <w:keepLines w:val="0"/>
        <w:pageBreakBefore w:val="0"/>
        <w:kinsoku/>
        <w:wordWrap/>
        <w:overflowPunct/>
        <w:topLinePunct w:val="0"/>
        <w:autoSpaceDE/>
        <w:autoSpaceDN/>
        <w:bidi w:val="0"/>
        <w:adjustRightInd/>
        <w:snapToGrid w:val="0"/>
        <w:spacing w:after="0" w:line="360" w:lineRule="auto"/>
        <w:ind w:left="0" w:leftChars="0" w:firstLine="0" w:firstLineChars="0"/>
        <w:textAlignment w:val="auto"/>
        <w:outlineLvl w:val="0"/>
        <w:rPr>
          <w:rFonts w:hint="eastAsia" w:asciiTheme="minorEastAsia" w:hAnsiTheme="minorEastAsia" w:eastAsiaTheme="minorEastAsia" w:cstheme="minorEastAsia"/>
          <w:b/>
          <w:bCs/>
          <w:color w:val="000000"/>
          <w:kern w:val="2"/>
          <w:sz w:val="28"/>
          <w:szCs w:val="28"/>
          <w:highlight w:val="none"/>
          <w:lang w:val="en-US" w:eastAsia="zh-CN" w:bidi="ar-SA"/>
        </w:rPr>
      </w:pPr>
      <w:bookmarkStart w:id="8" w:name="_Toc10605"/>
      <w:bookmarkStart w:id="9" w:name="_Toc17683"/>
      <w:r>
        <w:rPr>
          <w:rFonts w:hint="eastAsia" w:asciiTheme="minorEastAsia" w:hAnsiTheme="minorEastAsia" w:eastAsiaTheme="minorEastAsia" w:cstheme="minorEastAsia"/>
          <w:b/>
          <w:bCs/>
          <w:color w:val="000000"/>
          <w:kern w:val="2"/>
          <w:sz w:val="28"/>
          <w:szCs w:val="28"/>
          <w:highlight w:val="none"/>
          <w:lang w:val="en-US" w:eastAsia="zh-CN" w:bidi="ar-SA"/>
        </w:rPr>
        <w:t>三、建设内容清单</w:t>
      </w:r>
    </w:p>
    <w:p>
      <w:pPr>
        <w:pageBreakBefore w:val="0"/>
        <w:numPr>
          <w:ilvl w:val="0"/>
          <w:numId w:val="0"/>
        </w:numPr>
        <w:kinsoku/>
        <w:wordWrap/>
        <w:overflowPunct/>
        <w:topLinePunct w:val="0"/>
        <w:autoSpaceDE/>
        <w:autoSpaceDN/>
        <w:bidi w:val="0"/>
        <w:adjustRightInd/>
        <w:snapToGrid w:val="0"/>
        <w:spacing w:line="360" w:lineRule="auto"/>
        <w:ind w:left="720" w:leftChars="0" w:hanging="720" w:firstLineChars="0"/>
        <w:rPr>
          <w:rFonts w:hint="eastAsia"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lang w:val="en-US" w:eastAsia="zh-CN"/>
        </w:rPr>
        <w:t>（一）软</w:t>
      </w:r>
      <w:r>
        <w:rPr>
          <w:rFonts w:hint="eastAsia" w:asciiTheme="minorEastAsia" w:hAnsiTheme="minorEastAsia" w:eastAsiaTheme="minorEastAsia" w:cstheme="minorEastAsia"/>
          <w:b/>
          <w:bCs/>
          <w:color w:val="000000"/>
          <w:kern w:val="0"/>
          <w:sz w:val="24"/>
          <w:highlight w:val="none"/>
        </w:rPr>
        <w:t>件部分</w:t>
      </w:r>
    </w:p>
    <w:tbl>
      <w:tblPr>
        <w:tblStyle w:val="17"/>
        <w:tblW w:w="96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0"/>
        <w:gridCol w:w="2130"/>
        <w:gridCol w:w="5273"/>
        <w:gridCol w:w="661"/>
        <w:gridCol w:w="7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70" w:hRule="atLeast"/>
        </w:trPr>
        <w:tc>
          <w:tcPr>
            <w:tcW w:w="85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序号</w:t>
            </w:r>
          </w:p>
        </w:tc>
        <w:tc>
          <w:tcPr>
            <w:tcW w:w="213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名称</w:t>
            </w:r>
          </w:p>
        </w:tc>
        <w:tc>
          <w:tcPr>
            <w:tcW w:w="5273"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参数</w:t>
            </w:r>
          </w:p>
        </w:tc>
        <w:tc>
          <w:tcPr>
            <w:tcW w:w="661"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单位</w:t>
            </w:r>
          </w:p>
        </w:tc>
        <w:tc>
          <w:tcPr>
            <w:tcW w:w="752"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综合集成决策指挥系统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1.以三维模型的形式，展示温室大棚的基础信息和大棚的整体分布情况，并展示现场设备位置分布、实现感知设备数据的汇总查看，视频监控设备等的远程查看；</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2.支持感知设备的异常数据报警消息展示，实现根据报警消息进行快速决策和现场处置</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环境气象监测系统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实时数据，历史数据，报警管理</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苗情灾情（视频监控）监测系统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实时监控，历史回放，苗情灾情图片对比，图片管理等功能</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土壤墒情监测系统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土壤墒情，土壤电导率，报警管理</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智能水肥管理系统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设备监控，手动灌溉，定时轮灌，智能灌溉，历史记录</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智能温控管理系统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手动控制，自动控制，设备状态，控制记录</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基础信息管理系统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智能设备管理，大棚管理，花卉管理，品种管理，花卉农事管理，花卉农艺管理，投入品管理</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溯源管理系统</w:t>
            </w:r>
          </w:p>
        </w:tc>
        <w:tc>
          <w:tcPr>
            <w:tcW w:w="5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支持溯源档案信息的管理，以及花卉产品基本信息的管理，实现地理标志产品防伪与标识，针对地理标志产品溯源的国家工业互联网标识和备案。</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通过溯源二维码的系统自动生成，支持移动端扫码，查询溯源数据</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bl>
    <w:p>
      <w:pPr>
        <w:pageBreakBefore w:val="0"/>
        <w:numPr>
          <w:ilvl w:val="0"/>
          <w:numId w:val="0"/>
        </w:numPr>
        <w:kinsoku/>
        <w:wordWrap/>
        <w:overflowPunct/>
        <w:topLinePunct w:val="0"/>
        <w:autoSpaceDE/>
        <w:autoSpaceDN/>
        <w:bidi w:val="0"/>
        <w:adjustRightInd/>
        <w:snapToGrid w:val="0"/>
        <w:spacing w:line="360" w:lineRule="auto"/>
        <w:ind w:left="720" w:leftChars="0" w:hanging="720" w:firstLineChars="0"/>
        <w:rPr>
          <w:rFonts w:hint="eastAsia"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bidi="ar-SA"/>
        </w:rPr>
        <w:t>（二）</w:t>
      </w:r>
      <w:r>
        <w:rPr>
          <w:rFonts w:hint="eastAsia" w:asciiTheme="minorEastAsia" w:hAnsiTheme="minorEastAsia" w:eastAsiaTheme="minorEastAsia" w:cstheme="minorEastAsia"/>
          <w:b/>
          <w:bCs/>
          <w:color w:val="000000"/>
          <w:kern w:val="0"/>
          <w:sz w:val="24"/>
          <w:highlight w:val="none"/>
        </w:rPr>
        <w:t>硬件部分</w:t>
      </w:r>
    </w:p>
    <w:tbl>
      <w:tblPr>
        <w:tblStyle w:val="17"/>
        <w:tblW w:w="9682"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5"/>
        <w:gridCol w:w="2154"/>
        <w:gridCol w:w="5249"/>
        <w:gridCol w:w="716"/>
        <w:gridCol w:w="6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5" w:hRule="atLeast"/>
        </w:trPr>
        <w:tc>
          <w:tcPr>
            <w:tcW w:w="865"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序号</w:t>
            </w:r>
          </w:p>
        </w:tc>
        <w:tc>
          <w:tcPr>
            <w:tcW w:w="2154"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名称</w:t>
            </w:r>
          </w:p>
        </w:tc>
        <w:tc>
          <w:tcPr>
            <w:tcW w:w="5249"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参数</w:t>
            </w:r>
          </w:p>
        </w:tc>
        <w:tc>
          <w:tcPr>
            <w:tcW w:w="71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单位</w:t>
            </w:r>
          </w:p>
        </w:tc>
        <w:tc>
          <w:tcPr>
            <w:tcW w:w="698"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bidi w:val="0"/>
              <w:rPr>
                <w:rFonts w:hint="eastAsia" w:asciiTheme="minorEastAsia" w:hAnsiTheme="minorEastAsia" w:eastAsiaTheme="minorEastAsia" w:cstheme="minorEastAsia"/>
                <w:highlight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bidi w:val="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一、环境气象监测系统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b/>
                <w:bCs/>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气象站</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1.环境温度：测量范围-50~+80℃、分辨率0.1℃、精度±0.1℃；</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2.相对湿度：测量范围0~100%、分辨率0.1%、精度±2%（≤80%时）±5%（＞80%时）；</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▲3.风向：准确度 ±2°、测量范围0～360°、分辨率1°、启动风速≤0.5m/s；（提供功能截图证明，加盖投标人公章上传电子投标文件中。在上传的文件中用红线标明所需项，否则无效）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4.风速：测量范围0~70m/s、分辨率0.1m/s、精度±（0.3+0.03V）m/s；</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5.大气压力：550~1060hPa、分辨率0.1hPa、精度±0.3hPa；</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6.降水量：测量范围0~999.9mm、分辨率0.2mm、精度±0.4mm（≤10mm时）±4%（＞10mm时）；</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7.照度：0~200000Lux、分辨率1Lux、准度±7%；</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8.数据显示及查询：配备数据显示屏，设备具备人机交互操作界面，实时显示监测数据，支持历史数据查询；（提供功能截图证明，加盖投标人公章上传电子投标文件中。在上传的文件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▲9.数据储存和传输：支持在线传输和本地存储。（提供功能截图证明，加盖投标人公章上传电子投标文件中。在上传的文件中用红线标明所需项，否则无效）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▲10.通信方式及格式：数字通信（含三年信息费），支持MQTT、TCP、MODBUSTCP等多种信号传输方式，提供API接口；远程传输数据采用 5G/4G，或支持北斗通讯设备；（提供功能截图证明，加盖投标人公章上传电子投标文件中。在上传的文件中用红线标明所需项，否则无效）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11.供电方式：支持太阳能蓄电池及220V交流电两种供电方式。</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▲12.静电放电抗干扰度试验：符合性能等级A（提供功能截图证明，加盖投标人公章上传电子投标文件中。在上传的文件中用红线标明所需项，否则无效）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▲13.浪涌(冲击)抗扰度试验：符合性能等级A（提供功能截图证明，加盖投标人公章上传电子投标文件中。在上传的文件中用红线标明所需项，否则无效）</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环境数据检测传感器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含百叶盒、空气温度、湿度、光照、二氧化碳；</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空气温度：-20-80℃ 空气湿度：0-100%RH；</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光照0-20W传感器：分辨率：1Lux，精度：±5%（25℃）；</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二氧化碳：测量范围 400-60000ppm ，精度 1ppm；</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3X3点阵显示屏</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大棚内传感器数据可实时显示；</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信号线</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RVVP4*1.0</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电源线</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RVV2*1.5</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数据采集终端</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实现数据实时传输，支持4G传输</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PVC20管</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PVC20管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54"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辅材</w:t>
            </w:r>
          </w:p>
        </w:tc>
        <w:tc>
          <w:tcPr>
            <w:tcW w:w="5249"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含传感器安装支架等配套辅材</w:t>
            </w:r>
          </w:p>
        </w:tc>
        <w:tc>
          <w:tcPr>
            <w:tcW w:w="716"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698"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二、苗情灾情（视频监控）监测系统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前端设备</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b/>
                <w:bCs/>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400万POE枪型摄像机</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400万 1/2.7" CMOS ICR 筒型网络摄像机</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最低照度: 彩色：0.005 Lux @（F1.2，AGC ON），0 Lux with Light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宽动态: 数字宽动态</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红外波长范围: 850 nm</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防补光过曝: 支持</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补光距离: 红外光最远可达30 m，白光最远可达30 m</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最大图像尺寸: 2560 × 1440</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音频: 1个内置麦克风</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供电方式: DC：12 V ± 25%，支持防反接保护；PoE：802.3af，Class 3</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枪机壁装支架</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适用范围 适合枪型、筒型、一体型摄像机壁装；</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材料 铝合金</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400万球型摄像机</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视频输出支持 2560×1440@25fps ，分辨力不小于 1400TVL ，红外距离可达 150 米。</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 32 倍光学变倍 ，最大焦距≥188mm</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支持最低照度可达彩色 0.0003Lux ，黑白 0.0001Lux。</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支持水平手控速度不小于 160°/S ，垂直速度不小于 120°/S ，云台定位精度为±0.1°。</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水平旋转范围为 360°连续旋转 ，垂直旋转范围为-15° ~90°</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内置 GPU 芯片 ，支持人脸抓拍设置 ，具有最佳抓拍和快速抓拍两种模式设置选项。</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 300 个预置位 ，可按照所设置的预置位完成不小于 8 条巡航路径 ，支持不小于 4 条模式路径设置 ，支持预置位视频冻结功能；可实现 RS485 接口优先或 RJ45 网络接口优先控制功能。</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支持智能红外、透雾、强光抑制、电子防抖、数字降噪、防红外过曝功能。</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具备≥1 对音频输入输出接口、≥2 路报警输入、1 路报警输出 ，具备本机存储功能 ，支持 SD 卡热插拔 ，最大支持 256GB。</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具备较好的电源适应性 ，电压在 AC24V±30%范围内变化时 ，设备可正常工作。</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球机支架</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1.名称 ：球机壁装支架；2.参数 ：壁装支架/白色/尺寸；</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防水设备箱</w:t>
            </w:r>
          </w:p>
        </w:tc>
        <w:tc>
          <w:tcPr>
            <w:tcW w:w="5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500*600*200mm；含空开和插座；含熔纤盘</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室外防水网线</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六类网线</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电源线</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RVV2*1.5</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12芯光缆</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单模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9</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PVC20管</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PVC20管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后端设备</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网络机柜</w:t>
            </w:r>
          </w:p>
        </w:tc>
        <w:tc>
          <w:tcPr>
            <w:tcW w:w="5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机柜尺寸为600×1000×1200（单位：mm，宽×深×高）；</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24口光纤配线架</w:t>
            </w:r>
          </w:p>
        </w:tc>
        <w:tc>
          <w:tcPr>
            <w:tcW w:w="5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24口SC光纤配线架</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理线架</w:t>
            </w:r>
          </w:p>
        </w:tc>
        <w:tc>
          <w:tcPr>
            <w:tcW w:w="5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1.名称 1U数据理线器</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2.规格 1U 19" 数据理线架</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只</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24口交换机</w:t>
            </w:r>
          </w:p>
        </w:tc>
        <w:tc>
          <w:tcPr>
            <w:tcW w:w="5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整机提供≥24个千兆电口，≥2个千兆光口；支持POE供电；</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千兆光模块</w:t>
            </w:r>
          </w:p>
        </w:tc>
        <w:tc>
          <w:tcPr>
            <w:tcW w:w="5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千兆光模块</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3米LC-LC单模跳线</w:t>
            </w:r>
          </w:p>
        </w:tc>
        <w:tc>
          <w:tcPr>
            <w:tcW w:w="5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1.名称 3米LC-LC单模光纤跳线</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2.规格 3米LC-LC双芯单模</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32路8盘位硬盘录像机</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1.5U机架式8盘位嵌入式网络硬盘录像机，采用短机箱设计，搭载高性能ATX电源</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存储接口：8个SATA接口，可满配8TB硬盘</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视频接口：1×HDMI，1×VGA</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网络接口：2×RJ45 10/100/1000Mbps自适应以太网口</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报警接口：16路报警输入，4路报警输出</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串行接口：1路RS-232接口，1路半双工RS-485接口</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USB接口：3×USB 2.0</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输入带宽：160Mbps</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输出带宽：80Mbps</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接入能力：32路H.264、H.265格式高清码流接入</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解码能力：最大支持8×1080P</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显示能力：最大支持4K输出</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硬盘</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6TB/5400RPM/SATA</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9</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辅材</w:t>
            </w:r>
          </w:p>
        </w:tc>
        <w:tc>
          <w:tcPr>
            <w:tcW w:w="52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线槽、管头、打线钳、水晶头、铁丝等</w:t>
            </w:r>
          </w:p>
        </w:tc>
        <w:tc>
          <w:tcPr>
            <w:tcW w:w="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三、土壤墒情监测系统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土壤墒情检测站</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▲1、符合GB／T24689.6-2009 植物保护机械农林小气候信息采集系统标准，并提供第三方专业检测机构出具的检验报告扫描件加盖投标人公章上传电子投标文件中。在上传的检测报告中用红线标明所需项，否则无效。</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▲2、符合GB/T 25000.51-2016 系统与软件工程 系统与软件质量要求和评价（SQuaRE） 第51部分。就绪可用软件产品（RUSP）的质量要求和测试细则并提供第三方专业检测机构出具的检验报告扫描件加盖投标人公章上传电子投标文件中。在上传的检测报告中用红线标明所需项，否则无效</w:t>
            </w:r>
            <w:r>
              <w:rPr>
                <w:rFonts w:hint="eastAsia" w:asciiTheme="minorEastAsia" w:hAnsiTheme="minorEastAsia" w:cstheme="minorEastAsia"/>
                <w:i w:val="0"/>
                <w:iCs w:val="0"/>
                <w:color w:val="000000"/>
                <w:kern w:val="0"/>
                <w:sz w:val="22"/>
                <w:szCs w:val="22"/>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在指定条件下使用时，产品或系统提供满足明确和隐含要求的功能的程度。可实现在同一屏幕实时显示采集数据，包括。土壤温度、土壤湿度、土壤氮磷钾传感器、植物茎秆传感器探头具有一致性，不同土壤参数的传感器接口可以互换，不影响精度。并提供第三方专业检测机构出具的检验报告扫描件加盖投标人公章上传电子投标文件中。在上传的检测报告中用红线标明所需项，否则无效</w:t>
            </w:r>
            <w:r>
              <w:rPr>
                <w:rFonts w:hint="eastAsia" w:asciiTheme="minorEastAsia" w:hAnsiTheme="minorEastAsia" w:cstheme="minorEastAsia"/>
                <w:i w:val="0"/>
                <w:iCs w:val="0"/>
                <w:color w:val="000000"/>
                <w:kern w:val="0"/>
                <w:sz w:val="22"/>
                <w:szCs w:val="22"/>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参数：</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（1）土壤温度：量程：-40～80℃；分辨率：0.1℃；精度：±0.5℃</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（2）土壤湿度：量程：0-100%RH；分辨率：0.1%RH；精度：±5%"</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（3）土壤</w:t>
            </w:r>
            <w:r>
              <w:rPr>
                <w:rFonts w:hint="eastAsia" w:asciiTheme="minorEastAsia" w:hAnsiTheme="minorEastAsia" w:cstheme="minorEastAsia"/>
                <w:i w:val="0"/>
                <w:iCs w:val="0"/>
                <w:color w:val="000000"/>
                <w:kern w:val="0"/>
                <w:sz w:val="22"/>
                <w:szCs w:val="22"/>
                <w:highlight w:val="none"/>
                <w:u w:val="none"/>
                <w:lang w:val="en-US" w:eastAsia="zh-CN" w:bidi="ar"/>
              </w:rPr>
              <w:t>电导率</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：量程：0-10000us/cm分辨率：1us/cm精度：±5%</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 xml:space="preserve">（4）电导率温度补偿，内置温度补偿传感器，补偿范围0-50℃ </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四、智能水肥管理系统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4"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无人智能水肥机（三通道）</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三通道水肥控制，380V/1.5KW,10寸电容屏，入口EC/PH值监测，可本地/远程操作，带4路控制器扩展，可扩展主水管流量计，可扩展出口EC/PH值监测，可扩展压力监测及保护功能</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黄色300L肥料桶</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不带电机</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搅拌电机组件</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500L-0.75KW 380v</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叠片过滤器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Y型、120目、1寸外牙（DN25)</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卧式黄铜止回阀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1寸、DN25 内流内卧式 摇摆式全铜挡板</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离心网式过滤器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2寸、法兰连接，进出水口口径：DN50最大流量40m³/h，排污口口径：DN25</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全自动反冲洗砂石过滤器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2寸2罐、法兰连接，进出水口口径：DN50,过滤单元：2个，最大流量40m³/h，排污口口径：DN32</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直通式电磁阀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1寸、DN25 公称外径32mm DC24V</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9</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暗杆软密封法兰闸阀门开关</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2寸、DN50公称外径63mm</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10</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快速泄压</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 (DN50)、材料：增强尼龙 螺纹连接BSP/NPT、法兰连接 配泄压导阀</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手动持压阀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 (DN50) 、材料：增强尼龙 法兰连接BSP/NPT 配手动控制持压导阀</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压力传感器/管道压力传感器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4-20mA 4分牙1米线，1.6MPA</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压力表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0-1.6Mpa 4分牙</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法兰消声止回阀消音立卧式单向阀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2寸、DN50 公称外径63mm</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15</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电磁流量计</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四氟衬里 2寸(DN50 AC220V供电）</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16</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配电箱</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接一个3 KW水泵，水肥机+搅拌电机5KW，5.5KW空开备用</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储水罐</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规格：D3.67m、H3.41m、C36m²</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18</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离心式泵</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规格：50-125I-3kw</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19</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恒压变频柜</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恒压变频柜4KW</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20</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PVC-U给水管</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公称外径63mm*1.0Mpa 直管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PE软水带</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公称外径63mm*1.0Mpa 直管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旁通阀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接滴灌带</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LDPE灌溉管</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外径16mm壁厚1.3(500m/卷 新料)</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米</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脉冲电磁阀</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2寸、DN50公称外径63mm 法兰连接 9-20V脉冲供电</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25</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辅材</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弯头、三通、大小头、线缆等</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五、智能温控管理系统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1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智能控制箱</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定制，含DTU,本地或远程控制模块、接触器、断路器等；适用于农作物电脑端远程控制，可控制多个风机、内外遮阳电机、开窗电机、湿帘电机的开关以及停止；</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六、云服务及配套安全设施设备</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b/>
                <w:bCs/>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lang w:val="en-US" w:eastAsia="zh-CN"/>
              </w:rPr>
            </w:pPr>
            <w:r>
              <w:rPr>
                <w:rFonts w:hint="eastAsia" w:asciiTheme="minorEastAsia" w:hAnsiTheme="minorEastAsia" w:eastAsiaTheme="minorEastAsia" w:cstheme="minorEastAsia"/>
                <w:i w:val="0"/>
                <w:iCs w:val="0"/>
                <w:color w:val="000000"/>
                <w:sz w:val="22"/>
                <w:szCs w:val="22"/>
                <w:highlight w:val="none"/>
                <w:u w:val="none"/>
                <w:lang w:val="en-US" w:eastAsia="zh-CN"/>
              </w:rPr>
              <w:t>云服务配置</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CPU：核数≥10核</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内存：≥64GB</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系统盘:≥100G</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数据盘：≥1T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包含3年云服务。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防火墙</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▲规格：1U，内存大小≥4G，硬盘容量≥64G SSD，接口≥6千兆电口，≥2千兆光口SFP。电口ByPass≥1对</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▲网络层吞吐量≥3G，应用层吞吐量≥600M，防病毒吞吐量≥300M，IPS吞吐量≥200M，并发连接数≥100万，HTTP新建连接数≥2万，</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防火墙属于下一代防火墙，能够开通多种功能模块，本次防火墙具备入侵防御IPS和防病毒等功能</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产品支持路由类型、协议类型、网络对象、国家地区等条件进行自动选路的策略路由，支持不少于3种的调度算法，至少包括带宽比例、加权流量、线路优先等。</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产品支持对SMTP、HTTP、FTP、SMB、POP3、HTTPS、IMAP等协议进行病毒防御</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产品支持对不少于6000种应用的识别和控制，应用类型包括游戏、购物、图书百科、工作招聘、P2P下载、聊天工具、旅游出行、股票软件等类型应用进行检测与控制。</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产品支持异常数据包攻击防御，防护类型包括IP数据块分片传输防护、Teardrop攻击防护、Smurf攻击防护、Land攻击防护、WinNuke攻击防护等攻击类型。产品支持对ICMP、UDP、DNS、SYN等协议进行DDOS防护。</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▲产品内置不低于13000种漏洞规则，同时支持在控制台界面通过漏洞ID、漏洞名称、危险等级、漏洞CVE标识、漏洞描述等条件查询漏洞特征信息，支持用户自定义IPS规则（提供功能截图证明</w:t>
            </w:r>
            <w:r>
              <w:rPr>
                <w:rFonts w:hint="eastAsia" w:asciiTheme="minorEastAsia" w:hAnsiTheme="minorEastAsia" w:cstheme="minorEastAsia"/>
                <w:i w:val="0"/>
                <w:iCs w:val="0"/>
                <w:color w:val="000000"/>
                <w:kern w:val="0"/>
                <w:sz w:val="22"/>
                <w:szCs w:val="22"/>
                <w:highlight w:val="none"/>
                <w:u w:val="none"/>
                <w:lang w:val="en-US" w:eastAsia="zh-CN" w:bidi="ar"/>
              </w:rPr>
              <w: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加盖投标人公章上传电子投标文件中。在上传的</w:t>
            </w:r>
            <w:r>
              <w:rPr>
                <w:rFonts w:hint="eastAsia" w:asciiTheme="minorEastAsia" w:hAnsiTheme="minorEastAsia" w:cstheme="minorEastAsia"/>
                <w:i w:val="0"/>
                <w:iCs w:val="0"/>
                <w:color w:val="000000"/>
                <w:kern w:val="0"/>
                <w:sz w:val="22"/>
                <w:szCs w:val="22"/>
                <w:highlight w:val="none"/>
                <w:u w:val="none"/>
                <w:lang w:val="en-US" w:eastAsia="zh-CN" w:bidi="ar"/>
              </w:rPr>
              <w:t>文件</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中用红线标明所需项，否则无效</w:t>
            </w:r>
            <w:r>
              <w:rPr>
                <w:rFonts w:hint="eastAsia" w:asciiTheme="minorEastAsia" w:hAnsiTheme="minorEastAsia" w:eastAsiaTheme="minorEastAsia" w:cstheme="minorEastAsia"/>
                <w:i w:val="0"/>
                <w:iCs w:val="0"/>
                <w:color w:val="000000"/>
                <w:sz w:val="22"/>
                <w:szCs w:val="22"/>
                <w:highlight w:val="none"/>
                <w:u w:val="none"/>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▲产品支持勒索病毒检测与防御功能，（需提供产品功能截图证明并提供</w:t>
            </w:r>
            <w:r>
              <w:rPr>
                <w:rFonts w:hint="eastAsia" w:asciiTheme="minorEastAsia" w:hAnsiTheme="minorEastAsia" w:cstheme="minorEastAsia"/>
                <w:i w:val="0"/>
                <w:iCs w:val="0"/>
                <w:color w:val="000000"/>
                <w:sz w:val="22"/>
                <w:szCs w:val="22"/>
                <w:highlight w:val="none"/>
                <w:u w:val="none"/>
                <w:lang w:eastAsia="zh-CN"/>
              </w:rPr>
              <w:t>第三方专业检测机构</w:t>
            </w:r>
            <w:r>
              <w:rPr>
                <w:rFonts w:hint="eastAsia" w:asciiTheme="minorEastAsia" w:hAnsiTheme="minorEastAsia" w:eastAsiaTheme="minorEastAsia" w:cstheme="minorEastAsia"/>
                <w:i w:val="0"/>
                <w:iCs w:val="0"/>
                <w:color w:val="000000"/>
                <w:sz w:val="22"/>
                <w:szCs w:val="22"/>
                <w:highlight w:val="none"/>
                <w:u w:val="none"/>
              </w:rPr>
              <w:t>出具关于“勒索病毒”的证书或检测报告证明功能有效性</w:t>
            </w:r>
            <w:r>
              <w:rPr>
                <w:rFonts w:hint="eastAsia" w:asciiTheme="minorEastAsia" w:hAnsiTheme="minorEastAsia" w:cstheme="minorEastAsia"/>
                <w:i w:val="0"/>
                <w:iCs w:val="0"/>
                <w:color w:val="000000"/>
                <w:sz w:val="22"/>
                <w:szCs w:val="22"/>
                <w:highlight w:val="none"/>
                <w:u w:val="none"/>
                <w:lang w:eastAsia="zh-CN"/>
              </w:rPr>
              <w:t>，</w:t>
            </w:r>
            <w:r>
              <w:rPr>
                <w:rFonts w:hint="eastAsia" w:asciiTheme="minorEastAsia" w:hAnsiTheme="minorEastAsia" w:cstheme="minorEastAsia"/>
                <w:i w:val="0"/>
                <w:iCs w:val="0"/>
                <w:color w:val="000000"/>
                <w:kern w:val="0"/>
                <w:sz w:val="22"/>
                <w:szCs w:val="22"/>
                <w:highlight w:val="none"/>
                <w:u w:val="none"/>
                <w:lang w:val="en-US" w:eastAsia="zh-CN" w:bidi="ar"/>
              </w:rPr>
              <w: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加盖投标人公章上传电子投标文件中。在上传的</w:t>
            </w:r>
            <w:r>
              <w:rPr>
                <w:rFonts w:hint="eastAsia" w:asciiTheme="minorEastAsia" w:hAnsiTheme="minorEastAsia" w:cstheme="minorEastAsia"/>
                <w:i w:val="0"/>
                <w:iCs w:val="0"/>
                <w:color w:val="000000"/>
                <w:kern w:val="0"/>
                <w:sz w:val="22"/>
                <w:szCs w:val="22"/>
                <w:highlight w:val="none"/>
                <w:u w:val="none"/>
                <w:lang w:val="en-US" w:eastAsia="zh-CN" w:bidi="ar"/>
              </w:rPr>
              <w:t>文件</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中用红线标明所需项，否则无效</w:t>
            </w:r>
            <w:r>
              <w:rPr>
                <w:rFonts w:hint="eastAsia" w:asciiTheme="minorEastAsia" w:hAnsiTheme="minorEastAsia" w:eastAsiaTheme="minorEastAsia" w:cstheme="minorEastAsia"/>
                <w:i w:val="0"/>
                <w:iCs w:val="0"/>
                <w:color w:val="000000"/>
                <w:sz w:val="22"/>
                <w:szCs w:val="22"/>
                <w:highlight w:val="none"/>
                <w:u w:val="none"/>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▲产品支持僵尸主机检测功能，产品内置僵尸网络特征库超过128万种，可识别主机的异常外联行为。（提供功能截图证明</w:t>
            </w:r>
            <w:r>
              <w:rPr>
                <w:rFonts w:hint="eastAsia" w:asciiTheme="minorEastAsia" w:hAnsiTheme="minorEastAsia" w:cstheme="minorEastAsia"/>
                <w:i w:val="0"/>
                <w:iCs w:val="0"/>
                <w:color w:val="000000"/>
                <w:sz w:val="22"/>
                <w:szCs w:val="22"/>
                <w:highlight w:val="none"/>
                <w:u w:val="none"/>
                <w:lang w:eastAsia="zh-CN"/>
              </w:rPr>
              <w:t>，</w:t>
            </w:r>
            <w:r>
              <w:rPr>
                <w:rFonts w:hint="eastAsia" w:asciiTheme="minorEastAsia" w:hAnsiTheme="minorEastAsia" w:cstheme="minorEastAsia"/>
                <w:i w:val="0"/>
                <w:iCs w:val="0"/>
                <w:color w:val="000000"/>
                <w:kern w:val="0"/>
                <w:sz w:val="22"/>
                <w:szCs w:val="22"/>
                <w:highlight w:val="none"/>
                <w:u w:val="none"/>
                <w:lang w:val="en-US" w:eastAsia="zh-CN" w:bidi="ar"/>
              </w:rPr>
              <w: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加盖投标人公章上传电子投标文件中。在上传的</w:t>
            </w:r>
            <w:r>
              <w:rPr>
                <w:rFonts w:hint="eastAsia" w:asciiTheme="minorEastAsia" w:hAnsiTheme="minorEastAsia" w:cstheme="minorEastAsia"/>
                <w:i w:val="0"/>
                <w:iCs w:val="0"/>
                <w:color w:val="000000"/>
                <w:kern w:val="0"/>
                <w:sz w:val="22"/>
                <w:szCs w:val="22"/>
                <w:highlight w:val="none"/>
                <w:u w:val="none"/>
                <w:lang w:val="en-US" w:eastAsia="zh-CN" w:bidi="ar"/>
              </w:rPr>
              <w:t>文件</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中用红线标明所需项，否则无效</w:t>
            </w:r>
            <w:r>
              <w:rPr>
                <w:rFonts w:hint="eastAsia" w:asciiTheme="minorEastAsia" w:hAnsiTheme="minorEastAsia" w:eastAsiaTheme="minorEastAsia" w:cstheme="minorEastAsia"/>
                <w:i w:val="0"/>
                <w:iCs w:val="0"/>
                <w:color w:val="000000"/>
                <w:sz w:val="22"/>
                <w:szCs w:val="22"/>
                <w:highlight w:val="none"/>
                <w:u w:val="none"/>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产品支持用户账号全生命周期保护功能，包括用户账号多余入口检测、用户账号弱口令检测、用户账号暴力破解检测、失陷账号检测，防止因账号被暴力破解导致的非法提权情况发生。</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▲产品支持策略生命周期管理功能，支持对安全策略修改的时间、原因、变更类型进行统一管理，便于策略的运维与管理。（需提供产品功能截图证明</w:t>
            </w:r>
            <w:r>
              <w:rPr>
                <w:rFonts w:hint="eastAsia" w:asciiTheme="minorEastAsia" w:hAnsiTheme="minorEastAsia" w:cstheme="minorEastAsia"/>
                <w:i w:val="0"/>
                <w:iCs w:val="0"/>
                <w:color w:val="000000"/>
                <w:sz w:val="22"/>
                <w:szCs w:val="22"/>
                <w:highlight w:val="none"/>
                <w:u w:val="none"/>
                <w:lang w:eastAsia="zh-CN"/>
              </w:rPr>
              <w:t>，</w:t>
            </w:r>
            <w:r>
              <w:rPr>
                <w:rFonts w:hint="eastAsia" w:asciiTheme="minorEastAsia" w:hAnsiTheme="minorEastAsia" w:cstheme="minorEastAsia"/>
                <w:i w:val="0"/>
                <w:iCs w:val="0"/>
                <w:color w:val="000000"/>
                <w:kern w:val="0"/>
                <w:sz w:val="22"/>
                <w:szCs w:val="22"/>
                <w:highlight w:val="none"/>
                <w:u w:val="none"/>
                <w:lang w:val="en-US" w:eastAsia="zh-CN" w:bidi="ar"/>
              </w:rPr>
              <w: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加盖投标人公章上传电子投标文件中。在上传的</w:t>
            </w:r>
            <w:r>
              <w:rPr>
                <w:rFonts w:hint="eastAsia" w:asciiTheme="minorEastAsia" w:hAnsiTheme="minorEastAsia" w:cstheme="minorEastAsia"/>
                <w:i w:val="0"/>
                <w:iCs w:val="0"/>
                <w:color w:val="000000"/>
                <w:kern w:val="0"/>
                <w:sz w:val="22"/>
                <w:szCs w:val="22"/>
                <w:highlight w:val="none"/>
                <w:u w:val="none"/>
                <w:lang w:val="en-US" w:eastAsia="zh-CN" w:bidi="ar"/>
              </w:rPr>
              <w:t>文件</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中用红线标明所需项，否则无效</w:t>
            </w:r>
            <w:r>
              <w:rPr>
                <w:rFonts w:hint="eastAsia" w:asciiTheme="minorEastAsia" w:hAnsiTheme="minorEastAsia" w:eastAsiaTheme="minorEastAsia" w:cstheme="minorEastAsia"/>
                <w:i w:val="0"/>
                <w:iCs w:val="0"/>
                <w:color w:val="000000"/>
                <w:sz w:val="22"/>
                <w:szCs w:val="22"/>
                <w:highlight w:val="none"/>
                <w:u w:val="none"/>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产品支持安全策略有效性分析功能，分析内容至少包括策略冗余分析、策略匹配分析、风险端口风险等内容，提供安全策略优化建议。</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产品支持用户账号全生命周期保护功能，包括用户账号多余入口检测、用户账号弱口令检测、用户账号暴力破解检测、失陷账号检测，防止因账号被暴力破解导致的非法提权情况发生。</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t>▲产品需为前沿设备，能够扩展web应用防御功能，需支持Cookie攻击防护功能，并通过日志记录Cookie被篡改。（需提供具备CMA/CNAS标识的第三方检测报告</w:t>
            </w:r>
            <w:r>
              <w:rPr>
                <w:rFonts w:hint="eastAsia" w:asciiTheme="minorEastAsia" w:hAnsiTheme="minorEastAsia" w:cstheme="minorEastAsia"/>
                <w:i w:val="0"/>
                <w:iCs w:val="0"/>
                <w:color w:val="000000"/>
                <w:sz w:val="22"/>
                <w:szCs w:val="22"/>
                <w:highlight w:val="none"/>
                <w:u w:val="none"/>
                <w:lang w:eastAsia="zh-CN"/>
              </w:rPr>
              <w:t>，</w:t>
            </w:r>
            <w:r>
              <w:rPr>
                <w:rFonts w:hint="eastAsia" w:asciiTheme="minorEastAsia" w:hAnsiTheme="minorEastAsia" w:cstheme="minorEastAsia"/>
                <w:i w:val="0"/>
                <w:iCs w:val="0"/>
                <w:color w:val="000000"/>
                <w:kern w:val="0"/>
                <w:sz w:val="22"/>
                <w:szCs w:val="22"/>
                <w:highlight w:val="none"/>
                <w:u w:val="none"/>
                <w:lang w:val="en-US" w:eastAsia="zh-CN" w:bidi="ar"/>
              </w:rPr>
              <w:t>,</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加盖投标人公章上传电子投标文件中。在上传的</w:t>
            </w:r>
            <w:r>
              <w:rPr>
                <w:rFonts w:hint="eastAsia" w:asciiTheme="minorEastAsia" w:hAnsiTheme="minorEastAsia" w:cstheme="minorEastAsia"/>
                <w:i w:val="0"/>
                <w:iCs w:val="0"/>
                <w:color w:val="000000"/>
                <w:kern w:val="0"/>
                <w:sz w:val="22"/>
                <w:szCs w:val="22"/>
                <w:highlight w:val="none"/>
                <w:u w:val="none"/>
                <w:lang w:val="en-US" w:eastAsia="zh-CN" w:bidi="ar"/>
              </w:rPr>
              <w:t>文件</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中用红线标明所需项，否则无效</w:t>
            </w:r>
            <w:r>
              <w:rPr>
                <w:rFonts w:hint="eastAsia" w:asciiTheme="minorEastAsia" w:hAnsiTheme="minorEastAsia" w:eastAsiaTheme="minorEastAsia" w:cstheme="minorEastAsia"/>
                <w:i w:val="0"/>
                <w:iCs w:val="0"/>
                <w:color w:val="000000"/>
                <w:sz w:val="22"/>
                <w:szCs w:val="22"/>
                <w:highlight w:val="none"/>
                <w:u w:val="none"/>
              </w:rPr>
              <w:t>）。</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机柜</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600*1000*1200mm；含PDU、散热模块；</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b/>
                <w:bCs/>
                <w:i w:val="0"/>
                <w:iCs w:val="0"/>
                <w:color w:val="000000"/>
                <w:sz w:val="22"/>
                <w:szCs w:val="22"/>
                <w:highlight w:val="none"/>
                <w:u w:val="none"/>
              </w:rPr>
            </w:pPr>
            <w:r>
              <w:rPr>
                <w:rFonts w:hint="eastAsia" w:asciiTheme="minorEastAsia" w:hAnsiTheme="minorEastAsia" w:eastAsiaTheme="minorEastAsia" w:cstheme="minorEastAsia"/>
                <w:b/>
                <w:bCs/>
                <w:i w:val="0"/>
                <w:iCs w:val="0"/>
                <w:color w:val="000000"/>
                <w:kern w:val="0"/>
                <w:sz w:val="22"/>
                <w:szCs w:val="22"/>
                <w:highlight w:val="none"/>
                <w:u w:val="none"/>
                <w:lang w:val="en-US" w:eastAsia="zh-CN" w:bidi="ar"/>
              </w:rPr>
              <w:t>七、大屏展示系统</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left"/>
              <w:rPr>
                <w:rFonts w:hint="eastAsia" w:asciiTheme="minorEastAsia" w:hAnsiTheme="minorEastAsia" w:eastAsiaTheme="minorEastAsia" w:cstheme="minorEastAsia"/>
                <w:i w:val="0"/>
                <w:iCs w:val="0"/>
                <w:color w:val="000000"/>
                <w:sz w:val="22"/>
                <w:szCs w:val="22"/>
                <w:highlight w:val="none"/>
                <w:u w:val="none"/>
              </w:rPr>
            </w:pP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adjustRightInd/>
              <w:snapToGrid w:val="0"/>
              <w:spacing w:line="360" w:lineRule="auto"/>
              <w:jc w:val="center"/>
              <w:rPr>
                <w:rFonts w:hint="eastAsia" w:asciiTheme="minorEastAsia" w:hAnsiTheme="minorEastAsia" w:eastAsiaTheme="minorEastAsia" w:cstheme="minorEastAsia"/>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P4全彩显示屏</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宽3.84m*高2.24m</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像数点间距≤4mm 像素，密度≤ 62500Dots/㎡；</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像素构成 1R1G1B 灯管封装 SMD2525；</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尺寸(长*宽*厚) 320*160*18mm 重量 0.52kg±0.01kg；</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结构特点 灯驱合一 模组分辨率 80*40=3200Dots；</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输入电压(直流) 4.5±0.1V 最大电流 ≤10.34A；</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模组功率 ≤47W 驱动方式 1/10恒流驱动；</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40A电源带模组数 2-3张 50A电源带模组数 3-4张；</w:t>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40A PFC电源带模组数 3-4张 80A电源带模组数 5-6张；</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8.6016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一体式防雨箱体</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定做，冷压钢板喷塑，后侧检修对开门，百叶窗通风散热；</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8.6016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视频处理器</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不低于总点数65万，最宽4096，最高3840，4G内存，支持U盘、WiFi、局域网、4G广域网，4G路由；</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立柱</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不低于直径219立柱含上下法兰盘1.5米高；含地笼及混凝土基础；</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功放</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200W功放；</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防雨音柱</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60W，防水音柱；</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操作台</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不低于双联操作台；</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套</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管理电脑</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不低于处理器I5-12400，内存16G固态硬盘512G，显卡3050 6G，300W电源，21.5寸显示器；</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8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9</w:t>
            </w:r>
          </w:p>
        </w:tc>
        <w:tc>
          <w:tcPr>
            <w:tcW w:w="21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辅材</w:t>
            </w:r>
          </w:p>
        </w:tc>
        <w:tc>
          <w:tcPr>
            <w:tcW w:w="5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大屏控制卡、散热风扇、线缆等；</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w:t>
            </w:r>
          </w:p>
        </w:tc>
      </w:tr>
    </w:tbl>
    <w:p>
      <w:pPr>
        <w:pStyle w:val="13"/>
        <w:pageBreakBefore w:val="0"/>
        <w:kinsoku/>
        <w:wordWrap/>
        <w:overflowPunct/>
        <w:topLinePunct w:val="0"/>
        <w:autoSpaceDE/>
        <w:autoSpaceDN/>
        <w:bidi w:val="0"/>
        <w:adjustRightInd/>
        <w:snapToGrid w:val="0"/>
        <w:spacing w:line="360" w:lineRule="auto"/>
        <w:ind w:firstLine="360"/>
        <w:rPr>
          <w:rFonts w:hint="eastAsia" w:asciiTheme="minorEastAsia" w:hAnsiTheme="minorEastAsia" w:eastAsiaTheme="minorEastAsia" w:cstheme="minorEastAsia"/>
          <w:highlight w:val="none"/>
        </w:rPr>
      </w:pPr>
    </w:p>
    <w:p>
      <w:pPr>
        <w:pStyle w:val="16"/>
        <w:keepNext w:val="0"/>
        <w:keepLines w:val="0"/>
        <w:pageBreakBefore w:val="0"/>
        <w:kinsoku/>
        <w:wordWrap/>
        <w:overflowPunct/>
        <w:topLinePunct w:val="0"/>
        <w:autoSpaceDE/>
        <w:autoSpaceDN/>
        <w:bidi w:val="0"/>
        <w:adjustRightInd/>
        <w:snapToGrid w:val="0"/>
        <w:spacing w:after="0" w:line="360" w:lineRule="auto"/>
        <w:ind w:left="0" w:leftChars="0" w:firstLine="0" w:firstLineChars="0"/>
        <w:outlineLvl w:val="1"/>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（三）</w:t>
      </w:r>
      <w:r>
        <w:rPr>
          <w:rFonts w:hint="eastAsia" w:asciiTheme="minorEastAsia" w:hAnsiTheme="minorEastAsia" w:eastAsiaTheme="minorEastAsia" w:cstheme="minorEastAsia"/>
          <w:b/>
          <w:bCs/>
          <w:color w:val="000000"/>
          <w:sz w:val="24"/>
          <w:szCs w:val="24"/>
          <w:highlight w:val="none"/>
        </w:rPr>
        <w:t>系统技术要求</w:t>
      </w:r>
    </w:p>
    <w:bookmarkEnd w:id="8"/>
    <w:bookmarkEnd w:id="9"/>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1综合集成决策指挥系统</w:t>
      </w:r>
      <w:r>
        <w:rPr>
          <w:rFonts w:hint="eastAsia" w:asciiTheme="minorEastAsia" w:hAnsiTheme="minorEastAsia" w:eastAsiaTheme="minorEastAsia" w:cstheme="minorEastAsia"/>
          <w:color w:val="auto"/>
          <w:sz w:val="24"/>
          <w:szCs w:val="24"/>
          <w:highlight w:val="none"/>
          <w:lang w:val="en-US" w:eastAsia="zh-CN"/>
        </w:rPr>
        <w:t>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1、1系统概述</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数字农业综合集成决策指挥系统</w:t>
      </w:r>
      <w:r>
        <w:rPr>
          <w:rFonts w:hint="eastAsia" w:asciiTheme="minorEastAsia" w:hAnsiTheme="minorEastAsia" w:eastAsiaTheme="minorEastAsia" w:cstheme="minorEastAsia"/>
          <w:sz w:val="24"/>
          <w:szCs w:val="24"/>
          <w:highlight w:val="none"/>
          <w:lang w:val="zh-CN"/>
        </w:rPr>
        <w:t>（以下简称“</w:t>
      </w:r>
      <w:r>
        <w:rPr>
          <w:rFonts w:hint="eastAsia" w:asciiTheme="minorEastAsia" w:hAnsiTheme="minorEastAsia" w:eastAsiaTheme="minorEastAsia" w:cstheme="minorEastAsia"/>
          <w:sz w:val="24"/>
          <w:szCs w:val="24"/>
          <w:highlight w:val="none"/>
        </w:rPr>
        <w:t>决策</w:t>
      </w:r>
      <w:r>
        <w:rPr>
          <w:rFonts w:hint="eastAsia" w:asciiTheme="minorEastAsia" w:hAnsiTheme="minorEastAsia" w:eastAsiaTheme="minorEastAsia" w:cstheme="minorEastAsia"/>
          <w:bCs/>
          <w:sz w:val="24"/>
          <w:szCs w:val="24"/>
          <w:highlight w:val="none"/>
        </w:rPr>
        <w:t>系统”</w:t>
      </w:r>
      <w:r>
        <w:rPr>
          <w:rFonts w:hint="eastAsia" w:asciiTheme="minorEastAsia" w:hAnsiTheme="minorEastAsia" w:eastAsiaTheme="minorEastAsia" w:cstheme="minorEastAsia"/>
          <w:b/>
          <w:bCs/>
          <w:sz w:val="24"/>
          <w:szCs w:val="24"/>
          <w:highlight w:val="none"/>
          <w:lang w:val="zh-CN"/>
        </w:rPr>
        <w:t>）</w:t>
      </w:r>
      <w:r>
        <w:rPr>
          <w:rFonts w:hint="eastAsia" w:asciiTheme="minorEastAsia" w:hAnsiTheme="minorEastAsia" w:eastAsiaTheme="minorEastAsia" w:cstheme="minorEastAsia"/>
          <w:sz w:val="24"/>
          <w:szCs w:val="24"/>
          <w:highlight w:val="none"/>
        </w:rPr>
        <w:t>主要是基于</w:t>
      </w:r>
      <w:r>
        <w:rPr>
          <w:rFonts w:hint="eastAsia" w:asciiTheme="minorEastAsia" w:hAnsiTheme="minorEastAsia" w:eastAsiaTheme="minorEastAsia" w:cstheme="minorEastAsia"/>
          <w:sz w:val="24"/>
          <w:szCs w:val="24"/>
          <w:highlight w:val="none"/>
          <w:lang w:val="en-US" w:eastAsia="zh-CN"/>
        </w:rPr>
        <w:t>联动大棚</w:t>
      </w:r>
      <w:r>
        <w:rPr>
          <w:rFonts w:hint="eastAsia" w:asciiTheme="minorEastAsia" w:hAnsiTheme="minorEastAsia" w:eastAsiaTheme="minorEastAsia" w:cstheme="minorEastAsia"/>
          <w:sz w:val="24"/>
          <w:szCs w:val="24"/>
          <w:highlight w:val="none"/>
        </w:rPr>
        <w:t>生产等环节的数据，集合</w:t>
      </w:r>
      <w:r>
        <w:rPr>
          <w:rFonts w:hint="eastAsia" w:asciiTheme="minorEastAsia" w:hAnsiTheme="minorEastAsia" w:eastAsiaTheme="minorEastAsia" w:cstheme="minorEastAsia"/>
          <w:bCs/>
          <w:i w:val="0"/>
          <w:color w:val="auto"/>
          <w:sz w:val="24"/>
          <w:szCs w:val="24"/>
          <w:highlight w:val="none"/>
          <w:u w:val="none"/>
          <w:lang w:eastAsia="zh-CN"/>
        </w:rPr>
        <w:t>农业</w:t>
      </w:r>
      <w:r>
        <w:rPr>
          <w:rFonts w:hint="eastAsia" w:asciiTheme="minorEastAsia" w:hAnsiTheme="minorEastAsia" w:eastAsiaTheme="minorEastAsia" w:cstheme="minorEastAsia"/>
          <w:sz w:val="24"/>
          <w:szCs w:val="24"/>
          <w:highlight w:val="none"/>
        </w:rPr>
        <w:t>3D</w:t>
      </w:r>
      <w:r>
        <w:rPr>
          <w:rFonts w:hint="eastAsia" w:asciiTheme="minorEastAsia" w:hAnsiTheme="minorEastAsia" w:eastAsiaTheme="minorEastAsia" w:cstheme="minorEastAsia"/>
          <w:sz w:val="24"/>
          <w:szCs w:val="24"/>
          <w:highlight w:val="none"/>
          <w:lang w:val="en-US" w:eastAsia="zh-CN"/>
        </w:rPr>
        <w:t>模型</w:t>
      </w:r>
      <w:r>
        <w:rPr>
          <w:rFonts w:hint="eastAsia" w:asciiTheme="minorEastAsia" w:hAnsiTheme="minorEastAsia" w:eastAsiaTheme="minorEastAsia" w:cstheme="minorEastAsia"/>
          <w:sz w:val="24"/>
          <w:szCs w:val="24"/>
          <w:highlight w:val="none"/>
        </w:rPr>
        <w:t>、农业“一张图”、实现农业智慧化综合分析决策服务。</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决策系统通过基于</w:t>
      </w:r>
      <w:r>
        <w:rPr>
          <w:rFonts w:hint="eastAsia" w:asciiTheme="minorEastAsia" w:hAnsiTheme="minorEastAsia" w:eastAsiaTheme="minorEastAsia" w:cstheme="minorEastAsia"/>
          <w:sz w:val="24"/>
          <w:szCs w:val="24"/>
          <w:highlight w:val="none"/>
          <w:lang w:val="en-US" w:eastAsia="zh-CN"/>
        </w:rPr>
        <w:t>3D模型</w:t>
      </w:r>
      <w:r>
        <w:rPr>
          <w:rFonts w:hint="eastAsia" w:asciiTheme="minorEastAsia" w:hAnsiTheme="minorEastAsia" w:eastAsiaTheme="minorEastAsia" w:cstheme="minorEastAsia"/>
          <w:sz w:val="24"/>
          <w:szCs w:val="24"/>
          <w:highlight w:val="none"/>
        </w:rPr>
        <w:t>、视频</w:t>
      </w:r>
      <w:r>
        <w:rPr>
          <w:rFonts w:hint="eastAsia" w:asciiTheme="minorEastAsia" w:hAnsiTheme="minorEastAsia" w:eastAsiaTheme="minorEastAsia" w:cstheme="minorEastAsia"/>
          <w:sz w:val="24"/>
          <w:szCs w:val="24"/>
          <w:highlight w:val="none"/>
          <w:lang w:val="en-US" w:eastAsia="zh-CN"/>
        </w:rPr>
        <w:t>监控</w:t>
      </w:r>
      <w:r>
        <w:rPr>
          <w:rFonts w:hint="eastAsia" w:asciiTheme="minorEastAsia" w:hAnsiTheme="minorEastAsia" w:eastAsiaTheme="minorEastAsia" w:cstheme="minorEastAsia"/>
          <w:sz w:val="24"/>
          <w:szCs w:val="24"/>
          <w:highlight w:val="none"/>
        </w:rPr>
        <w:t>、地理位置信息、环境信息、农作物信息、等实时数据的动态更新形成可供决策使用的内容。建设农业“一张图”，为区域农业综合决策，提供辅助管理、可视化、监督的手段。农业</w:t>
      </w:r>
      <w:r>
        <w:rPr>
          <w:rFonts w:hint="eastAsia" w:asciiTheme="minorEastAsia" w:hAnsiTheme="minorEastAsia" w:eastAsiaTheme="minorEastAsia" w:cstheme="minorEastAsia"/>
          <w:sz w:val="24"/>
          <w:szCs w:val="24"/>
          <w:highlight w:val="none"/>
          <w:lang w:val="en-US" w:eastAsia="zh-CN"/>
        </w:rPr>
        <w:t>决策系统</w:t>
      </w:r>
      <w:r>
        <w:rPr>
          <w:rFonts w:hint="eastAsia" w:asciiTheme="minorEastAsia" w:hAnsiTheme="minorEastAsia" w:eastAsiaTheme="minorEastAsia" w:cstheme="minorEastAsia"/>
          <w:sz w:val="24"/>
          <w:szCs w:val="24"/>
          <w:highlight w:val="none"/>
        </w:rPr>
        <w:t>针对农业生产管理过程，应用规范化管理方法，通过数字化手段，将农业管理过程转化为数字化算法，实现农事作业节点、方案、内容的智能决策。</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highlight w:val="none"/>
        </w:rPr>
        <w:t>决策系统改变传统农业生产决策依赖点上信息的弊端，将点上的信息串联为面，从而形成更为科学的农业生产决策，是现代智慧农业发展的必然要求</w:t>
      </w:r>
      <w:r>
        <w:rPr>
          <w:rFonts w:hint="eastAsia" w:asciiTheme="minorEastAsia" w:hAnsiTheme="minorEastAsia" w:eastAsiaTheme="minorEastAsia" w:cstheme="minorEastAsia"/>
          <w:color w:val="auto"/>
          <w:sz w:val="24"/>
          <w:szCs w:val="24"/>
          <w:highlight w:val="none"/>
          <w:lang w:eastAsia="zh-CN"/>
        </w:rPr>
        <w:t>。</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、环境气象监测系统</w:t>
      </w:r>
      <w:r>
        <w:rPr>
          <w:rFonts w:hint="eastAsia" w:asciiTheme="minorEastAsia" w:hAnsiTheme="minorEastAsia" w:eastAsiaTheme="minorEastAsia" w:cstheme="minorEastAsia"/>
          <w:color w:val="auto"/>
          <w:sz w:val="24"/>
          <w:szCs w:val="24"/>
          <w:highlight w:val="none"/>
          <w:lang w:eastAsia="zh-CN"/>
        </w:rPr>
        <w:t>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.1、系统概述</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color w:val="auto"/>
          <w:sz w:val="24"/>
          <w:szCs w:val="24"/>
          <w:highlight w:val="none"/>
          <w:lang w:val="zh-CN"/>
        </w:rPr>
      </w:pPr>
      <w:r>
        <w:rPr>
          <w:rFonts w:hint="eastAsia" w:asciiTheme="minorEastAsia" w:hAnsiTheme="minorEastAsia" w:eastAsiaTheme="minorEastAsia" w:cstheme="minorEastAsia"/>
          <w:b w:val="0"/>
          <w:color w:val="auto"/>
          <w:sz w:val="24"/>
          <w:szCs w:val="24"/>
          <w:highlight w:val="none"/>
          <w:lang w:val="zh-CN"/>
        </w:rPr>
        <w:t>环境气象监测系</w:t>
      </w:r>
      <w:r>
        <w:rPr>
          <w:rFonts w:hint="eastAsia" w:asciiTheme="minorEastAsia" w:hAnsiTheme="minorEastAsia" w:eastAsiaTheme="minorEastAsia" w:cstheme="minorEastAsia"/>
          <w:b w:val="0"/>
          <w:bCs/>
          <w:color w:val="auto"/>
          <w:sz w:val="24"/>
          <w:szCs w:val="24"/>
          <w:highlight w:val="none"/>
          <w:lang w:val="zh-CN"/>
        </w:rPr>
        <w:t>统（以下简称“气象</w:t>
      </w:r>
      <w:r>
        <w:rPr>
          <w:rFonts w:hint="eastAsia" w:asciiTheme="minorEastAsia" w:hAnsiTheme="minorEastAsia" w:eastAsiaTheme="minorEastAsia" w:cstheme="minorEastAsia"/>
          <w:b w:val="0"/>
          <w:bCs/>
          <w:color w:val="auto"/>
          <w:sz w:val="24"/>
          <w:szCs w:val="24"/>
          <w:highlight w:val="none"/>
          <w:lang w:val="en-US" w:eastAsia="zh-CN"/>
        </w:rPr>
        <w:t>系统”</w:t>
      </w:r>
      <w:r>
        <w:rPr>
          <w:rFonts w:hint="eastAsia" w:asciiTheme="minorEastAsia" w:hAnsiTheme="minorEastAsia" w:eastAsiaTheme="minorEastAsia" w:cstheme="minorEastAsia"/>
          <w:b w:val="0"/>
          <w:bCs/>
          <w:color w:val="auto"/>
          <w:sz w:val="24"/>
          <w:szCs w:val="24"/>
          <w:highlight w:val="none"/>
          <w:lang w:val="zh-CN"/>
        </w:rPr>
        <w:t>）实现对大棚农业综合环境气象信息的自动采集、监控和智能化管理。气象系统为农作</w:t>
      </w:r>
      <w:r>
        <w:rPr>
          <w:rFonts w:hint="eastAsia" w:asciiTheme="minorEastAsia" w:hAnsiTheme="minorEastAsia" w:eastAsiaTheme="minorEastAsia" w:cstheme="minorEastAsia"/>
          <w:b w:val="0"/>
          <w:color w:val="auto"/>
          <w:sz w:val="24"/>
          <w:szCs w:val="24"/>
          <w:highlight w:val="none"/>
          <w:lang w:val="zh-CN"/>
        </w:rPr>
        <w:t>物种植区域的环境气象提供实时的数据信息，以及全面的气象预报、灾害预警服务。气象系统可以为农作物种植管理、农艺方案制定、农业作业计划、农作物生长调控、病虫情防治、灌溉管理等农业环节，提供所需要的环境气象信息，实现环境气象服务的智能化解决方案。</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color w:val="auto"/>
          <w:sz w:val="24"/>
          <w:szCs w:val="24"/>
          <w:highlight w:val="none"/>
          <w:lang w:eastAsia="zh-CN"/>
        </w:rPr>
        <w:t>气象</w:t>
      </w:r>
      <w:r>
        <w:rPr>
          <w:rFonts w:hint="eastAsia" w:asciiTheme="minorEastAsia" w:hAnsiTheme="minorEastAsia" w:eastAsiaTheme="minorEastAsia" w:cstheme="minorEastAsia"/>
          <w:b w:val="0"/>
          <w:color w:val="auto"/>
          <w:sz w:val="24"/>
          <w:szCs w:val="24"/>
          <w:highlight w:val="none"/>
        </w:rPr>
        <w:t>系统充分发挥气象信息在农业生产中的基础性作</w:t>
      </w:r>
      <w:r>
        <w:rPr>
          <w:rFonts w:hint="eastAsia" w:asciiTheme="minorEastAsia" w:hAnsiTheme="minorEastAsia" w:eastAsiaTheme="minorEastAsia" w:cstheme="minorEastAsia"/>
          <w:b w:val="0"/>
          <w:bCs/>
          <w:color w:val="auto"/>
          <w:sz w:val="24"/>
          <w:szCs w:val="24"/>
          <w:highlight w:val="none"/>
        </w:rPr>
        <w:t>用</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zh-CN"/>
        </w:rPr>
        <w:t>能实现对农作物生长区域从局域小气候到广域大片区的综合环境气象管理。</w:t>
      </w:r>
      <w:r>
        <w:rPr>
          <w:rFonts w:hint="eastAsia" w:asciiTheme="minorEastAsia" w:hAnsiTheme="minorEastAsia" w:eastAsiaTheme="minorEastAsia" w:cstheme="minorEastAsia"/>
          <w:b w:val="0"/>
          <w:bCs/>
          <w:color w:val="auto"/>
          <w:sz w:val="24"/>
          <w:szCs w:val="24"/>
          <w:highlight w:val="none"/>
          <w:lang w:val="en-US" w:eastAsia="zh-CN"/>
        </w:rPr>
        <w:t>气象系统</w:t>
      </w:r>
      <w:r>
        <w:rPr>
          <w:rFonts w:hint="eastAsia" w:asciiTheme="minorEastAsia" w:hAnsiTheme="minorEastAsia" w:eastAsiaTheme="minorEastAsia" w:cstheme="minorEastAsia"/>
          <w:b w:val="0"/>
          <w:bCs/>
          <w:color w:val="auto"/>
          <w:sz w:val="24"/>
          <w:szCs w:val="24"/>
          <w:highlight w:val="none"/>
          <w:lang w:val="zh-CN"/>
        </w:rPr>
        <w:t>对与农作物生长密切相关的空气温度、湿度、光照、降雨量、大气压、蒸发量等农业环境气象因子，通过精密传感器实现不间断数据监测，应用物联网技术实现远程化管理，基于智能化平台实现实施管理、智能决策、精准测报。</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气象系统有助于提高农作物种植精细化和定量化的管理能力，可以为适应气候变化、服务农业生产安全提供科学合理的数据支撑，是支撑智慧农业大系统运作的不可或缺的数据信息组成部分。</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苗情灾情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视频监控）</w:t>
      </w:r>
      <w:r>
        <w:rPr>
          <w:rFonts w:hint="eastAsia" w:asciiTheme="minorEastAsia" w:hAnsiTheme="minorEastAsia" w:eastAsiaTheme="minorEastAsia" w:cstheme="minorEastAsia"/>
          <w:color w:val="auto"/>
          <w:sz w:val="24"/>
          <w:szCs w:val="24"/>
          <w:highlight w:val="none"/>
        </w:rPr>
        <w:t>监测系统</w:t>
      </w:r>
      <w:r>
        <w:rPr>
          <w:rFonts w:hint="eastAsia" w:asciiTheme="minorEastAsia" w:hAnsiTheme="minorEastAsia" w:eastAsiaTheme="minorEastAsia" w:cstheme="minorEastAsia"/>
          <w:color w:val="auto"/>
          <w:sz w:val="24"/>
          <w:szCs w:val="24"/>
          <w:highlight w:val="none"/>
          <w:lang w:eastAsia="zh-CN"/>
        </w:rPr>
        <w:t>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.1、系统概述</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苗情灾情监测系统</w:t>
      </w:r>
      <w:r>
        <w:rPr>
          <w:rFonts w:hint="eastAsia" w:asciiTheme="minorEastAsia" w:hAnsiTheme="minorEastAsia" w:eastAsiaTheme="minorEastAsia" w:cstheme="minorEastAsia"/>
          <w:b w:val="0"/>
          <w:bCs w:val="0"/>
          <w:color w:val="auto"/>
          <w:sz w:val="24"/>
          <w:szCs w:val="24"/>
          <w:highlight w:val="none"/>
          <w:lang w:val="zh-CN"/>
        </w:rPr>
        <w:t>（以下简称“</w:t>
      </w:r>
      <w:r>
        <w:rPr>
          <w:rFonts w:hint="eastAsia" w:asciiTheme="minorEastAsia" w:hAnsiTheme="minorEastAsia" w:eastAsiaTheme="minorEastAsia" w:cstheme="minorEastAsia"/>
          <w:b w:val="0"/>
          <w:bCs/>
          <w:color w:val="auto"/>
          <w:sz w:val="24"/>
          <w:szCs w:val="24"/>
          <w:highlight w:val="none"/>
          <w:lang w:val="en-US" w:eastAsia="zh-CN"/>
        </w:rPr>
        <w:t>苗情系统”</w:t>
      </w:r>
      <w:r>
        <w:rPr>
          <w:rFonts w:hint="eastAsia" w:asciiTheme="minorEastAsia" w:hAnsiTheme="minorEastAsia" w:eastAsiaTheme="minorEastAsia" w:cstheme="minorEastAsia"/>
          <w:b/>
          <w:bCs/>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eastAsia="zh-CN"/>
        </w:rPr>
        <w:t>实现由自动监测系统对农作物的生长发育状态、病虫情情况以及灾情进行实时视频监控（</w:t>
      </w:r>
      <w:r>
        <w:rPr>
          <w:rFonts w:hint="eastAsia" w:asciiTheme="minorEastAsia" w:hAnsiTheme="minorEastAsia" w:eastAsiaTheme="minorEastAsia" w:cstheme="minorEastAsia"/>
          <w:color w:val="auto"/>
          <w:sz w:val="24"/>
          <w:szCs w:val="24"/>
          <w:highlight w:val="none"/>
        </w:rPr>
        <w:t>包括日</w:t>
      </w:r>
      <w:r>
        <w:rPr>
          <w:rFonts w:hint="eastAsia" w:asciiTheme="minorEastAsia" w:hAnsiTheme="minorEastAsia" w:eastAsiaTheme="minorEastAsia" w:cstheme="minorEastAsia"/>
          <w:color w:val="auto"/>
          <w:sz w:val="24"/>
          <w:szCs w:val="24"/>
          <w:highlight w:val="none"/>
          <w:lang w:eastAsia="zh-CN"/>
        </w:rPr>
        <w:t>间图像</w:t>
      </w:r>
      <w:r>
        <w:rPr>
          <w:rFonts w:hint="eastAsia" w:asciiTheme="minorEastAsia" w:hAnsiTheme="minorEastAsia" w:eastAsiaTheme="minorEastAsia" w:cstheme="minorEastAsia"/>
          <w:color w:val="auto"/>
          <w:sz w:val="24"/>
          <w:szCs w:val="24"/>
          <w:highlight w:val="none"/>
        </w:rPr>
        <w:t>和夜间的红外图</w:t>
      </w:r>
      <w:r>
        <w:rPr>
          <w:rFonts w:hint="eastAsia" w:asciiTheme="minorEastAsia" w:hAnsiTheme="minorEastAsia" w:eastAsiaTheme="minorEastAsia" w:cstheme="minorEastAsia"/>
          <w:color w:val="auto"/>
          <w:sz w:val="24"/>
          <w:szCs w:val="24"/>
          <w:highlight w:val="none"/>
          <w:lang w:eastAsia="zh-CN"/>
        </w:rPr>
        <w:t>像）和智能控制管理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农情信息在国家粮食安全保障、农业供给侧改革、农业资源开发和保护、农产品市场拓展、农业防灾减灾、农业可待续发展等方面都发挥着积极的科技支撑作用，开展农情监测意义重大。苗情是农情之首，是墒情、病情、虫情、灾情监测的综合反应，是科学管理的重要依据。苗情</w:t>
      </w:r>
      <w:r>
        <w:rPr>
          <w:rFonts w:hint="eastAsia" w:asciiTheme="minorEastAsia" w:hAnsiTheme="minorEastAsia" w:eastAsiaTheme="minorEastAsia" w:cstheme="minorEastAsia"/>
          <w:color w:val="auto"/>
          <w:sz w:val="24"/>
          <w:szCs w:val="24"/>
          <w:highlight w:val="none"/>
          <w:lang w:val="en-US" w:eastAsia="zh-CN"/>
        </w:rPr>
        <w:t>灾情</w:t>
      </w:r>
      <w:r>
        <w:rPr>
          <w:rFonts w:hint="eastAsia" w:asciiTheme="minorEastAsia" w:hAnsiTheme="minorEastAsia" w:eastAsiaTheme="minorEastAsia" w:cstheme="minorEastAsia"/>
          <w:color w:val="auto"/>
          <w:sz w:val="24"/>
          <w:szCs w:val="24"/>
          <w:highlight w:val="none"/>
          <w:lang w:eastAsia="zh-CN"/>
        </w:rPr>
        <w:t>系统能够结合</w:t>
      </w:r>
      <w:r>
        <w:rPr>
          <w:rFonts w:hint="eastAsia" w:asciiTheme="minorEastAsia" w:hAnsiTheme="minorEastAsia" w:eastAsiaTheme="minorEastAsia" w:cstheme="minorEastAsia"/>
          <w:color w:val="auto"/>
          <w:sz w:val="24"/>
          <w:szCs w:val="24"/>
          <w:highlight w:val="none"/>
          <w:lang w:val="en-US" w:eastAsia="zh-CN"/>
        </w:rPr>
        <w:t>视频监控等系统</w:t>
      </w:r>
      <w:r>
        <w:rPr>
          <w:rFonts w:hint="eastAsia" w:asciiTheme="minorEastAsia" w:hAnsiTheme="minorEastAsia" w:eastAsiaTheme="minorEastAsia" w:cstheme="minorEastAsia"/>
          <w:color w:val="auto"/>
          <w:sz w:val="24"/>
          <w:szCs w:val="24"/>
          <w:highlight w:val="none"/>
          <w:lang w:eastAsia="zh-CN"/>
        </w:rPr>
        <w:t>，可对</w:t>
      </w:r>
      <w:r>
        <w:rPr>
          <w:rFonts w:hint="eastAsia" w:asciiTheme="minorEastAsia" w:hAnsiTheme="minorEastAsia" w:eastAsiaTheme="minorEastAsia" w:cstheme="minorEastAsia"/>
          <w:color w:val="auto"/>
          <w:sz w:val="24"/>
          <w:szCs w:val="24"/>
          <w:highlight w:val="none"/>
          <w:lang w:val="en-US" w:eastAsia="zh-CN"/>
        </w:rPr>
        <w:t>大棚内</w:t>
      </w:r>
      <w:r>
        <w:rPr>
          <w:rFonts w:hint="eastAsia" w:asciiTheme="minorEastAsia" w:hAnsiTheme="minorEastAsia" w:eastAsiaTheme="minorEastAsia" w:cstheme="minorEastAsia"/>
          <w:color w:val="auto"/>
          <w:sz w:val="24"/>
          <w:szCs w:val="24"/>
          <w:highlight w:val="none"/>
          <w:lang w:eastAsia="zh-CN"/>
        </w:rPr>
        <w:t>苗情、灾情实现信息自动采集、管理和分析等功能，是实现综合化的农情数字化、</w:t>
      </w:r>
      <w:r>
        <w:rPr>
          <w:rFonts w:hint="eastAsia" w:asciiTheme="minorEastAsia" w:hAnsiTheme="minorEastAsia" w:eastAsiaTheme="minorEastAsia" w:cstheme="minorEastAsia"/>
          <w:color w:val="auto"/>
          <w:sz w:val="24"/>
          <w:szCs w:val="24"/>
          <w:highlight w:val="none"/>
          <w:lang w:val="en-US" w:eastAsia="zh-CN"/>
        </w:rPr>
        <w:t>辅助</w:t>
      </w:r>
      <w:r>
        <w:rPr>
          <w:rFonts w:hint="eastAsia" w:asciiTheme="minorEastAsia" w:hAnsiTheme="minorEastAsia" w:eastAsiaTheme="minorEastAsia" w:cstheme="minorEastAsia"/>
          <w:color w:val="auto"/>
          <w:sz w:val="24"/>
          <w:szCs w:val="24"/>
          <w:highlight w:val="none"/>
          <w:lang w:eastAsia="zh-CN"/>
        </w:rPr>
        <w:t>智慧化管理。</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苗情系统利用高清视频监控设备对作物进行实时视频监测，可实现对农作物生长各阶段从局域农作物本体到广域大片区的苗情灾情综合管理。基于物联网系统，在作物关键生长发育阶段，通过定点、定期对</w:t>
      </w:r>
      <w:r>
        <w:rPr>
          <w:rFonts w:hint="eastAsia" w:asciiTheme="minorEastAsia" w:hAnsiTheme="minorEastAsia" w:eastAsiaTheme="minorEastAsia" w:cstheme="minorEastAsia"/>
          <w:color w:val="auto"/>
          <w:sz w:val="24"/>
          <w:szCs w:val="24"/>
          <w:highlight w:val="none"/>
          <w:lang w:val="en-US" w:eastAsia="zh-CN"/>
        </w:rPr>
        <w:t>大棚内</w:t>
      </w:r>
      <w:r>
        <w:rPr>
          <w:rFonts w:hint="eastAsia" w:asciiTheme="minorEastAsia" w:hAnsiTheme="minorEastAsia" w:eastAsiaTheme="minorEastAsia" w:cstheme="minorEastAsia"/>
          <w:color w:val="auto"/>
          <w:sz w:val="24"/>
          <w:szCs w:val="24"/>
          <w:highlight w:val="none"/>
          <w:lang w:eastAsia="zh-CN"/>
        </w:rPr>
        <w:t>的作物进行远程化实时、历史监测；基于智能分析平台实现作物苗情灾情信息的统计分析和灾害预警功能。</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eastAsia="zh-CN"/>
        </w:rPr>
        <w:t>苗情系统使作物生长状况监测达到远程化、可视化、无人化、连续化管理，有利于及时便捷掌控作物苗情灾情动态；可为灌溉、病虫情防治和防灾减灾提供真实的基础数据，有利于合理指导作物在不同生长周期下的</w:t>
      </w:r>
      <w:r>
        <w:rPr>
          <w:rFonts w:hint="eastAsia" w:asciiTheme="minorEastAsia" w:hAnsiTheme="minorEastAsia" w:eastAsiaTheme="minorEastAsia" w:cstheme="minorEastAsia"/>
          <w:color w:val="auto"/>
          <w:sz w:val="24"/>
          <w:szCs w:val="24"/>
          <w:highlight w:val="none"/>
          <w:lang w:val="en-US" w:eastAsia="zh-CN"/>
        </w:rPr>
        <w:t>智慧温控（遮阳、加热、通风）</w:t>
      </w:r>
      <w:r>
        <w:rPr>
          <w:rFonts w:hint="eastAsia" w:asciiTheme="minorEastAsia" w:hAnsiTheme="minorEastAsia" w:eastAsiaTheme="minorEastAsia" w:cstheme="minorEastAsia"/>
          <w:color w:val="auto"/>
          <w:sz w:val="24"/>
          <w:szCs w:val="24"/>
          <w:highlight w:val="none"/>
          <w:lang w:eastAsia="zh-CN"/>
        </w:rPr>
        <w:t>智能灌溉、精准施肥、科学喷药措施，</w:t>
      </w:r>
      <w:r>
        <w:rPr>
          <w:rFonts w:hint="eastAsia" w:asciiTheme="minorEastAsia" w:hAnsiTheme="minorEastAsia" w:eastAsiaTheme="minorEastAsia" w:cstheme="minorEastAsia"/>
          <w:color w:val="auto"/>
          <w:sz w:val="24"/>
          <w:szCs w:val="24"/>
          <w:highlight w:val="none"/>
          <w:lang w:val="zh-CN"/>
        </w:rPr>
        <w:t>是智慧</w:t>
      </w:r>
      <w:r>
        <w:rPr>
          <w:rFonts w:hint="eastAsia" w:asciiTheme="minorEastAsia" w:hAnsiTheme="minorEastAsia" w:eastAsiaTheme="minorEastAsia" w:cstheme="minorEastAsia"/>
          <w:color w:val="auto"/>
          <w:sz w:val="24"/>
          <w:szCs w:val="24"/>
          <w:highlight w:val="none"/>
          <w:lang w:val="en-US" w:eastAsia="zh-CN"/>
        </w:rPr>
        <w:t>大棚</w:t>
      </w:r>
      <w:r>
        <w:rPr>
          <w:rFonts w:hint="eastAsia" w:asciiTheme="minorEastAsia" w:hAnsiTheme="minorEastAsia" w:eastAsiaTheme="minorEastAsia" w:cstheme="minorEastAsia"/>
          <w:color w:val="auto"/>
          <w:sz w:val="24"/>
          <w:szCs w:val="24"/>
          <w:highlight w:val="none"/>
          <w:lang w:val="zh-CN"/>
        </w:rPr>
        <w:t>管理非常关键的数据信息组成部分。</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土壤墒情监测</w:t>
      </w:r>
      <w:r>
        <w:rPr>
          <w:rFonts w:hint="eastAsia" w:asciiTheme="minorEastAsia" w:hAnsiTheme="minorEastAsia" w:eastAsiaTheme="minorEastAsia" w:cstheme="minorEastAsia"/>
          <w:color w:val="auto"/>
          <w:sz w:val="24"/>
          <w:szCs w:val="24"/>
          <w:highlight w:val="none"/>
        </w:rPr>
        <w:t>系统</w:t>
      </w:r>
      <w:r>
        <w:rPr>
          <w:rFonts w:hint="eastAsia" w:asciiTheme="minorEastAsia" w:hAnsiTheme="minorEastAsia" w:eastAsiaTheme="minorEastAsia" w:cstheme="minorEastAsia"/>
          <w:color w:val="auto"/>
          <w:sz w:val="24"/>
          <w:szCs w:val="24"/>
          <w:highlight w:val="none"/>
          <w:lang w:eastAsia="zh-CN"/>
        </w:rPr>
        <w:t>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、系统概述</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rPr>
        <w:t>土壤</w:t>
      </w:r>
      <w:r>
        <w:rPr>
          <w:rFonts w:hint="eastAsia" w:asciiTheme="minorEastAsia" w:hAnsiTheme="minorEastAsia" w:eastAsiaTheme="minorEastAsia" w:cstheme="minorEastAsia"/>
          <w:b w:val="0"/>
          <w:bCs/>
          <w:color w:val="auto"/>
          <w:sz w:val="24"/>
          <w:szCs w:val="24"/>
          <w:highlight w:val="none"/>
          <w:lang w:eastAsia="zh-CN"/>
        </w:rPr>
        <w:t>墒情</w:t>
      </w:r>
      <w:r>
        <w:rPr>
          <w:rFonts w:hint="eastAsia" w:asciiTheme="minorEastAsia" w:hAnsiTheme="minorEastAsia" w:eastAsiaTheme="minorEastAsia" w:cstheme="minorEastAsia"/>
          <w:b w:val="0"/>
          <w:bCs/>
          <w:color w:val="auto"/>
          <w:sz w:val="24"/>
          <w:szCs w:val="24"/>
          <w:highlight w:val="none"/>
        </w:rPr>
        <w:t>监测系统</w:t>
      </w:r>
      <w:r>
        <w:rPr>
          <w:rFonts w:hint="eastAsia" w:asciiTheme="minorEastAsia" w:hAnsiTheme="minorEastAsia" w:eastAsiaTheme="minorEastAsia" w:cstheme="minorEastAsia"/>
          <w:b w:val="0"/>
          <w:bCs w:val="0"/>
          <w:color w:val="auto"/>
          <w:sz w:val="24"/>
          <w:szCs w:val="24"/>
          <w:highlight w:val="none"/>
          <w:lang w:val="zh-CN"/>
        </w:rPr>
        <w:t>（以下简称“</w:t>
      </w:r>
      <w:r>
        <w:rPr>
          <w:rFonts w:hint="eastAsia" w:asciiTheme="minorEastAsia" w:hAnsiTheme="minorEastAsia" w:eastAsiaTheme="minorEastAsia" w:cstheme="minorEastAsia"/>
          <w:b w:val="0"/>
          <w:bCs w:val="0"/>
          <w:color w:val="auto"/>
          <w:sz w:val="24"/>
          <w:szCs w:val="24"/>
          <w:highlight w:val="none"/>
          <w:lang w:val="en-US" w:eastAsia="zh-CN"/>
        </w:rPr>
        <w:t>墒情</w:t>
      </w:r>
      <w:r>
        <w:rPr>
          <w:rFonts w:hint="eastAsia" w:asciiTheme="minorEastAsia" w:hAnsiTheme="minorEastAsia" w:eastAsiaTheme="minorEastAsia" w:cstheme="minorEastAsia"/>
          <w:b w:val="0"/>
          <w:bCs/>
          <w:color w:val="auto"/>
          <w:sz w:val="24"/>
          <w:szCs w:val="24"/>
          <w:highlight w:val="none"/>
          <w:lang w:val="en-US" w:eastAsia="zh-CN"/>
        </w:rPr>
        <w:t>系统”</w:t>
      </w:r>
      <w:r>
        <w:rPr>
          <w:rFonts w:hint="eastAsia" w:asciiTheme="minorEastAsia" w:hAnsiTheme="minorEastAsia" w:eastAsiaTheme="minorEastAsia" w:cstheme="minorEastAsia"/>
          <w:b/>
          <w:bCs/>
          <w:color w:val="auto"/>
          <w:sz w:val="24"/>
          <w:szCs w:val="24"/>
          <w:highlight w:val="none"/>
          <w:lang w:val="zh-CN"/>
        </w:rPr>
        <w:t>）</w:t>
      </w:r>
      <w:r>
        <w:rPr>
          <w:rFonts w:hint="eastAsia" w:asciiTheme="minorEastAsia" w:hAnsiTheme="minorEastAsia" w:eastAsiaTheme="minorEastAsia" w:cstheme="minorEastAsia"/>
          <w:b w:val="0"/>
          <w:bCs/>
          <w:color w:val="auto"/>
          <w:sz w:val="24"/>
          <w:szCs w:val="24"/>
          <w:highlight w:val="none"/>
          <w:lang w:eastAsia="zh-CN"/>
        </w:rPr>
        <w:t>可实现</w:t>
      </w:r>
      <w:r>
        <w:rPr>
          <w:rFonts w:hint="eastAsia" w:asciiTheme="minorEastAsia" w:hAnsiTheme="minorEastAsia" w:eastAsiaTheme="minorEastAsia" w:cstheme="minorEastAsia"/>
          <w:b w:val="0"/>
          <w:bCs/>
          <w:color w:val="auto"/>
          <w:sz w:val="24"/>
          <w:szCs w:val="24"/>
          <w:highlight w:val="none"/>
          <w:lang w:val="zh-CN"/>
        </w:rPr>
        <w:t>对大棚农业综合土壤信息的全天候不间断自动监测、远程监控和智能化管理。</w:t>
      </w:r>
      <w:r>
        <w:rPr>
          <w:rFonts w:hint="eastAsia" w:asciiTheme="minorEastAsia" w:hAnsiTheme="minorEastAsia" w:eastAsiaTheme="minorEastAsia" w:cstheme="minorEastAsia"/>
          <w:b w:val="0"/>
          <w:bCs/>
          <w:color w:val="auto"/>
          <w:sz w:val="24"/>
          <w:szCs w:val="24"/>
          <w:highlight w:val="none"/>
          <w:lang w:eastAsia="zh-CN"/>
        </w:rPr>
        <w:t>墒情</w:t>
      </w:r>
      <w:r>
        <w:rPr>
          <w:rFonts w:hint="eastAsia" w:asciiTheme="minorEastAsia" w:hAnsiTheme="minorEastAsia" w:eastAsiaTheme="minorEastAsia" w:cstheme="minorEastAsia"/>
          <w:b w:val="0"/>
          <w:bCs/>
          <w:color w:val="auto"/>
          <w:sz w:val="24"/>
          <w:szCs w:val="24"/>
          <w:highlight w:val="none"/>
        </w:rPr>
        <w:t>系</w:t>
      </w:r>
      <w:r>
        <w:rPr>
          <w:rFonts w:hint="eastAsia" w:asciiTheme="minorEastAsia" w:hAnsiTheme="minorEastAsia" w:eastAsiaTheme="minorEastAsia" w:cstheme="minorEastAsia"/>
          <w:b w:val="0"/>
          <w:bCs/>
          <w:color w:val="auto"/>
          <w:sz w:val="24"/>
          <w:szCs w:val="24"/>
          <w:highlight w:val="none"/>
          <w:lang w:val="zh-CN"/>
        </w:rPr>
        <w:t>统是传统农业“四情”的重要组成部分</w:t>
      </w:r>
      <w:r>
        <w:rPr>
          <w:rFonts w:hint="eastAsia" w:asciiTheme="minorEastAsia" w:hAnsiTheme="minorEastAsia" w:eastAsiaTheme="minorEastAsia" w:cstheme="minorEastAsia"/>
          <w:b w:val="0"/>
          <w:bCs/>
          <w:color w:val="auto"/>
          <w:sz w:val="24"/>
          <w:szCs w:val="24"/>
          <w:highlight w:val="none"/>
          <w:lang w:val="zh-CN" w:eastAsia="zh-CN"/>
        </w:rPr>
        <w:t>，</w:t>
      </w:r>
      <w:r>
        <w:rPr>
          <w:rFonts w:hint="eastAsia" w:asciiTheme="minorEastAsia" w:hAnsiTheme="minorEastAsia" w:eastAsiaTheme="minorEastAsia" w:cstheme="minorEastAsia"/>
          <w:b w:val="0"/>
          <w:bCs/>
          <w:color w:val="auto"/>
          <w:sz w:val="24"/>
          <w:szCs w:val="24"/>
          <w:highlight w:val="none"/>
          <w:lang w:val="zh-CN"/>
        </w:rPr>
        <w:t>可以</w:t>
      </w:r>
      <w:r>
        <w:rPr>
          <w:rFonts w:hint="eastAsia" w:asciiTheme="minorEastAsia" w:hAnsiTheme="minorEastAsia" w:eastAsiaTheme="minorEastAsia" w:cstheme="minorEastAsia"/>
          <w:b w:val="0"/>
          <w:color w:val="auto"/>
          <w:sz w:val="24"/>
          <w:szCs w:val="24"/>
          <w:highlight w:val="none"/>
          <w:lang w:val="zh-CN"/>
        </w:rPr>
        <w:t>为农作物种植管理、水肥灌溉管理等农业环节，提供所需要的土壤状态实时信息和最佳供水管控建议，从而实现土壤墒情服务的可视化、精准化、智能化解决方案</w:t>
      </w:r>
      <w:r>
        <w:rPr>
          <w:rFonts w:hint="eastAsia" w:asciiTheme="minorEastAsia" w:hAnsiTheme="minorEastAsia" w:eastAsiaTheme="minorEastAsia" w:cstheme="minorEastAsia"/>
          <w:b w:val="0"/>
          <w:bCs/>
          <w:color w:val="auto"/>
          <w:sz w:val="24"/>
          <w:szCs w:val="24"/>
          <w:highlight w:val="none"/>
          <w:lang w:val="zh-CN" w:eastAsia="zh-CN"/>
        </w:rPr>
        <w:t>。</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color w:val="auto"/>
          <w:sz w:val="24"/>
          <w:szCs w:val="24"/>
          <w:highlight w:val="none"/>
          <w:lang w:val="zh-CN"/>
        </w:rPr>
        <w:t>墒情</w:t>
      </w:r>
      <w:r>
        <w:rPr>
          <w:rFonts w:hint="eastAsia" w:asciiTheme="minorEastAsia" w:hAnsiTheme="minorEastAsia" w:eastAsiaTheme="minorEastAsia" w:cstheme="minorEastAsia"/>
          <w:b w:val="0"/>
          <w:bCs/>
          <w:color w:val="auto"/>
          <w:sz w:val="24"/>
          <w:szCs w:val="24"/>
          <w:highlight w:val="none"/>
          <w:lang w:val="zh-CN" w:eastAsia="zh-CN"/>
        </w:rPr>
        <w:t>系统充分体现</w:t>
      </w:r>
      <w:r>
        <w:rPr>
          <w:rFonts w:hint="eastAsia" w:asciiTheme="minorEastAsia" w:hAnsiTheme="minorEastAsia" w:eastAsiaTheme="minorEastAsia" w:cstheme="minorEastAsia"/>
          <w:b w:val="0"/>
          <w:bCs/>
          <w:color w:val="auto"/>
          <w:sz w:val="24"/>
          <w:szCs w:val="24"/>
          <w:highlight w:val="none"/>
          <w:lang w:val="zh-CN"/>
        </w:rPr>
        <w:t>土壤墒情信息在农业生产中的基础性作用，实现对农作物生长区域的综合土壤墒情管理。墒情系统对</w:t>
      </w:r>
      <w:r>
        <w:rPr>
          <w:rFonts w:hint="eastAsia" w:asciiTheme="minorEastAsia" w:hAnsiTheme="minorEastAsia" w:eastAsiaTheme="minorEastAsia" w:cstheme="minorEastAsia"/>
          <w:b w:val="0"/>
          <w:bCs/>
          <w:color w:val="auto"/>
          <w:sz w:val="24"/>
          <w:szCs w:val="24"/>
          <w:highlight w:val="none"/>
          <w:lang w:val="zh-CN" w:eastAsia="zh-CN"/>
        </w:rPr>
        <w:t>农作物生长密切相关的</w:t>
      </w:r>
      <w:r>
        <w:rPr>
          <w:rFonts w:hint="eastAsia" w:asciiTheme="minorEastAsia" w:hAnsiTheme="minorEastAsia" w:eastAsiaTheme="minorEastAsia" w:cstheme="minorEastAsia"/>
          <w:b w:val="0"/>
          <w:bCs/>
          <w:color w:val="auto"/>
          <w:sz w:val="24"/>
          <w:szCs w:val="24"/>
          <w:highlight w:val="none"/>
          <w:lang w:val="zh-CN"/>
        </w:rPr>
        <w:t>土壤墒情、水势、土壤温湿度等基础指标，</w:t>
      </w:r>
      <w:r>
        <w:rPr>
          <w:rFonts w:hint="eastAsia" w:asciiTheme="minorEastAsia" w:hAnsiTheme="minorEastAsia" w:eastAsiaTheme="minorEastAsia" w:cstheme="minorEastAsia"/>
          <w:b w:val="0"/>
          <w:bCs/>
          <w:color w:val="auto"/>
          <w:sz w:val="24"/>
          <w:szCs w:val="24"/>
          <w:highlight w:val="none"/>
          <w:lang w:val="zh-CN" w:eastAsia="zh-CN"/>
        </w:rPr>
        <w:t>基于精密先进的传感器实现实时连续的数据监测与采集，基于物联网技术</w:t>
      </w:r>
      <w:r>
        <w:rPr>
          <w:rFonts w:hint="eastAsia" w:asciiTheme="minorEastAsia" w:hAnsiTheme="minorEastAsia" w:eastAsiaTheme="minorEastAsia" w:cstheme="minorEastAsia"/>
          <w:b w:val="0"/>
          <w:bCs/>
          <w:color w:val="auto"/>
          <w:sz w:val="24"/>
          <w:szCs w:val="24"/>
          <w:highlight w:val="none"/>
          <w:lang w:val="zh-CN"/>
        </w:rPr>
        <w:t>实现远程化、无人化的管理，基于智能化平台实现实施精准管理、</w:t>
      </w:r>
      <w:r>
        <w:rPr>
          <w:rFonts w:hint="eastAsia" w:asciiTheme="minorEastAsia" w:hAnsiTheme="minorEastAsia" w:eastAsiaTheme="minorEastAsia" w:cstheme="minorEastAsia"/>
          <w:b w:val="0"/>
          <w:bCs/>
          <w:color w:val="auto"/>
          <w:sz w:val="24"/>
          <w:szCs w:val="24"/>
          <w:highlight w:val="none"/>
          <w:lang w:val="en-US" w:eastAsia="zh-CN"/>
        </w:rPr>
        <w:t>异常报警功能，基于对外接口为水肥自动控制提供科学合理的决策支撑</w:t>
      </w:r>
      <w:r>
        <w:rPr>
          <w:rFonts w:hint="eastAsia" w:asciiTheme="minorEastAsia" w:hAnsiTheme="minorEastAsia" w:eastAsiaTheme="minorEastAsia" w:cstheme="minorEastAsia"/>
          <w:b w:val="0"/>
          <w:bCs/>
          <w:color w:val="auto"/>
          <w:sz w:val="24"/>
          <w:szCs w:val="24"/>
          <w:highlight w:val="none"/>
          <w:lang w:val="zh-CN"/>
        </w:rPr>
        <w:t>。</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eastAsia="zh-CN"/>
        </w:rPr>
        <w:t>墒情</w:t>
      </w:r>
      <w:r>
        <w:rPr>
          <w:rFonts w:hint="eastAsia" w:asciiTheme="minorEastAsia" w:hAnsiTheme="minorEastAsia" w:eastAsiaTheme="minorEastAsia" w:cstheme="minorEastAsia"/>
          <w:b w:val="0"/>
          <w:bCs/>
          <w:color w:val="auto"/>
          <w:sz w:val="24"/>
          <w:szCs w:val="24"/>
          <w:highlight w:val="none"/>
        </w:rPr>
        <w:t>系</w:t>
      </w:r>
      <w:r>
        <w:rPr>
          <w:rFonts w:hint="eastAsia" w:asciiTheme="minorEastAsia" w:hAnsiTheme="minorEastAsia" w:eastAsiaTheme="minorEastAsia" w:cstheme="minorEastAsia"/>
          <w:b w:val="0"/>
          <w:bCs/>
          <w:color w:val="auto"/>
          <w:sz w:val="24"/>
          <w:szCs w:val="24"/>
          <w:highlight w:val="none"/>
          <w:lang w:val="zh-CN"/>
        </w:rPr>
        <w:t>统</w:t>
      </w:r>
      <w:r>
        <w:rPr>
          <w:rFonts w:hint="eastAsia" w:asciiTheme="minorEastAsia" w:hAnsiTheme="minorEastAsia" w:eastAsiaTheme="minorEastAsia" w:cstheme="minorEastAsia"/>
          <w:b w:val="0"/>
          <w:bCs/>
          <w:color w:val="auto"/>
          <w:sz w:val="24"/>
          <w:szCs w:val="24"/>
          <w:highlight w:val="none"/>
          <w:lang w:val="zh-CN" w:eastAsia="zh-CN"/>
        </w:rPr>
        <w:t>有助于提高农作物种植精细化、定量化和智能化的管理能力</w:t>
      </w:r>
      <w:r>
        <w:rPr>
          <w:rFonts w:hint="eastAsia" w:asciiTheme="minorEastAsia" w:hAnsiTheme="minorEastAsia" w:eastAsiaTheme="minorEastAsia" w:cstheme="minorEastAsia"/>
          <w:b w:val="0"/>
          <w:color w:val="auto"/>
          <w:sz w:val="24"/>
          <w:szCs w:val="24"/>
          <w:highlight w:val="none"/>
          <w:lang w:val="zh-CN"/>
        </w:rPr>
        <w:t>，可以为农业生产达到节水节能、提质增收的目标，</w:t>
      </w:r>
      <w:r>
        <w:rPr>
          <w:rFonts w:hint="eastAsia" w:asciiTheme="minorEastAsia" w:hAnsiTheme="minorEastAsia" w:eastAsiaTheme="minorEastAsia" w:cstheme="minorEastAsia"/>
          <w:b w:val="0"/>
          <w:bCs/>
          <w:color w:val="auto"/>
          <w:sz w:val="24"/>
          <w:szCs w:val="24"/>
          <w:highlight w:val="none"/>
          <w:lang w:val="zh-CN" w:eastAsia="zh-CN"/>
        </w:rPr>
        <w:t>可以为农业生产决策过程提供科学合理的数据支撑，是支撑智慧农业大系统运作的必不可少的数据信息组成部分</w:t>
      </w:r>
      <w:r>
        <w:rPr>
          <w:rFonts w:hint="eastAsia" w:asciiTheme="minorEastAsia" w:hAnsiTheme="minorEastAsia" w:eastAsiaTheme="minorEastAsia" w:cstheme="minorEastAsia"/>
          <w:b w:val="0"/>
          <w:color w:val="auto"/>
          <w:sz w:val="24"/>
          <w:szCs w:val="24"/>
          <w:highlight w:val="none"/>
          <w:lang w:val="zh-CN"/>
        </w:rPr>
        <w:t>，同时</w:t>
      </w:r>
      <w:r>
        <w:rPr>
          <w:rFonts w:hint="eastAsia" w:asciiTheme="minorEastAsia" w:hAnsiTheme="minorEastAsia" w:eastAsiaTheme="minorEastAsia" w:cstheme="minorEastAsia"/>
          <w:b w:val="0"/>
          <w:bCs/>
          <w:color w:val="auto"/>
          <w:sz w:val="24"/>
          <w:szCs w:val="24"/>
          <w:highlight w:val="none"/>
          <w:lang w:val="zh-CN" w:eastAsia="zh-CN"/>
        </w:rPr>
        <w:t>对合理开发和利用水资源、调整农业生产布局、促进农业可持续发展具有重要的意义。</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5智能水肥管理系统解决方案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5.1、系统概述</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智能水肥一体化管理系统</w:t>
      </w:r>
      <w:r>
        <w:rPr>
          <w:rFonts w:hint="eastAsia" w:asciiTheme="minorEastAsia" w:hAnsiTheme="minorEastAsia" w:eastAsiaTheme="minorEastAsia" w:cstheme="minorEastAsia"/>
          <w:sz w:val="24"/>
          <w:szCs w:val="24"/>
          <w:highlight w:val="none"/>
          <w:lang w:val="zh-CN"/>
        </w:rPr>
        <w:t>（以下简称“水肥</w:t>
      </w:r>
      <w:r>
        <w:rPr>
          <w:rFonts w:hint="eastAsia" w:asciiTheme="minorEastAsia" w:hAnsiTheme="minorEastAsia" w:eastAsiaTheme="minorEastAsia" w:cstheme="minorEastAsia"/>
          <w:bCs/>
          <w:sz w:val="24"/>
          <w:szCs w:val="24"/>
          <w:highlight w:val="none"/>
        </w:rPr>
        <w:t>系统”</w:t>
      </w:r>
      <w:r>
        <w:rPr>
          <w:rFonts w:hint="eastAsia" w:asciiTheme="minorEastAsia" w:hAnsiTheme="minorEastAsia" w:eastAsiaTheme="minorEastAsia" w:cstheme="minorEastAsia"/>
          <w:b/>
          <w:bCs/>
          <w:sz w:val="24"/>
          <w:szCs w:val="24"/>
          <w:highlight w:val="none"/>
          <w:lang w:val="zh-CN"/>
        </w:rPr>
        <w:t>）</w:t>
      </w:r>
      <w:r>
        <w:rPr>
          <w:rFonts w:hint="eastAsia" w:asciiTheme="minorEastAsia" w:hAnsiTheme="minorEastAsia" w:eastAsiaTheme="minorEastAsia" w:cstheme="minorEastAsia"/>
          <w:sz w:val="24"/>
          <w:szCs w:val="24"/>
          <w:highlight w:val="none"/>
        </w:rPr>
        <w:t>实现</w:t>
      </w:r>
      <w:r>
        <w:rPr>
          <w:rFonts w:hint="eastAsia" w:asciiTheme="minorEastAsia" w:hAnsiTheme="minorEastAsia" w:eastAsiaTheme="minorEastAsia" w:cstheme="minorEastAsia"/>
          <w:sz w:val="24"/>
          <w:szCs w:val="24"/>
          <w:highlight w:val="none"/>
          <w:lang w:eastAsia="zh-CN"/>
        </w:rPr>
        <w:t>大棚</w:t>
      </w:r>
      <w:r>
        <w:rPr>
          <w:rFonts w:hint="eastAsia" w:asciiTheme="minorEastAsia" w:hAnsiTheme="minorEastAsia" w:eastAsiaTheme="minorEastAsia" w:cstheme="minorEastAsia"/>
          <w:sz w:val="24"/>
          <w:szCs w:val="24"/>
          <w:highlight w:val="none"/>
        </w:rPr>
        <w:t>农业水肥的数据采集、运作控制和智能决策管理。为农业生产实现更低的生产成本、更高的产量、更好的品质和更大的经济效益，水肥管理则是关键有效的控制手段。水肥系统为农业物种植各阶段提供实时的水肥数据信息，以及水量、水肥配比策略建议服务。可以为农业灌溉管理环节提供所需要的水肥信息，实现水肥管理服务的智能化解决方案；基于体系化的智能控制设施，水肥系统可以根据农业种植的对象、环境，实现无人化、精准化、动态化的灌溉、施肥，大幅降低人工劳动强度，显著提升灌溉、施肥效率和质量，是节水、节肥的最有效手段。</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sz w:val="24"/>
          <w:szCs w:val="24"/>
          <w:highlight w:val="none"/>
        </w:rPr>
        <w:t>水肥系统围绕水肥施用在农业生产中的关键性需求，能实现对农作物全生长过程的综合水肥管理与调控。水肥系统对与农作物生长密切相关的水量、水肥配比等因素，通过精密先进的传感器实现水肥设备实时状态监控，通过</w:t>
      </w:r>
      <w:r>
        <w:rPr>
          <w:rFonts w:hint="eastAsia" w:asciiTheme="minorEastAsia" w:hAnsiTheme="minorEastAsia" w:eastAsiaTheme="minorEastAsia" w:cstheme="minorEastAsia"/>
          <w:sz w:val="24"/>
          <w:szCs w:val="24"/>
          <w:highlight w:val="none"/>
          <w:lang w:eastAsia="zh-CN"/>
        </w:rPr>
        <w:t>大棚</w:t>
      </w:r>
      <w:r>
        <w:rPr>
          <w:rFonts w:hint="eastAsia" w:asciiTheme="minorEastAsia" w:hAnsiTheme="minorEastAsia" w:eastAsiaTheme="minorEastAsia" w:cstheme="minorEastAsia"/>
          <w:sz w:val="24"/>
          <w:szCs w:val="24"/>
          <w:highlight w:val="none"/>
        </w:rPr>
        <w:t>水肥一体化灌溉设施和水肥供给设备实现农业区内的精细水肥供应管理，通过物联网技术和墒情管理关联平台实现水肥灌溉的远程控制，通过智能化平台实现智能灌溉和异常报警。</w:t>
      </w:r>
    </w:p>
    <w:p>
      <w:pPr>
        <w:pStyle w:val="35"/>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水肥系统有利于提高水肥灌溉远程化、无人化、精准化和定量化的管理能力，可以为适应农作物各阶段不同需需水需肥规律进行定时定量供给，可有效提高水资源和化肥利用率、降低农业生产造成的环境污染、提升农作物产出率和推动农业增效增收。水肥系统不论在设施农业还是</w:t>
      </w:r>
      <w:r>
        <w:rPr>
          <w:rFonts w:hint="eastAsia" w:asciiTheme="minorEastAsia" w:hAnsiTheme="minorEastAsia" w:eastAsiaTheme="minorEastAsia" w:cstheme="minorEastAsia"/>
          <w:sz w:val="24"/>
          <w:szCs w:val="24"/>
          <w:highlight w:val="none"/>
          <w:lang w:eastAsia="zh-CN"/>
        </w:rPr>
        <w:t>大棚</w:t>
      </w:r>
      <w:r>
        <w:rPr>
          <w:rFonts w:hint="eastAsia" w:asciiTheme="minorEastAsia" w:hAnsiTheme="minorEastAsia" w:eastAsiaTheme="minorEastAsia" w:cstheme="minorEastAsia"/>
          <w:sz w:val="24"/>
          <w:szCs w:val="24"/>
          <w:highlight w:val="none"/>
        </w:rPr>
        <w:t>农业，或是林果业，都显示出了显著的应用价值和经济效益，在节水、节肥、节药、节工、改善生态环境、提高土地利用率、增加产量、提高经济效益等方面均有明显成效，是智慧农业中一项重要的技术措施。</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6智能温控管理系统解决方案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6.1、系统概述</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智能温控系统管理系统，温室大棚智能控制系统是一种智能化管理大棚的科学系统，这种系统需要相应的感应设备来保证系统的正常运行，智能控制系统是将信息技术运用到农业的体现，通过系统设定的各种指令，自动化的完成管理工作，无需大量的人工操作，是一种现代化农业发展的必要工具。温控</w:t>
      </w:r>
      <w:r>
        <w:rPr>
          <w:rFonts w:hint="eastAsia" w:asciiTheme="minorEastAsia" w:hAnsiTheme="minorEastAsia" w:eastAsiaTheme="minorEastAsia" w:cstheme="minorEastAsia"/>
          <w:sz w:val="24"/>
          <w:szCs w:val="24"/>
          <w:highlight w:val="none"/>
        </w:rPr>
        <w:t>系统围绕</w:t>
      </w:r>
      <w:r>
        <w:rPr>
          <w:rFonts w:hint="eastAsia" w:asciiTheme="minorEastAsia" w:hAnsiTheme="minorEastAsia" w:eastAsiaTheme="minorEastAsia" w:cstheme="minorEastAsia"/>
          <w:sz w:val="24"/>
          <w:szCs w:val="24"/>
          <w:highlight w:val="none"/>
          <w:lang w:val="en-US" w:eastAsia="zh-CN"/>
        </w:rPr>
        <w:t>大棚温度控制</w:t>
      </w:r>
      <w:r>
        <w:rPr>
          <w:rFonts w:hint="eastAsia" w:asciiTheme="minorEastAsia" w:hAnsiTheme="minorEastAsia" w:eastAsiaTheme="minorEastAsia" w:cstheme="minorEastAsia"/>
          <w:sz w:val="24"/>
          <w:szCs w:val="24"/>
          <w:highlight w:val="none"/>
        </w:rPr>
        <w:t>在</w:t>
      </w:r>
      <w:r>
        <w:rPr>
          <w:rFonts w:hint="eastAsia" w:asciiTheme="minorEastAsia" w:hAnsiTheme="minorEastAsia" w:eastAsiaTheme="minorEastAsia" w:cstheme="minorEastAsia"/>
          <w:sz w:val="24"/>
          <w:szCs w:val="24"/>
          <w:highlight w:val="none"/>
          <w:lang w:val="en-US" w:eastAsia="zh-CN"/>
        </w:rPr>
        <w:t>大棚</w:t>
      </w:r>
      <w:r>
        <w:rPr>
          <w:rFonts w:hint="eastAsia" w:asciiTheme="minorEastAsia" w:hAnsiTheme="minorEastAsia" w:eastAsiaTheme="minorEastAsia" w:cstheme="minorEastAsia"/>
          <w:sz w:val="24"/>
          <w:szCs w:val="24"/>
          <w:highlight w:val="none"/>
        </w:rPr>
        <w:t>生产中的关键性需求，能实现对农作物全生长过程的综合管理与调控。系统对与农作物生长密切相关的</w:t>
      </w:r>
      <w:r>
        <w:rPr>
          <w:rFonts w:hint="eastAsia" w:asciiTheme="minorEastAsia" w:hAnsiTheme="minorEastAsia" w:eastAsiaTheme="minorEastAsia" w:cstheme="minorEastAsia"/>
          <w:sz w:val="24"/>
          <w:szCs w:val="24"/>
          <w:highlight w:val="none"/>
          <w:lang w:val="en-US" w:eastAsia="zh-CN"/>
        </w:rPr>
        <w:t>关照温度二氧化碳</w:t>
      </w:r>
      <w:r>
        <w:rPr>
          <w:rFonts w:hint="eastAsia" w:asciiTheme="minorEastAsia" w:hAnsiTheme="minorEastAsia" w:eastAsiaTheme="minorEastAsia" w:cstheme="minorEastAsia"/>
          <w:sz w:val="24"/>
          <w:szCs w:val="24"/>
          <w:highlight w:val="none"/>
        </w:rPr>
        <w:t>等因素，通过精密先进的传感器实现</w:t>
      </w:r>
      <w:r>
        <w:rPr>
          <w:rFonts w:hint="eastAsia" w:asciiTheme="minorEastAsia" w:hAnsiTheme="minorEastAsia" w:eastAsiaTheme="minorEastAsia" w:cstheme="minorEastAsia"/>
          <w:sz w:val="24"/>
          <w:szCs w:val="24"/>
          <w:highlight w:val="none"/>
          <w:lang w:val="en-US" w:eastAsia="zh-CN"/>
        </w:rPr>
        <w:t>遮阳加温</w:t>
      </w:r>
      <w:r>
        <w:rPr>
          <w:rFonts w:hint="eastAsia" w:asciiTheme="minorEastAsia" w:hAnsiTheme="minorEastAsia" w:eastAsiaTheme="minorEastAsia" w:cstheme="minorEastAsia"/>
          <w:sz w:val="24"/>
          <w:szCs w:val="24"/>
          <w:highlight w:val="none"/>
        </w:rPr>
        <w:t>设备实时状态监控，通过</w:t>
      </w:r>
      <w:r>
        <w:rPr>
          <w:rFonts w:hint="eastAsia" w:asciiTheme="minorEastAsia" w:hAnsiTheme="minorEastAsia" w:eastAsiaTheme="minorEastAsia" w:cstheme="minorEastAsia"/>
          <w:sz w:val="24"/>
          <w:szCs w:val="24"/>
          <w:highlight w:val="none"/>
          <w:lang w:val="en-US" w:eastAsia="zh-CN"/>
        </w:rPr>
        <w:t>遮阳帘，风机和加热</w:t>
      </w:r>
      <w:r>
        <w:rPr>
          <w:rFonts w:hint="eastAsia" w:asciiTheme="minorEastAsia" w:hAnsiTheme="minorEastAsia" w:eastAsiaTheme="minorEastAsia" w:cstheme="minorEastAsia"/>
          <w:sz w:val="24"/>
          <w:szCs w:val="24"/>
          <w:highlight w:val="none"/>
        </w:rPr>
        <w:t>设施和水肥供给设备实现</w:t>
      </w:r>
      <w:r>
        <w:rPr>
          <w:rFonts w:hint="eastAsia" w:asciiTheme="minorEastAsia" w:hAnsiTheme="minorEastAsia" w:eastAsiaTheme="minorEastAsia" w:cstheme="minorEastAsia"/>
          <w:sz w:val="24"/>
          <w:szCs w:val="24"/>
          <w:highlight w:val="none"/>
          <w:lang w:val="en-US" w:eastAsia="zh-CN"/>
        </w:rPr>
        <w:t>大棚生产</w:t>
      </w:r>
      <w:r>
        <w:rPr>
          <w:rFonts w:hint="eastAsia" w:asciiTheme="minorEastAsia" w:hAnsiTheme="minorEastAsia" w:eastAsiaTheme="minorEastAsia" w:cstheme="minorEastAsia"/>
          <w:sz w:val="24"/>
          <w:szCs w:val="24"/>
          <w:highlight w:val="none"/>
        </w:rPr>
        <w:t>区内的精细供应管理，通过物联网技术和墒情管理关联平台实现</w:t>
      </w:r>
      <w:r>
        <w:rPr>
          <w:rFonts w:hint="eastAsia" w:asciiTheme="minorEastAsia" w:hAnsiTheme="minorEastAsia" w:eastAsiaTheme="minorEastAsia" w:cstheme="minorEastAsia"/>
          <w:sz w:val="24"/>
          <w:szCs w:val="24"/>
          <w:highlight w:val="none"/>
          <w:lang w:val="en-US" w:eastAsia="zh-CN"/>
        </w:rPr>
        <w:t>大棚温控和生产要素</w:t>
      </w:r>
      <w:r>
        <w:rPr>
          <w:rFonts w:hint="eastAsia" w:asciiTheme="minorEastAsia" w:hAnsiTheme="minorEastAsia" w:eastAsiaTheme="minorEastAsia" w:cstheme="minorEastAsia"/>
          <w:sz w:val="24"/>
          <w:szCs w:val="24"/>
          <w:highlight w:val="none"/>
        </w:rPr>
        <w:t>的远程控制，通过智能化平台实现智能和异常报警。</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7基础信息管理系统</w:t>
      </w:r>
      <w:r>
        <w:rPr>
          <w:rFonts w:hint="eastAsia" w:asciiTheme="minorEastAsia" w:hAnsiTheme="minorEastAsia" w:eastAsiaTheme="minorEastAsia" w:cstheme="minorEastAsia"/>
          <w:color w:val="auto"/>
          <w:sz w:val="24"/>
          <w:szCs w:val="24"/>
          <w:highlight w:val="none"/>
          <w:lang w:val="en-US" w:eastAsia="zh-CN"/>
        </w:rPr>
        <w:t>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7.1、系统概述</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基础信息管理系统</w:t>
      </w:r>
      <w:r>
        <w:rPr>
          <w:rFonts w:hint="eastAsia" w:asciiTheme="minorEastAsia" w:hAnsiTheme="minorEastAsia" w:eastAsiaTheme="minorEastAsia" w:cstheme="minorEastAsia"/>
          <w:b w:val="0"/>
          <w:sz w:val="24"/>
          <w:szCs w:val="24"/>
          <w:highlight w:val="none"/>
          <w:lang w:val="zh-CN"/>
        </w:rPr>
        <w:t>（以下简称“</w:t>
      </w:r>
      <w:r>
        <w:rPr>
          <w:rFonts w:hint="eastAsia" w:asciiTheme="minorEastAsia" w:hAnsiTheme="minorEastAsia" w:eastAsiaTheme="minorEastAsia" w:cstheme="minorEastAsia"/>
          <w:b w:val="0"/>
          <w:sz w:val="24"/>
          <w:szCs w:val="24"/>
          <w:highlight w:val="none"/>
        </w:rPr>
        <w:t>基础信息</w:t>
      </w:r>
      <w:r>
        <w:rPr>
          <w:rFonts w:hint="eastAsia" w:asciiTheme="minorEastAsia" w:hAnsiTheme="minorEastAsia" w:eastAsiaTheme="minorEastAsia" w:cstheme="minorEastAsia"/>
          <w:b w:val="0"/>
          <w:bCs/>
          <w:sz w:val="24"/>
          <w:szCs w:val="24"/>
          <w:highlight w:val="none"/>
        </w:rPr>
        <w:t>系统”</w:t>
      </w:r>
      <w:r>
        <w:rPr>
          <w:rFonts w:hint="eastAsia" w:asciiTheme="minorEastAsia" w:hAnsiTheme="minorEastAsia" w:eastAsiaTheme="minorEastAsia" w:cstheme="minorEastAsia"/>
          <w:b w:val="0"/>
          <w:sz w:val="24"/>
          <w:szCs w:val="24"/>
          <w:highlight w:val="none"/>
          <w:lang w:val="zh-CN"/>
        </w:rPr>
        <w:t>）</w:t>
      </w:r>
      <w:r>
        <w:rPr>
          <w:rFonts w:hint="eastAsia" w:asciiTheme="minorEastAsia" w:hAnsiTheme="minorEastAsia" w:eastAsiaTheme="minorEastAsia" w:cstheme="minorEastAsia"/>
          <w:b w:val="0"/>
          <w:bCs/>
          <w:sz w:val="24"/>
          <w:szCs w:val="24"/>
          <w:highlight w:val="none"/>
        </w:rPr>
        <w:t>针对</w:t>
      </w:r>
      <w:r>
        <w:rPr>
          <w:rFonts w:hint="eastAsia" w:asciiTheme="minorEastAsia" w:hAnsiTheme="minorEastAsia" w:eastAsiaTheme="minorEastAsia" w:cstheme="minorEastAsia"/>
          <w:b w:val="0"/>
          <w:bCs/>
          <w:sz w:val="24"/>
          <w:szCs w:val="24"/>
          <w:highlight w:val="none"/>
          <w:lang w:val="en-US" w:eastAsia="zh-CN"/>
        </w:rPr>
        <w:t>大棚</w:t>
      </w:r>
      <w:r>
        <w:rPr>
          <w:rFonts w:hint="eastAsia" w:asciiTheme="minorEastAsia" w:hAnsiTheme="minorEastAsia" w:eastAsiaTheme="minorEastAsia" w:cstheme="minorEastAsia"/>
          <w:b w:val="0"/>
          <w:bCs/>
          <w:sz w:val="24"/>
          <w:szCs w:val="24"/>
          <w:highlight w:val="none"/>
        </w:rPr>
        <w:t>、农资投入、农业装备、人员、</w:t>
      </w:r>
      <w:r>
        <w:rPr>
          <w:rFonts w:hint="eastAsia" w:asciiTheme="minorEastAsia" w:hAnsiTheme="minorEastAsia" w:eastAsiaTheme="minorEastAsia" w:cstheme="minorEastAsia"/>
          <w:b w:val="0"/>
          <w:bCs/>
          <w:sz w:val="24"/>
          <w:szCs w:val="24"/>
          <w:highlight w:val="none"/>
          <w:lang w:val="en-US" w:eastAsia="zh-CN"/>
        </w:rPr>
        <w:t>园区</w:t>
      </w:r>
      <w:r>
        <w:rPr>
          <w:rFonts w:hint="eastAsia" w:asciiTheme="minorEastAsia" w:hAnsiTheme="minorEastAsia" w:eastAsiaTheme="minorEastAsia" w:cstheme="minorEastAsia"/>
          <w:b w:val="0"/>
          <w:bCs/>
          <w:sz w:val="24"/>
          <w:szCs w:val="24"/>
          <w:highlight w:val="none"/>
        </w:rPr>
        <w:t>组织架构等农场基础信息</w:t>
      </w:r>
      <w:r>
        <w:rPr>
          <w:rFonts w:hint="eastAsia" w:asciiTheme="minorEastAsia" w:hAnsiTheme="minorEastAsia" w:eastAsiaTheme="minorEastAsia" w:cstheme="minorEastAsia"/>
          <w:b w:val="0"/>
          <w:bCs/>
          <w:sz w:val="24"/>
          <w:szCs w:val="24"/>
          <w:highlight w:val="none"/>
          <w:lang w:val="en-US" w:eastAsia="zh-CN"/>
        </w:rPr>
        <w:t>进行</w:t>
      </w:r>
      <w:r>
        <w:rPr>
          <w:rFonts w:hint="eastAsia" w:asciiTheme="minorEastAsia" w:hAnsiTheme="minorEastAsia" w:eastAsiaTheme="minorEastAsia" w:cstheme="minorEastAsia"/>
          <w:b w:val="0"/>
          <w:bCs/>
          <w:sz w:val="24"/>
          <w:szCs w:val="24"/>
          <w:highlight w:val="none"/>
        </w:rPr>
        <w:t>数字化管理，</w:t>
      </w:r>
      <w:r>
        <w:rPr>
          <w:rFonts w:hint="eastAsia" w:asciiTheme="minorEastAsia" w:hAnsiTheme="minorEastAsia" w:eastAsiaTheme="minorEastAsia" w:cstheme="minorEastAsia"/>
          <w:b w:val="0"/>
          <w:bCs/>
          <w:sz w:val="24"/>
          <w:szCs w:val="24"/>
          <w:highlight w:val="none"/>
          <w:lang w:val="en-US" w:eastAsia="zh-CN"/>
        </w:rPr>
        <w:t>对系统运维情况进行监控，</w:t>
      </w:r>
      <w:r>
        <w:rPr>
          <w:rFonts w:hint="eastAsia" w:asciiTheme="minorEastAsia" w:hAnsiTheme="minorEastAsia" w:eastAsiaTheme="minorEastAsia" w:cstheme="minorEastAsia"/>
          <w:b w:val="0"/>
          <w:bCs/>
          <w:sz w:val="24"/>
          <w:szCs w:val="24"/>
          <w:highlight w:val="none"/>
        </w:rPr>
        <w:t>提供了成套化的软件服务工具。</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基础信息系统实现了对</w:t>
      </w:r>
      <w:r>
        <w:rPr>
          <w:rFonts w:hint="eastAsia" w:asciiTheme="minorEastAsia" w:hAnsiTheme="minorEastAsia" w:eastAsiaTheme="minorEastAsia" w:cstheme="minorEastAsia"/>
          <w:b w:val="0"/>
          <w:bCs/>
          <w:sz w:val="24"/>
          <w:szCs w:val="24"/>
          <w:highlight w:val="none"/>
          <w:lang w:val="en-US" w:eastAsia="zh-CN"/>
        </w:rPr>
        <w:t>大棚</w:t>
      </w:r>
      <w:r>
        <w:rPr>
          <w:rFonts w:hint="eastAsia" w:asciiTheme="minorEastAsia" w:hAnsiTheme="minorEastAsia" w:eastAsiaTheme="minorEastAsia" w:cstheme="minorEastAsia"/>
          <w:b w:val="0"/>
          <w:bCs/>
          <w:sz w:val="24"/>
          <w:szCs w:val="24"/>
          <w:highlight w:val="none"/>
        </w:rPr>
        <w:t>进行基于地图的地理位置标记和边界设定，</w:t>
      </w:r>
      <w:r>
        <w:rPr>
          <w:rFonts w:hint="eastAsia" w:asciiTheme="minorEastAsia" w:hAnsiTheme="minorEastAsia" w:eastAsiaTheme="minorEastAsia" w:cstheme="minorEastAsia"/>
          <w:b w:val="0"/>
          <w:sz w:val="24"/>
          <w:szCs w:val="24"/>
          <w:highlight w:val="none"/>
        </w:rPr>
        <w:t>为每</w:t>
      </w:r>
      <w:r>
        <w:rPr>
          <w:rFonts w:hint="eastAsia" w:asciiTheme="minorEastAsia" w:hAnsiTheme="minorEastAsia" w:eastAsiaTheme="minorEastAsia" w:cstheme="minorEastAsia"/>
          <w:b w:val="0"/>
          <w:bCs/>
          <w:sz w:val="24"/>
          <w:szCs w:val="24"/>
          <w:highlight w:val="none"/>
        </w:rPr>
        <w:t>个</w:t>
      </w:r>
      <w:r>
        <w:rPr>
          <w:rFonts w:hint="eastAsia" w:asciiTheme="minorEastAsia" w:hAnsiTheme="minorEastAsia" w:eastAsiaTheme="minorEastAsia" w:cstheme="minorEastAsia"/>
          <w:b w:val="0"/>
          <w:bCs/>
          <w:sz w:val="24"/>
          <w:szCs w:val="24"/>
          <w:highlight w:val="none"/>
          <w:lang w:val="en-US" w:eastAsia="zh-CN"/>
        </w:rPr>
        <w:t>大棚生产区域</w:t>
      </w:r>
      <w:r>
        <w:rPr>
          <w:rFonts w:hint="eastAsia" w:asciiTheme="minorEastAsia" w:hAnsiTheme="minorEastAsia" w:eastAsiaTheme="minorEastAsia" w:cstheme="minorEastAsia"/>
          <w:b w:val="0"/>
          <w:bCs/>
          <w:sz w:val="24"/>
          <w:szCs w:val="24"/>
          <w:highlight w:val="none"/>
        </w:rPr>
        <w:t>建立“地理信息身份证”。基础信息系统</w:t>
      </w:r>
      <w:r>
        <w:rPr>
          <w:rFonts w:hint="eastAsia" w:asciiTheme="minorEastAsia" w:hAnsiTheme="minorEastAsia" w:eastAsiaTheme="minorEastAsia" w:cstheme="minorEastAsia"/>
          <w:b w:val="0"/>
          <w:bCs/>
          <w:sz w:val="24"/>
          <w:szCs w:val="24"/>
          <w:highlight w:val="none"/>
          <w:lang w:val="zh-CN"/>
        </w:rPr>
        <w:t>可以为</w:t>
      </w:r>
      <w:r>
        <w:rPr>
          <w:rFonts w:hint="eastAsia" w:asciiTheme="minorEastAsia" w:hAnsiTheme="minorEastAsia" w:eastAsiaTheme="minorEastAsia" w:cstheme="minorEastAsia"/>
          <w:b w:val="0"/>
          <w:bCs/>
          <w:sz w:val="24"/>
          <w:szCs w:val="24"/>
          <w:highlight w:val="none"/>
          <w:lang w:val="en-US" w:eastAsia="zh-CN"/>
        </w:rPr>
        <w:t>大棚</w:t>
      </w:r>
      <w:r>
        <w:rPr>
          <w:rFonts w:hint="eastAsia" w:asciiTheme="minorEastAsia" w:hAnsiTheme="minorEastAsia" w:eastAsiaTheme="minorEastAsia" w:cstheme="minorEastAsia"/>
          <w:b w:val="0"/>
          <w:bCs/>
          <w:sz w:val="24"/>
          <w:szCs w:val="24"/>
          <w:highlight w:val="none"/>
          <w:lang w:val="zh-CN"/>
        </w:rPr>
        <w:t>管理、农作物种植管理、农事活动管理提供基础信息数据，</w:t>
      </w:r>
      <w:r>
        <w:rPr>
          <w:rFonts w:hint="eastAsia" w:asciiTheme="minorEastAsia" w:hAnsiTheme="minorEastAsia" w:eastAsiaTheme="minorEastAsia" w:cstheme="minorEastAsia"/>
          <w:b w:val="0"/>
          <w:bCs/>
          <w:sz w:val="24"/>
          <w:szCs w:val="24"/>
          <w:highlight w:val="none"/>
        </w:rPr>
        <w:t>围绕农业基础信息管理需求，实现高标准、多维度的数字化解决方案。该系统充分服务于</w:t>
      </w:r>
      <w:r>
        <w:rPr>
          <w:rFonts w:hint="eastAsia" w:asciiTheme="minorEastAsia" w:hAnsiTheme="minorEastAsia" w:eastAsiaTheme="minorEastAsia" w:cstheme="minorEastAsia"/>
          <w:b w:val="0"/>
          <w:bCs/>
          <w:sz w:val="24"/>
          <w:szCs w:val="24"/>
          <w:highlight w:val="none"/>
          <w:lang w:val="en-US" w:eastAsia="zh-CN"/>
        </w:rPr>
        <w:t>大棚</w:t>
      </w:r>
      <w:r>
        <w:rPr>
          <w:rFonts w:hint="eastAsia" w:asciiTheme="minorEastAsia" w:hAnsiTheme="minorEastAsia" w:eastAsiaTheme="minorEastAsia" w:cstheme="minorEastAsia"/>
          <w:b w:val="0"/>
          <w:bCs/>
          <w:sz w:val="24"/>
          <w:szCs w:val="24"/>
          <w:highlight w:val="none"/>
        </w:rPr>
        <w:t>管理、农资管理、农业装备管理、人员管理等在智慧农业生产中的全局性作用，能实现对全业务、全系统的覆盖。基础信息系统基于GIS系统的数据服务、导航服务、可视化服务，为种植提供必要的地理信息资源，实现农情、环境、作业与地理信息的有机对应。该系统基于数据仓库管理技术，拥有高性能、高扩展特点，采用分布式集群部署和在线动态扩容技术、大规模并行处理技术、无共享存储技术、行/列混合存储技术、多种压缩技术、资源负载管理技术、库内挖掘分析及安全控制技术等，可广泛与智慧农业相关的各业务解决方案相结合，集成应用。</w:t>
      </w:r>
    </w:p>
    <w:p>
      <w:pPr>
        <w:pStyle w:val="15"/>
        <w:pageBreakBefore w:val="0"/>
        <w:widowControl w:val="0"/>
        <w:tabs>
          <w:tab w:val="right" w:leader="dot" w:pos="9440"/>
        </w:tabs>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sz w:val="24"/>
          <w:szCs w:val="24"/>
          <w:highlight w:val="none"/>
        </w:rPr>
        <w:t>基础信息</w:t>
      </w:r>
      <w:r>
        <w:rPr>
          <w:rFonts w:hint="eastAsia" w:asciiTheme="minorEastAsia" w:hAnsiTheme="minorEastAsia" w:eastAsiaTheme="minorEastAsia" w:cstheme="minorEastAsia"/>
          <w:b w:val="0"/>
          <w:bCs/>
          <w:sz w:val="24"/>
          <w:szCs w:val="24"/>
          <w:highlight w:val="none"/>
          <w:lang w:val="zh-CN"/>
        </w:rPr>
        <w:t>系统有助于提高农场基础资源的管理效率，优化管理粒度，强化精细管理能力，可以为农业生产提供相关的基础信息数据支撑，</w:t>
      </w:r>
      <w:r>
        <w:rPr>
          <w:rFonts w:hint="eastAsia" w:asciiTheme="minorEastAsia" w:hAnsiTheme="minorEastAsia" w:eastAsiaTheme="minorEastAsia" w:cstheme="minorEastAsia"/>
          <w:b w:val="0"/>
          <w:bCs/>
          <w:sz w:val="24"/>
          <w:szCs w:val="24"/>
          <w:highlight w:val="none"/>
        </w:rPr>
        <w:t>整体上提高农业工作的科学化、规范化水平，</w:t>
      </w:r>
      <w:r>
        <w:rPr>
          <w:rFonts w:hint="eastAsia" w:asciiTheme="minorEastAsia" w:hAnsiTheme="minorEastAsia" w:eastAsiaTheme="minorEastAsia" w:cstheme="minorEastAsia"/>
          <w:b w:val="0"/>
          <w:bCs/>
          <w:sz w:val="24"/>
          <w:szCs w:val="24"/>
          <w:highlight w:val="none"/>
          <w:lang w:val="zh-CN"/>
        </w:rPr>
        <w:t>是智慧农业必不可少的基本要素，是支撑智慧农业大系统运作的数据基础。</w:t>
      </w:r>
    </w:p>
    <w:p>
      <w:pPr>
        <w:pStyle w:val="2"/>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8产品溯源管理系统解决方案</w:t>
      </w:r>
    </w:p>
    <w:p>
      <w:pPr>
        <w:pStyle w:val="4"/>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8.1、系统概述</w:t>
      </w:r>
    </w:p>
    <w:p>
      <w:pPr>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产品溯源管理系统解决方案</w:t>
      </w:r>
      <w:r>
        <w:rPr>
          <w:rFonts w:hint="eastAsia" w:asciiTheme="minorEastAsia" w:hAnsiTheme="minorEastAsia" w:eastAsiaTheme="minorEastAsia" w:cstheme="minorEastAsia"/>
          <w:b w:val="0"/>
          <w:sz w:val="24"/>
          <w:szCs w:val="24"/>
          <w:highlight w:val="none"/>
          <w:lang w:val="zh-CN"/>
        </w:rPr>
        <w:t>（以下简称“</w:t>
      </w:r>
      <w:r>
        <w:rPr>
          <w:rFonts w:hint="eastAsia" w:asciiTheme="minorEastAsia" w:hAnsiTheme="minorEastAsia" w:eastAsiaTheme="minorEastAsia" w:cstheme="minorEastAsia"/>
          <w:b w:val="0"/>
          <w:sz w:val="24"/>
          <w:szCs w:val="24"/>
          <w:highlight w:val="none"/>
          <w:lang w:val="en-US" w:eastAsia="zh-CN"/>
        </w:rPr>
        <w:t>溯源管理</w:t>
      </w:r>
      <w:r>
        <w:rPr>
          <w:rFonts w:hint="eastAsia" w:asciiTheme="minorEastAsia" w:hAnsiTheme="minorEastAsia" w:eastAsiaTheme="minorEastAsia" w:cstheme="minorEastAsia"/>
          <w:b w:val="0"/>
          <w:bCs/>
          <w:sz w:val="24"/>
          <w:szCs w:val="24"/>
          <w:highlight w:val="none"/>
        </w:rPr>
        <w:t>系统”</w:t>
      </w:r>
      <w:r>
        <w:rPr>
          <w:rFonts w:hint="eastAsia" w:asciiTheme="minorEastAsia" w:hAnsiTheme="minorEastAsia" w:eastAsiaTheme="minorEastAsia" w:cstheme="minorEastAsia"/>
          <w:b w:val="0"/>
          <w:sz w:val="24"/>
          <w:szCs w:val="24"/>
          <w:highlight w:val="none"/>
          <w:lang w:val="zh-CN"/>
        </w:rPr>
        <w:t>）</w:t>
      </w:r>
      <w:r>
        <w:rPr>
          <w:rFonts w:hint="eastAsia" w:asciiTheme="minorEastAsia" w:hAnsiTheme="minorEastAsia" w:eastAsiaTheme="minorEastAsia" w:cstheme="minorEastAsia"/>
          <w:b w:val="0"/>
          <w:sz w:val="24"/>
          <w:szCs w:val="24"/>
          <w:highlight w:val="none"/>
          <w:lang w:val="en-US" w:eastAsia="zh-CN"/>
        </w:rPr>
        <w:t>实现对花卉生长全过程的可视化追溯。农产品质量安全问题，是当前政府重视，社会关注的热点，不仅关系到公众的身体健康，而且对农业发展、农民增收、贸易流通和农业现代化建设具有重大影响。</w:t>
      </w:r>
    </w:p>
    <w:p>
      <w:pPr>
        <w:pageBreakBefore w:val="0"/>
        <w:kinsoku/>
        <w:wordWrap/>
        <w:overflowPunct/>
        <w:topLinePunct w:val="0"/>
        <w:autoSpaceDE/>
        <w:autoSpaceDN/>
        <w:bidi w:val="0"/>
        <w:adjustRightInd/>
        <w:snapToGrid w:val="0"/>
        <w:spacing w:line="360" w:lineRule="auto"/>
        <w:rPr>
          <w:rFonts w:hint="eastAsia" w:asciiTheme="minorEastAsia" w:hAnsiTheme="minorEastAsia" w:eastAsiaTheme="minorEastAsia" w:cstheme="minorEastAsia"/>
          <w:b w:val="0"/>
          <w:bCs/>
          <w:kern w:val="0"/>
          <w:sz w:val="24"/>
          <w:szCs w:val="24"/>
          <w:highlight w:val="none"/>
          <w:lang w:val="zh-CN" w:eastAsia="zh-CN" w:bidi="ar-SA"/>
        </w:rPr>
      </w:pPr>
      <w:r>
        <w:rPr>
          <w:rFonts w:hint="eastAsia" w:asciiTheme="minorEastAsia" w:hAnsiTheme="minorEastAsia" w:eastAsiaTheme="minorEastAsia" w:cstheme="minorEastAsia"/>
          <w:b w:val="0"/>
          <w:sz w:val="24"/>
          <w:szCs w:val="24"/>
          <w:highlight w:val="none"/>
          <w:lang w:val="en-US" w:eastAsia="zh-CN"/>
        </w:rPr>
        <w:t>溯源系统所有的数据由智能硬件自动采集上传，不能修改，可最大程度保证档案信息的真实可信度。手机扫码即可查看丰富详尽的农产品档案。生产者信息、生产地点、包括产品品名、产品基本介绍、产品认证信息，农产品的全生长期图片、肥料使用记录、农药使用记录、关键环境数据用大数据来证明产品的质量。对产品的培育、种植、生产、各个环节进行“全方位、全环节、全流程”立体感知和智能监管，实现花卉从大棚到消费</w:t>
      </w:r>
      <w:r>
        <w:rPr>
          <w:rFonts w:hint="eastAsia" w:asciiTheme="minorEastAsia" w:hAnsiTheme="minorEastAsia" w:eastAsiaTheme="minorEastAsia" w:cstheme="minorEastAsia"/>
          <w:b w:val="0"/>
          <w:bCs/>
          <w:caps/>
          <w:kern w:val="0"/>
          <w:sz w:val="24"/>
          <w:szCs w:val="24"/>
          <w:highlight w:val="none"/>
          <w:lang w:val="en-US" w:eastAsia="zh-CN" w:bidi="ar-SA"/>
        </w:rPr>
        <w:t>者的全流程智慧管理</w:t>
      </w:r>
      <w:r>
        <w:rPr>
          <w:rFonts w:hint="eastAsia" w:asciiTheme="minorEastAsia" w:hAnsiTheme="minorEastAsia" w:eastAsiaTheme="minorEastAsia" w:cstheme="minorEastAsia"/>
          <w:b w:val="0"/>
          <w:bCs/>
          <w:kern w:val="0"/>
          <w:sz w:val="24"/>
          <w:szCs w:val="24"/>
          <w:highlight w:val="none"/>
          <w:lang w:val="zh-CN" w:eastAsia="zh-CN" w:bidi="ar-SA"/>
        </w:rPr>
        <w:t>。</w:t>
      </w:r>
    </w:p>
    <w:p>
      <w:pPr>
        <w:pageBreakBefore w:val="0"/>
        <w:kinsoku/>
        <w:wordWrap/>
        <w:overflowPunct/>
        <w:topLinePunct w:val="0"/>
        <w:autoSpaceDE/>
        <w:autoSpaceDN/>
        <w:bidi w:val="0"/>
        <w:adjustRightInd/>
        <w:snapToGrid w:val="0"/>
        <w:spacing w:line="360" w:lineRule="auto"/>
        <w:ind w:firstLine="482" w:firstLineChars="200"/>
        <w:rPr>
          <w:rFonts w:hint="eastAsia"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9.整体设计方案：</w:t>
      </w:r>
      <w:r>
        <w:rPr>
          <w:rFonts w:hint="eastAsia" w:asciiTheme="minorEastAsia" w:hAnsiTheme="minorEastAsia" w:eastAsiaTheme="minorEastAsia" w:cstheme="minorEastAsia"/>
          <w:b w:val="0"/>
          <w:sz w:val="24"/>
          <w:szCs w:val="24"/>
          <w:highlight w:val="none"/>
          <w:lang w:val="en-US" w:eastAsia="zh-CN"/>
        </w:rPr>
        <w:t>供应商对本项目的整体认知，总体构想,服务理念、管理目标。</w:t>
      </w:r>
    </w:p>
    <w:p>
      <w:pPr>
        <w:pageBreakBefore w:val="0"/>
        <w:kinsoku/>
        <w:wordWrap/>
        <w:overflowPunct/>
        <w:topLinePunct w:val="0"/>
        <w:autoSpaceDE/>
        <w:autoSpaceDN/>
        <w:bidi w:val="0"/>
        <w:adjustRightInd/>
        <w:snapToGrid w:val="0"/>
        <w:spacing w:line="360" w:lineRule="auto"/>
        <w:ind w:firstLine="482" w:firstLineChars="200"/>
        <w:rPr>
          <w:rFonts w:hint="eastAsia"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10.实施能力：</w:t>
      </w:r>
      <w:r>
        <w:rPr>
          <w:rFonts w:hint="eastAsia" w:asciiTheme="minorEastAsia" w:hAnsiTheme="minorEastAsia" w:eastAsiaTheme="minorEastAsia" w:cstheme="minorEastAsia"/>
          <w:b w:val="0"/>
          <w:sz w:val="24"/>
          <w:szCs w:val="24"/>
          <w:highlight w:val="none"/>
          <w:lang w:val="en-US" w:eastAsia="zh-CN"/>
        </w:rPr>
        <w:t>项目实施方案规范、完整、合理，据供应商提供的响应文件中关于项目实施方案中项目实施规划、时序进度安排等方面内容的完整性和合理程度打分。</w:t>
      </w:r>
    </w:p>
    <w:p>
      <w:pPr>
        <w:pageBreakBefore w:val="0"/>
        <w:kinsoku/>
        <w:wordWrap/>
        <w:overflowPunct/>
        <w:topLinePunct w:val="0"/>
        <w:autoSpaceDE/>
        <w:autoSpaceDN/>
        <w:bidi w:val="0"/>
        <w:adjustRightInd/>
        <w:snapToGrid w:val="0"/>
        <w:spacing w:line="360" w:lineRule="auto"/>
        <w:ind w:firstLine="482" w:firstLineChars="200"/>
        <w:rPr>
          <w:rFonts w:hint="eastAsia"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11.售后服务：</w:t>
      </w:r>
      <w:r>
        <w:rPr>
          <w:rFonts w:hint="eastAsia" w:asciiTheme="minorEastAsia" w:hAnsiTheme="minorEastAsia" w:eastAsiaTheme="minorEastAsia" w:cstheme="minorEastAsia"/>
          <w:b w:val="0"/>
          <w:sz w:val="24"/>
          <w:szCs w:val="24"/>
          <w:highlight w:val="none"/>
          <w:lang w:val="en-US" w:eastAsia="zh-CN"/>
        </w:rPr>
        <w:t>响应文件提供维护服务保障体系和完整合理的售后服务方案，售后服务方案中需包含服务机构、服务内容、响应时间、故障处理、恢复时效、人员车辆配备、支撑保障等内容。</w:t>
      </w:r>
    </w:p>
    <w:p>
      <w:pPr>
        <w:pageBreakBefore w:val="0"/>
        <w:kinsoku/>
        <w:wordWrap/>
        <w:overflowPunct/>
        <w:topLinePunct w:val="0"/>
        <w:autoSpaceDE/>
        <w:autoSpaceDN/>
        <w:bidi w:val="0"/>
        <w:adjustRightInd/>
        <w:snapToGrid w:val="0"/>
        <w:spacing w:line="360" w:lineRule="auto"/>
        <w:ind w:firstLine="482" w:firstLineChars="200"/>
        <w:rPr>
          <w:rFonts w:hint="eastAsia"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12.培训方案：</w:t>
      </w:r>
      <w:r>
        <w:rPr>
          <w:rFonts w:hint="eastAsia" w:asciiTheme="minorEastAsia" w:hAnsiTheme="minorEastAsia" w:eastAsiaTheme="minorEastAsia" w:cstheme="minorEastAsia"/>
          <w:b w:val="0"/>
          <w:sz w:val="24"/>
          <w:szCs w:val="24"/>
          <w:highlight w:val="none"/>
          <w:lang w:val="en-US" w:eastAsia="zh-CN"/>
        </w:rPr>
        <w:t>投标人提供培训方案，内容包含但不限于培训内容、培训计划及学时安排等。</w:t>
      </w:r>
    </w:p>
    <w:p>
      <w:pPr>
        <w:pageBreakBefore w:val="0"/>
        <w:kinsoku/>
        <w:wordWrap/>
        <w:overflowPunct/>
        <w:topLinePunct w:val="0"/>
        <w:autoSpaceDE/>
        <w:autoSpaceDN/>
        <w:bidi w:val="0"/>
        <w:adjustRightInd/>
        <w:snapToGrid w:val="0"/>
        <w:spacing w:line="360" w:lineRule="auto"/>
        <w:ind w:firstLine="439" w:firstLineChars="182"/>
        <w:outlineLvl w:val="1"/>
        <w:rPr>
          <w:rFonts w:hint="eastAsia" w:asciiTheme="minorEastAsia" w:hAnsiTheme="minorEastAsia" w:eastAsiaTheme="minorEastAsia" w:cstheme="minorEastAsia"/>
          <w:b/>
          <w:bCs w:val="0"/>
          <w:kern w:val="0"/>
          <w:sz w:val="24"/>
          <w:szCs w:val="24"/>
          <w:highlight w:val="none"/>
          <w:lang w:val="zh-CN" w:eastAsia="zh-CN" w:bidi="ar-SA"/>
        </w:rPr>
      </w:pPr>
    </w:p>
    <w:p>
      <w:pPr>
        <w:pageBreakBefore w:val="0"/>
        <w:kinsoku/>
        <w:wordWrap/>
        <w:overflowPunct/>
        <w:topLinePunct w:val="0"/>
        <w:autoSpaceDE/>
        <w:autoSpaceDN/>
        <w:bidi w:val="0"/>
        <w:adjustRightInd/>
        <w:snapToGrid w:val="0"/>
        <w:spacing w:line="360" w:lineRule="auto"/>
        <w:ind w:firstLine="439" w:firstLineChars="182"/>
        <w:outlineLvl w:val="1"/>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val="0"/>
          <w:kern w:val="0"/>
          <w:sz w:val="24"/>
          <w:szCs w:val="24"/>
          <w:highlight w:val="none"/>
          <w:lang w:val="zh-CN" w:eastAsia="zh-CN" w:bidi="ar-SA"/>
        </w:rPr>
        <w:t>（</w:t>
      </w:r>
      <w:r>
        <w:rPr>
          <w:rFonts w:hint="eastAsia" w:asciiTheme="minorEastAsia" w:hAnsiTheme="minorEastAsia" w:eastAsiaTheme="minorEastAsia" w:cstheme="minorEastAsia"/>
          <w:b/>
          <w:bCs w:val="0"/>
          <w:kern w:val="0"/>
          <w:sz w:val="24"/>
          <w:szCs w:val="24"/>
          <w:highlight w:val="none"/>
          <w:lang w:val="en-US" w:eastAsia="zh-CN" w:bidi="ar-SA"/>
        </w:rPr>
        <w:t>四</w:t>
      </w:r>
      <w:r>
        <w:rPr>
          <w:rFonts w:hint="eastAsia" w:asciiTheme="minorEastAsia" w:hAnsiTheme="minorEastAsia" w:eastAsiaTheme="minorEastAsia" w:cstheme="minorEastAsia"/>
          <w:b/>
          <w:bCs w:val="0"/>
          <w:kern w:val="0"/>
          <w:sz w:val="24"/>
          <w:szCs w:val="24"/>
          <w:highlight w:val="none"/>
          <w:lang w:val="zh-CN" w:eastAsia="zh-CN" w:bidi="ar-SA"/>
        </w:rPr>
        <w:t>）</w:t>
      </w:r>
      <w:bookmarkStart w:id="10" w:name="_Toc101"/>
      <w:r>
        <w:rPr>
          <w:rFonts w:hint="eastAsia" w:asciiTheme="minorEastAsia" w:hAnsiTheme="minorEastAsia" w:eastAsiaTheme="minorEastAsia" w:cstheme="minorEastAsia"/>
          <w:b/>
          <w:bCs/>
          <w:sz w:val="24"/>
          <w:szCs w:val="24"/>
          <w:highlight w:val="none"/>
        </w:rPr>
        <w:t>付款方式与</w:t>
      </w:r>
      <w:bookmarkEnd w:id="10"/>
      <w:r>
        <w:rPr>
          <w:rFonts w:hint="eastAsia" w:asciiTheme="minorEastAsia" w:hAnsiTheme="minorEastAsia" w:eastAsiaTheme="minorEastAsia" w:cstheme="minorEastAsia"/>
          <w:b/>
          <w:bCs/>
          <w:sz w:val="24"/>
          <w:szCs w:val="24"/>
          <w:highlight w:val="none"/>
          <w:lang w:val="en-US" w:eastAsia="zh-CN"/>
        </w:rPr>
        <w:t>质保期</w:t>
      </w:r>
    </w:p>
    <w:p>
      <w:pPr>
        <w:pageBreakBefore w:val="0"/>
        <w:kinsoku/>
        <w:wordWrap/>
        <w:overflowPunct/>
        <w:topLinePunct w:val="0"/>
        <w:autoSpaceDE/>
        <w:autoSpaceDN/>
        <w:bidi w:val="0"/>
        <w:adjustRightInd/>
        <w:snapToGrid w:val="0"/>
        <w:spacing w:line="360" w:lineRule="auto"/>
        <w:ind w:firstLine="480" w:firstLineChars="200"/>
        <w:rPr>
          <w:rFonts w:hint="eastAsia" w:asciiTheme="minorEastAsia" w:hAnsiTheme="minorEastAsia" w:eastAsiaTheme="minorEastAsia" w:cstheme="minorEastAsia"/>
          <w:b/>
          <w:i/>
          <w:iCs/>
          <w:color w:val="000000"/>
          <w:spacing w:val="-4"/>
          <w:sz w:val="24"/>
          <w:highlight w:val="yellow"/>
        </w:rPr>
      </w:pPr>
      <w:r>
        <w:rPr>
          <w:rFonts w:hint="eastAsia" w:asciiTheme="minorEastAsia" w:hAnsiTheme="minorEastAsia" w:eastAsiaTheme="minorEastAsia" w:cstheme="minorEastAsia"/>
          <w:b w:val="0"/>
          <w:sz w:val="24"/>
          <w:szCs w:val="24"/>
          <w:highlight w:val="none"/>
          <w:lang w:val="en-US" w:eastAsia="zh-CN"/>
        </w:rPr>
        <w:t>★1.付款方式：以县财政拨付项目资金进度为依据进行拨付，拨付至合同款97%，项目履约完成后付清余款。</w:t>
      </w:r>
    </w:p>
    <w:p>
      <w:pPr>
        <w:pStyle w:val="8"/>
        <w:pageBreakBefore w:val="0"/>
        <w:kinsoku/>
        <w:wordWrap/>
        <w:overflowPunct/>
        <w:topLinePunct w:val="0"/>
        <w:autoSpaceDE/>
        <w:autoSpaceDN/>
        <w:bidi w:val="0"/>
        <w:adjustRightInd/>
        <w:snapToGrid w:val="0"/>
        <w:spacing w:line="360" w:lineRule="auto"/>
        <w:ind w:firstLine="482"/>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color w:val="000000"/>
          <w:sz w:val="24"/>
          <w:szCs w:val="24"/>
          <w:highlight w:val="none"/>
        </w:rPr>
        <w:t>支付</w:t>
      </w:r>
      <w:r>
        <w:rPr>
          <w:rFonts w:hint="eastAsia" w:asciiTheme="minorEastAsia" w:hAnsiTheme="minorEastAsia" w:eastAsiaTheme="minorEastAsia" w:cstheme="minorEastAsia"/>
          <w:b/>
          <w:color w:val="000000"/>
          <w:sz w:val="24"/>
          <w:szCs w:val="24"/>
          <w:highlight w:val="none"/>
          <w:lang w:val="en-US" w:eastAsia="zh-CN"/>
        </w:rPr>
        <w:t>项目</w:t>
      </w:r>
      <w:r>
        <w:rPr>
          <w:rFonts w:hint="eastAsia" w:asciiTheme="minorEastAsia" w:hAnsiTheme="minorEastAsia" w:eastAsiaTheme="minorEastAsia" w:cstheme="minorEastAsia"/>
          <w:b/>
          <w:color w:val="000000"/>
          <w:sz w:val="24"/>
          <w:szCs w:val="24"/>
          <w:highlight w:val="none"/>
        </w:rPr>
        <w:t>款时，承包人必须提供符合税法的等额正规发票，否则延迟付款的责任由承包人自行承担。</w:t>
      </w:r>
    </w:p>
    <w:p>
      <w:pPr>
        <w:pageBreakBefore w:val="0"/>
        <w:kinsoku/>
        <w:wordWrap/>
        <w:overflowPunct/>
        <w:topLinePunct w:val="0"/>
        <w:autoSpaceDE/>
        <w:autoSpaceDN/>
        <w:bidi w:val="0"/>
        <w:adjustRightInd/>
        <w:snapToGrid w:val="0"/>
        <w:spacing w:line="360" w:lineRule="auto"/>
        <w:ind w:firstLine="436" w:firstLineChars="182"/>
        <w:outlineLvl w:val="2"/>
        <w:rPr>
          <w:rFonts w:hint="eastAsia" w:asciiTheme="minorEastAsia" w:hAnsiTheme="minorEastAsia" w:eastAsiaTheme="minorEastAsia" w:cstheme="minorEastAsia"/>
          <w:sz w:val="24"/>
          <w:szCs w:val="24"/>
          <w:highlight w:val="none"/>
        </w:rPr>
      </w:pPr>
      <w:bookmarkStart w:id="11" w:name="_Toc19916"/>
      <w:r>
        <w:rPr>
          <w:rFonts w:hint="eastAsia" w:asciiTheme="minorEastAsia" w:hAnsiTheme="minorEastAsia" w:eastAsiaTheme="minorEastAsia" w:cstheme="minorEastAsia"/>
          <w:sz w:val="24"/>
          <w:szCs w:val="24"/>
          <w:highlight w:val="none"/>
        </w:rPr>
        <w:t>2.</w:t>
      </w:r>
      <w:bookmarkEnd w:id="11"/>
      <w:r>
        <w:rPr>
          <w:rFonts w:hint="eastAsia" w:asciiTheme="minorEastAsia" w:hAnsiTheme="minorEastAsia" w:eastAsiaTheme="minorEastAsia" w:cstheme="minorEastAsia"/>
          <w:sz w:val="24"/>
          <w:szCs w:val="24"/>
          <w:highlight w:val="none"/>
        </w:rPr>
        <w:t>质保期</w:t>
      </w:r>
      <w:r>
        <w:rPr>
          <w:rFonts w:hint="eastAsia" w:asciiTheme="minorEastAsia" w:hAnsiTheme="minorEastAsia" w:eastAsiaTheme="minorEastAsia" w:cstheme="minorEastAsia"/>
          <w:sz w:val="24"/>
          <w:szCs w:val="24"/>
          <w:highlight w:val="none"/>
          <w:u w:val="single"/>
        </w:rPr>
        <w:t xml:space="preserve"> 1 </w:t>
      </w:r>
      <w:r>
        <w:rPr>
          <w:rFonts w:hint="eastAsia" w:asciiTheme="minorEastAsia" w:hAnsiTheme="minorEastAsia" w:eastAsiaTheme="minorEastAsia" w:cstheme="minorEastAsia"/>
          <w:sz w:val="24"/>
          <w:szCs w:val="24"/>
          <w:highlight w:val="none"/>
        </w:rPr>
        <w:t>年（自交货验收合格之日起计）。</w:t>
      </w:r>
    </w:p>
    <w:p>
      <w:pPr>
        <w:pageBreakBefore w:val="0"/>
        <w:kinsoku/>
        <w:wordWrap/>
        <w:overflowPunct/>
        <w:topLinePunct w:val="0"/>
        <w:autoSpaceDE/>
        <w:autoSpaceDN/>
        <w:bidi w:val="0"/>
        <w:adjustRightInd/>
        <w:snapToGrid w:val="0"/>
        <w:spacing w:line="360" w:lineRule="auto"/>
        <w:ind w:firstLine="439" w:firstLineChars="182"/>
        <w:outlineLvl w:val="1"/>
        <w:rPr>
          <w:rFonts w:hint="eastAsia" w:asciiTheme="minorEastAsia" w:hAnsiTheme="minorEastAsia" w:eastAsiaTheme="minorEastAsia" w:cstheme="minorEastAsia"/>
          <w:b/>
          <w:bCs/>
          <w:sz w:val="24"/>
          <w:szCs w:val="24"/>
          <w:highlight w:val="none"/>
          <w:lang w:val="en-US" w:eastAsia="zh-CN"/>
        </w:rPr>
      </w:pPr>
      <w:bookmarkStart w:id="12" w:name="_Toc31806"/>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五</w:t>
      </w:r>
      <w:r>
        <w:rPr>
          <w:rFonts w:hint="eastAsia" w:asciiTheme="minorEastAsia" w:hAnsiTheme="minorEastAsia" w:eastAsiaTheme="minorEastAsia" w:cstheme="minorEastAsia"/>
          <w:b/>
          <w:bCs/>
          <w:sz w:val="24"/>
          <w:szCs w:val="24"/>
          <w:highlight w:val="none"/>
          <w:lang w:eastAsia="zh-CN"/>
        </w:rPr>
        <w:t>）</w:t>
      </w:r>
      <w:bookmarkEnd w:id="12"/>
      <w:r>
        <w:rPr>
          <w:rFonts w:hint="eastAsia" w:asciiTheme="minorEastAsia" w:hAnsiTheme="minorEastAsia" w:eastAsiaTheme="minorEastAsia" w:cstheme="minorEastAsia"/>
          <w:b/>
          <w:bCs/>
          <w:sz w:val="24"/>
          <w:szCs w:val="24"/>
          <w:highlight w:val="none"/>
          <w:lang w:val="en-US" w:eastAsia="zh-CN"/>
        </w:rPr>
        <w:t>履约保证金</w:t>
      </w:r>
    </w:p>
    <w:p>
      <w:pPr>
        <w:pageBreakBefore w:val="0"/>
        <w:kinsoku/>
        <w:wordWrap/>
        <w:overflowPunct/>
        <w:topLinePunct w:val="0"/>
        <w:autoSpaceDE/>
        <w:autoSpaceDN/>
        <w:bidi w:val="0"/>
        <w:adjustRightInd/>
        <w:snapToGrid w:val="0"/>
        <w:spacing w:line="360" w:lineRule="auto"/>
        <w:ind w:firstLine="439" w:firstLineChars="182"/>
        <w:outlineLvl w:val="1"/>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本项目不收取履约保证金</w:t>
      </w:r>
    </w:p>
    <w:p>
      <w:pPr>
        <w:pageBreakBefore w:val="0"/>
        <w:kinsoku/>
        <w:wordWrap/>
        <w:overflowPunct/>
        <w:topLinePunct w:val="0"/>
        <w:autoSpaceDE/>
        <w:autoSpaceDN/>
        <w:bidi w:val="0"/>
        <w:adjustRightInd/>
        <w:snapToGrid w:val="0"/>
        <w:spacing w:line="360" w:lineRule="auto"/>
        <w:ind w:firstLine="439" w:firstLineChars="182"/>
        <w:outlineLvl w:val="1"/>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六</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其他</w:t>
      </w:r>
    </w:p>
    <w:p>
      <w:pPr>
        <w:pageBreakBefore w:val="0"/>
        <w:kinsoku/>
        <w:wordWrap/>
        <w:overflowPunct/>
        <w:topLinePunct w:val="0"/>
        <w:autoSpaceDE/>
        <w:autoSpaceDN/>
        <w:bidi w:val="0"/>
        <w:adjustRightInd/>
        <w:snapToGrid w:val="0"/>
        <w:spacing w:line="360" w:lineRule="auto"/>
        <w:ind w:firstLine="436" w:firstLineChars="1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本项目报价不得超过预算价（最高限价）。</w:t>
      </w:r>
    </w:p>
    <w:p>
      <w:pPr>
        <w:pageBreakBefore w:val="0"/>
        <w:kinsoku/>
        <w:wordWrap/>
        <w:overflowPunct/>
        <w:topLinePunct w:val="0"/>
        <w:autoSpaceDE/>
        <w:autoSpaceDN/>
        <w:bidi w:val="0"/>
        <w:adjustRightInd/>
        <w:snapToGrid w:val="0"/>
        <w:spacing w:line="360" w:lineRule="auto"/>
        <w:ind w:firstLine="436" w:firstLineChars="1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特别提醒投标人：应根据国家收费标准并结合市场实际进行报价，总价包干。</w:t>
      </w:r>
    </w:p>
    <w:p>
      <w:pPr>
        <w:pageBreakBefore w:val="0"/>
        <w:kinsoku/>
        <w:wordWrap/>
        <w:overflowPunct/>
        <w:topLinePunct w:val="0"/>
        <w:autoSpaceDE/>
        <w:autoSpaceDN/>
        <w:bidi w:val="0"/>
        <w:adjustRightInd/>
        <w:snapToGrid w:val="0"/>
        <w:spacing w:line="360" w:lineRule="auto"/>
        <w:ind w:firstLine="436" w:firstLineChars="1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工作中涉及的敏感资料、电子数据等相关信息，中标人应严格执行保密的相关规定，不得以任何方式向任何第三人披露、泄露或许可第三人使用，否则追究其相应法律责任。</w:t>
      </w:r>
    </w:p>
    <w:p>
      <w:pPr>
        <w:pStyle w:val="7"/>
        <w:ind w:firstLine="420"/>
        <w:rPr>
          <w:rFonts w:hint="eastAsia" w:asciiTheme="minorEastAsia" w:hAnsiTheme="minorEastAsia" w:eastAsiaTheme="minorEastAsia" w:cstheme="minorEastAsia"/>
          <w:highlight w:val="yellow"/>
        </w:rPr>
      </w:pPr>
    </w:p>
    <w:p>
      <w:pPr>
        <w:spacing w:line="360" w:lineRule="auto"/>
        <w:ind w:firstLine="482" w:firstLineChars="200"/>
        <w:rPr>
          <w:rFonts w:ascii="黑体" w:hAnsi="黑体" w:eastAsia="黑体"/>
          <w:b/>
          <w:sz w:val="24"/>
        </w:rPr>
      </w:pPr>
    </w:p>
    <w:p>
      <w:pPr>
        <w:widowControl/>
        <w:jc w:val="left"/>
        <w:rPr>
          <w:rFonts w:ascii="黑体" w:hAnsi="黑体" w:eastAsia="黑体"/>
          <w:bCs/>
          <w:kern w:val="44"/>
          <w:sz w:val="44"/>
          <w:szCs w:val="44"/>
        </w:rPr>
      </w:pPr>
      <w:bookmarkStart w:id="13" w:name="_Toc155796360"/>
      <w:r>
        <w:rPr>
          <w:rFonts w:ascii="黑体" w:hAnsi="黑体" w:eastAsia="黑体"/>
          <w:b/>
        </w:rPr>
        <w:br w:type="page"/>
      </w:r>
    </w:p>
    <w:p>
      <w:pPr>
        <w:pStyle w:val="2"/>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3"/>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pPr>
        <w:spacing w:line="500" w:lineRule="exact"/>
        <w:ind w:firstLine="480" w:firstLineChars="200"/>
        <w:jc w:val="left"/>
        <w:rPr>
          <w:sz w:val="24"/>
          <w:szCs w:val="24"/>
        </w:rPr>
      </w:pPr>
      <w:r>
        <w:rPr>
          <w:rFonts w:hint="eastAsia"/>
          <w:sz w:val="24"/>
          <w:szCs w:val="24"/>
        </w:rPr>
        <w:t>（2）本项目评分总分为100分，按四舍五入取至小数点后两位。</w:t>
      </w:r>
    </w:p>
    <w:p>
      <w:pPr>
        <w:spacing w:line="500" w:lineRule="exact"/>
        <w:ind w:firstLine="480" w:firstLineChars="200"/>
        <w:jc w:val="left"/>
        <w:rPr>
          <w:sz w:val="24"/>
          <w:szCs w:val="24"/>
        </w:rPr>
      </w:pPr>
      <w:r>
        <w:rPr>
          <w:rFonts w:hint="eastAsia"/>
          <w:sz w:val="24"/>
          <w:szCs w:val="24"/>
        </w:rPr>
        <w:t>（3）总得分=价格分+技术分+商务分。</w:t>
      </w: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widowControl/>
        <w:jc w:val="left"/>
        <w:rPr>
          <w:sz w:val="24"/>
          <w:szCs w:val="24"/>
        </w:rPr>
      </w:pPr>
    </w:p>
    <w:tbl>
      <w:tblPr>
        <w:tblStyle w:val="17"/>
        <w:tblW w:w="93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7"/>
        <w:gridCol w:w="69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1" w:hRule="atLeast"/>
          <w:jc w:val="center"/>
        </w:trPr>
        <w:tc>
          <w:tcPr>
            <w:tcW w:w="2417" w:type="dxa"/>
            <w:noWrap w:val="0"/>
            <w:vAlign w:val="top"/>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bookmarkStart w:id="14" w:name="_Toc155796361"/>
            <w:r>
              <w:rPr>
                <w:rFonts w:hint="eastAsia" w:ascii="宋体" w:hAnsi="宋体" w:eastAsia="宋体" w:cs="宋体"/>
                <w:sz w:val="24"/>
                <w:szCs w:val="24"/>
                <w:highlight w:val="none"/>
              </w:rPr>
              <w:t>评分因素</w:t>
            </w:r>
          </w:p>
        </w:tc>
        <w:tc>
          <w:tcPr>
            <w:tcW w:w="6941" w:type="dxa"/>
            <w:noWrap w:val="0"/>
            <w:vAlign w:val="top"/>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价格（</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0分）</w:t>
            </w:r>
          </w:p>
        </w:tc>
        <w:tc>
          <w:tcPr>
            <w:tcW w:w="6941" w:type="dxa"/>
            <w:noWrap w:val="0"/>
            <w:vAlign w:val="center"/>
          </w:tcPr>
          <w:p>
            <w:pPr>
              <w:pageBreakBefore w:val="0"/>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价格分统一采用低价优先法计算，即满足</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文件要求且最后报价最低的供应商的价格为基准价，其价格分为满分。其他供应商的价格分统一按照下列公式计算：</w:t>
            </w:r>
          </w:p>
          <w:p>
            <w:pPr>
              <w:pageBreakBefore w:val="0"/>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报价得分=(基准价/</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报价)×</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0分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项目评审过程中，不得去掉最后报价中的最高报价和最低报价。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6"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服务及硬件基础</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w:t>
            </w:r>
          </w:p>
        </w:tc>
        <w:tc>
          <w:tcPr>
            <w:tcW w:w="6941" w:type="dxa"/>
            <w:noWrap w:val="0"/>
            <w:vAlign w:val="center"/>
          </w:tcPr>
          <w:p>
            <w:pPr>
              <w:pageBreakBefore w:val="0"/>
              <w:kinsoku/>
              <w:wordWrap/>
              <w:overflowPunct/>
              <w:topLinePunct w:val="0"/>
              <w:autoSpaceDE/>
              <w:autoSpaceDN/>
              <w:bidi w:val="0"/>
              <w:adjustRightInd/>
              <w:snapToGrid w:val="0"/>
              <w:spacing w:line="360" w:lineRule="auto"/>
              <w:ind w:firstLine="240"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本项目的硬件基础及服务需求，必须符合招标文件中技术参数及服务要求，全部响应招标文件技术要求及服务要求的，得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0分，打▲的项，每有一项负偏离扣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，扣完为止</w:t>
            </w:r>
            <w:r>
              <w:rPr>
                <w:rFonts w:hint="eastAsia" w:ascii="宋体" w:hAnsi="宋体" w:eastAsia="宋体" w:cs="宋体"/>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综合能力（9分）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投标人具有质量管理体系认证证书、环境管理体系认证证书、职业健康安全管理体系认证证书。以上证书每有一个得3分，最高得9分</w:t>
            </w:r>
            <w:r>
              <w:rPr>
                <w:rFonts w:hint="eastAsia" w:ascii="宋体" w:hAnsi="宋体" w:eastAsia="宋体" w:cs="宋体"/>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人员证书（9分）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项目负责人具有信息系统项目管理师证书的得3分；具有软件开发（中级）证书的得3分；具有数据库管理（高级）证书的得3分。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需提供相关证书及投标人为项目负责人在本单位2024年1月（含）以来至少1个月由投标单位为其缴纳的社保缴纳证明（加盖社保中心章或社保中心参保缴费证明电子专用章）；</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原件扫描件上传至投标文件中，否则不得分。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4"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整体设计方案</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对本项目的整体认知，总体构想,服务理念、管理目标。</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方案科学合理，内容全面，可操作性强：</w:t>
            </w:r>
            <w:r>
              <w:rPr>
                <w:rFonts w:hint="eastAsia" w:ascii="宋体" w:hAnsi="宋体" w:eastAsia="宋体" w:cs="宋体"/>
                <w:sz w:val="24"/>
                <w:szCs w:val="24"/>
                <w:highlight w:val="none"/>
                <w:lang w:val="en-US" w:eastAsia="zh-CN"/>
              </w:rPr>
              <w:t>6.1-8</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方案较为科学合理，内容较为全面，具有较强可操作性：</w:t>
            </w:r>
            <w:r>
              <w:rPr>
                <w:rFonts w:hint="eastAsia" w:ascii="宋体" w:hAnsi="宋体" w:eastAsia="宋体" w:cs="宋体"/>
                <w:sz w:val="24"/>
                <w:szCs w:val="24"/>
                <w:highlight w:val="none"/>
                <w:lang w:val="en-US" w:eastAsia="zh-CN"/>
              </w:rPr>
              <w:t>3.1-6</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方案不合理，内容不全面，可行性</w:t>
            </w:r>
            <w:r>
              <w:rPr>
                <w:rFonts w:hint="eastAsia" w:ascii="宋体" w:hAnsi="宋体" w:eastAsia="宋体" w:cs="宋体"/>
                <w:sz w:val="24"/>
                <w:szCs w:val="24"/>
                <w:highlight w:val="none"/>
                <w:lang w:eastAsia="zh-CN"/>
              </w:rPr>
              <w:t>较</w:t>
            </w:r>
            <w:r>
              <w:rPr>
                <w:rFonts w:hint="eastAsia" w:ascii="宋体" w:hAnsi="宋体" w:eastAsia="宋体" w:cs="宋体"/>
                <w:sz w:val="24"/>
                <w:szCs w:val="24"/>
                <w:highlight w:val="none"/>
              </w:rPr>
              <w:t>差：</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4"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企业业绩（10分）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提供2021年1月以来承接过智能化、信息化类业绩，每提供一个得2分，最高得10分。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提供合同扫描件上传投标文件。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3"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实施能力</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项目实施方案规范、完整、合理，由评委依据</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提供的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文件中关于项目实施方案中项目实施规划、时序进度安排等方面内容的完整性和合理程度打分。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实施方案完整</w:t>
            </w:r>
            <w:r>
              <w:rPr>
                <w:rFonts w:hint="eastAsia" w:ascii="宋体" w:hAnsi="宋体" w:eastAsia="宋体" w:cs="宋体"/>
                <w:sz w:val="24"/>
                <w:szCs w:val="24"/>
                <w:highlight w:val="none"/>
                <w:lang w:eastAsia="zh-CN"/>
              </w:rPr>
              <w:t>可行</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6.1-8</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实施方案较完整</w:t>
            </w:r>
            <w:r>
              <w:rPr>
                <w:rFonts w:hint="eastAsia" w:ascii="宋体" w:hAnsi="宋体" w:eastAsia="宋体" w:cs="宋体"/>
                <w:sz w:val="24"/>
                <w:szCs w:val="24"/>
                <w:highlight w:val="none"/>
                <w:lang w:eastAsia="zh-CN"/>
              </w:rPr>
              <w:t>可行</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3.1-6</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实施方案一般，得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未见阐述不得分的。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8" w:hRule="atLeast"/>
          <w:jc w:val="center"/>
        </w:trPr>
        <w:tc>
          <w:tcPr>
            <w:tcW w:w="2417"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售后服务</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文件提供维护服务保障体系和完整合理的售后服务方案，售后服务方案中需包含服务机构、服务内容、响应时间、故障处理、恢复时效、人员车辆配备、支撑保障等内容。</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方案完全响应、措施</w:t>
            </w:r>
            <w:r>
              <w:rPr>
                <w:rFonts w:hint="eastAsia" w:ascii="宋体" w:hAnsi="宋体" w:eastAsia="宋体" w:cs="宋体"/>
                <w:sz w:val="24"/>
                <w:szCs w:val="24"/>
                <w:highlight w:val="none"/>
                <w:lang w:eastAsia="zh-CN"/>
              </w:rPr>
              <w:t>合理可行</w:t>
            </w:r>
            <w:r>
              <w:rPr>
                <w:rFonts w:hint="eastAsia" w:ascii="宋体" w:hAnsi="宋体" w:eastAsia="宋体" w:cs="宋体"/>
                <w:sz w:val="24"/>
                <w:szCs w:val="24"/>
                <w:highlight w:val="none"/>
              </w:rPr>
              <w:t>的，得</w:t>
            </w:r>
            <w:r>
              <w:rPr>
                <w:rFonts w:hint="eastAsia" w:ascii="宋体" w:hAnsi="宋体" w:eastAsia="宋体" w:cs="宋体"/>
                <w:sz w:val="24"/>
                <w:szCs w:val="24"/>
                <w:highlight w:val="none"/>
                <w:lang w:val="en-US" w:eastAsia="zh-CN"/>
              </w:rPr>
              <w:t>6.1-8</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方案部分响应、措施</w:t>
            </w:r>
            <w:r>
              <w:rPr>
                <w:rFonts w:hint="eastAsia" w:ascii="宋体" w:hAnsi="宋体" w:eastAsia="宋体" w:cs="宋体"/>
                <w:sz w:val="24"/>
                <w:szCs w:val="24"/>
                <w:highlight w:val="none"/>
                <w:lang w:eastAsia="zh-CN"/>
              </w:rPr>
              <w:t>较合理可行</w:t>
            </w:r>
            <w:r>
              <w:rPr>
                <w:rFonts w:hint="eastAsia" w:ascii="宋体" w:hAnsi="宋体" w:eastAsia="宋体" w:cs="宋体"/>
                <w:sz w:val="24"/>
                <w:szCs w:val="24"/>
                <w:highlight w:val="none"/>
              </w:rPr>
              <w:t>的，得</w:t>
            </w:r>
            <w:r>
              <w:rPr>
                <w:rFonts w:hint="eastAsia" w:ascii="宋体" w:hAnsi="宋体" w:eastAsia="宋体" w:cs="宋体"/>
                <w:sz w:val="24"/>
                <w:szCs w:val="24"/>
                <w:highlight w:val="none"/>
                <w:lang w:val="en-US" w:eastAsia="zh-CN"/>
              </w:rPr>
              <w:t>3.1-6</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方案措施一般的，得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未见阐述不得分</w:t>
            </w:r>
            <w:r>
              <w:rPr>
                <w:rFonts w:hint="eastAsia" w:ascii="宋体" w:hAnsi="宋体" w:eastAsia="宋体" w:cs="宋体"/>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8" w:hRule="atLeast"/>
          <w:jc w:val="center"/>
        </w:trPr>
        <w:tc>
          <w:tcPr>
            <w:tcW w:w="2417" w:type="dxa"/>
            <w:noWrap w:val="0"/>
            <w:vAlign w:val="center"/>
          </w:tcPr>
          <w:p>
            <w:pPr>
              <w:keepNext w:val="0"/>
              <w:keepLines w:val="0"/>
              <w:widowControl/>
              <w:suppressLineNumbers w:val="0"/>
              <w:jc w:val="left"/>
              <w:rPr>
                <w:sz w:val="24"/>
                <w:szCs w:val="24"/>
              </w:rPr>
            </w:pPr>
            <w:r>
              <w:rPr>
                <w:rFonts w:hint="eastAsia"/>
                <w:sz w:val="24"/>
                <w:szCs w:val="24"/>
                <w:lang w:val="en-US" w:eastAsia="zh-CN"/>
              </w:rPr>
              <w:t>培训方案</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（8分）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p>
        </w:tc>
        <w:tc>
          <w:tcPr>
            <w:tcW w:w="6941" w:type="dxa"/>
            <w:noWrap w:val="0"/>
            <w:vAlign w:val="center"/>
          </w:tcPr>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投标人提供培训方案，内容包含但不限于培训内容、培训计划及学时安排等：</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培训内容丰富，计划合理，形式多样，可操作性强的，得</w:t>
            </w:r>
            <w:r>
              <w:rPr>
                <w:rFonts w:hint="eastAsia" w:ascii="宋体" w:hAnsi="宋体" w:eastAsia="宋体" w:cs="宋体"/>
                <w:sz w:val="24"/>
                <w:szCs w:val="24"/>
                <w:highlight w:val="none"/>
                <w:lang w:val="en-US" w:eastAsia="zh-CN"/>
              </w:rPr>
              <w:t>6.1-8</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培训内容较丰富，计划合理性较好，形式较为丰富，可操作性较强的，得</w:t>
            </w:r>
            <w:r>
              <w:rPr>
                <w:rFonts w:hint="eastAsia" w:ascii="宋体" w:hAnsi="宋体" w:eastAsia="宋体" w:cs="宋体"/>
                <w:sz w:val="24"/>
                <w:szCs w:val="24"/>
                <w:highlight w:val="none"/>
                <w:lang w:val="en-US" w:eastAsia="zh-CN"/>
              </w:rPr>
              <w:t>3.1-6</w:t>
            </w:r>
            <w:r>
              <w:rPr>
                <w:rFonts w:hint="eastAsia" w:ascii="宋体" w:hAnsi="宋体" w:eastAsia="宋体" w:cs="宋体"/>
                <w:sz w:val="24"/>
                <w:szCs w:val="24"/>
                <w:highlight w:val="none"/>
              </w:rPr>
              <w:t>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培训内容简单，计划与形式单一，操作性一般，基本满足采购需求的，得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分；</w:t>
            </w:r>
          </w:p>
          <w:p>
            <w:pPr>
              <w:pageBreakBefore w:val="0"/>
              <w:kinsoku/>
              <w:wordWrap/>
              <w:overflowPunct/>
              <w:topLinePunct w:val="0"/>
              <w:autoSpaceDE/>
              <w:autoSpaceDN/>
              <w:bidi w:val="0"/>
              <w:adjustRightInd/>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该项未见阐述不得分。 </w:t>
            </w:r>
          </w:p>
        </w:tc>
      </w:tr>
    </w:tbl>
    <w:p>
      <w:pPr>
        <w:rPr>
          <w:rFonts w:hint="eastAsia" w:ascii="黑体" w:hAnsi="黑体" w:eastAsia="黑体"/>
          <w:b w:val="0"/>
        </w:rPr>
      </w:pPr>
      <w:bookmarkStart w:id="28" w:name="_GoBack"/>
      <w:bookmarkEnd w:id="28"/>
      <w:r>
        <w:rPr>
          <w:rFonts w:hint="eastAsia" w:ascii="黑体" w:hAnsi="黑体" w:eastAsia="黑体"/>
          <w:b w:val="0"/>
        </w:rPr>
        <w:br w:type="page"/>
      </w:r>
    </w:p>
    <w:p>
      <w:pPr>
        <w:pStyle w:val="2"/>
        <w:spacing w:beforeLines="50" w:afterLines="50" w:line="360" w:lineRule="auto"/>
        <w:jc w:val="center"/>
        <w:rPr>
          <w:rFonts w:ascii="黑体" w:hAnsi="黑体" w:eastAsia="黑体"/>
          <w:b w:val="0"/>
        </w:rPr>
      </w:pPr>
      <w:r>
        <w:rPr>
          <w:rFonts w:hint="eastAsia" w:ascii="黑体" w:hAnsi="黑体" w:eastAsia="黑体"/>
          <w:b w:val="0"/>
        </w:rPr>
        <w:t>第六章  投标文件格式</w:t>
      </w:r>
      <w:bookmarkEnd w:id="14"/>
    </w:p>
    <w:p>
      <w:pPr>
        <w:spacing w:line="500" w:lineRule="exact"/>
        <w:jc w:val="left"/>
        <w:rPr>
          <w:sz w:val="24"/>
          <w:szCs w:val="24"/>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pPr>
        <w:spacing w:line="440" w:lineRule="exact"/>
        <w:jc w:val="center"/>
        <w:rPr>
          <w:rFonts w:ascii="宋体" w:hAnsi="宋体" w:eastAsia="宋体" w:cs="Times New Roman"/>
          <w:b/>
          <w:bCs/>
          <w:color w:val="000000"/>
          <w:kern w:val="0"/>
          <w:sz w:val="32"/>
          <w:szCs w:val="32"/>
        </w:rPr>
      </w:pPr>
    </w:p>
    <w:p>
      <w:pPr>
        <w:spacing w:line="440" w:lineRule="exact"/>
        <w:rPr>
          <w:rFonts w:ascii="宋体" w:hAnsi="宋体" w:eastAsia="宋体" w:cs="Times New Roman"/>
          <w:color w:val="000000"/>
          <w:kern w:val="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r>
    </w:p>
    <w:p>
      <w:pPr>
        <w:keepNext/>
        <w:keepLines/>
        <w:spacing w:before="360" w:after="200" w:line="360" w:lineRule="auto"/>
        <w:jc w:val="left"/>
        <w:outlineLvl w:val="1"/>
        <w:rPr>
          <w:rFonts w:ascii="宋体" w:hAnsi="宋体" w:eastAsia="宋体" w:cs="宋体"/>
          <w:i/>
          <w:kern w:val="0"/>
          <w:sz w:val="36"/>
          <w:szCs w:val="36"/>
          <w:u w:val="single"/>
        </w:rPr>
      </w:pPr>
      <w:r>
        <w:rPr>
          <w:rFonts w:hint="eastAsia" w:ascii="宋体" w:hAnsi="宋体" w:eastAsia="宋体" w:cs="宋体"/>
          <w:i/>
          <w:kern w:val="0"/>
          <w:sz w:val="36"/>
          <w:szCs w:val="36"/>
          <w:u w:val="single"/>
        </w:rPr>
        <w:t>一、法人或者其他组织的营业执照等证明文件，自然人的身份证明</w:t>
      </w:r>
    </w:p>
    <w:p/>
    <w:p/>
    <w:p>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二、上一年度的财务状况报告</w:t>
      </w:r>
    </w:p>
    <w:p>
      <w:pPr>
        <w:spacing w:line="500" w:lineRule="exact"/>
        <w:ind w:firstLine="480" w:firstLineChars="200"/>
        <w:jc w:val="left"/>
        <w:rPr>
          <w:sz w:val="24"/>
          <w:szCs w:val="24"/>
        </w:rPr>
      </w:pPr>
      <w:r>
        <w:rPr>
          <w:rFonts w:hint="eastAsia"/>
          <w:sz w:val="24"/>
          <w:szCs w:val="24"/>
        </w:rPr>
        <w:t>（成立不满一年无需提供）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三、依法缴纳税收和社会保障资金的相关材料</w:t>
      </w:r>
    </w:p>
    <w:p>
      <w:pPr>
        <w:spacing w:line="500" w:lineRule="exact"/>
        <w:ind w:firstLine="480" w:firstLineChars="20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p/>
    <w:p>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pPr>
        <w:autoSpaceDE w:val="0"/>
        <w:autoSpaceDN w:val="0"/>
        <w:adjustRightInd w:val="0"/>
        <w:jc w:val="left"/>
        <w:rPr>
          <w:rFonts w:ascii="MS Mincho" w:hAnsi="Calibri" w:eastAsia="宋体" w:cs="Times New Roman"/>
          <w:color w:val="000000"/>
          <w:szCs w:val="24"/>
        </w:rPr>
      </w:pPr>
    </w:p>
    <w:p>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autoSpaceDE w:val="0"/>
        <w:autoSpaceDN w:val="0"/>
        <w:adjustRightInd w:val="0"/>
        <w:jc w:val="left"/>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jc w:val="left"/>
        <w:rPr>
          <w:rFonts w:ascii="MS Mincho" w:hAnsi="Calibri" w:eastAsia="宋体" w:cs="Times New Roman"/>
          <w:color w:val="000000"/>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pPr>
        <w:spacing w:line="360" w:lineRule="auto"/>
        <w:jc w:val="left"/>
        <w:rPr>
          <w:rFonts w:ascii="Times New Roman" w:hAnsi="Times New Roman" w:eastAsia="宋体" w:cs="Times New Roman"/>
          <w:color w:val="000000"/>
          <w:sz w:val="24"/>
          <w:szCs w:val="24"/>
        </w:rPr>
      </w:pPr>
    </w:p>
    <w:p>
      <w:pPr>
        <w:spacing w:line="360" w:lineRule="auto"/>
        <w:jc w:val="left"/>
        <w:rPr>
          <w:rFonts w:ascii="Times New Roman" w:hAnsi="Times New Roman" w:eastAsia="宋体" w:cs="Times New Roman"/>
          <w:color w:val="000000"/>
          <w:sz w:val="24"/>
          <w:szCs w:val="24"/>
        </w:rPr>
      </w:pP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六、法律、行政法规规定的其他条件的证明文件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七、落实政府采购政策需满足的资格要求的证明文件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八、特定资格要求的证明文件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九、授权委托书与法定代表人（单位负责人）身份证明</w:t>
      </w:r>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firstLineChars="200"/>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p/>
    <w:p>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pPr>
        <w:kinsoku w:val="0"/>
        <w:overflowPunct w:val="0"/>
        <w:spacing w:line="200" w:lineRule="exact"/>
        <w:rPr>
          <w:rFonts w:ascii="宋体" w:hAnsi="宋体" w:eastAsia="宋体" w:cs="Times New Roman"/>
          <w:sz w:val="20"/>
          <w:szCs w:val="20"/>
        </w:rPr>
      </w:pPr>
    </w:p>
    <w:p>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67"/>
        </w:tabs>
        <w:kinsoku w:val="0"/>
        <w:overflowPunct w:val="0"/>
        <w:spacing w:before="120" w:line="583" w:lineRule="auto"/>
        <w:ind w:right="4305"/>
        <w:rPr>
          <w:rFonts w:ascii="宋体" w:hAnsi="宋体" w:eastAsia="宋体" w:cs="Times New Roman"/>
          <w:spacing w:val="-3"/>
          <w:sz w:val="24"/>
          <w:szCs w:val="24"/>
        </w:rPr>
      </w:pP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pPr>
        <w:autoSpaceDE w:val="0"/>
        <w:autoSpaceDN w:val="0"/>
        <w:adjustRightInd w:val="0"/>
        <w:snapToGrid w:val="0"/>
        <w:spacing w:line="360" w:lineRule="auto"/>
        <w:rPr>
          <w:rFonts w:ascii="Calibri" w:hAnsi="Calibri" w:eastAsia="宋体" w:cs="Times New Roman"/>
          <w:sz w:val="24"/>
          <w:szCs w:val="24"/>
        </w:rPr>
      </w:pPr>
    </w:p>
    <w:p>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snapToGrid w:val="0"/>
        <w:spacing w:line="360" w:lineRule="auto"/>
        <w:rPr>
          <w:rFonts w:ascii="Calibri" w:hAnsi="Calibri" w:eastAsia="宋体" w:cs="Times New Roman"/>
          <w:sz w:val="24"/>
          <w:szCs w:val="24"/>
        </w:rPr>
      </w:pPr>
    </w:p>
    <w:p/>
    <w:p>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rPr>
        <w:t>十、投标函</w:t>
      </w:r>
    </w:p>
    <w:p>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pPr>
        <w:spacing w:line="500" w:lineRule="exact"/>
        <w:jc w:val="left"/>
        <w:rPr>
          <w:rFonts w:hint="eastAsia" w:ascii="宋体" w:hAnsi="宋体" w:eastAsia="宋体" w:cs="Times New Roman"/>
          <w:color w:val="000000"/>
          <w:kern w:val="0"/>
          <w:sz w:val="24"/>
          <w:szCs w:val="21"/>
          <w:lang w:eastAsia="zh-CN"/>
        </w:rPr>
      </w:pPr>
      <w:r>
        <w:rPr>
          <w:rFonts w:hint="eastAsia" w:ascii="宋体" w:hAnsi="宋体" w:eastAsia="宋体" w:cs="Times New Roman"/>
          <w:color w:val="000000"/>
          <w:kern w:val="0"/>
          <w:sz w:val="24"/>
          <w:szCs w:val="21"/>
        </w:rPr>
        <w:t>致：</w:t>
      </w:r>
      <w:r>
        <w:rPr>
          <w:rFonts w:hint="eastAsia" w:ascii="宋体" w:hAnsi="宋体" w:eastAsia="宋体" w:cs="Times New Roman"/>
          <w:color w:val="000000"/>
          <w:kern w:val="0"/>
          <w:sz w:val="24"/>
          <w:szCs w:val="21"/>
          <w:lang w:eastAsia="zh-CN"/>
        </w:rPr>
        <w:t>东海县政府采购中心</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根据贵方的JSZC-_________________号招标文件，正式授权下述签字人_________________(姓名)代表我方______________（投标人的名称），全权处理本次项目投标的有关事宜。</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1.按招标文件规定的各项要求，向买方提供所需服务（包含与服务相关的货物、工程）。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十一、中小企业声明函（服务）（分包号：**）</w:t>
      </w:r>
    </w:p>
    <w:p>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（单位名称）</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w:t>
      </w:r>
      <w:r>
        <w:rPr>
          <w:rFonts w:ascii="宋体" w:hAnsi="宋体"/>
          <w:sz w:val="24"/>
        </w:rPr>
        <w:t>服务全部由符合政策要求的中小企业承接。</w:t>
      </w:r>
    </w:p>
    <w:p>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single"/>
        </w:rPr>
        <w:t>（标的名称）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pPr>
        <w:spacing w:line="560" w:lineRule="exact"/>
        <w:ind w:right="1620"/>
        <w:rPr>
          <w:rFonts w:ascii="宋体" w:hAnsi="宋体" w:eastAsia="宋体" w:cs="Times New Roman"/>
          <w:color w:val="000000"/>
          <w:kern w:val="0"/>
          <w:sz w:val="24"/>
          <w:szCs w:val="24"/>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十二、残疾人福利性单位声明函（分包号：**）</w:t>
      </w:r>
    </w:p>
    <w:p>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）采购活动由本单位提供全部服务。</w:t>
      </w:r>
    </w:p>
    <w:p>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pPr>
        <w:spacing w:line="500" w:lineRule="exact"/>
        <w:ind w:firstLine="480" w:firstLineChars="200"/>
        <w:rPr>
          <w:rFonts w:ascii="宋体" w:hAnsi="宋体" w:eastAsia="宋体" w:cs="Times New Roman"/>
          <w:color w:val="000000"/>
          <w:kern w:val="0"/>
          <w:sz w:val="24"/>
          <w:szCs w:val="21"/>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
    <w:p>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十三、联合体协议（参考格式）（分包号：**）</w:t>
      </w:r>
    </w:p>
    <w:p>
      <w:pPr>
        <w:tabs>
          <w:tab w:val="left" w:pos="360"/>
        </w:tabs>
        <w:spacing w:line="360" w:lineRule="auto"/>
        <w:jc w:val="center"/>
        <w:rPr>
          <w:rFonts w:ascii="宋体" w:hAnsi="宋体" w:eastAsia="宋体" w:cs="Times New Roman"/>
          <w:color w:val="000000"/>
          <w:kern w:val="0"/>
          <w:sz w:val="24"/>
          <w:szCs w:val="21"/>
          <w:u w:val="single"/>
        </w:rPr>
      </w:pPr>
      <w:r>
        <w:rPr>
          <w:rFonts w:hint="eastAsia" w:ascii="黑体" w:hAnsi="黑体" w:eastAsia="黑体" w:cs="宋体"/>
          <w:bCs/>
          <w:sz w:val="36"/>
          <w:szCs w:val="28"/>
        </w:rPr>
        <w:t>联合体协议</w:t>
      </w:r>
    </w:p>
    <w:p>
      <w:pPr>
        <w:spacing w:line="500" w:lineRule="exac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u w:val="single"/>
        </w:rPr>
        <w:t>（联合体中各供应商全称）</w:t>
      </w:r>
      <w:r>
        <w:rPr>
          <w:rFonts w:hint="eastAsia" w:ascii="宋体" w:hAnsi="宋体" w:eastAsia="宋体" w:cs="Times New Roman"/>
          <w:color w:val="000000"/>
          <w:kern w:val="0"/>
          <w:sz w:val="24"/>
          <w:szCs w:val="21"/>
        </w:rPr>
        <w:t>在此达成以下协议：</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1</w:t>
      </w:r>
      <w:r>
        <w:rPr>
          <w:rFonts w:hint="eastAsia" w:ascii="宋体" w:hAnsi="宋体" w:eastAsia="宋体" w:cs="Times New Roman"/>
          <w:color w:val="000000"/>
          <w:kern w:val="0"/>
          <w:sz w:val="24"/>
          <w:szCs w:val="21"/>
        </w:rPr>
        <w:t>、我们</w:t>
      </w:r>
      <w:r>
        <w:rPr>
          <w:rFonts w:hint="eastAsia" w:ascii="宋体" w:hAnsi="宋体" w:eastAsia="宋体" w:cs="Times New Roman"/>
          <w:color w:val="000000"/>
          <w:kern w:val="0"/>
          <w:sz w:val="24"/>
          <w:szCs w:val="21"/>
          <w:u w:val="single"/>
        </w:rPr>
        <w:t xml:space="preserve"> （供应商1），（供应商2） ，</w:t>
      </w:r>
      <w:r>
        <w:rPr>
          <w:rFonts w:ascii="宋体" w:hAnsi="宋体" w:eastAsia="宋体" w:cs="Times New Roman"/>
          <w:color w:val="000000"/>
          <w:kern w:val="0"/>
          <w:sz w:val="24"/>
          <w:szCs w:val="21"/>
          <w:u w:val="single"/>
        </w:rPr>
        <w:t>……</w:t>
      </w:r>
      <w:r>
        <w:rPr>
          <w:rFonts w:hint="eastAsia" w:ascii="宋体" w:hAnsi="宋体" w:eastAsia="宋体" w:cs="Times New Roman"/>
          <w:color w:val="000000"/>
          <w:kern w:val="0"/>
          <w:sz w:val="24"/>
          <w:szCs w:val="21"/>
        </w:rPr>
        <w:t>自愿组成联合体，参加</w:t>
      </w:r>
      <w:r>
        <w:rPr>
          <w:rFonts w:hint="eastAsia" w:ascii="宋体" w:hAnsi="宋体" w:eastAsia="宋体" w:cs="Times New Roman"/>
          <w:color w:val="000000"/>
          <w:kern w:val="0"/>
          <w:sz w:val="24"/>
          <w:szCs w:val="24"/>
          <w:lang w:eastAsia="zh-CN"/>
        </w:rPr>
        <w:t>东海县政府采购中心</w:t>
      </w:r>
      <w:r>
        <w:rPr>
          <w:rFonts w:hint="eastAsia" w:ascii="宋体" w:hAnsi="宋体" w:eastAsia="宋体" w:cs="Times New Roman"/>
          <w:color w:val="000000"/>
          <w:kern w:val="0"/>
          <w:sz w:val="24"/>
          <w:szCs w:val="21"/>
        </w:rPr>
        <w:t>组织的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1"/>
        </w:rPr>
        <w:t>的政府采购活动，我联合体指定</w:t>
      </w:r>
      <w:r>
        <w:rPr>
          <w:rFonts w:hint="eastAsia" w:ascii="宋体" w:hAnsi="宋体" w:eastAsia="宋体" w:cs="Times New Roman"/>
          <w:color w:val="000000"/>
          <w:kern w:val="0"/>
          <w:sz w:val="24"/>
          <w:szCs w:val="21"/>
          <w:u w:val="single"/>
        </w:rPr>
        <w:t>（供应商*）</w:t>
      </w:r>
      <w:r>
        <w:rPr>
          <w:rFonts w:hint="eastAsia" w:ascii="宋体" w:hAnsi="宋体" w:eastAsia="宋体" w:cs="Times New Roman"/>
          <w:color w:val="000000"/>
          <w:kern w:val="0"/>
          <w:sz w:val="24"/>
          <w:szCs w:val="21"/>
        </w:rPr>
        <w:t>为牵头单位（牵头单位必须为联合体成员）。</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2</w:t>
      </w:r>
      <w:r>
        <w:rPr>
          <w:rFonts w:hint="eastAsia" w:ascii="宋体" w:hAnsi="宋体" w:eastAsia="宋体" w:cs="Times New Roman"/>
          <w:color w:val="000000"/>
          <w:kern w:val="0"/>
          <w:sz w:val="24"/>
          <w:szCs w:val="21"/>
        </w:rPr>
        <w:t>、若我们联合中标、成交，</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1</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2</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部分工作，并承担相应的责任……。（注：联合体中各供应商都应明示所承担的工作和相应的责任）。</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3</w:t>
      </w:r>
      <w:r>
        <w:rPr>
          <w:rFonts w:hint="eastAsia" w:ascii="宋体" w:hAnsi="宋体" w:eastAsia="宋体" w:cs="Times New Roman"/>
          <w:color w:val="000000"/>
          <w:kern w:val="0"/>
          <w:sz w:val="24"/>
          <w:szCs w:val="21"/>
        </w:rPr>
        <w:t>、其中</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（小型、微型企业/残疾人福利性单位/监狱企业全称）为</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rPr>
        <w:t>%</w:t>
      </w:r>
      <w:r>
        <w:rPr>
          <w:rFonts w:hint="eastAsia" w:ascii="宋体" w:hAnsi="宋体" w:eastAsia="宋体" w:cs="Times New Roman"/>
          <w:color w:val="000000"/>
          <w:kern w:val="0"/>
          <w:sz w:val="24"/>
          <w:szCs w:val="21"/>
        </w:rPr>
        <w:t>。（可选）</w:t>
      </w:r>
    </w:p>
    <w:p>
      <w:pPr>
        <w:spacing w:line="500" w:lineRule="exact"/>
        <w:ind w:firstLine="480" w:firstLineChars="200"/>
        <w:rPr>
          <w:rFonts w:ascii="宋体" w:hAnsi="宋体" w:eastAsia="宋体" w:cs="Times New Roman"/>
          <w:color w:val="000000"/>
          <w:kern w:val="0"/>
          <w:sz w:val="24"/>
          <w:szCs w:val="21"/>
        </w:rPr>
      </w:pP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 xml:space="preserve">                   </w:t>
      </w:r>
      <w:r>
        <w:rPr>
          <w:rFonts w:hint="eastAsia"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供应商1全称（公章）：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供应商2全称（公章）：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pPr>
        <w:spacing w:line="360" w:lineRule="auto"/>
        <w:ind w:firstLine="480" w:firstLineChars="200"/>
        <w:rPr>
          <w:rFonts w:ascii="宋体" w:hAnsi="宋体" w:eastAsia="宋体" w:cs="Times New Roman"/>
          <w:sz w:val="24"/>
          <w:szCs w:val="24"/>
        </w:rPr>
      </w:pPr>
    </w:p>
    <w:p>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w:t>
      </w:r>
    </w:p>
    <w:p>
      <w:pPr>
        <w:spacing w:line="500" w:lineRule="exact"/>
        <w:ind w:firstLine="480" w:firstLineChars="200"/>
        <w:rPr>
          <w:rFonts w:ascii="宋体" w:hAnsi="宋体" w:eastAsia="宋体" w:cs="Times New Roman"/>
          <w:sz w:val="24"/>
          <w:szCs w:val="24"/>
        </w:rPr>
      </w:pPr>
    </w:p>
    <w:p>
      <w:pPr>
        <w:spacing w:line="500" w:lineRule="exact"/>
        <w:ind w:firstLine="480" w:firstLineChars="200"/>
      </w:pPr>
      <w:r>
        <w:rPr>
          <w:rFonts w:hint="eastAsia" w:ascii="宋体" w:hAnsi="宋体" w:eastAsia="宋体" w:cs="Times New Roman"/>
          <w:color w:val="000000"/>
          <w:kern w:val="0"/>
          <w:sz w:val="24"/>
          <w:szCs w:val="21"/>
        </w:rPr>
        <w:t>备注：本招标文件中要求加盖公章的内容，仅需加盖牵头单位的公章。</w:t>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十四、投标分项报价表（分包号：**）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7"/>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98" w:hRule="atLeast"/>
          <w:jc w:val="center"/>
        </w:trPr>
        <w:tc>
          <w:tcPr>
            <w:tcW w:w="896" w:type="dxa"/>
            <w:vAlign w:val="center"/>
          </w:tcPr>
          <w:p>
            <w:pPr>
              <w:spacing w:line="560" w:lineRule="exact"/>
              <w:jc w:val="center"/>
              <w:rPr>
                <w:rFonts w:ascii="宋体" w:hAnsi="宋体"/>
                <w:color w:val="000000"/>
                <w:sz w:val="24"/>
              </w:rPr>
            </w:pPr>
            <w:r>
              <w:rPr>
                <w:rFonts w:hint="eastAsia" w:ascii="宋体" w:hAnsi="宋体"/>
                <w:color w:val="000000"/>
                <w:sz w:val="24"/>
              </w:rPr>
              <w:t>序号</w:t>
            </w:r>
          </w:p>
        </w:tc>
        <w:tc>
          <w:tcPr>
            <w:tcW w:w="1756" w:type="dxa"/>
            <w:vAlign w:val="center"/>
          </w:tcPr>
          <w:p>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vAlign w:val="center"/>
          </w:tcPr>
          <w:p>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vAlign w:val="center"/>
          </w:tcPr>
          <w:p>
            <w:pPr>
              <w:spacing w:line="560" w:lineRule="exact"/>
              <w:jc w:val="center"/>
              <w:rPr>
                <w:rFonts w:ascii="宋体" w:hAnsi="宋体"/>
                <w:color w:val="000000"/>
                <w:sz w:val="24"/>
              </w:rPr>
            </w:pPr>
            <w:r>
              <w:rPr>
                <w:rFonts w:hint="eastAsia" w:ascii="宋体" w:hAnsi="宋体"/>
                <w:color w:val="000000"/>
                <w:sz w:val="24"/>
              </w:rPr>
              <w:t>数量</w:t>
            </w:r>
          </w:p>
        </w:tc>
        <w:tc>
          <w:tcPr>
            <w:tcW w:w="1093" w:type="dxa"/>
            <w:vAlign w:val="center"/>
          </w:tcPr>
          <w:p>
            <w:pPr>
              <w:spacing w:line="560" w:lineRule="exact"/>
              <w:jc w:val="center"/>
              <w:rPr>
                <w:rFonts w:ascii="宋体" w:hAnsi="宋体"/>
                <w:color w:val="000000"/>
                <w:sz w:val="24"/>
              </w:rPr>
            </w:pPr>
            <w:r>
              <w:rPr>
                <w:rFonts w:hint="eastAsia" w:ascii="宋体" w:hAnsi="宋体"/>
                <w:color w:val="000000"/>
                <w:sz w:val="24"/>
              </w:rPr>
              <w:t>单价</w:t>
            </w:r>
          </w:p>
        </w:tc>
        <w:tc>
          <w:tcPr>
            <w:tcW w:w="2350" w:type="dxa"/>
            <w:vAlign w:val="center"/>
          </w:tcPr>
          <w:p>
            <w:pPr>
              <w:spacing w:line="560" w:lineRule="exact"/>
              <w:jc w:val="center"/>
              <w:rPr>
                <w:rFonts w:ascii="宋体" w:hAnsi="宋体"/>
                <w:color w:val="000000"/>
                <w:sz w:val="24"/>
              </w:rPr>
            </w:pPr>
            <w:r>
              <w:rPr>
                <w:rFonts w:hint="eastAsia" w:ascii="宋体" w:hAnsi="宋体"/>
                <w:color w:val="000000"/>
                <w:sz w:val="24"/>
              </w:rPr>
              <w:t>单项</w:t>
            </w:r>
          </w:p>
          <w:p>
            <w:pPr>
              <w:spacing w:line="560" w:lineRule="exact"/>
              <w:jc w:val="center"/>
              <w:rPr>
                <w:rFonts w:ascii="宋体" w:hAnsi="宋体"/>
                <w:color w:val="000000"/>
                <w:sz w:val="24"/>
              </w:rPr>
            </w:pPr>
            <w:r>
              <w:rPr>
                <w:rFonts w:hint="eastAsia" w:ascii="宋体" w:hAnsi="宋体"/>
                <w:color w:val="000000"/>
                <w:sz w:val="24"/>
              </w:rPr>
              <w:t>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896" w:type="dxa"/>
            <w:vAlign w:val="center"/>
          </w:tcPr>
          <w:p>
            <w:pPr>
              <w:spacing w:line="560" w:lineRule="exact"/>
              <w:jc w:val="center"/>
              <w:rPr>
                <w:rFonts w:ascii="宋体" w:hAnsi="宋体"/>
                <w:color w:val="000000"/>
                <w:sz w:val="24"/>
              </w:rPr>
            </w:pPr>
          </w:p>
        </w:tc>
        <w:tc>
          <w:tcPr>
            <w:tcW w:w="1756" w:type="dxa"/>
            <w:vAlign w:val="center"/>
          </w:tcPr>
          <w:p>
            <w:pPr>
              <w:spacing w:line="560" w:lineRule="exact"/>
              <w:jc w:val="center"/>
              <w:rPr>
                <w:rFonts w:ascii="宋体" w:hAnsi="宋体"/>
                <w:color w:val="000000"/>
                <w:sz w:val="24"/>
              </w:rPr>
            </w:pPr>
          </w:p>
        </w:tc>
        <w:tc>
          <w:tcPr>
            <w:tcW w:w="1417" w:type="dxa"/>
            <w:vAlign w:val="center"/>
          </w:tcPr>
          <w:p>
            <w:pPr>
              <w:spacing w:line="560" w:lineRule="exact"/>
              <w:jc w:val="center"/>
              <w:rPr>
                <w:rFonts w:ascii="宋体" w:hAnsi="宋体"/>
                <w:color w:val="000000"/>
                <w:sz w:val="24"/>
              </w:rPr>
            </w:pPr>
          </w:p>
        </w:tc>
        <w:tc>
          <w:tcPr>
            <w:tcW w:w="993" w:type="dxa"/>
            <w:vAlign w:val="center"/>
          </w:tcPr>
          <w:p>
            <w:pPr>
              <w:spacing w:line="560" w:lineRule="exact"/>
              <w:jc w:val="center"/>
              <w:rPr>
                <w:rFonts w:ascii="宋体" w:hAnsi="宋体"/>
                <w:color w:val="000000"/>
                <w:sz w:val="24"/>
              </w:rPr>
            </w:pPr>
          </w:p>
        </w:tc>
        <w:tc>
          <w:tcPr>
            <w:tcW w:w="1093" w:type="dxa"/>
            <w:vAlign w:val="center"/>
          </w:tcPr>
          <w:p>
            <w:pPr>
              <w:spacing w:line="560" w:lineRule="exact"/>
              <w:jc w:val="center"/>
              <w:rPr>
                <w:rFonts w:ascii="宋体" w:hAnsi="宋体"/>
                <w:color w:val="000000"/>
                <w:sz w:val="24"/>
              </w:rPr>
            </w:pPr>
          </w:p>
        </w:tc>
        <w:tc>
          <w:tcPr>
            <w:tcW w:w="2350"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896" w:type="dxa"/>
            <w:vAlign w:val="center"/>
          </w:tcPr>
          <w:p>
            <w:pPr>
              <w:spacing w:line="560" w:lineRule="exact"/>
              <w:jc w:val="center"/>
              <w:rPr>
                <w:rFonts w:ascii="宋体" w:hAnsi="宋体"/>
                <w:color w:val="000000"/>
                <w:sz w:val="24"/>
              </w:rPr>
            </w:pPr>
          </w:p>
        </w:tc>
        <w:tc>
          <w:tcPr>
            <w:tcW w:w="1756" w:type="dxa"/>
            <w:vAlign w:val="center"/>
          </w:tcPr>
          <w:p>
            <w:pPr>
              <w:spacing w:line="560" w:lineRule="exact"/>
              <w:jc w:val="center"/>
              <w:rPr>
                <w:rFonts w:ascii="宋体" w:hAnsi="宋体"/>
                <w:color w:val="000000"/>
                <w:sz w:val="24"/>
              </w:rPr>
            </w:pPr>
          </w:p>
        </w:tc>
        <w:tc>
          <w:tcPr>
            <w:tcW w:w="1417" w:type="dxa"/>
            <w:vAlign w:val="center"/>
          </w:tcPr>
          <w:p>
            <w:pPr>
              <w:spacing w:line="560" w:lineRule="exact"/>
              <w:jc w:val="center"/>
              <w:rPr>
                <w:rFonts w:ascii="宋体" w:hAnsi="宋体"/>
                <w:color w:val="000000"/>
                <w:sz w:val="24"/>
              </w:rPr>
            </w:pPr>
          </w:p>
        </w:tc>
        <w:tc>
          <w:tcPr>
            <w:tcW w:w="993" w:type="dxa"/>
            <w:vAlign w:val="center"/>
          </w:tcPr>
          <w:p>
            <w:pPr>
              <w:spacing w:line="560" w:lineRule="exact"/>
              <w:jc w:val="center"/>
              <w:rPr>
                <w:rFonts w:ascii="宋体" w:hAnsi="宋体"/>
                <w:color w:val="000000"/>
                <w:sz w:val="24"/>
              </w:rPr>
            </w:pPr>
          </w:p>
        </w:tc>
        <w:tc>
          <w:tcPr>
            <w:tcW w:w="1093" w:type="dxa"/>
            <w:vAlign w:val="center"/>
          </w:tcPr>
          <w:p>
            <w:pPr>
              <w:spacing w:line="560" w:lineRule="exact"/>
              <w:jc w:val="center"/>
              <w:rPr>
                <w:rFonts w:ascii="宋体" w:hAnsi="宋体"/>
                <w:color w:val="000000"/>
                <w:sz w:val="24"/>
              </w:rPr>
            </w:pPr>
          </w:p>
        </w:tc>
        <w:tc>
          <w:tcPr>
            <w:tcW w:w="2350"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896" w:type="dxa"/>
            <w:vAlign w:val="center"/>
          </w:tcPr>
          <w:p>
            <w:pPr>
              <w:spacing w:line="560" w:lineRule="exact"/>
              <w:jc w:val="center"/>
              <w:rPr>
                <w:rFonts w:ascii="宋体" w:hAnsi="宋体"/>
                <w:color w:val="000000"/>
                <w:sz w:val="24"/>
              </w:rPr>
            </w:pPr>
          </w:p>
        </w:tc>
        <w:tc>
          <w:tcPr>
            <w:tcW w:w="1756" w:type="dxa"/>
            <w:vAlign w:val="center"/>
          </w:tcPr>
          <w:p>
            <w:pPr>
              <w:spacing w:line="560" w:lineRule="exact"/>
              <w:jc w:val="center"/>
              <w:rPr>
                <w:rFonts w:ascii="宋体" w:hAnsi="宋体"/>
                <w:color w:val="000000"/>
                <w:sz w:val="24"/>
              </w:rPr>
            </w:pPr>
          </w:p>
        </w:tc>
        <w:tc>
          <w:tcPr>
            <w:tcW w:w="1417" w:type="dxa"/>
            <w:vAlign w:val="center"/>
          </w:tcPr>
          <w:p>
            <w:pPr>
              <w:spacing w:line="560" w:lineRule="exact"/>
              <w:jc w:val="center"/>
              <w:rPr>
                <w:rFonts w:ascii="宋体" w:hAnsi="宋体"/>
                <w:color w:val="000000"/>
                <w:sz w:val="24"/>
              </w:rPr>
            </w:pPr>
          </w:p>
        </w:tc>
        <w:tc>
          <w:tcPr>
            <w:tcW w:w="993" w:type="dxa"/>
            <w:vAlign w:val="center"/>
          </w:tcPr>
          <w:p>
            <w:pPr>
              <w:spacing w:line="560" w:lineRule="exact"/>
              <w:jc w:val="center"/>
              <w:rPr>
                <w:rFonts w:ascii="宋体" w:hAnsi="宋体"/>
                <w:color w:val="000000"/>
                <w:sz w:val="24"/>
              </w:rPr>
            </w:pPr>
          </w:p>
        </w:tc>
        <w:tc>
          <w:tcPr>
            <w:tcW w:w="1093" w:type="dxa"/>
            <w:vAlign w:val="center"/>
          </w:tcPr>
          <w:p>
            <w:pPr>
              <w:spacing w:line="560" w:lineRule="exact"/>
              <w:jc w:val="center"/>
              <w:rPr>
                <w:rFonts w:ascii="宋体" w:hAnsi="宋体"/>
                <w:color w:val="000000"/>
                <w:sz w:val="24"/>
              </w:rPr>
            </w:pPr>
          </w:p>
        </w:tc>
        <w:tc>
          <w:tcPr>
            <w:tcW w:w="2350"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6155" w:type="dxa"/>
            <w:gridSpan w:val="5"/>
            <w:vAlign w:val="center"/>
          </w:tcPr>
          <w:p>
            <w:pPr>
              <w:spacing w:line="560" w:lineRule="exact"/>
              <w:jc w:val="center"/>
              <w:rPr>
                <w:rFonts w:ascii="宋体" w:hAnsi="宋体"/>
                <w:color w:val="000000"/>
                <w:sz w:val="24"/>
              </w:rPr>
            </w:pPr>
            <w:r>
              <w:rPr>
                <w:rFonts w:hint="eastAsia" w:ascii="宋体" w:hAnsi="宋体"/>
                <w:color w:val="000000"/>
                <w:sz w:val="24"/>
              </w:rPr>
              <w:t>总计（元）</w:t>
            </w:r>
          </w:p>
        </w:tc>
        <w:tc>
          <w:tcPr>
            <w:tcW w:w="2350" w:type="dxa"/>
            <w:vAlign w:val="center"/>
          </w:tcPr>
          <w:p>
            <w:pPr>
              <w:spacing w:line="560" w:lineRule="exact"/>
              <w:jc w:val="center"/>
              <w:rPr>
                <w:rFonts w:ascii="宋体" w:hAnsi="宋体"/>
                <w:color w:val="000000"/>
                <w:sz w:val="24"/>
              </w:rPr>
            </w:pPr>
          </w:p>
        </w:tc>
      </w:tr>
    </w:tbl>
    <w:p>
      <w:pPr>
        <w:spacing w:line="360" w:lineRule="auto"/>
        <w:ind w:firstLine="420" w:firstLineChars="200"/>
        <w:rPr>
          <w:rFonts w:ascii="Times New Roman" w:hAnsi="Times New Roman" w:eastAsia="宋体" w:cs="Times New Roman"/>
          <w:color w:val="000000"/>
          <w:szCs w:val="24"/>
        </w:rPr>
      </w:pP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pPr>
        <w:spacing w:line="500" w:lineRule="exact"/>
        <w:ind w:firstLine="480" w:firstLineChars="200"/>
        <w:rPr>
          <w:rFonts w:ascii="宋体" w:hAnsi="宋体" w:eastAsia="宋体" w:cs="Times New Roman"/>
          <w:color w:val="000000"/>
          <w:kern w:val="0"/>
          <w:sz w:val="24"/>
          <w:szCs w:val="24"/>
          <w:highlight w:val="yellow"/>
        </w:rPr>
      </w:pPr>
    </w:p>
    <w:p>
      <w:pPr>
        <w:spacing w:line="500" w:lineRule="exact"/>
        <w:ind w:firstLine="420" w:firstLineChars="200"/>
      </w:pP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十五、技术要求响应及偏离表（分包号：**）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0"/>
        <w:gridCol w:w="6147"/>
        <w:gridCol w:w="791"/>
        <w:gridCol w:w="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招标文件要求</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投标响应情况</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超出、符合或偏离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51"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▲3.风向：准确度 ±2°、测量范围0～360°、分辨率1°、启动风速≤0.5m/s；（提供功能截图证明，加盖投标人公章上传电子投标文件中。在上传的文件中用红线标明所需项，否则无效）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51"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数据显示及查询：配备数据显示屏，设备具备人机交互操作界面，实时显示监测数据，支持历史数据查询；（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51"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▲9.数据储存和传输：支持在线传输和本地存储。（提供功能截图证明，加盖投标人公章上传电子投标文件中。在上传的文件中用红线标明所需项，否则无效）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263"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▲10.通信方式及格式：数字通信（含三年信息费），支持MQTT、TCP、MODBUSTCP等多种信号传输方式，提供API接口；远程传输数据采用 5G/4G，或支持北斗通讯设备；（提供功能截图证明，加盖投标人公章上传电子投标文件中。在上传的文件中用红线标明所需项，否则无效）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▲12.静电放电抗干扰度试验：符合性能等级A（提供功能截图证明，加盖投标人公章上传电子投标文件中。在上传的文件中用红线标明所需项，否则无效）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▲13.浪涌(冲击)抗扰度试验：符合性能等级A（提供功能截图证明，加盖投标人公章上传电子投标文件中。在上传的文件中用红线标明所需项，否则无效）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51"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▲1、符合GB／T24689.6-2009 植物保护机械农林小气候信息采集系统标准，并提供第三方专业检测机构出具的检验报告扫描件加盖投标人公章上传电子投标文件中。在上传的检测报告中用红线标明所需项，否则无效。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263"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▲2、符合GB/T 25000.51-2016 系统与软件工程 系统与软件质量要求和评价（SQuaRE） 第51部分。就绪可用软件产品（RUSP）的质量要求和测试细则并提供第三方专业检测机构出具的检验报告扫描件加盖投标人公章上传电子投标文件中。在上传的检测报告中用红线标明所需项，否则无效。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887"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在指定条件下使用时，产品或系统提供满足明确和隐含要求的功能的程度。可实现在同一屏幕实时显示采集数据，包括。土壤温度、土壤湿度、土壤氮磷钾传感器、植物茎秆传感器探头具有一致性，不同土壤参数的传感器接口可以互换，不影响精度。并提供第三方专业检测机构出具的检验报告扫描件加盖投标人公章上传电子投标文件中。在上传的检测报告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▲规格：1U，内存大小≥4G，硬盘容量≥64G SSD，接口≥6千兆电口，≥2千兆光口SFP。电口ByPass≥1对</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▲网络层吞吐量≥3G，应用层吞吐量≥600M，防病毒吞吐量≥300M，IPS吞吐量≥200M，并发连接数≥100万，HTTP新建连接数≥2万，</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2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▲产品内置不低于13000种漏洞规则，同时支持在控制台界面通过漏洞ID、漏洞名称、危险等级、漏洞CVE标识、漏洞描述等条件查询漏洞特征信息，支持用户自定义IPS规则（提供功能截图证明</w:t>
            </w:r>
            <w:r>
              <w:rPr>
                <w:rStyle w:val="37"/>
                <w:lang w:val="en-US" w:eastAsia="zh-CN" w:bidi="ar"/>
              </w:rPr>
              <w:t>,加盖投标人公章上传电子投标文件中。在上传的文件中用红线标明所需项，否则无效）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27"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▲产品支持勒索病毒检测与防御功能，（需提供产品功能截图证明并提供第三方专业检测机构出具关于“勒索病毒”的证书或检测报告证明功能有效性，</w:t>
            </w:r>
            <w:r>
              <w:rPr>
                <w:rStyle w:val="37"/>
                <w:lang w:val="en-US" w:eastAsia="zh-CN" w:bidi="ar"/>
              </w:rPr>
              <w:t>,加盖投标人公章上传电子投标文件中。在上传的文件中用红线标明所需项，否则无效）。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27"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▲产品支持僵尸主机检测功能，产品内置僵尸网络特征库超过128万种，可识别主机的异常外联行为。（提供功能截图证明，</w:t>
            </w:r>
            <w:r>
              <w:rPr>
                <w:rStyle w:val="37"/>
                <w:lang w:val="en-US" w:eastAsia="zh-CN" w:bidi="ar"/>
              </w:rPr>
              <w:t>,加盖投标人公章上传电子投标文件中。在上传的文件中用红线标明所需项，否则无效）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27"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▲产品支持策略生命周期管理功能，支持对安全策略修改的时间、原因、变更类型进行统一管理，便于策略的运维与管理。（需提供产品功能截图证明，</w:t>
            </w:r>
            <w:r>
              <w:rPr>
                <w:rStyle w:val="37"/>
                <w:lang w:val="en-US" w:eastAsia="zh-CN" w:bidi="ar"/>
              </w:rPr>
              <w:t>,加盖投标人公章上传电子投标文件中。在上传的文件中用红线标明所需项，否则无效）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239" w:hRule="atLeast"/>
        </w:trPr>
        <w:tc>
          <w:tcPr>
            <w:tcW w:w="79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614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▲产品需为前沿设备，能够扩展web应用防御功能，需支持Cookie攻击防护功能，并通过日志记录Cookie被篡改。（需提供具备CMA/CNAS标识的第三方检测报告，</w:t>
            </w:r>
            <w:r>
              <w:rPr>
                <w:rStyle w:val="37"/>
                <w:lang w:val="en-US" w:eastAsia="zh-CN" w:bidi="ar"/>
              </w:rPr>
              <w:t>,加盖投标人公章上传电子投标文件中。在上传的文件中用红线标明所需项，否则无效）。</w:t>
            </w: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791"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i/>
          <w:iCs/>
          <w:kern w:val="0"/>
          <w:sz w:val="36"/>
          <w:u w:val="single"/>
        </w:rPr>
      </w:pPr>
      <w:bookmarkStart w:id="15" w:name="_Hlt26955054"/>
      <w:bookmarkEnd w:id="15"/>
      <w:r>
        <w:rPr>
          <w:rFonts w:hint="eastAsia" w:ascii="Arial" w:hAnsi="Arial" w:eastAsia="宋体" w:cs="Arial"/>
          <w:i/>
          <w:iCs/>
          <w:kern w:val="0"/>
          <w:sz w:val="36"/>
          <w:u w:val="single"/>
        </w:rPr>
        <w:t>十六、商务要求响应及偏离表（分包号：**）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17" w:type="dxa"/>
            <w:vAlign w:val="center"/>
          </w:tcPr>
          <w:p>
            <w:pPr>
              <w:jc w:val="center"/>
              <w:rPr>
                <w:rFonts w:ascii="宋体" w:hAnsi="宋体" w:eastAsia="宋体" w:cs="Times New Roman"/>
                <w:color w:val="000000"/>
                <w:kern w:val="0"/>
                <w:sz w:val="24"/>
                <w:szCs w:val="24"/>
              </w:rPr>
            </w:pPr>
            <w:bookmarkStart w:id="16" w:name="_Hlt24879081"/>
            <w:bookmarkEnd w:id="16"/>
            <w:bookmarkStart w:id="17" w:name="_Hlt26782999"/>
            <w:bookmarkEnd w:id="17"/>
            <w:bookmarkStart w:id="18" w:name="_Hlt26580838"/>
            <w:bookmarkEnd w:id="18"/>
            <w:bookmarkStart w:id="19" w:name="_Hlt26609391"/>
            <w:bookmarkEnd w:id="19"/>
            <w:bookmarkStart w:id="20" w:name="_Hlt26955056"/>
            <w:bookmarkEnd w:id="20"/>
            <w:bookmarkStart w:id="21" w:name="_Hlt26671343"/>
            <w:bookmarkEnd w:id="21"/>
            <w:bookmarkStart w:id="22" w:name="_Hlt26955064"/>
            <w:bookmarkEnd w:id="22"/>
            <w:bookmarkStart w:id="23" w:name="_Hlt26671372"/>
            <w:bookmarkEnd w:id="23"/>
            <w:r>
              <w:rPr>
                <w:rFonts w:hint="eastAsia" w:ascii="宋体" w:hAnsi="宋体" w:eastAsia="宋体" w:cs="Times New Roman"/>
                <w:color w:val="000000"/>
                <w:kern w:val="0"/>
                <w:sz w:val="24"/>
                <w:szCs w:val="24"/>
              </w:rPr>
              <w:t>序号</w:t>
            </w:r>
          </w:p>
        </w:tc>
        <w:tc>
          <w:tcPr>
            <w:tcW w:w="3263"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bookmarkStart w:id="24" w:name="_Hlt26955066"/>
      <w:bookmarkEnd w:id="24"/>
      <w:bookmarkStart w:id="25" w:name="_Hlt26671374"/>
      <w:bookmarkEnd w:id="25"/>
      <w:bookmarkStart w:id="26" w:name="_格式2__法定代表人授权书"/>
      <w:bookmarkEnd w:id="26"/>
      <w:bookmarkStart w:id="27" w:name="_Hlt26609389"/>
      <w:bookmarkEnd w:id="27"/>
    </w:p>
    <w:p>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十七、类似项目业绩一览表（分包号：**）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67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十八、项目团队人员一览表（分包号：**）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95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学历</w:t>
            </w:r>
          </w:p>
        </w:tc>
        <w:tc>
          <w:tcPr>
            <w:tcW w:w="1134" w:type="dxa"/>
            <w:vAlign w:val="center"/>
          </w:tcPr>
          <w:p>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年龄</w:t>
            </w:r>
          </w:p>
        </w:tc>
        <w:tc>
          <w:tcPr>
            <w:tcW w:w="160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根据项目需求、评分办法确定一览表格式</w:t>
            </w:r>
          </w:p>
        </w:tc>
        <w:tc>
          <w:tcPr>
            <w:tcW w:w="1134"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根据项目需求、评分办法确定一览表格式</w:t>
            </w:r>
          </w:p>
        </w:tc>
        <w:tc>
          <w:tcPr>
            <w:tcW w:w="160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p>
        </w:tc>
        <w:tc>
          <w:tcPr>
            <w:tcW w:w="1134" w:type="dxa"/>
            <w:vAlign w:val="center"/>
          </w:tcPr>
          <w:p>
            <w:pPr>
              <w:jc w:val="center"/>
              <w:rPr>
                <w:rFonts w:ascii="宋体" w:hAnsi="宋体" w:eastAsia="宋体" w:cs="Times New Roman"/>
                <w:color w:val="000000"/>
                <w:kern w:val="0"/>
                <w:sz w:val="24"/>
                <w:szCs w:val="24"/>
              </w:rPr>
            </w:pPr>
          </w:p>
        </w:tc>
        <w:tc>
          <w:tcPr>
            <w:tcW w:w="160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p>
        </w:tc>
        <w:tc>
          <w:tcPr>
            <w:tcW w:w="1134" w:type="dxa"/>
            <w:vAlign w:val="center"/>
          </w:tcPr>
          <w:p>
            <w:pPr>
              <w:jc w:val="center"/>
              <w:rPr>
                <w:rFonts w:ascii="宋体" w:hAnsi="宋体" w:eastAsia="宋体" w:cs="Times New Roman"/>
                <w:color w:val="000000"/>
                <w:kern w:val="0"/>
                <w:sz w:val="24"/>
                <w:szCs w:val="24"/>
              </w:rPr>
            </w:pPr>
          </w:p>
        </w:tc>
        <w:tc>
          <w:tcPr>
            <w:tcW w:w="160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p>
        </w:tc>
        <w:tc>
          <w:tcPr>
            <w:tcW w:w="1134" w:type="dxa"/>
            <w:vAlign w:val="center"/>
          </w:tcPr>
          <w:p>
            <w:pPr>
              <w:jc w:val="center"/>
              <w:rPr>
                <w:rFonts w:ascii="宋体" w:hAnsi="宋体" w:eastAsia="宋体" w:cs="Times New Roman"/>
                <w:color w:val="000000"/>
                <w:kern w:val="0"/>
                <w:sz w:val="24"/>
                <w:szCs w:val="24"/>
              </w:rPr>
            </w:pPr>
          </w:p>
        </w:tc>
        <w:tc>
          <w:tcPr>
            <w:tcW w:w="1601"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十九、开标一览表</w:t>
      </w:r>
    </w:p>
    <w:p>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项目编号：      分包号：</w:t>
      </w:r>
      <w:r>
        <w:rPr>
          <w:rFonts w:ascii="宋体" w:hAnsi="宋体" w:eastAsia="宋体" w:cs="Times New Roman"/>
          <w:bCs/>
          <w:color w:val="000000" w:themeColor="text1"/>
          <w:sz w:val="24"/>
          <w:szCs w:val="24"/>
          <w14:textFill>
            <w14:solidFill>
              <w14:schemeClr w14:val="tx1"/>
            </w14:solidFill>
          </w14:textFill>
        </w:rPr>
        <w:t xml:space="preserve"> </w:t>
      </w:r>
    </w:p>
    <w:p>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总价（大写）</w:t>
            </w:r>
          </w:p>
        </w:tc>
        <w:tc>
          <w:tcPr>
            <w:tcW w:w="5682" w:type="dxa"/>
            <w:gridSpan w:val="2"/>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（电子签章）</w:t>
      </w:r>
    </w:p>
    <w:p>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pPr>
        <w:widowControl/>
        <w:jc w:val="left"/>
        <w:rPr>
          <w:rFonts w:ascii="黑体" w:hAnsi="黑体" w:eastAsia="黑体" w:cs="仿宋"/>
          <w:bCs/>
          <w:color w:val="000000"/>
          <w:kern w:val="0"/>
          <w:sz w:val="40"/>
          <w:szCs w:val="32"/>
        </w:rPr>
      </w:pPr>
      <w:r>
        <w:rPr>
          <w:rFonts w:ascii="黑体" w:hAnsi="黑体" w:eastAsia="黑体" w:cs="仿宋"/>
          <w:bCs/>
          <w:color w:val="000000"/>
          <w:kern w:val="0"/>
          <w:sz w:val="40"/>
          <w:szCs w:val="32"/>
        </w:rPr>
        <w:br w:type="page"/>
      </w:r>
    </w:p>
    <w:p>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pPr>
        <w:widowControl/>
        <w:spacing w:line="500" w:lineRule="exact"/>
        <w:ind w:firstLine="480"/>
        <w:jc w:val="left"/>
        <w:rPr>
          <w:sz w:val="24"/>
          <w:szCs w:val="24"/>
        </w:rPr>
      </w:pPr>
      <w:r>
        <w:rPr>
          <w:rFonts w:hint="eastAsia" w:ascii="宋体" w:hAnsi="宋体" w:eastAsia="宋体" w:cs="Times New Roman"/>
          <w:b/>
          <w:color w:val="FF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S Mincho">
    <w:panose1 w:val="02020609040205080304"/>
    <w:charset w:val="80"/>
    <w:family w:val="modern"/>
    <w:pitch w:val="default"/>
    <w:sig w:usb0="E00002FF" w:usb1="6AC7FDFB" w:usb2="00000012" w:usb3="00000000" w:csb0="4002009F" w:csb1="DFD70000"/>
  </w:font>
  <w:font w:name="Segoe UI">
    <w:panose1 w:val="020B0502040204020203"/>
    <w:charset w:val="00"/>
    <w:family w:val="auto"/>
    <w:pitch w:val="default"/>
    <w:sig w:usb0="E10022FF" w:usb1="C000E47F" w:usb2="00000029" w:usb3="00000000" w:csb0="200001DF" w:csb1="20000000"/>
  </w:font>
  <w:font w:name="方正仿宋_GBK">
    <w:altName w:val="微软雅黑"/>
    <w:panose1 w:val="02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13"/>
          <w:jc w:val="center"/>
        </w:pPr>
        <w:r>
          <w:fldChar w:fldCharType="begin"/>
        </w:r>
        <w:r>
          <w:instrText xml:space="preserve"> PAGE   \* MERGEFORMAT </w:instrText>
        </w:r>
        <w:r>
          <w:fldChar w:fldCharType="separate"/>
        </w:r>
        <w:r>
          <w:rPr>
            <w:lang w:val="zh-CN"/>
          </w:rPr>
          <w:t>51</w:t>
        </w:r>
        <w:r>
          <w:rPr>
            <w:lang w:val="zh-CN"/>
          </w:rPr>
          <w:fldChar w:fldCharType="end"/>
        </w:r>
      </w:p>
    </w:sdtContent>
  </w:sdt>
  <w:p>
    <w:pPr>
      <w:pStyle w:val="1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3NGUwODUxOGEyYTUzNDlkZGNlN2Y2MjBkMThjODMifQ=="/>
  </w:docVars>
  <w:rsids>
    <w:rsidRoot w:val="00650ECF"/>
    <w:rsid w:val="00002C05"/>
    <w:rsid w:val="00011CFC"/>
    <w:rsid w:val="000159BD"/>
    <w:rsid w:val="00015CF7"/>
    <w:rsid w:val="00020927"/>
    <w:rsid w:val="00020FD1"/>
    <w:rsid w:val="000211B8"/>
    <w:rsid w:val="00021B04"/>
    <w:rsid w:val="00024114"/>
    <w:rsid w:val="0003007C"/>
    <w:rsid w:val="00031567"/>
    <w:rsid w:val="00033011"/>
    <w:rsid w:val="0004366C"/>
    <w:rsid w:val="00057588"/>
    <w:rsid w:val="00070AAE"/>
    <w:rsid w:val="00071225"/>
    <w:rsid w:val="000716E2"/>
    <w:rsid w:val="00073803"/>
    <w:rsid w:val="000743C9"/>
    <w:rsid w:val="00077E8F"/>
    <w:rsid w:val="00080423"/>
    <w:rsid w:val="00082324"/>
    <w:rsid w:val="00084128"/>
    <w:rsid w:val="00090007"/>
    <w:rsid w:val="00097D02"/>
    <w:rsid w:val="000A7B4F"/>
    <w:rsid w:val="000C17B1"/>
    <w:rsid w:val="000C4223"/>
    <w:rsid w:val="000D287C"/>
    <w:rsid w:val="000D291A"/>
    <w:rsid w:val="000D4092"/>
    <w:rsid w:val="000D4335"/>
    <w:rsid w:val="000D43A0"/>
    <w:rsid w:val="000D45F9"/>
    <w:rsid w:val="000F1308"/>
    <w:rsid w:val="001031C6"/>
    <w:rsid w:val="00106110"/>
    <w:rsid w:val="00111447"/>
    <w:rsid w:val="00111CE2"/>
    <w:rsid w:val="00111F90"/>
    <w:rsid w:val="0011455B"/>
    <w:rsid w:val="00117129"/>
    <w:rsid w:val="00121652"/>
    <w:rsid w:val="00122CA7"/>
    <w:rsid w:val="00124CDB"/>
    <w:rsid w:val="0013191C"/>
    <w:rsid w:val="00142933"/>
    <w:rsid w:val="001702E0"/>
    <w:rsid w:val="001707E4"/>
    <w:rsid w:val="001749ED"/>
    <w:rsid w:val="00175B2D"/>
    <w:rsid w:val="0018088B"/>
    <w:rsid w:val="00186AA1"/>
    <w:rsid w:val="001914FC"/>
    <w:rsid w:val="001952ED"/>
    <w:rsid w:val="001A49E9"/>
    <w:rsid w:val="001B3D99"/>
    <w:rsid w:val="001B4899"/>
    <w:rsid w:val="001D7BE0"/>
    <w:rsid w:val="001D7DDB"/>
    <w:rsid w:val="001E17F5"/>
    <w:rsid w:val="001E35B7"/>
    <w:rsid w:val="001E4BB8"/>
    <w:rsid w:val="001E5A8F"/>
    <w:rsid w:val="0021456E"/>
    <w:rsid w:val="00216C92"/>
    <w:rsid w:val="00223BDB"/>
    <w:rsid w:val="00231199"/>
    <w:rsid w:val="0023477A"/>
    <w:rsid w:val="00234E1E"/>
    <w:rsid w:val="002515E5"/>
    <w:rsid w:val="00260933"/>
    <w:rsid w:val="002610A2"/>
    <w:rsid w:val="00267064"/>
    <w:rsid w:val="00282558"/>
    <w:rsid w:val="00286CFF"/>
    <w:rsid w:val="0028730A"/>
    <w:rsid w:val="00293140"/>
    <w:rsid w:val="002945E0"/>
    <w:rsid w:val="0029572C"/>
    <w:rsid w:val="002B2B98"/>
    <w:rsid w:val="002B466D"/>
    <w:rsid w:val="002C3CBD"/>
    <w:rsid w:val="002C647D"/>
    <w:rsid w:val="002D11C9"/>
    <w:rsid w:val="002D1923"/>
    <w:rsid w:val="002D7D71"/>
    <w:rsid w:val="002E2567"/>
    <w:rsid w:val="002F3C10"/>
    <w:rsid w:val="002F47FB"/>
    <w:rsid w:val="00302BA1"/>
    <w:rsid w:val="003158B6"/>
    <w:rsid w:val="00322D61"/>
    <w:rsid w:val="00327788"/>
    <w:rsid w:val="00332D6B"/>
    <w:rsid w:val="00334AA7"/>
    <w:rsid w:val="00336AC5"/>
    <w:rsid w:val="003426AA"/>
    <w:rsid w:val="00345E0D"/>
    <w:rsid w:val="00347C08"/>
    <w:rsid w:val="00353551"/>
    <w:rsid w:val="0036088A"/>
    <w:rsid w:val="00360BE3"/>
    <w:rsid w:val="00382263"/>
    <w:rsid w:val="00386C9C"/>
    <w:rsid w:val="00391AB0"/>
    <w:rsid w:val="0039499C"/>
    <w:rsid w:val="003A2C9E"/>
    <w:rsid w:val="003A3904"/>
    <w:rsid w:val="003A3B18"/>
    <w:rsid w:val="003A4A0C"/>
    <w:rsid w:val="003A5F99"/>
    <w:rsid w:val="003A5FF9"/>
    <w:rsid w:val="003B4B92"/>
    <w:rsid w:val="003D0FBA"/>
    <w:rsid w:val="003D22E5"/>
    <w:rsid w:val="003D5BF3"/>
    <w:rsid w:val="003E14BC"/>
    <w:rsid w:val="003E71D1"/>
    <w:rsid w:val="003F293D"/>
    <w:rsid w:val="003F44C3"/>
    <w:rsid w:val="003F4CDD"/>
    <w:rsid w:val="003F69AF"/>
    <w:rsid w:val="003F78AF"/>
    <w:rsid w:val="00413435"/>
    <w:rsid w:val="00415E0B"/>
    <w:rsid w:val="00416A75"/>
    <w:rsid w:val="0042030A"/>
    <w:rsid w:val="004212EE"/>
    <w:rsid w:val="00424E21"/>
    <w:rsid w:val="00427293"/>
    <w:rsid w:val="00430426"/>
    <w:rsid w:val="00430519"/>
    <w:rsid w:val="00431E25"/>
    <w:rsid w:val="00440D9E"/>
    <w:rsid w:val="00444482"/>
    <w:rsid w:val="00445C9D"/>
    <w:rsid w:val="004534D2"/>
    <w:rsid w:val="00454D28"/>
    <w:rsid w:val="00456EC1"/>
    <w:rsid w:val="00465156"/>
    <w:rsid w:val="004710B1"/>
    <w:rsid w:val="00497CE5"/>
    <w:rsid w:val="004A6FB7"/>
    <w:rsid w:val="004B33F0"/>
    <w:rsid w:val="004B52A5"/>
    <w:rsid w:val="004C0170"/>
    <w:rsid w:val="004C3289"/>
    <w:rsid w:val="004D1F44"/>
    <w:rsid w:val="004D2123"/>
    <w:rsid w:val="004E5D03"/>
    <w:rsid w:val="004F36BE"/>
    <w:rsid w:val="004F3990"/>
    <w:rsid w:val="004F500D"/>
    <w:rsid w:val="004F70B7"/>
    <w:rsid w:val="00507C11"/>
    <w:rsid w:val="00526FBF"/>
    <w:rsid w:val="00540021"/>
    <w:rsid w:val="00547882"/>
    <w:rsid w:val="00554857"/>
    <w:rsid w:val="0056242B"/>
    <w:rsid w:val="00562EFF"/>
    <w:rsid w:val="005647D0"/>
    <w:rsid w:val="00573370"/>
    <w:rsid w:val="00573AA7"/>
    <w:rsid w:val="0058001B"/>
    <w:rsid w:val="00594993"/>
    <w:rsid w:val="005A1AEC"/>
    <w:rsid w:val="005A3219"/>
    <w:rsid w:val="005A5F55"/>
    <w:rsid w:val="005A7226"/>
    <w:rsid w:val="005C155C"/>
    <w:rsid w:val="005C1906"/>
    <w:rsid w:val="005D2770"/>
    <w:rsid w:val="005D6FCC"/>
    <w:rsid w:val="005D7B37"/>
    <w:rsid w:val="005E0657"/>
    <w:rsid w:val="005F397D"/>
    <w:rsid w:val="00607522"/>
    <w:rsid w:val="00613096"/>
    <w:rsid w:val="00626A6E"/>
    <w:rsid w:val="006376DA"/>
    <w:rsid w:val="00643A40"/>
    <w:rsid w:val="00650ECF"/>
    <w:rsid w:val="006619FE"/>
    <w:rsid w:val="00662BA9"/>
    <w:rsid w:val="00663D37"/>
    <w:rsid w:val="00686FBC"/>
    <w:rsid w:val="00690E88"/>
    <w:rsid w:val="00691D20"/>
    <w:rsid w:val="006A231C"/>
    <w:rsid w:val="006B2B3D"/>
    <w:rsid w:val="006B3B0D"/>
    <w:rsid w:val="006C10B6"/>
    <w:rsid w:val="006C5827"/>
    <w:rsid w:val="006E0A22"/>
    <w:rsid w:val="00700F8E"/>
    <w:rsid w:val="00716642"/>
    <w:rsid w:val="00716CE3"/>
    <w:rsid w:val="0071734E"/>
    <w:rsid w:val="00717CF6"/>
    <w:rsid w:val="00720764"/>
    <w:rsid w:val="0072492E"/>
    <w:rsid w:val="00726CC3"/>
    <w:rsid w:val="00740802"/>
    <w:rsid w:val="00744474"/>
    <w:rsid w:val="007445FA"/>
    <w:rsid w:val="00750CC6"/>
    <w:rsid w:val="007546DA"/>
    <w:rsid w:val="007609EB"/>
    <w:rsid w:val="00764ED0"/>
    <w:rsid w:val="00785080"/>
    <w:rsid w:val="00785D62"/>
    <w:rsid w:val="00787F75"/>
    <w:rsid w:val="007974AC"/>
    <w:rsid w:val="007A6267"/>
    <w:rsid w:val="007B211A"/>
    <w:rsid w:val="007B2C5D"/>
    <w:rsid w:val="007B7E83"/>
    <w:rsid w:val="007C5DC0"/>
    <w:rsid w:val="007C7885"/>
    <w:rsid w:val="007D0E58"/>
    <w:rsid w:val="007D2291"/>
    <w:rsid w:val="007D2A1A"/>
    <w:rsid w:val="007D49A3"/>
    <w:rsid w:val="007D76DA"/>
    <w:rsid w:val="007E0659"/>
    <w:rsid w:val="007F2A14"/>
    <w:rsid w:val="008079AB"/>
    <w:rsid w:val="00826AED"/>
    <w:rsid w:val="00833884"/>
    <w:rsid w:val="00862EF1"/>
    <w:rsid w:val="00863144"/>
    <w:rsid w:val="008676BB"/>
    <w:rsid w:val="00867DBF"/>
    <w:rsid w:val="008866D4"/>
    <w:rsid w:val="00892C5A"/>
    <w:rsid w:val="008B0364"/>
    <w:rsid w:val="008C0BAF"/>
    <w:rsid w:val="008C16F9"/>
    <w:rsid w:val="008C38D0"/>
    <w:rsid w:val="008C496A"/>
    <w:rsid w:val="008E2D2D"/>
    <w:rsid w:val="008E5CB5"/>
    <w:rsid w:val="008F0138"/>
    <w:rsid w:val="00903269"/>
    <w:rsid w:val="009038CA"/>
    <w:rsid w:val="00904CDF"/>
    <w:rsid w:val="009152A7"/>
    <w:rsid w:val="00915800"/>
    <w:rsid w:val="0094173A"/>
    <w:rsid w:val="00957A6D"/>
    <w:rsid w:val="0096466B"/>
    <w:rsid w:val="00981685"/>
    <w:rsid w:val="00987B6A"/>
    <w:rsid w:val="00994BE2"/>
    <w:rsid w:val="009B5560"/>
    <w:rsid w:val="009B67A1"/>
    <w:rsid w:val="009C553D"/>
    <w:rsid w:val="00A006C3"/>
    <w:rsid w:val="00A032DF"/>
    <w:rsid w:val="00A045A4"/>
    <w:rsid w:val="00A058AE"/>
    <w:rsid w:val="00A14396"/>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B3124"/>
    <w:rsid w:val="00AD061C"/>
    <w:rsid w:val="00AD138B"/>
    <w:rsid w:val="00AE6986"/>
    <w:rsid w:val="00AF4AB0"/>
    <w:rsid w:val="00AF6121"/>
    <w:rsid w:val="00AF633B"/>
    <w:rsid w:val="00B07039"/>
    <w:rsid w:val="00B10D95"/>
    <w:rsid w:val="00B13705"/>
    <w:rsid w:val="00B344D1"/>
    <w:rsid w:val="00B42C0E"/>
    <w:rsid w:val="00B53707"/>
    <w:rsid w:val="00B62782"/>
    <w:rsid w:val="00B65085"/>
    <w:rsid w:val="00B66F6F"/>
    <w:rsid w:val="00B768E5"/>
    <w:rsid w:val="00B97A2E"/>
    <w:rsid w:val="00BA550F"/>
    <w:rsid w:val="00BA7FF5"/>
    <w:rsid w:val="00BB0852"/>
    <w:rsid w:val="00BB57F6"/>
    <w:rsid w:val="00BC4153"/>
    <w:rsid w:val="00BC7AAC"/>
    <w:rsid w:val="00BD3482"/>
    <w:rsid w:val="00BD5D3D"/>
    <w:rsid w:val="00BD6063"/>
    <w:rsid w:val="00BE71ED"/>
    <w:rsid w:val="00BE755B"/>
    <w:rsid w:val="00BF0475"/>
    <w:rsid w:val="00BF3CFC"/>
    <w:rsid w:val="00BF5848"/>
    <w:rsid w:val="00BF5B2A"/>
    <w:rsid w:val="00C01999"/>
    <w:rsid w:val="00C034F8"/>
    <w:rsid w:val="00C03BAE"/>
    <w:rsid w:val="00C1727A"/>
    <w:rsid w:val="00C22379"/>
    <w:rsid w:val="00C22B7B"/>
    <w:rsid w:val="00C27D9F"/>
    <w:rsid w:val="00C30985"/>
    <w:rsid w:val="00C31411"/>
    <w:rsid w:val="00C42188"/>
    <w:rsid w:val="00C57061"/>
    <w:rsid w:val="00C61730"/>
    <w:rsid w:val="00C70FC4"/>
    <w:rsid w:val="00C7205F"/>
    <w:rsid w:val="00C80F87"/>
    <w:rsid w:val="00C85643"/>
    <w:rsid w:val="00C859C9"/>
    <w:rsid w:val="00C90B81"/>
    <w:rsid w:val="00C90DF4"/>
    <w:rsid w:val="00C91F9F"/>
    <w:rsid w:val="00CA0891"/>
    <w:rsid w:val="00CA143A"/>
    <w:rsid w:val="00CA53A4"/>
    <w:rsid w:val="00CA6875"/>
    <w:rsid w:val="00CE07C6"/>
    <w:rsid w:val="00CE4F59"/>
    <w:rsid w:val="00CF0F23"/>
    <w:rsid w:val="00CF1E36"/>
    <w:rsid w:val="00CF3DCA"/>
    <w:rsid w:val="00CF4D8A"/>
    <w:rsid w:val="00D0158D"/>
    <w:rsid w:val="00D01E9A"/>
    <w:rsid w:val="00D04D4F"/>
    <w:rsid w:val="00D05E98"/>
    <w:rsid w:val="00D069D1"/>
    <w:rsid w:val="00D15E63"/>
    <w:rsid w:val="00D177C0"/>
    <w:rsid w:val="00D2609C"/>
    <w:rsid w:val="00D266B1"/>
    <w:rsid w:val="00D3330C"/>
    <w:rsid w:val="00D42B29"/>
    <w:rsid w:val="00D47AD2"/>
    <w:rsid w:val="00D55CF7"/>
    <w:rsid w:val="00D77B6A"/>
    <w:rsid w:val="00D8792E"/>
    <w:rsid w:val="00D95EF9"/>
    <w:rsid w:val="00D967AE"/>
    <w:rsid w:val="00DA1998"/>
    <w:rsid w:val="00DA3ADE"/>
    <w:rsid w:val="00DA6D1B"/>
    <w:rsid w:val="00DC5025"/>
    <w:rsid w:val="00DD29B7"/>
    <w:rsid w:val="00DE3394"/>
    <w:rsid w:val="00DE3709"/>
    <w:rsid w:val="00DF26F5"/>
    <w:rsid w:val="00DF64AE"/>
    <w:rsid w:val="00E05B10"/>
    <w:rsid w:val="00E14D2E"/>
    <w:rsid w:val="00E2377F"/>
    <w:rsid w:val="00E25FBB"/>
    <w:rsid w:val="00E27DA7"/>
    <w:rsid w:val="00E428F0"/>
    <w:rsid w:val="00E4653F"/>
    <w:rsid w:val="00E70CFF"/>
    <w:rsid w:val="00E70FA6"/>
    <w:rsid w:val="00E86138"/>
    <w:rsid w:val="00E945AD"/>
    <w:rsid w:val="00EA5D59"/>
    <w:rsid w:val="00EA5ECB"/>
    <w:rsid w:val="00EB1EA7"/>
    <w:rsid w:val="00EB31D2"/>
    <w:rsid w:val="00ED3031"/>
    <w:rsid w:val="00ED4175"/>
    <w:rsid w:val="00ED60D4"/>
    <w:rsid w:val="00ED7DF6"/>
    <w:rsid w:val="00EE5AE8"/>
    <w:rsid w:val="00EF1874"/>
    <w:rsid w:val="00EF6E0B"/>
    <w:rsid w:val="00EF777E"/>
    <w:rsid w:val="00F036E9"/>
    <w:rsid w:val="00F03A25"/>
    <w:rsid w:val="00F074CD"/>
    <w:rsid w:val="00F1130D"/>
    <w:rsid w:val="00F15643"/>
    <w:rsid w:val="00F22407"/>
    <w:rsid w:val="00F24AD7"/>
    <w:rsid w:val="00F44233"/>
    <w:rsid w:val="00F53136"/>
    <w:rsid w:val="00F55470"/>
    <w:rsid w:val="00F56E94"/>
    <w:rsid w:val="00F56FE0"/>
    <w:rsid w:val="00F61CCB"/>
    <w:rsid w:val="00F729F0"/>
    <w:rsid w:val="00F73F25"/>
    <w:rsid w:val="00F7547D"/>
    <w:rsid w:val="00F80039"/>
    <w:rsid w:val="00F8115F"/>
    <w:rsid w:val="00F81796"/>
    <w:rsid w:val="00F862E7"/>
    <w:rsid w:val="00F86803"/>
    <w:rsid w:val="00F92B77"/>
    <w:rsid w:val="00FA5614"/>
    <w:rsid w:val="00FA6641"/>
    <w:rsid w:val="00FA668D"/>
    <w:rsid w:val="00FB2497"/>
    <w:rsid w:val="00FC04EA"/>
    <w:rsid w:val="00FC394D"/>
    <w:rsid w:val="00FC49CE"/>
    <w:rsid w:val="00FC5E6F"/>
    <w:rsid w:val="00FD0E6E"/>
    <w:rsid w:val="00FD5177"/>
    <w:rsid w:val="00FE2AD4"/>
    <w:rsid w:val="00FE3D58"/>
    <w:rsid w:val="00FE4A73"/>
    <w:rsid w:val="00FE65ED"/>
    <w:rsid w:val="00FF7990"/>
    <w:rsid w:val="02080D36"/>
    <w:rsid w:val="025517E0"/>
    <w:rsid w:val="0C1B1EEC"/>
    <w:rsid w:val="0DCC48A5"/>
    <w:rsid w:val="10B2256F"/>
    <w:rsid w:val="10BC0900"/>
    <w:rsid w:val="13542B43"/>
    <w:rsid w:val="15123D9E"/>
    <w:rsid w:val="15D95D65"/>
    <w:rsid w:val="16406A0E"/>
    <w:rsid w:val="19A91329"/>
    <w:rsid w:val="1E7A566F"/>
    <w:rsid w:val="20A4469A"/>
    <w:rsid w:val="236C162A"/>
    <w:rsid w:val="27112725"/>
    <w:rsid w:val="27D4740C"/>
    <w:rsid w:val="2BFE2C3D"/>
    <w:rsid w:val="2DFA177E"/>
    <w:rsid w:val="2E2E76CE"/>
    <w:rsid w:val="2F6F34DE"/>
    <w:rsid w:val="32316565"/>
    <w:rsid w:val="34ED2A65"/>
    <w:rsid w:val="3637097E"/>
    <w:rsid w:val="38943ADF"/>
    <w:rsid w:val="39282356"/>
    <w:rsid w:val="3FFA6D61"/>
    <w:rsid w:val="40190DE0"/>
    <w:rsid w:val="40AE1B43"/>
    <w:rsid w:val="421F4207"/>
    <w:rsid w:val="454A61A6"/>
    <w:rsid w:val="4568654D"/>
    <w:rsid w:val="45921630"/>
    <w:rsid w:val="49365E59"/>
    <w:rsid w:val="49473B78"/>
    <w:rsid w:val="49E91899"/>
    <w:rsid w:val="4DB60F8B"/>
    <w:rsid w:val="507A4879"/>
    <w:rsid w:val="5732471A"/>
    <w:rsid w:val="58B420EB"/>
    <w:rsid w:val="5A6A4A07"/>
    <w:rsid w:val="5B3D0A3D"/>
    <w:rsid w:val="5E3B3CA9"/>
    <w:rsid w:val="5EDB472C"/>
    <w:rsid w:val="612C0778"/>
    <w:rsid w:val="63BB50B9"/>
    <w:rsid w:val="63BF5181"/>
    <w:rsid w:val="6D7F39A9"/>
    <w:rsid w:val="6E3D27EA"/>
    <w:rsid w:val="6F607449"/>
    <w:rsid w:val="6FCA1077"/>
    <w:rsid w:val="749B3AC2"/>
    <w:rsid w:val="75D72DB7"/>
    <w:rsid w:val="793763EA"/>
    <w:rsid w:val="7E462386"/>
    <w:rsid w:val="7E941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3"/>
    <w:next w:val="1"/>
    <w:link w:val="24"/>
    <w:qFormat/>
    <w:uiPriority w:val="9"/>
    <w:pPr>
      <w:keepNext/>
      <w:keepLines/>
      <w:spacing w:before="340" w:after="330" w:line="578" w:lineRule="auto"/>
      <w:outlineLvl w:val="0"/>
    </w:pPr>
    <w:rPr>
      <w:kern w:val="44"/>
      <w:sz w:val="44"/>
      <w:szCs w:val="44"/>
    </w:rPr>
  </w:style>
  <w:style w:type="paragraph" w:styleId="4">
    <w:name w:val="heading 2"/>
    <w:basedOn w:val="5"/>
    <w:next w:val="1"/>
    <w:link w:val="26"/>
    <w:unhideWhenUsed/>
    <w:qFormat/>
    <w:uiPriority w:val="9"/>
    <w:pPr>
      <w:keepNext/>
      <w:keepLines/>
      <w:spacing w:before="260" w:after="260" w:line="416" w:lineRule="auto"/>
      <w:outlineLvl w:val="1"/>
    </w:pPr>
    <w:rPr>
      <w:rFonts w:asciiTheme="majorHAnsi" w:hAnsiTheme="majorHAnsi" w:eastAsiaTheme="majorEastAsia" w:cstheme="majorBidi"/>
      <w:sz w:val="32"/>
      <w:szCs w:val="32"/>
    </w:rPr>
  </w:style>
  <w:style w:type="paragraph" w:styleId="3">
    <w:name w:val="heading 3"/>
    <w:basedOn w:val="1"/>
    <w:next w:val="1"/>
    <w:link w:val="27"/>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Layout w:type="fixed"/>
      <w:tblCellMar>
        <w:top w:w="0" w:type="dxa"/>
        <w:left w:w="108" w:type="dxa"/>
        <w:bottom w:w="0" w:type="dxa"/>
        <w:right w:w="108" w:type="dxa"/>
      </w:tblCellMar>
    </w:tblPr>
  </w:style>
  <w:style w:type="paragraph" w:styleId="6">
    <w:name w:val="Document Map"/>
    <w:basedOn w:val="1"/>
    <w:link w:val="25"/>
    <w:semiHidden/>
    <w:unhideWhenUsed/>
    <w:qFormat/>
    <w:uiPriority w:val="99"/>
    <w:rPr>
      <w:rFonts w:ascii="宋体" w:eastAsia="宋体"/>
      <w:sz w:val="18"/>
      <w:szCs w:val="18"/>
    </w:rPr>
  </w:style>
  <w:style w:type="paragraph" w:styleId="7">
    <w:name w:val="annotation text"/>
    <w:basedOn w:val="1"/>
    <w:link w:val="29"/>
    <w:qFormat/>
    <w:uiPriority w:val="0"/>
    <w:pPr>
      <w:spacing w:line="360" w:lineRule="auto"/>
      <w:ind w:firstLine="922" w:firstLineChars="200"/>
      <w:jc w:val="left"/>
    </w:pPr>
    <w:rPr>
      <w:rFonts w:ascii="Times New Roman" w:hAnsi="Times New Roman" w:eastAsia="宋体" w:cs="Times New Roman"/>
      <w:szCs w:val="24"/>
    </w:rPr>
  </w:style>
  <w:style w:type="paragraph" w:styleId="8">
    <w:name w:val="Body Text Indent"/>
    <w:basedOn w:val="1"/>
    <w:next w:val="9"/>
    <w:qFormat/>
    <w:uiPriority w:val="0"/>
    <w:pPr>
      <w:spacing w:after="120"/>
      <w:ind w:left="420"/>
    </w:pPr>
    <w:rPr>
      <w:rFonts w:ascii="Times New Roman" w:hAnsi="Times New Roman" w:eastAsia="宋体" w:cs="Times New Roman"/>
      <w:szCs w:val="24"/>
    </w:rPr>
  </w:style>
  <w:style w:type="paragraph" w:styleId="9">
    <w:name w:val="envelope return"/>
    <w:basedOn w:val="1"/>
    <w:qFormat/>
    <w:uiPriority w:val="99"/>
    <w:rPr>
      <w:rFonts w:ascii="Arial" w:hAnsi="Arial"/>
    </w:rPr>
  </w:style>
  <w:style w:type="paragraph" w:styleId="10">
    <w:name w:val="Plain Text"/>
    <w:basedOn w:val="1"/>
    <w:link w:val="33"/>
    <w:qFormat/>
    <w:uiPriority w:val="0"/>
    <w:rPr>
      <w:rFonts w:ascii="宋体" w:hAnsi="Courier New" w:eastAsia="宋体" w:cs="Times New Roman"/>
      <w:szCs w:val="20"/>
    </w:rPr>
  </w:style>
  <w:style w:type="paragraph" w:styleId="11">
    <w:name w:val="Date"/>
    <w:basedOn w:val="1"/>
    <w:next w:val="1"/>
    <w:link w:val="28"/>
    <w:semiHidden/>
    <w:unhideWhenUsed/>
    <w:qFormat/>
    <w:uiPriority w:val="99"/>
    <w:pPr>
      <w:ind w:left="100" w:leftChars="2500"/>
    </w:pPr>
  </w:style>
  <w:style w:type="paragraph" w:styleId="12">
    <w:name w:val="Balloon Text"/>
    <w:basedOn w:val="1"/>
    <w:link w:val="30"/>
    <w:semiHidden/>
    <w:unhideWhenUsed/>
    <w:qFormat/>
    <w:uiPriority w:val="99"/>
    <w:rPr>
      <w:sz w:val="18"/>
      <w:szCs w:val="18"/>
    </w:rPr>
  </w:style>
  <w:style w:type="paragraph" w:styleId="13">
    <w:name w:val="footer"/>
    <w:basedOn w:val="1"/>
    <w:link w:val="23"/>
    <w:unhideWhenUsed/>
    <w:qFormat/>
    <w:uiPriority w:val="99"/>
    <w:pPr>
      <w:tabs>
        <w:tab w:val="center" w:pos="4153"/>
        <w:tab w:val="right" w:pos="8306"/>
      </w:tabs>
      <w:snapToGrid w:val="0"/>
      <w:jc w:val="left"/>
    </w:pPr>
    <w:rPr>
      <w:sz w:val="18"/>
      <w:szCs w:val="18"/>
    </w:rPr>
  </w:style>
  <w:style w:type="paragraph" w:styleId="14">
    <w:name w:val="header"/>
    <w:basedOn w:val="1"/>
    <w:link w:val="2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style>
  <w:style w:type="paragraph" w:styleId="16">
    <w:name w:val="Body Text First Indent 2"/>
    <w:basedOn w:val="8"/>
    <w:next w:val="1"/>
    <w:qFormat/>
    <w:uiPriority w:val="0"/>
    <w:pPr>
      <w:widowControl w:val="0"/>
      <w:spacing w:after="120"/>
      <w:ind w:left="420" w:firstLine="420"/>
      <w:jc w:val="both"/>
    </w:pPr>
    <w:rPr>
      <w:kern w:val="2"/>
      <w:sz w:val="18"/>
      <w:szCs w:val="18"/>
      <w:lang w:val="en-US" w:eastAsia="zh-CN" w:bidi="ar-SA"/>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0">
    <w:name w:val="Hyperlink"/>
    <w:qFormat/>
    <w:uiPriority w:val="99"/>
    <w:rPr>
      <w:color w:val="0000FF"/>
      <w:u w:val="none"/>
    </w:rPr>
  </w:style>
  <w:style w:type="character" w:styleId="21">
    <w:name w:val="annotation reference"/>
    <w:qFormat/>
    <w:uiPriority w:val="0"/>
    <w:rPr>
      <w:sz w:val="21"/>
      <w:szCs w:val="21"/>
    </w:rPr>
  </w:style>
  <w:style w:type="character" w:customStyle="1" w:styleId="22">
    <w:name w:val="页眉 Char"/>
    <w:basedOn w:val="19"/>
    <w:link w:val="14"/>
    <w:semiHidden/>
    <w:qFormat/>
    <w:uiPriority w:val="99"/>
    <w:rPr>
      <w:sz w:val="18"/>
      <w:szCs w:val="18"/>
    </w:rPr>
  </w:style>
  <w:style w:type="character" w:customStyle="1" w:styleId="23">
    <w:name w:val="页脚 Char"/>
    <w:basedOn w:val="19"/>
    <w:link w:val="13"/>
    <w:qFormat/>
    <w:uiPriority w:val="99"/>
    <w:rPr>
      <w:sz w:val="18"/>
      <w:szCs w:val="18"/>
    </w:rPr>
  </w:style>
  <w:style w:type="character" w:customStyle="1" w:styleId="24">
    <w:name w:val="标题 1 Char"/>
    <w:basedOn w:val="19"/>
    <w:link w:val="2"/>
    <w:qFormat/>
    <w:uiPriority w:val="9"/>
    <w:rPr>
      <w:b/>
      <w:bCs/>
      <w:kern w:val="44"/>
      <w:sz w:val="44"/>
      <w:szCs w:val="44"/>
    </w:rPr>
  </w:style>
  <w:style w:type="character" w:customStyle="1" w:styleId="25">
    <w:name w:val="文档结构图 Char"/>
    <w:basedOn w:val="19"/>
    <w:link w:val="6"/>
    <w:semiHidden/>
    <w:qFormat/>
    <w:uiPriority w:val="99"/>
    <w:rPr>
      <w:rFonts w:ascii="宋体" w:eastAsia="宋体"/>
      <w:sz w:val="18"/>
      <w:szCs w:val="18"/>
    </w:rPr>
  </w:style>
  <w:style w:type="character" w:customStyle="1" w:styleId="26">
    <w:name w:val="标题 2 Char"/>
    <w:basedOn w:val="19"/>
    <w:link w:val="4"/>
    <w:qFormat/>
    <w:uiPriority w:val="9"/>
    <w:rPr>
      <w:rFonts w:asciiTheme="majorHAnsi" w:hAnsiTheme="majorHAnsi" w:eastAsiaTheme="majorEastAsia" w:cstheme="majorBidi"/>
      <w:b/>
      <w:bCs/>
      <w:sz w:val="32"/>
      <w:szCs w:val="32"/>
    </w:rPr>
  </w:style>
  <w:style w:type="character" w:customStyle="1" w:styleId="27">
    <w:name w:val="标题 3 Char"/>
    <w:basedOn w:val="19"/>
    <w:link w:val="3"/>
    <w:qFormat/>
    <w:uiPriority w:val="9"/>
    <w:rPr>
      <w:b/>
      <w:bCs/>
      <w:sz w:val="32"/>
      <w:szCs w:val="32"/>
    </w:rPr>
  </w:style>
  <w:style w:type="character" w:customStyle="1" w:styleId="28">
    <w:name w:val="日期 Char"/>
    <w:basedOn w:val="19"/>
    <w:link w:val="11"/>
    <w:semiHidden/>
    <w:qFormat/>
    <w:uiPriority w:val="99"/>
  </w:style>
  <w:style w:type="character" w:customStyle="1" w:styleId="29">
    <w:name w:val="批注文字 Char"/>
    <w:basedOn w:val="19"/>
    <w:link w:val="7"/>
    <w:qFormat/>
    <w:uiPriority w:val="0"/>
    <w:rPr>
      <w:rFonts w:ascii="Times New Roman" w:hAnsi="Times New Roman" w:eastAsia="宋体" w:cs="Times New Roman"/>
      <w:szCs w:val="24"/>
    </w:rPr>
  </w:style>
  <w:style w:type="character" w:customStyle="1" w:styleId="30">
    <w:name w:val="批注框文本 Char"/>
    <w:basedOn w:val="19"/>
    <w:link w:val="12"/>
    <w:semiHidden/>
    <w:qFormat/>
    <w:uiPriority w:val="99"/>
    <w:rPr>
      <w:sz w:val="18"/>
      <w:szCs w:val="18"/>
    </w:rPr>
  </w:style>
  <w:style w:type="paragraph" w:customStyle="1" w:styleId="31">
    <w:name w:val="Default"/>
    <w:link w:val="32"/>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2">
    <w:name w:val="Default Char"/>
    <w:link w:val="31"/>
    <w:qFormat/>
    <w:locked/>
    <w:uiPriority w:val="99"/>
    <w:rPr>
      <w:rFonts w:ascii="MS Mincho" w:hAnsi="Calibri" w:eastAsia="宋体" w:cs="Times New Roman"/>
      <w:color w:val="000000"/>
      <w:szCs w:val="24"/>
    </w:rPr>
  </w:style>
  <w:style w:type="character" w:customStyle="1" w:styleId="33">
    <w:name w:val="纯文本 Char"/>
    <w:basedOn w:val="19"/>
    <w:link w:val="10"/>
    <w:qFormat/>
    <w:uiPriority w:val="0"/>
    <w:rPr>
      <w:rFonts w:ascii="宋体" w:hAnsi="Courier New" w:eastAsia="宋体" w:cs="Times New Roman"/>
      <w:szCs w:val="20"/>
    </w:rPr>
  </w:style>
  <w:style w:type="paragraph" w:customStyle="1" w:styleId="34">
    <w:name w:val="null3"/>
    <w:qFormat/>
    <w:uiPriority w:val="0"/>
    <w:rPr>
      <w:rFonts w:hint="eastAsia" w:ascii="Calibri" w:hAnsi="Calibri" w:eastAsia="宋体" w:cs="Times New Roman"/>
      <w:lang w:val="en-US" w:eastAsia="zh-Hans" w:bidi="ar-SA"/>
    </w:rPr>
  </w:style>
  <w:style w:type="paragraph" w:customStyle="1" w:styleId="35">
    <w:name w:val="Char"/>
    <w:basedOn w:val="1"/>
    <w:qFormat/>
    <w:uiPriority w:val="0"/>
    <w:pPr>
      <w:tabs>
        <w:tab w:val="left" w:pos="360"/>
      </w:tabs>
    </w:pPr>
    <w:rPr>
      <w:sz w:val="24"/>
    </w:rPr>
  </w:style>
  <w:style w:type="character" w:customStyle="1" w:styleId="36">
    <w:name w:val="font21"/>
    <w:basedOn w:val="19"/>
    <w:qFormat/>
    <w:uiPriority w:val="0"/>
    <w:rPr>
      <w:rFonts w:hint="eastAsia" w:ascii="宋体" w:hAnsi="宋体" w:eastAsia="宋体" w:cs="宋体"/>
      <w:color w:val="000000"/>
      <w:sz w:val="22"/>
      <w:szCs w:val="22"/>
      <w:u w:val="none"/>
    </w:rPr>
  </w:style>
  <w:style w:type="character" w:customStyle="1" w:styleId="37">
    <w:name w:val="font01"/>
    <w:basedOn w:val="1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F6C5A-9FDC-420B-A4AB-23810003B739}">
  <ds:schemaRefs/>
</ds:datastoreItem>
</file>

<file path=docProps/app.xml><?xml version="1.0" encoding="utf-8"?>
<Properties xmlns="http://schemas.openxmlformats.org/officeDocument/2006/extended-properties" xmlns:vt="http://schemas.openxmlformats.org/officeDocument/2006/docPropsVTypes">
  <Template>Normal</Template>
  <Pages>65</Pages>
  <Words>32183</Words>
  <Characters>34512</Characters>
  <Lines>201</Lines>
  <Paragraphs>56</Paragraphs>
  <TotalTime>0</TotalTime>
  <ScaleCrop>false</ScaleCrop>
  <LinksUpToDate>false</LinksUpToDate>
  <CharactersWithSpaces>36953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2024年5月21日修订</dc:description>
  <cp:lastModifiedBy>政府采购陈业佳</cp:lastModifiedBy>
  <cp:lastPrinted>2024-04-15T01:54:00Z</cp:lastPrinted>
  <dcterms:modified xsi:type="dcterms:W3CDTF">2024-09-03T08:23:06Z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C22B8CF898D843F682DB60681E4423B6_13</vt:lpwstr>
  </property>
</Properties>
</file>