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b/>
          <w:bCs/>
          <w:color w:val="000000" w:themeColor="text1"/>
          <w:sz w:val="84"/>
          <w:highlight w:val="none"/>
        </w:rPr>
      </w:pPr>
      <w:r>
        <w:rPr>
          <w:rFonts w:cs="宋体"/>
          <w:b/>
          <w:bCs/>
          <w:color w:val="000000" w:themeColor="text1"/>
          <w:sz w:val="84"/>
          <w:highlight w:val="none"/>
        </w:rPr>
      </w:r>
      <w:r>
        <w:rPr>
          <w:color w:val="000000" w:themeColor="text1"/>
          <w:highlight w:val="none"/>
        </w:rPr>
      </w:r>
    </w:p>
    <w:p>
      <w:pPr>
        <w:rPr>
          <w:rFonts w:hint="eastAsia" w:cs="宋体"/>
          <w:b/>
          <w:bCs/>
          <w:color w:val="000000" w:themeColor="text1"/>
          <w:sz w:val="84"/>
          <w:highlight w:val="none"/>
        </w:rPr>
      </w:pPr>
      <w:r>
        <w:rPr>
          <w:rFonts w:hint="eastAsia" w:cs="宋体"/>
          <w:b/>
          <w:bCs/>
          <w:color w:val="000000" w:themeColor="text1"/>
          <w:sz w:val="84"/>
          <w:highlight w:val="none"/>
        </w:rPr>
      </w:r>
      <w:r>
        <w:rPr>
          <w:color w:val="000000" w:themeColor="text1"/>
          <w:highlight w:val="none"/>
        </w:rPr>
      </w:r>
    </w:p>
    <w:p>
      <w:pPr>
        <w:jc w:val="center"/>
        <w:rPr>
          <w:rFonts w:hint="eastAsia" w:cs="宋体"/>
          <w:b/>
          <w:bCs/>
          <w:color w:val="000000" w:themeColor="text1"/>
          <w:sz w:val="108"/>
          <w:highlight w:val="none"/>
        </w:rPr>
      </w:pPr>
      <w:r>
        <w:rPr>
          <w:color w:val="000000" w:themeColor="text1"/>
          <w:highlight w:val="none"/>
        </w:rPr>
      </w:r>
      <w:bookmarkStart w:id="0" w:name="_Toc27587"/>
      <w:r>
        <w:rPr>
          <w:rFonts w:hint="eastAsia" w:cs="宋体"/>
          <w:b/>
          <w:color w:val="000000" w:themeColor="text1"/>
          <w:sz w:val="72"/>
          <w:szCs w:val="72"/>
          <w:highlight w:val="none"/>
        </w:rPr>
        <w:t xml:space="preserve">苏州工业园区政府采购</w:t>
      </w:r>
      <w:bookmarkEnd w:id="0"/>
      <w:r>
        <w:rPr>
          <w:color w:val="000000" w:themeColor="text1"/>
          <w:highlight w:val="none"/>
        </w:rPr>
      </w:r>
      <w:r>
        <w:rPr>
          <w:color w:val="000000" w:themeColor="text1"/>
          <w:highlight w:val="none"/>
        </w:rPr>
      </w:r>
    </w:p>
    <w:p>
      <w:pPr>
        <w:jc w:val="center"/>
        <w:rPr>
          <w:rFonts w:hint="eastAsia" w:cs="宋体"/>
          <w:b/>
          <w:color w:val="000000" w:themeColor="text1"/>
          <w:sz w:val="30"/>
          <w:szCs w:val="30"/>
          <w:highlight w:val="none"/>
        </w:rPr>
      </w:pPr>
      <w:r>
        <w:rPr>
          <w:rFonts w:hint="eastAsia" w:cs="宋体"/>
          <w:b/>
          <w:color w:val="000000" w:themeColor="text1"/>
          <w:sz w:val="30"/>
          <w:szCs w:val="30"/>
          <w:highlight w:val="none"/>
        </w:rPr>
      </w:r>
      <w:r>
        <w:rPr>
          <w:color w:val="000000" w:themeColor="text1"/>
          <w:highlight w:val="none"/>
        </w:rPr>
      </w:r>
    </w:p>
    <w:p>
      <w:pPr>
        <w:jc w:val="center"/>
        <w:rPr>
          <w:rFonts w:hint="eastAsia" w:cs="宋体"/>
          <w:b/>
          <w:bCs/>
          <w:color w:val="000000" w:themeColor="text1"/>
          <w:sz w:val="108"/>
          <w:highlight w:val="none"/>
        </w:rPr>
      </w:pPr>
      <w:r>
        <w:rPr>
          <w:rFonts w:hint="eastAsia" w:cs="宋体"/>
          <w:b/>
          <w:color w:val="000000" w:themeColor="text1"/>
          <w:sz w:val="72"/>
          <w:highlight w:val="none"/>
        </w:rPr>
        <w:t xml:space="preserve">招 标 文 件</w:t>
      </w:r>
      <w:r>
        <w:rPr>
          <w:color w:val="000000" w:themeColor="text1"/>
          <w:highlight w:val="none"/>
        </w:rPr>
      </w:r>
    </w:p>
    <w:p>
      <w:pP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5873"/>
      </w:tblGrid>
      <w:tr>
        <w:trPr>
          <w:jc w:val="center"/>
          <w:trHeight w:val="680"/>
        </w:trPr>
        <w:tc>
          <w:tcPr>
            <w:tcW w:w="2157" w:type="dxa"/>
            <w:vAlign w:val="center"/>
            <w:textDirection w:val="lrTb"/>
            <w:noWrap w:val="false"/>
          </w:tcPr>
          <w:p>
            <w:pPr>
              <w:rPr>
                <w:rFonts w:hint="eastAsia" w:cs="宋体"/>
                <w:b/>
                <w:color w:val="000000" w:themeColor="text1"/>
                <w:sz w:val="32"/>
                <w:highlight w:val="none"/>
              </w:rPr>
            </w:pPr>
            <w:r>
              <w:rPr>
                <w:rFonts w:hint="eastAsia" w:cs="宋体"/>
                <w:b/>
                <w:color w:val="000000" w:themeColor="text1"/>
                <w:sz w:val="32"/>
                <w:highlight w:val="none"/>
              </w:rPr>
              <w:t xml:space="preserve">采购编号</w:t>
            </w:r>
            <w:r>
              <w:rPr>
                <w:color w:val="000000" w:themeColor="text1"/>
                <w:highlight w:val="none"/>
              </w:rPr>
            </w:r>
          </w:p>
        </w:tc>
        <w:tc>
          <w:tcPr>
            <w:tcW w:w="5873" w:type="dxa"/>
            <w:vAlign w:val="center"/>
            <w:textDirection w:val="lrTb"/>
            <w:noWrap w:val="false"/>
          </w:tcPr>
          <w:p>
            <w:pPr>
              <w:rPr>
                <w:rFonts w:hint="eastAsia" w:cs="宋体"/>
                <w:b/>
                <w:color w:val="000000" w:themeColor="text1"/>
                <w:sz w:val="32"/>
                <w:highlight w:val="none"/>
              </w:rPr>
            </w:pPr>
            <w:r>
              <w:rPr>
                <w:rFonts w:hint="eastAsia" w:cs="宋体"/>
                <w:b/>
                <w:color w:val="000000" w:themeColor="text1"/>
                <w:spacing w:val="20"/>
                <w:sz w:val="32"/>
                <w:szCs w:val="32"/>
                <w:highlight w:val="none"/>
              </w:rPr>
              <w:t xml:space="preserve">JSZC-320591-SHYS-G2025-0006</w:t>
            </w:r>
            <w:r>
              <w:rPr>
                <w:color w:val="000000" w:themeColor="text1"/>
                <w:highlight w:val="none"/>
              </w:rPr>
            </w:r>
          </w:p>
        </w:tc>
      </w:tr>
      <w:tr>
        <w:trPr>
          <w:jc w:val="center"/>
          <w:trHeight w:val="680"/>
        </w:trPr>
        <w:tc>
          <w:tcPr>
            <w:tcW w:w="2157" w:type="dxa"/>
            <w:vAlign w:val="center"/>
            <w:textDirection w:val="lrTb"/>
            <w:noWrap w:val="false"/>
          </w:tcPr>
          <w:p>
            <w:pPr>
              <w:rPr>
                <w:rFonts w:hint="eastAsia" w:cs="宋体"/>
                <w:b/>
                <w:color w:val="000000" w:themeColor="text1"/>
                <w:sz w:val="32"/>
                <w:highlight w:val="none"/>
              </w:rPr>
            </w:pPr>
            <w:r>
              <w:rPr>
                <w:rFonts w:hint="eastAsia" w:cs="宋体"/>
                <w:b/>
                <w:color w:val="000000" w:themeColor="text1"/>
                <w:sz w:val="32"/>
                <w:highlight w:val="none"/>
              </w:rPr>
              <w:t xml:space="preserve">采购单位</w:t>
            </w:r>
            <w:r>
              <w:rPr>
                <w:color w:val="000000" w:themeColor="text1"/>
                <w:highlight w:val="none"/>
              </w:rPr>
            </w:r>
          </w:p>
        </w:tc>
        <w:tc>
          <w:tcPr>
            <w:tcW w:w="5873" w:type="dxa"/>
            <w:textDirection w:val="lrTb"/>
            <w:noWrap w:val="false"/>
          </w:tcPr>
          <w:p>
            <w:pPr>
              <w:jc w:val="left"/>
              <w:spacing w:line="360" w:lineRule="auto"/>
              <w:rPr>
                <w:rStyle w:val="1062"/>
                <w:rFonts w:hint="eastAsia" w:cs="宋体"/>
                <w:color w:val="000000" w:themeColor="text1"/>
                <w:highlight w:val="none"/>
              </w:rPr>
            </w:pPr>
            <w:r>
              <w:rPr>
                <w:rFonts w:hint="eastAsia" w:cs="宋体"/>
                <w:b/>
                <w:color w:val="000000" w:themeColor="text1"/>
                <w:spacing w:val="-6"/>
                <w:sz w:val="32"/>
                <w:highlight w:val="none"/>
              </w:rPr>
              <w:t xml:space="preserve">苏州工业园区胜浦街道办事处</w:t>
            </w:r>
            <w:r>
              <w:rPr>
                <w:color w:val="000000" w:themeColor="text1"/>
                <w:highlight w:val="none"/>
              </w:rPr>
            </w:r>
          </w:p>
        </w:tc>
      </w:tr>
      <w:tr>
        <w:trPr>
          <w:jc w:val="center"/>
          <w:trHeight w:val="680"/>
        </w:trPr>
        <w:tc>
          <w:tcPr>
            <w:tcW w:w="2157" w:type="dxa"/>
            <w:vAlign w:val="center"/>
            <w:textDirection w:val="lrTb"/>
            <w:noWrap w:val="false"/>
          </w:tcPr>
          <w:p>
            <w:pPr>
              <w:rPr>
                <w:rFonts w:hint="eastAsia" w:cs="宋体"/>
                <w:b/>
                <w:color w:val="000000" w:themeColor="text1"/>
                <w:sz w:val="32"/>
                <w:highlight w:val="none"/>
              </w:rPr>
            </w:pPr>
            <w:r>
              <w:rPr>
                <w:rFonts w:hint="eastAsia" w:cs="宋体"/>
                <w:b/>
                <w:color w:val="000000" w:themeColor="text1"/>
                <w:sz w:val="32"/>
                <w:highlight w:val="none"/>
              </w:rPr>
              <w:t xml:space="preserve">采购内容</w:t>
            </w:r>
            <w:r>
              <w:rPr>
                <w:color w:val="000000" w:themeColor="text1"/>
                <w:highlight w:val="none"/>
              </w:rPr>
            </w:r>
          </w:p>
        </w:tc>
        <w:tc>
          <w:tcPr>
            <w:tcW w:w="5873" w:type="dxa"/>
            <w:textDirection w:val="lrTb"/>
            <w:noWrap w:val="false"/>
          </w:tcPr>
          <w:p>
            <w:pPr>
              <w:jc w:val="left"/>
              <w:spacing w:line="360" w:lineRule="auto"/>
              <w:rPr>
                <w:rStyle w:val="1062"/>
                <w:rFonts w:hint="eastAsia" w:cs="宋体"/>
                <w:color w:val="000000" w:themeColor="text1"/>
                <w:highlight w:val="none"/>
              </w:rPr>
            </w:pPr>
            <w:r>
              <w:rPr>
                <w:rFonts w:hint="eastAsia" w:cs="宋体"/>
                <w:b/>
                <w:color w:val="000000" w:themeColor="text1"/>
                <w:spacing w:val="-6"/>
                <w:sz w:val="32"/>
                <w:highlight w:val="none"/>
              </w:rPr>
              <w:t xml:space="preserve">胜浦街道动迁社区楼道智能监控</w:t>
            </w:r>
            <w:r>
              <w:rPr>
                <w:color w:val="000000" w:themeColor="text1"/>
                <w:highlight w:val="none"/>
              </w:rPr>
            </w:r>
          </w:p>
        </w:tc>
      </w:tr>
      <w:tr>
        <w:trPr>
          <w:jc w:val="center"/>
          <w:trHeight w:val="680"/>
        </w:trPr>
        <w:tc>
          <w:tcPr>
            <w:tcW w:w="2157" w:type="dxa"/>
            <w:vAlign w:val="center"/>
            <w:textDirection w:val="lrTb"/>
            <w:noWrap w:val="false"/>
          </w:tcPr>
          <w:p>
            <w:pPr>
              <w:rPr>
                <w:rFonts w:hint="eastAsia" w:cs="宋体"/>
                <w:b/>
                <w:color w:val="000000" w:themeColor="text1"/>
                <w:sz w:val="32"/>
                <w:highlight w:val="none"/>
              </w:rPr>
            </w:pPr>
            <w:r>
              <w:rPr>
                <w:rFonts w:hint="eastAsia" w:cs="宋体"/>
                <w:b/>
                <w:color w:val="000000" w:themeColor="text1"/>
                <w:sz w:val="32"/>
                <w:szCs w:val="32"/>
                <w:highlight w:val="none"/>
              </w:rPr>
              <w:t xml:space="preserve">项目类别</w:t>
            </w:r>
            <w:r>
              <w:rPr>
                <w:color w:val="000000" w:themeColor="text1"/>
                <w:highlight w:val="none"/>
              </w:rPr>
            </w:r>
          </w:p>
        </w:tc>
        <w:tc>
          <w:tcPr>
            <w:tcW w:w="5873" w:type="dxa"/>
            <w:textDirection w:val="lrTb"/>
            <w:noWrap w:val="false"/>
          </w:tcPr>
          <w:p>
            <w:pPr>
              <w:jc w:val="left"/>
              <w:spacing w:line="360" w:lineRule="auto"/>
              <w:rPr>
                <w:rStyle w:val="1062"/>
                <w:rFonts w:hint="eastAsia" w:cs="宋体"/>
                <w:color w:val="000000" w:themeColor="text1"/>
                <w:highlight w:val="none"/>
              </w:rPr>
            </w:pPr>
            <w:r>
              <w:rPr>
                <w:rStyle w:val="1062"/>
                <w:rFonts w:hint="eastAsia" w:cs="宋体"/>
                <w:b/>
                <w:color w:val="000000" w:themeColor="text1"/>
                <w:spacing w:val="-6"/>
                <w:sz w:val="32"/>
                <w:highlight w:val="none"/>
              </w:rPr>
              <w:t xml:space="preserve">服务类</w:t>
            </w:r>
            <w:r>
              <w:rPr>
                <w:color w:val="000000" w:themeColor="text1"/>
                <w:highlight w:val="none"/>
              </w:rPr>
            </w:r>
          </w:p>
        </w:tc>
      </w:tr>
    </w:tbl>
    <w:p>
      <w:pP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p>
      <w:pPr>
        <w:jc w:val="center"/>
        <w:rPr>
          <w:rFonts w:hint="eastAsia" w:cs="宋体"/>
          <w:b/>
          <w:bCs/>
          <w:color w:val="000000" w:themeColor="text1"/>
          <w:sz w:val="32"/>
          <w:highlight w:val="none"/>
        </w:rPr>
      </w:pPr>
      <w:r>
        <w:rPr>
          <w:rFonts w:hint="eastAsia" w:cs="宋体"/>
          <w:b/>
          <w:color w:val="000000" w:themeColor="text1"/>
          <w:sz w:val="32"/>
          <w:highlight w:val="none"/>
        </w:rPr>
        <mc:AlternateContent>
          <mc:Choice Requires="wpg">
            <w:drawing>
              <wp:inline xmlns:wp="http://schemas.openxmlformats.org/drawingml/2006/wordprocessingDrawing" distT="0" distB="0" distL="0" distR="0">
                <wp:extent cx="2233930" cy="2078990"/>
                <wp:effectExtent l="0" t="0" r="0" b="165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233930" cy="2078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5.9pt;height:163.7pt;mso-wrap-distance-left:0.0pt;mso-wrap-distance-top:0.0pt;mso-wrap-distance-right:0.0pt;mso-wrap-distance-bottom:0.0pt;" stroked="f">
                <v:path textboxrect="0,0,0,0"/>
                <v:imagedata r:id="rId16" o:title=""/>
              </v:shape>
            </w:pict>
          </mc:Fallback>
        </mc:AlternateContent>
      </w:r>
      <w:r>
        <w:rPr>
          <w:color w:val="000000" w:themeColor="text1"/>
          <w:highlight w:val="none"/>
        </w:rPr>
      </w:r>
    </w:p>
    <w:p>
      <w:pPr>
        <w:jc w:val="cente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p>
      <w:pPr>
        <w:jc w:val="cente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p>
      <w:pPr>
        <w:jc w:val="cente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p>
      <w:pPr>
        <w:jc w:val="center"/>
        <w:rPr>
          <w:rFonts w:hint="eastAsia" w:cs="宋体"/>
          <w:b/>
          <w:bCs/>
          <w:color w:val="000000" w:themeColor="text1"/>
          <w:sz w:val="32"/>
          <w:highlight w:val="none"/>
        </w:rPr>
      </w:pPr>
      <w:r>
        <w:rPr>
          <w:rFonts w:hint="eastAsia" w:cs="宋体"/>
          <w:b/>
          <w:bCs/>
          <w:color w:val="000000" w:themeColor="text1"/>
          <w:sz w:val="32"/>
          <w:highlight w:val="none"/>
        </w:rPr>
        <w:t xml:space="preserve">苏州合亿盛工程咨询有限公司</w:t>
      </w:r>
      <w:r>
        <w:rPr>
          <w:color w:val="000000" w:themeColor="text1"/>
          <w:highlight w:val="none"/>
        </w:rPr>
      </w:r>
    </w:p>
    <w:p>
      <w:pPr>
        <w:jc w:val="center"/>
        <w:rPr>
          <w:rFonts w:hint="eastAsia" w:cs="宋体"/>
          <w:b/>
          <w:bCs/>
          <w:color w:val="000000" w:themeColor="text1"/>
          <w:sz w:val="32"/>
          <w:highlight w:val="none"/>
        </w:rPr>
      </w:pPr>
      <w:r>
        <w:rPr>
          <w:rFonts w:hint="eastAsia" w:cs="宋体"/>
          <w:b/>
          <w:bCs/>
          <w:color w:val="000000" w:themeColor="text1"/>
          <w:sz w:val="32"/>
          <w:highlight w:val="none"/>
        </w:rPr>
        <w:t xml:space="preserve">二〇二五年</w:t>
      </w:r>
      <w:r>
        <w:rPr>
          <w:rFonts w:hint="eastAsia" w:cs="宋体"/>
          <w:b/>
          <w:bCs/>
          <w:color w:val="000000" w:themeColor="text1"/>
          <w:sz w:val="32"/>
          <w:highlight w:val="none"/>
          <w:lang w:val="en-US" w:eastAsia="zh-CN"/>
        </w:rPr>
        <w:t xml:space="preserve">三</w:t>
      </w:r>
      <w:r>
        <w:rPr>
          <w:rFonts w:hint="eastAsia" w:cs="宋体"/>
          <w:b/>
          <w:bCs/>
          <w:color w:val="000000" w:themeColor="text1"/>
          <w:sz w:val="32"/>
          <w:highlight w:val="none"/>
        </w:rPr>
        <w:t xml:space="preserve">月</w:t>
      </w:r>
      <w:r>
        <w:rPr>
          <w:color w:val="000000" w:themeColor="text1"/>
          <w:highlight w:val="none"/>
        </w:rPr>
      </w:r>
    </w:p>
    <w:p>
      <w:pPr>
        <w:jc w:val="center"/>
        <w:rPr>
          <w:rFonts w:hint="eastAsia" w:cs="宋体"/>
          <w:color w:val="000000" w:themeColor="text1"/>
          <w:sz w:val="21"/>
          <w:highlight w:val="none"/>
        </w:rPr>
        <w:sectPr>
          <w:headerReference w:type="default" r:id="rId9"/>
          <w:footerReference w:type="default" r:id="rId12"/>
          <w:footnotePr/>
          <w:endnotePr/>
          <w:type w:val="nextPage"/>
          <w:pgSz w:w="11906" w:h="16838" w:orient="portrait"/>
          <w:pgMar w:top="1157" w:right="1463" w:bottom="1157" w:left="1463" w:header="851" w:footer="992" w:gutter="0"/>
          <w:pgNumType w:start="1"/>
          <w:cols w:num="1" w:sep="0" w:space="1701" w:equalWidth="1"/>
          <w:docGrid w:linePitch="360"/>
        </w:sectPr>
      </w:pPr>
      <w:r>
        <w:rPr>
          <w:rFonts w:hint="eastAsia" w:cs="宋体"/>
          <w:color w:val="000000" w:themeColor="text1"/>
          <w:sz w:val="21"/>
          <w:highlight w:val="none"/>
        </w:rPr>
      </w:r>
      <w:r>
        <w:rPr>
          <w:color w:val="000000" w:themeColor="text1"/>
          <w:highlight w:val="none"/>
        </w:rPr>
      </w:r>
    </w:p>
    <w:p>
      <w:pPr>
        <w:jc w:val="center"/>
        <w:rPr>
          <w:rFonts w:hint="eastAsia" w:cs="宋体"/>
          <w:color w:val="000000" w:themeColor="text1"/>
          <w:sz w:val="21"/>
          <w:szCs w:val="21"/>
          <w:highlight w:val="none"/>
        </w:rPr>
      </w:pPr>
      <w:r>
        <w:rPr>
          <w:rFonts w:hint="eastAsia" w:cs="宋体"/>
          <w:b/>
          <w:bCs/>
          <w:color w:val="000000" w:themeColor="text1"/>
          <w:spacing w:val="20"/>
          <w:sz w:val="30"/>
          <w:highlight w:val="none"/>
        </w:rPr>
        <w:t xml:space="preserve">前 附 表</w:t>
      </w:r>
      <w:r>
        <w:rPr>
          <w:color w:val="000000" w:themeColor="text1"/>
          <w:highlight w:val="none"/>
        </w:rPr>
      </w:r>
    </w:p>
    <w:tbl>
      <w:tblPr>
        <w:tblStyle w:val="836"/>
        <w:tblW w:w="9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76"/>
        <w:gridCol w:w="7432"/>
      </w:tblGrid>
      <w:tr>
        <w:trPr>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序号</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名    称</w:t>
            </w:r>
            <w:r>
              <w:rPr>
                <w:color w:val="000000" w:themeColor="text1"/>
                <w:highlight w:val="none"/>
              </w:rPr>
            </w:r>
          </w:p>
        </w:tc>
        <w:tc>
          <w:tcPr>
            <w:tcW w:w="7432"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内               容</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项目编号</w:t>
            </w:r>
            <w:r>
              <w:rPr>
                <w:color w:val="000000" w:themeColor="text1"/>
                <w:highlight w:val="none"/>
              </w:rPr>
            </w:r>
          </w:p>
        </w:tc>
        <w:tc>
          <w:tcPr>
            <w:tcW w:w="7432" w:type="dxa"/>
            <w:vAlign w:val="center"/>
            <w:textDirection w:val="lrTb"/>
            <w:noWrap w:val="false"/>
          </w:tcPr>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JSZC-320591-SHYS-G2025-0006</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项目名称</w:t>
            </w:r>
            <w:r>
              <w:rPr>
                <w:color w:val="000000" w:themeColor="text1"/>
                <w:highlight w:val="none"/>
              </w:rPr>
            </w:r>
          </w:p>
        </w:tc>
        <w:tc>
          <w:tcPr>
            <w:tcW w:w="7432" w:type="dxa"/>
            <w:vAlign w:val="center"/>
            <w:textDirection w:val="lrTb"/>
            <w:noWrap w:val="false"/>
          </w:tcPr>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胜浦街道动迁社区楼道智能监控</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投标保证金</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bCs/>
                <w:color w:val="000000" w:themeColor="text1"/>
                <w:sz w:val="21"/>
                <w:szCs w:val="21"/>
                <w:highlight w:val="none"/>
              </w:rPr>
              <w:t xml:space="preserve">本项目</w:t>
            </w:r>
            <w:r>
              <w:rPr>
                <w:rFonts w:hint="eastAsia" w:cs="宋体"/>
                <w:color w:val="000000" w:themeColor="text1"/>
                <w:sz w:val="21"/>
                <w:szCs w:val="21"/>
                <w:highlight w:val="none"/>
              </w:rPr>
              <w:t xml:space="preserve">不需提交投标保证金，招标文件中有关投标保证金的规定均不适用。</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投标有效期</w:t>
            </w:r>
            <w:r>
              <w:rPr>
                <w:color w:val="000000" w:themeColor="text1"/>
                <w:highlight w:val="none"/>
              </w:rPr>
            </w:r>
          </w:p>
        </w:tc>
        <w:tc>
          <w:tcPr>
            <w:tcW w:w="7432" w:type="dxa"/>
            <w:vAlign w:val="center"/>
            <w:textDirection w:val="lrTb"/>
            <w:noWrap w:val="false"/>
          </w:tcPr>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投标有效期自投标截止日起九十天（日历日）</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质疑</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报名成功的供应商在下载招标文件后，对招标文件有疑问的，</w:t>
            </w:r>
            <w:r>
              <w:rPr>
                <w:color w:val="000000" w:themeColor="text1"/>
                <w:highlight w:val="none"/>
              </w:rPr>
            </w:r>
          </w:p>
          <w:p>
            <w:pPr>
              <w:rPr>
                <w:rFonts w:hint="eastAsia" w:cs="宋体"/>
                <w:color w:val="000000" w:themeColor="text1"/>
                <w:sz w:val="21"/>
                <w:szCs w:val="21"/>
                <w:highlight w:val="none"/>
              </w:rPr>
            </w:pPr>
            <w:r>
              <w:rPr>
                <w:rFonts w:hint="eastAsia" w:cs="宋体"/>
                <w:color w:val="000000" w:themeColor="text1"/>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none"/>
              </w:rPr>
            </w:r>
          </w:p>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质疑递交地址：苏州市相城区聚茂路185号活力大厦B座502；电话：0512-67210880；联系人：徐晓逸/胡欢/吴雯瑜）。</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现场踏勘</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本项目不组织统一勘察</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投标文件网上</w:t>
            </w:r>
            <w:r>
              <w:rPr>
                <w:color w:val="000000" w:themeColor="text1"/>
                <w:highlight w:val="none"/>
              </w:rPr>
            </w:r>
          </w:p>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提交截止时间</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2025年4月1日14点00分</w:t>
            </w:r>
            <w:r>
              <w:rPr>
                <w:rFonts w:hint="eastAsia" w:cs="宋体"/>
                <w:color w:val="000000" w:themeColor="text1"/>
                <w:sz w:val="21"/>
                <w:szCs w:val="21"/>
                <w:highlight w:val="none"/>
              </w:rPr>
              <w:t xml:space="preserve">（北京时间）</w:t>
            </w:r>
            <w:r>
              <w:rPr>
                <w:color w:val="000000" w:themeColor="text1"/>
                <w:highlight w:val="none"/>
              </w:rPr>
            </w:r>
          </w:p>
          <w:p>
            <w:pPr>
              <w:rPr>
                <w:rFonts w:hint="eastAsia" w:cs="宋体"/>
                <w:color w:val="000000" w:themeColor="text1"/>
                <w:sz w:val="21"/>
                <w:szCs w:val="21"/>
                <w:highlight w:val="none"/>
              </w:rPr>
            </w:pPr>
            <w:r>
              <w:rPr>
                <w:rFonts w:hint="eastAsia" w:cs="宋体"/>
                <w:b/>
                <w:bCs/>
                <w:color w:val="000000" w:themeColor="text1"/>
                <w:sz w:val="21"/>
                <w:szCs w:val="21"/>
                <w:highlight w:val="none"/>
              </w:rPr>
              <w:t xml:space="preserve">投标文件必须在截止时间前完成提交（上传），逾期提交（上传）的投标文件恕不接受。</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开标时间</w:t>
            </w:r>
            <w:r>
              <w:rPr>
                <w:color w:val="000000" w:themeColor="text1"/>
                <w:highlight w:val="none"/>
              </w:rPr>
            </w:r>
          </w:p>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开标地点</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2025年4月1日14点00分</w:t>
            </w:r>
            <w:r>
              <w:rPr>
                <w:rFonts w:hint="eastAsia" w:cs="宋体"/>
                <w:color w:val="000000" w:themeColor="text1"/>
                <w:sz w:val="21"/>
                <w:szCs w:val="21"/>
                <w:highlight w:val="none"/>
              </w:rPr>
              <w:t xml:space="preserve">（北京时间）</w:t>
            </w:r>
            <w:r>
              <w:rPr>
                <w:color w:val="000000" w:themeColor="text1"/>
                <w:highlight w:val="none"/>
              </w:rPr>
            </w:r>
          </w:p>
          <w:p>
            <w:pPr>
              <w:rPr>
                <w:rFonts w:hint="eastAsia" w:cs="宋体"/>
                <w:color w:val="000000" w:themeColor="text1"/>
                <w:sz w:val="21"/>
                <w:szCs w:val="21"/>
                <w:highlight w:val="none"/>
              </w:rPr>
            </w:pPr>
            <w:r>
              <w:rPr>
                <w:rFonts w:hint="eastAsia" w:cs="宋体"/>
                <w:color w:val="000000" w:themeColor="text1"/>
                <w:sz w:val="21"/>
                <w:szCs w:val="21"/>
                <w:highlight w:val="none"/>
              </w:rPr>
              <w:t xml:space="preserve">“苏采云”系统（网址：http://jszfcg.jsczt.cn/）</w:t>
            </w:r>
            <w:r>
              <w:rPr>
                <w:color w:val="000000" w:themeColor="text1"/>
                <w:highlight w:val="none"/>
              </w:rPr>
            </w:r>
          </w:p>
          <w:p>
            <w:pPr>
              <w:rPr>
                <w:rFonts w:hint="eastAsia" w:cs="宋体"/>
                <w:color w:val="000000" w:themeColor="text1"/>
                <w:sz w:val="21"/>
                <w:szCs w:val="21"/>
                <w:highlight w:val="none"/>
              </w:rPr>
            </w:pPr>
            <w:r>
              <w:rPr>
                <w:rFonts w:hint="eastAsia" w:cs="宋体"/>
                <w:b/>
                <w:bCs/>
                <w:color w:val="000000" w:themeColor="text1"/>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评标时间</w:t>
            </w:r>
            <w:r>
              <w:rPr>
                <w:color w:val="000000" w:themeColor="text1"/>
                <w:highlight w:val="none"/>
              </w:rPr>
            </w:r>
          </w:p>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评标地点</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2025年4月1日14点00分</w:t>
            </w:r>
            <w:r>
              <w:rPr>
                <w:rFonts w:hint="eastAsia" w:cs="宋体"/>
                <w:color w:val="000000" w:themeColor="text1"/>
                <w:sz w:val="21"/>
                <w:szCs w:val="21"/>
                <w:highlight w:val="none"/>
              </w:rPr>
              <w:t xml:space="preserve">（北京时间）</w:t>
            </w:r>
            <w:r>
              <w:rPr>
                <w:color w:val="000000" w:themeColor="text1"/>
                <w:highlight w:val="none"/>
              </w:rPr>
            </w:r>
          </w:p>
          <w:p>
            <w:pPr>
              <w:rPr>
                <w:rFonts w:hint="eastAsia" w:cs="宋体"/>
                <w:color w:val="000000" w:themeColor="text1"/>
                <w:sz w:val="21"/>
                <w:szCs w:val="21"/>
                <w:highlight w:val="none"/>
              </w:rPr>
            </w:pPr>
            <w:r>
              <w:rPr>
                <w:rFonts w:hint="eastAsia" w:cs="宋体"/>
                <w:color w:val="000000" w:themeColor="text1"/>
                <w:sz w:val="21"/>
                <w:szCs w:val="21"/>
                <w:highlight w:val="none"/>
              </w:rPr>
              <w:t xml:space="preserve">苏州工业园区苏州大道东136号星塘大厦3楼</w:t>
            </w:r>
            <w:r>
              <w:rPr>
                <w:color w:val="000000" w:themeColor="text1"/>
                <w:highlight w:val="none"/>
              </w:rPr>
            </w:r>
          </w:p>
        </w:tc>
      </w:tr>
      <w:tr>
        <w:trPr>
          <w:cantSplit/>
          <w:jc w:val="center"/>
          <w:trHeight w:val="639"/>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10</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投标文件份数</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本项目采用电子投标文件，投标人按照招标文件要求制作上传电子投标文件，投标人无需提供纸质投标文件。</w:t>
            </w:r>
            <w:r>
              <w:rPr>
                <w:color w:val="000000" w:themeColor="text1"/>
                <w:highlight w:val="none"/>
              </w:rPr>
            </w:r>
          </w:p>
        </w:tc>
      </w:tr>
      <w:tr>
        <w:trPr>
          <w:cantSplit/>
          <w:jc w:val="center"/>
          <w:trHeight w:val="639"/>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中标通知书</w:t>
            </w:r>
            <w:r>
              <w:rPr>
                <w:color w:val="000000" w:themeColor="text1"/>
                <w:highlight w:val="none"/>
              </w:rPr>
            </w:r>
          </w:p>
        </w:tc>
        <w:tc>
          <w:tcPr>
            <w:tcW w:w="7432" w:type="dxa"/>
            <w:vAlign w:val="center"/>
            <w:textDirection w:val="lrTb"/>
            <w:noWrap w:val="false"/>
          </w:tcPr>
          <w:p>
            <w:pPr>
              <w:rPr>
                <w:rFonts w:hint="eastAsia" w:cs="宋体"/>
                <w:color w:val="000000" w:themeColor="text1"/>
                <w:sz w:val="21"/>
                <w:szCs w:val="21"/>
                <w:highlight w:val="none"/>
              </w:rPr>
            </w:pPr>
            <w:r>
              <w:rPr>
                <w:rFonts w:hint="eastAsia" w:cs="宋体"/>
                <w:color w:val="000000" w:themeColor="text1"/>
                <w:sz w:val="21"/>
                <w:szCs w:val="21"/>
                <w:highlight w:val="none"/>
              </w:rPr>
              <w:t xml:space="preserve">确定出中标人后，采购代理机构在法定时间内向中标人发出中标通知书。中标通知书将成为合同的组成部分。</w:t>
            </w:r>
            <w:r>
              <w:rPr>
                <w:color w:val="000000" w:themeColor="text1"/>
                <w:highlight w:val="none"/>
              </w:rPr>
            </w:r>
          </w:p>
          <w:p>
            <w:pPr>
              <w:rPr>
                <w:rFonts w:hint="eastAsia" w:cs="宋体"/>
                <w:color w:val="000000" w:themeColor="text1"/>
                <w:sz w:val="21"/>
                <w:szCs w:val="21"/>
                <w:highlight w:val="none"/>
              </w:rPr>
            </w:pPr>
            <w:r>
              <w:rPr>
                <w:rFonts w:hint="eastAsia" w:cs="宋体"/>
                <w:b/>
                <w:bCs/>
                <w:color w:val="000000" w:themeColor="text1"/>
                <w:sz w:val="21"/>
                <w:szCs w:val="21"/>
                <w:highlight w:val="none"/>
              </w:rPr>
              <w:t xml:space="preserve">请中标人在中标结果公告届满之日起30日内,使用CA证书登录“苏采云”系统及时下载中标通知书。</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代理服务费</w:t>
            </w:r>
            <w:r>
              <w:rPr>
                <w:color w:val="000000" w:themeColor="text1"/>
                <w:highlight w:val="none"/>
              </w:rPr>
            </w:r>
          </w:p>
        </w:tc>
        <w:tc>
          <w:tcPr>
            <w:tcW w:w="7432" w:type="dxa"/>
            <w:vAlign w:val="center"/>
            <w:textDirection w:val="lrTb"/>
            <w:noWrap w:val="false"/>
          </w:tcPr>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代理服务费收费标准：</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预算金额100万元以下部分，费率为该部分预算金额的1.5%；</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预算金额100万元（含）－500万元部分，费率为该部分预算金额的1.1%；</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预算金额500万元（含）-1000万元部分，费率为该部分预算金额的0.8%；</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预算金额1000万元（含）-5000万元部分，费率为该部分预算金额的0.5%；</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none"/>
              </w:rPr>
            </w:r>
          </w:p>
          <w:p>
            <w:pPr>
              <w:pStyle w:val="1069"/>
              <w:ind w:left="0" w:firstLine="0"/>
              <w:jc w:val="lef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汇款银行资料：</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收款人名称：苏州合亿盛工程咨询有限公司</w:t>
            </w:r>
            <w:r>
              <w:rPr>
                <w:color w:val="000000" w:themeColor="text1"/>
                <w:highlight w:val="none"/>
              </w:rPr>
            </w:r>
          </w:p>
          <w:p>
            <w:pPr>
              <w:pStyle w:val="1069"/>
              <w:ind w:left="0" w:firstLine="0"/>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开户行名称：中国农业银行股份有限公司苏州元和支行</w:t>
            </w:r>
            <w:r>
              <w:rPr>
                <w:color w:val="000000" w:themeColor="text1"/>
                <w:highlight w:val="none"/>
              </w:rPr>
            </w:r>
          </w:p>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银行账号：10541101040028625</w:t>
            </w:r>
            <w:r>
              <w:rPr>
                <w:color w:val="000000" w:themeColor="text1"/>
                <w:highlight w:val="none"/>
              </w:rPr>
            </w:r>
          </w:p>
        </w:tc>
      </w:tr>
      <w:tr>
        <w:trPr>
          <w:cantSplit/>
          <w:jc w:val="center"/>
          <w:trHeight w:val="397"/>
        </w:trPr>
        <w:tc>
          <w:tcPr>
            <w:tcW w:w="680"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13</w:t>
            </w:r>
            <w:r>
              <w:rPr>
                <w:color w:val="000000" w:themeColor="text1"/>
                <w:highlight w:val="none"/>
              </w:rPr>
            </w:r>
          </w:p>
        </w:tc>
        <w:tc>
          <w:tcPr>
            <w:tcW w:w="1576" w:type="dxa"/>
            <w:vAlign w:val="center"/>
            <w:textDirection w:val="lrTb"/>
            <w:noWrap w:val="false"/>
          </w:tcPr>
          <w:p>
            <w:pPr>
              <w:pStyle w:val="1049"/>
              <w:ind w:firstLine="0"/>
              <w:jc w:val="center"/>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履约保证金</w:t>
            </w:r>
            <w:r>
              <w:rPr>
                <w:color w:val="000000" w:themeColor="text1"/>
                <w:highlight w:val="none"/>
              </w:rPr>
            </w:r>
          </w:p>
        </w:tc>
        <w:tc>
          <w:tcPr>
            <w:tcW w:w="7432" w:type="dxa"/>
            <w:vAlign w:val="center"/>
            <w:textDirection w:val="lrTb"/>
            <w:noWrap w:val="false"/>
          </w:tcPr>
          <w:p>
            <w:pPr>
              <w:pStyle w:val="1049"/>
              <w:ind w:firstLine="0"/>
              <w:spacing w:line="24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本项目不收取履约保证金（招标文件中有关履约保证金的规定均不适用）</w:t>
            </w:r>
            <w:r>
              <w:rPr>
                <w:color w:val="000000" w:themeColor="text1"/>
                <w:highlight w:val="none"/>
              </w:rPr>
            </w:r>
          </w:p>
        </w:tc>
      </w:tr>
    </w:tbl>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rPr>
          <w:rFonts w:hint="eastAsia" w:cs="宋体"/>
          <w:b/>
          <w:bCs/>
          <w:color w:val="000000" w:themeColor="text1"/>
          <w:sz w:val="32"/>
          <w:highlight w:val="none"/>
        </w:rPr>
      </w:pPr>
      <w:r>
        <w:rPr>
          <w:rFonts w:hint="eastAsia" w:cs="宋体"/>
          <w:b/>
          <w:bCs/>
          <w:color w:val="000000" w:themeColor="text1"/>
          <w:sz w:val="32"/>
          <w:highlight w:val="none"/>
        </w:rPr>
      </w:r>
      <w:r>
        <w:rPr>
          <w:color w:val="000000" w:themeColor="text1"/>
          <w:highlight w:val="none"/>
        </w:rPr>
      </w:r>
    </w:p>
    <w:p>
      <w:pPr>
        <w:jc w:val="center"/>
        <w:rPr>
          <w:rFonts w:hint="eastAsia" w:cs="宋体"/>
          <w:color w:val="000000" w:themeColor="text1"/>
          <w:sz w:val="21"/>
          <w:highlight w:val="none"/>
        </w:rPr>
      </w:pPr>
      <w:r>
        <w:rPr>
          <w:rFonts w:hint="eastAsia" w:cs="宋体"/>
          <w:color w:val="000000" w:themeColor="text1"/>
          <w:sz w:val="21"/>
          <w:highlight w:val="none"/>
        </w:rPr>
      </w:r>
      <w:r>
        <w:rPr>
          <w:color w:val="000000" w:themeColor="text1"/>
          <w:highlight w:val="none"/>
        </w:rPr>
      </w:r>
    </w:p>
    <w:p>
      <w:pPr>
        <w:jc w:val="center"/>
        <w:rPr>
          <w:rFonts w:hint="eastAsia" w:cs="宋体"/>
          <w:color w:val="000000" w:themeColor="text1"/>
          <w:sz w:val="21"/>
          <w:highlight w:val="none"/>
        </w:rPr>
      </w:pPr>
      <w:r>
        <w:rPr>
          <w:rFonts w:hint="eastAsia" w:cs="宋体"/>
          <w:color w:val="000000" w:themeColor="text1"/>
          <w:sz w:val="21"/>
          <w:highlight w:val="none"/>
        </w:rPr>
      </w:r>
      <w:r>
        <w:rPr>
          <w:color w:val="000000" w:themeColor="text1"/>
          <w:highlight w:val="none"/>
        </w:rPr>
      </w:r>
    </w:p>
    <w:p>
      <w:pPr>
        <w:jc w:val="center"/>
        <w:rPr>
          <w:rFonts w:hint="eastAsia" w:cs="宋体"/>
          <w:color w:val="000000" w:themeColor="text1"/>
          <w:sz w:val="21"/>
          <w:highlight w:val="none"/>
        </w:rPr>
      </w:pPr>
      <w:r>
        <w:rPr>
          <w:rFonts w:hint="eastAsia" w:cs="宋体"/>
          <w:color w:val="000000" w:themeColor="text1"/>
          <w:sz w:val="21"/>
          <w:highlight w:val="none"/>
        </w:rPr>
      </w:r>
      <w:r>
        <w:rPr>
          <w:color w:val="000000" w:themeColor="text1"/>
          <w:highlight w:val="none"/>
        </w:rPr>
      </w:r>
    </w:p>
    <w:p>
      <w:pPr>
        <w:jc w:val="center"/>
        <w:rPr>
          <w:rFonts w:hint="eastAsia" w:cs="宋体"/>
          <w:color w:val="000000" w:themeColor="text1"/>
          <w:sz w:val="36"/>
          <w:szCs w:val="36"/>
          <w:highlight w:val="none"/>
        </w:rPr>
      </w:pPr>
      <w:r>
        <w:rPr>
          <w:rFonts w:hint="eastAsia" w:cs="宋体"/>
          <w:color w:val="000000" w:themeColor="text1"/>
          <w:sz w:val="36"/>
          <w:szCs w:val="36"/>
          <w:highlight w:val="none"/>
        </w:rPr>
        <w:t xml:space="preserve">目       录</w:t>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TOC \o "1-1" \h \u </w:instrText>
      </w:r>
      <w:r>
        <w:rPr>
          <w:rFonts w:hint="eastAsia" w:cs="宋体"/>
          <w:color w:val="000000" w:themeColor="text1"/>
          <w:sz w:val="28"/>
          <w:szCs w:val="28"/>
          <w:highlight w:val="none"/>
        </w:rPr>
        <w:fldChar w:fldCharType="separate"/>
      </w:r>
      <w:r>
        <w:rPr>
          <w:color w:val="000000" w:themeColor="text1"/>
          <w:highlight w:val="none"/>
        </w:rPr>
        <w:fldChar w:fldCharType="begin"/>
      </w:r>
      <w:r>
        <w:rPr>
          <w:color w:val="000000" w:themeColor="text1"/>
          <w:highlight w:val="none"/>
        </w:rPr>
        <w:instrText xml:space="preserve"> HYPERLINK \l "_Toc30526" </w:instrText>
      </w:r>
      <w:r>
        <w:rPr>
          <w:color w:val="000000" w:themeColor="text1"/>
          <w:highlight w:val="none"/>
        </w:rPr>
        <w:fldChar w:fldCharType="separate"/>
      </w:r>
      <w:r>
        <w:rPr>
          <w:rFonts w:hint="eastAsia" w:cs="宋体"/>
          <w:color w:val="000000" w:themeColor="text1"/>
          <w:sz w:val="28"/>
          <w:szCs w:val="28"/>
          <w:highlight w:val="none"/>
        </w:rPr>
        <w:t xml:space="preserve">第一章  投标邀请函</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_Toc30526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3</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"_Toc3401" </w:instrText>
      </w:r>
      <w:r>
        <w:rPr>
          <w:color w:val="000000" w:themeColor="text1"/>
          <w:highlight w:val="none"/>
        </w:rPr>
        <w:fldChar w:fldCharType="separate"/>
      </w:r>
      <w:r>
        <w:rPr>
          <w:rFonts w:hint="eastAsia" w:cs="宋体"/>
          <w:color w:val="000000" w:themeColor="text1"/>
          <w:sz w:val="28"/>
          <w:szCs w:val="28"/>
          <w:highlight w:val="none"/>
        </w:rPr>
        <w:t xml:space="preserve">第二章  投标人须知</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_Toc3401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8</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"_Toc32435" </w:instrText>
      </w:r>
      <w:r>
        <w:rPr>
          <w:color w:val="000000" w:themeColor="text1"/>
          <w:highlight w:val="none"/>
        </w:rPr>
        <w:fldChar w:fldCharType="separate"/>
      </w:r>
      <w:r>
        <w:rPr>
          <w:rFonts w:hint="eastAsia" w:cs="宋体"/>
          <w:bCs/>
          <w:color w:val="000000" w:themeColor="text1"/>
          <w:sz w:val="28"/>
          <w:szCs w:val="28"/>
          <w:highlight w:val="none"/>
        </w:rPr>
        <w:t xml:space="preserve">第三章  投标文件格式</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_Toc32435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23</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"_Toc14281" </w:instrText>
      </w:r>
      <w:r>
        <w:rPr>
          <w:color w:val="000000" w:themeColor="text1"/>
          <w:highlight w:val="none"/>
        </w:rPr>
        <w:fldChar w:fldCharType="separate"/>
      </w:r>
      <w:r>
        <w:rPr>
          <w:rFonts w:hint="eastAsia" w:cs="宋体"/>
          <w:color w:val="000000" w:themeColor="text1"/>
          <w:sz w:val="28"/>
          <w:szCs w:val="28"/>
          <w:highlight w:val="none"/>
        </w:rPr>
        <w:t xml:space="preserve">第四章  招标书</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_Toc14281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43</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"_Toc11448" </w:instrText>
      </w:r>
      <w:r>
        <w:rPr>
          <w:color w:val="000000" w:themeColor="text1"/>
          <w:highlight w:val="none"/>
        </w:rPr>
        <w:fldChar w:fldCharType="separate"/>
      </w:r>
      <w:r>
        <w:rPr>
          <w:rFonts w:hint="eastAsia" w:cs="宋体"/>
          <w:bCs/>
          <w:color w:val="000000" w:themeColor="text1"/>
          <w:sz w:val="28"/>
          <w:szCs w:val="28"/>
          <w:highlight w:val="none"/>
        </w:rPr>
        <w:t xml:space="preserve">第五章  合同主要条款</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_Toc11448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51</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pStyle w:val="1048"/>
        <w:tabs>
          <w:tab w:val="right" w:pos="9638" w:leader="dot"/>
        </w:tabs>
        <w:rPr>
          <w:rFonts w:hint="eastAsia"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"_Toc21699" </w:instrText>
      </w:r>
      <w:r>
        <w:rPr>
          <w:color w:val="000000" w:themeColor="text1"/>
          <w:highlight w:val="none"/>
        </w:rPr>
        <w:fldChar w:fldCharType="separate"/>
      </w:r>
      <w:r>
        <w:rPr>
          <w:rFonts w:hint="eastAsia" w:cs="宋体"/>
          <w:bCs/>
          <w:color w:val="000000" w:themeColor="text1"/>
          <w:sz w:val="28"/>
          <w:szCs w:val="28"/>
          <w:highlight w:val="none"/>
        </w:rPr>
        <w:t xml:space="preserve">第六章  评标办法</w:t>
      </w:r>
      <w:r>
        <w:rPr>
          <w:rFonts w:hint="eastAsia" w:cs="宋体"/>
          <w:color w:val="000000" w:themeColor="text1"/>
          <w:sz w:val="28"/>
          <w:szCs w:val="28"/>
          <w:highlight w:val="none"/>
        </w:rPr>
        <w:tab/>
      </w:r>
      <w:r>
        <w:rPr>
          <w:rFonts w:hint="eastAsia" w:cs="宋体"/>
          <w:color w:val="000000" w:themeColor="text1"/>
          <w:sz w:val="28"/>
          <w:szCs w:val="28"/>
          <w:highlight w:val="none"/>
        </w:rPr>
        <w:fldChar w:fldCharType="begin"/>
      </w:r>
      <w:r>
        <w:rPr>
          <w:rFonts w:hint="eastAsia" w:cs="宋体"/>
          <w:color w:val="000000" w:themeColor="text1"/>
          <w:sz w:val="28"/>
          <w:szCs w:val="28"/>
          <w:highlight w:val="none"/>
        </w:rPr>
        <w:instrText xml:space="preserve"> PAGEREF _Toc21699 \h </w:instrText>
      </w:r>
      <w:r>
        <w:rPr>
          <w:rFonts w:hint="eastAsia" w:cs="宋体"/>
          <w:color w:val="000000" w:themeColor="text1"/>
          <w:sz w:val="28"/>
          <w:szCs w:val="28"/>
          <w:highlight w:val="none"/>
        </w:rPr>
        <w:fldChar w:fldCharType="separate"/>
      </w:r>
      <w:r>
        <w:rPr>
          <w:rFonts w:hint="eastAsia" w:cs="宋体"/>
          <w:color w:val="000000" w:themeColor="text1"/>
          <w:sz w:val="28"/>
          <w:szCs w:val="28"/>
          <w:highlight w:val="none"/>
        </w:rPr>
        <w:t xml:space="preserve">58</w:t>
      </w:r>
      <w:r>
        <w:rPr>
          <w:rFonts w:hint="eastAsia" w:cs="宋体"/>
          <w:color w:val="000000" w:themeColor="text1"/>
          <w:sz w:val="28"/>
          <w:szCs w:val="28"/>
          <w:highlight w:val="none"/>
        </w:rPr>
        <w:fldChar w:fldCharType="end"/>
      </w:r>
      <w:r>
        <w:rPr>
          <w:rFonts w:hint="eastAsia" w:cs="宋体"/>
          <w:color w:val="000000" w:themeColor="text1"/>
          <w:sz w:val="28"/>
          <w:szCs w:val="28"/>
          <w:highlight w:val="none"/>
        </w:rPr>
        <w:fldChar w:fldCharType="end"/>
      </w:r>
      <w:r>
        <w:rPr>
          <w:color w:val="000000" w:themeColor="text1"/>
          <w:highlight w:val="none"/>
        </w:rPr>
      </w:r>
    </w:p>
    <w:p>
      <w:pPr>
        <w:rPr>
          <w:rFonts w:hint="eastAsia" w:cs="宋体"/>
          <w:color w:val="000000" w:themeColor="text1"/>
          <w:highlight w:val="none"/>
        </w:rPr>
      </w:pPr>
      <w:r>
        <w:rPr>
          <w:rFonts w:hint="eastAsia" w:cs="宋体"/>
          <w:color w:val="000000" w:themeColor="text1"/>
          <w:sz w:val="28"/>
          <w:szCs w:val="28"/>
          <w:highlight w:val="none"/>
        </w:rPr>
        <w:fldChar w:fldCharType="end"/>
      </w:r>
      <w:r>
        <w:rPr>
          <w:color w:val="000000" w:themeColor="text1"/>
          <w:highlight w:val="none"/>
        </w:rPr>
      </w:r>
    </w:p>
    <w:p>
      <w:pPr>
        <w:rPr>
          <w:rFonts w:hint="eastAsia" w:cs="宋体"/>
          <w:b/>
          <w:bCs/>
          <w:color w:val="000000" w:themeColor="text1"/>
          <w:sz w:val="44"/>
          <w:szCs w:val="44"/>
          <w:highlight w:val="none"/>
        </w:rPr>
      </w:pPr>
      <w:r>
        <w:rPr>
          <w:rFonts w:hint="eastAsia" w:cs="宋体"/>
          <w:b/>
          <w:bCs/>
          <w:color w:val="000000" w:themeColor="text1"/>
          <w:sz w:val="44"/>
          <w:szCs w:val="44"/>
          <w:highlight w:val="none"/>
        </w:rPr>
        <w:br w:type="page" w:clear="all"/>
      </w:r>
      <w:bookmarkStart w:id="1" w:name="_Toc27330"/>
      <w:r>
        <w:rPr>
          <w:color w:val="000000" w:themeColor="text1"/>
          <w:highlight w:val="none"/>
        </w:rPr>
      </w:r>
      <w:r>
        <w:rPr>
          <w:color w:val="000000" w:themeColor="text1"/>
          <w:highlight w:val="none"/>
        </w:rPr>
      </w:r>
    </w:p>
    <w:p>
      <w:pPr>
        <w:spacing w:line="440" w:lineRule="exact"/>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spacing w:line="440" w:lineRule="exact"/>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spacing w:line="440" w:lineRule="exact"/>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spacing w:line="440" w:lineRule="exact"/>
        <w:rPr>
          <w:rStyle w:val="890"/>
          <w:rFonts w:hint="eastAsia" w:ascii="宋体" w:hAnsi="宋体" w:cs="宋体"/>
          <w:color w:val="000000" w:themeColor="text1"/>
          <w:sz w:val="44"/>
          <w:szCs w:val="20"/>
          <w:highlight w:val="none"/>
        </w:rPr>
        <w:outlineLvl w:val="0"/>
      </w:pPr>
      <w:r>
        <w:rPr>
          <w:color w:val="000000" w:themeColor="text1"/>
          <w:highlight w:val="none"/>
        </w:rPr>
      </w:r>
      <w:bookmarkStart w:id="2" w:name="_Toc30526"/>
      <w:r>
        <w:rPr>
          <w:rStyle w:val="890"/>
          <w:rFonts w:hint="eastAsia" w:ascii="宋体" w:hAnsi="宋体" w:cs="宋体"/>
          <w:color w:val="000000" w:themeColor="text1"/>
          <w:sz w:val="44"/>
          <w:szCs w:val="20"/>
          <w:highlight w:val="none"/>
        </w:rPr>
        <w:t xml:space="preserve">第一章  </w:t>
      </w:r>
      <w:bookmarkEnd w:id="1"/>
      <w:r>
        <w:rPr>
          <w:rStyle w:val="890"/>
          <w:rFonts w:hint="eastAsia" w:ascii="宋体" w:hAnsi="宋体" w:cs="宋体"/>
          <w:color w:val="000000" w:themeColor="text1"/>
          <w:sz w:val="44"/>
          <w:szCs w:val="20"/>
          <w:highlight w:val="none"/>
        </w:rPr>
        <w:t xml:space="preserve">投标邀请函</w:t>
      </w:r>
      <w:bookmarkEnd w:id="2"/>
      <w:r>
        <w:rPr>
          <w:color w:val="000000" w:themeColor="text1"/>
          <w:highlight w:val="none"/>
        </w:rPr>
      </w:r>
      <w:r>
        <w:rPr>
          <w:color w:val="000000" w:themeColor="text1"/>
          <w:highlight w:val="none"/>
        </w:rPr>
      </w:r>
    </w:p>
    <w:p>
      <w:pPr>
        <w:pStyle w:val="1078"/>
        <w:ind w:firstLine="0"/>
        <w:rPr>
          <w:rStyle w:val="890"/>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Style w:val="890"/>
          <w:rFonts w:hint="eastAsia" w:ascii="宋体" w:hAnsi="宋体" w:cs="宋体"/>
          <w:color w:val="000000" w:themeColor="text1"/>
          <w:sz w:val="24"/>
          <w:szCs w:val="24"/>
          <w:highlight w:val="none"/>
        </w:rPr>
        <w:br w:type="page" w:clear="all"/>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苏州合亿盛工程咨询有限公司受苏州工业园区胜浦街道办事处的委托，就胜浦街道动迁社区楼道智能监控项目进行公开招标，现欢迎符合相关条件的供应商参加投标。</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一、项目基本情况：</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1、项目编号：JSZC-320591-SHYS-G2025-0006</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2、项目名称：胜浦街道动迁社区楼道智能监控</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3、本项目采购预算金额：</w:t>
      </w:r>
      <w:r>
        <w:rPr>
          <w:color w:val="000000" w:themeColor="text1"/>
          <w:highlight w:val="none"/>
        </w:rPr>
      </w:r>
    </w:p>
    <w:p>
      <w:pPr>
        <w:ind w:firstLine="480"/>
        <w:spacing w:line="360" w:lineRule="auto"/>
        <w:rPr>
          <w:rFonts w:hint="eastAsia" w:eastAsia="宋体" w:cs="宋体"/>
          <w:color w:val="000000" w:themeColor="text1"/>
          <w:highlight w:val="none"/>
        </w:rPr>
      </w:pPr>
      <w:r>
        <w:rPr>
          <w:rFonts w:hint="eastAsia" w:cs="宋体"/>
          <w:color w:val="000000" w:themeColor="text1"/>
          <w:highlight w:val="none"/>
        </w:rPr>
        <w:t xml:space="preserve">人民币（大写）：</w:t>
      </w:r>
      <w:r>
        <w:rPr>
          <w:rFonts w:hint="eastAsia" w:cs="宋体"/>
          <w:color w:val="000000" w:themeColor="text1"/>
          <w:highlight w:val="none"/>
          <w:lang w:val="en-US" w:eastAsia="zh-CN"/>
        </w:rPr>
        <w:t xml:space="preserve">陆佰叁拾万元整</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人民币（小写）：</w:t>
      </w:r>
      <w:r>
        <w:rPr>
          <w:rFonts w:hint="eastAsia" w:cs="宋体"/>
          <w:color w:val="000000" w:themeColor="text1"/>
          <w:highlight w:val="none"/>
          <w:lang w:val="en-US" w:eastAsia="zh-CN"/>
        </w:rPr>
        <w:t xml:space="preserve">630</w:t>
      </w:r>
      <w:r>
        <w:rPr>
          <w:rFonts w:hint="eastAsia" w:cs="宋体"/>
          <w:color w:val="000000" w:themeColor="text1"/>
          <w:highlight w:val="none"/>
        </w:rPr>
        <w:t xml:space="preserve">0000.00元</w:t>
      </w:r>
      <w:r>
        <w:rPr>
          <w:color w:val="000000" w:themeColor="text1"/>
          <w:highlight w:val="none"/>
        </w:rPr>
      </w:r>
    </w:p>
    <w:p>
      <w:pPr>
        <w:ind w:firstLine="480"/>
        <w:spacing w:line="360" w:lineRule="auto"/>
        <w:rPr>
          <w:rFonts w:hint="default" w:eastAsia="宋体" w:cs="宋体"/>
          <w:color w:val="000000" w:themeColor="text1"/>
          <w:highlight w:val="none"/>
        </w:rPr>
      </w:pPr>
      <w:r>
        <w:rPr>
          <w:rFonts w:hint="eastAsia" w:cs="宋体"/>
          <w:color w:val="000000" w:themeColor="text1"/>
          <w:highlight w:val="none"/>
          <w:lang w:val="en-US" w:eastAsia="zh-CN"/>
        </w:rPr>
        <w:t xml:space="preserve">4、最高限价：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人民币（大写）：肆佰捌拾陆万元整</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人民币（小写）：4860000.00元</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en-US" w:eastAsia="zh-CN"/>
        </w:rPr>
        <w:t xml:space="preserve">5</w:t>
      </w:r>
      <w:r>
        <w:rPr>
          <w:rFonts w:hint="eastAsia" w:cs="宋体"/>
          <w:color w:val="000000" w:themeColor="text1"/>
          <w:highlight w:val="none"/>
        </w:rPr>
        <w:t xml:space="preserve">、采购需求：详见招标文件第四章。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en-US" w:eastAsia="zh-CN"/>
        </w:rPr>
        <w:t xml:space="preserve">6</w:t>
      </w:r>
      <w:r>
        <w:rPr>
          <w:rFonts w:hint="eastAsia" w:cs="宋体"/>
          <w:color w:val="000000" w:themeColor="text1"/>
          <w:highlight w:val="none"/>
        </w:rPr>
        <w:t xml:space="preserve">、服务期限：自合同签订之日起三年（具体时间以采购方通知为准）。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en-US" w:eastAsia="zh-CN"/>
        </w:rPr>
        <w:t xml:space="preserve">7</w:t>
      </w:r>
      <w:r>
        <w:rPr>
          <w:rFonts w:hint="eastAsia" w:cs="宋体"/>
          <w:color w:val="000000" w:themeColor="text1"/>
          <w:highlight w:val="none"/>
        </w:rPr>
        <w:t xml:space="preserve">、本项目不接受联合体投标。</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二、申请人的资格要求：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（一）满足《中华人民共和国政府采购法》第二十二条规定：</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1、具有独立承担民事责任的能力；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2、具有良好的商业信誉和健全的财务会计制度；</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3、具有履行合同所必须的设备和专业技术能力；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4、有依法缴纳税收和社会保障资金的良好记录；</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5、参加政府采购活动前三年内，在经营活动中没有重大违法记录；</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6、法律、行政法规规定的其他条件。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（二）落实政府采购政策需满足的资格要求：</w:t>
      </w:r>
      <w:r>
        <w:rPr>
          <w:rFonts w:hint="eastAsia" w:cs="宋体"/>
          <w:color w:val="000000" w:themeColor="text1"/>
          <w:highlight w:val="none"/>
          <w:lang w:bidi="ar"/>
        </w:rPr>
        <w:t xml:space="preserve">本项目</w:t>
      </w:r>
      <w:r>
        <w:rPr>
          <w:rFonts w:hint="eastAsia" w:cs="宋体"/>
          <w:b/>
          <w:bCs/>
          <w:color w:val="000000" w:themeColor="text1"/>
          <w:highlight w:val="none"/>
          <w:lang w:bidi="ar"/>
        </w:rPr>
        <w:t xml:space="preserve">非专门面向中小企业采购</w:t>
      </w:r>
      <w:r>
        <w:rPr>
          <w:rFonts w:hint="eastAsia" w:cs="宋体"/>
          <w:color w:val="000000" w:themeColor="text1"/>
          <w:highlight w:val="none"/>
          <w:lang w:bidi="ar"/>
        </w:rPr>
        <w:t xml:space="preserve">，</w:t>
      </w:r>
      <w:r>
        <w:rPr>
          <w:rFonts w:hint="eastAsia" w:cs="宋体"/>
          <w:color w:val="000000" w:themeColor="text1"/>
          <w:highlight w:val="none"/>
          <w:lang w:bidi="ar"/>
        </w:rPr>
        <w:t xml:space="preserve">所属行业为其他未列明行业。</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（三）本项目的特定资格要求：无。</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三、获取招标文件</w:t>
      </w:r>
      <w:r>
        <w:rPr>
          <w:color w:val="000000" w:themeColor="text1"/>
          <w:highlight w:val="none"/>
        </w:rPr>
      </w:r>
    </w:p>
    <w:p>
      <w:pPr>
        <w:ind w:firstLine="480"/>
        <w:spacing w:line="360" w:lineRule="auto"/>
        <w:rPr>
          <w:rFonts w:hint="eastAsia" w:cs="宋体"/>
          <w:color w:val="000000" w:themeColor="text1"/>
          <w:highlight w:val="none"/>
        </w:rPr>
      </w:pPr>
      <w:r>
        <w:rPr>
          <w:color w:val="000000" w:themeColor="text1"/>
          <w:highlight w:val="none"/>
        </w:rPr>
      </w:r>
      <w:bookmarkStart w:id="3" w:name="_Hlk14291646"/>
      <w:r>
        <w:rPr>
          <w:rFonts w:hint="eastAsia" w:cs="宋体"/>
          <w:color w:val="000000" w:themeColor="text1"/>
          <w:highlight w:val="none"/>
        </w:rPr>
        <w:t xml:space="preserve">（一）时间：自招标公告发布之日起至</w:t>
      </w:r>
      <w:r>
        <w:rPr>
          <w:rFonts w:hint="eastAsia" w:cs="宋体"/>
          <w:color w:val="000000" w:themeColor="text1"/>
          <w:highlight w:val="none"/>
        </w:rPr>
        <w:t xml:space="preserve">2025年3月18日</w:t>
      </w:r>
      <w:r>
        <w:rPr>
          <w:rFonts w:hint="eastAsia" w:cs="宋体"/>
          <w:color w:val="000000" w:themeColor="text1"/>
          <w:highlight w:val="none"/>
        </w:rPr>
        <w:t xml:space="preserve">。</w:t>
      </w:r>
      <w:bookmarkEnd w:id="3"/>
      <w:r>
        <w:rPr>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（二）地点：“苏采云”系统下载（网址：</w:t>
      </w:r>
      <w:r>
        <w:rPr>
          <w:rFonts w:hint="eastAsia" w:cs="宋体"/>
          <w:color w:val="000000" w:themeColor="text1"/>
          <w:highlight w:val="none"/>
        </w:rPr>
        <w:fldChar w:fldCharType="begin"/>
      </w:r>
      <w:r>
        <w:rPr>
          <w:rFonts w:hint="eastAsia" w:cs="宋体"/>
          <w:color w:val="000000" w:themeColor="text1"/>
          <w:highlight w:val="none"/>
        </w:rPr>
        <w:instrText xml:space="preserve"> HYPERLINK "http://jszfcg.jsczt.cn/）" </w:instrText>
      </w:r>
      <w:r>
        <w:rPr>
          <w:rFonts w:hint="eastAsia" w:cs="宋体"/>
          <w:color w:val="000000" w:themeColor="text1"/>
          <w:highlight w:val="none"/>
        </w:rPr>
        <w:fldChar w:fldCharType="separate"/>
      </w:r>
      <w:r>
        <w:rPr>
          <w:rFonts w:hint="eastAsia" w:cs="宋体"/>
          <w:color w:val="000000" w:themeColor="text1"/>
          <w:highlight w:val="none"/>
        </w:rPr>
        <w:t xml:space="preserve">http://jszfcg.jsczt.cn/）</w:t>
      </w:r>
      <w:r>
        <w:rPr>
          <w:rFonts w:hint="eastAsia" w:cs="宋体"/>
          <w:color w:val="000000" w:themeColor="text1"/>
          <w:highlight w:val="none"/>
        </w:rPr>
        <w:fldChar w:fldCharType="end"/>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（三）方式：</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1、CA证书办理</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color w:val="000000" w:themeColor="text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bCs/>
          <w:color w:val="000000" w:themeColor="text1"/>
          <w:highlight w:val="none"/>
        </w:rPr>
        <w:t xml:space="preserve">苏州现场办理地址：苏州市姑苏区平泷路251号政务服务中心4楼公共交易中心窗口，咨询电话：0512-69820834。</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2、参与采购活动</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3、电子投标准备</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color w:val="000000" w:themeColor="text1"/>
          <w:highlight w:val="none"/>
        </w:rPr>
        <w:t xml:space="preserve">（具体详见《苏采云系统供应商操作手册》，网址链接https://czju.suzhou.gov.cn/zfcg/html/content/20231220161910031.shtml）。</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在系统操作过程中如有疑问，请按以下方式联系：</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注册咨询：18261002950；</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CA技术咨询电话：400-608-6099；</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签章使用问题：025-83633811、025-83633812、15380932027、15371015030；</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系统使用指导与咨询：联系电话：18261002950；智能客服：登录苏采云系统后，联系系统右下方智能客服图标进行咨询。</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4、售价：免费</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四、提交投标文件截止时间、开标时间和地点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1、提交投标文件截止时间：</w:t>
      </w:r>
      <w:r>
        <w:rPr>
          <w:rFonts w:hint="eastAsia" w:cs="宋体"/>
          <w:color w:val="000000" w:themeColor="text1"/>
          <w:highlight w:val="none"/>
        </w:rPr>
        <w:t xml:space="preserve">2025年4月1日14点00分</w:t>
      </w:r>
      <w:r>
        <w:rPr>
          <w:rFonts w:hint="eastAsia" w:cs="宋体"/>
          <w:color w:val="000000" w:themeColor="text1"/>
          <w:highlight w:val="none"/>
        </w:rPr>
        <w:t xml:space="preserve">（北京时间）； </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2、开标时间：</w:t>
      </w:r>
      <w:r>
        <w:rPr>
          <w:rFonts w:hint="eastAsia" w:cs="宋体"/>
          <w:color w:val="000000" w:themeColor="text1"/>
          <w:highlight w:val="none"/>
        </w:rPr>
        <w:t xml:space="preserve">2025年4月1日14点00分</w:t>
      </w:r>
      <w:r>
        <w:rPr>
          <w:rFonts w:hint="eastAsia" w:cs="宋体"/>
          <w:color w:val="000000" w:themeColor="text1"/>
          <w:highlight w:val="none"/>
        </w:rPr>
        <w:t xml:space="preserve">（北京时间）；</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3、开标地点：“苏采云”系统（网址：http://jszfcg.jsczt.cn/）</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cs="宋体"/>
          <w:b/>
          <w:bCs/>
          <w:color w:val="000000" w:themeColor="text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color w:val="000000" w:themeColor="text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cs="宋体"/>
          <w:b/>
          <w:bCs/>
          <w:color w:val="000000" w:themeColor="text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b/>
          <w:bCs/>
          <w:color w:val="000000" w:themeColor="text1"/>
          <w:highlight w:val="none"/>
        </w:rPr>
        <w:t xml:space="preserve">请供应商确保电脑、系统及其他设备（视频输入输出设备等）无误，且开标直至项目结束始终保持系统在线状态。</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五、其他补充事宜：</w:t>
      </w:r>
      <w:r>
        <w:rPr>
          <w:color w:val="000000" w:themeColor="text1"/>
          <w:highlight w:val="none"/>
        </w:rPr>
      </w:r>
    </w:p>
    <w:p>
      <w:pPr>
        <w:pStyle w:val="1078"/>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highlight w:val="none"/>
        </w:rPr>
        <w:t xml:space="preserve">为本项目提供整体设计、规范编制或者项目管理、监理、检测等服务的供应商：无。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2、单位负责人为同一人或者存在直接控股、管理关系的不同供应商，不得参加同一合同项下的政府采购活动。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w:t>
      </w:r>
      <w:r>
        <w:rPr>
          <w:rFonts w:hint="eastAsia"/>
          <w:bCs/>
          <w:color w:val="000000" w:themeColor="text1"/>
          <w:highlight w:val="none"/>
        </w:rPr>
        <w:t xml:space="preserve">苏州工业园区财政审计局监督电话：0512-66681110</w:t>
      </w:r>
      <w:r>
        <w:rPr>
          <w:rFonts w:hint="eastAsia" w:cs="宋体"/>
          <w:color w:val="000000" w:themeColor="text1"/>
          <w:highlight w:val="none"/>
        </w:rPr>
        <w:t xml:space="preserve">。</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4、投标保证金：本项目无需提交投标保证金。项目不收投标（响应）保证金的，投标（响应）人应在投标（响应）文件中提交《投标（响应）保证承诺书》（格式见招标文件第三章）。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5、本项目获取招标文件截止日期之后仍可以下载招标文件，但截止日期之后下载的招标文件，视为非有效方式且不作为供应商权益受到损害的证明材料和依据。</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6、如不同投标文件制作机器码一致，则投标无效。</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7、本采购信息公告媒体：苏州市政府采购网、江苏政府采购网、中国政府采购网。</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8、本项目支持政府采购合同信用融资。</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bCs/>
          <w:color w:val="000000" w:themeColor="text1"/>
          <w:highlight w:val="none"/>
        </w:rPr>
        <w:t xml:space="preserve">六、</w:t>
      </w:r>
      <w:r>
        <w:rPr>
          <w:rFonts w:hint="eastAsia" w:cs="宋体"/>
          <w:b/>
          <w:color w:val="000000" w:themeColor="text1"/>
          <w:highlight w:val="none"/>
        </w:rPr>
        <w:t xml:space="preserve">对本次采购活动提出询问，请按以下方式联系：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1、采购人信息</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名    称：苏州工业园区胜浦街道办事处</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地    址：苏州工业园区胜浦街道中胜路8号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联系方式：13706210261（朱钰明）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2、采购代理机构信息</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名    称：苏州合亿盛工程咨询有限公司</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地    址：苏州市相城区聚茂路185号活力大厦B座502</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联系方式：0512-67210880</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3、项目联系方式</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项目联系人：徐晓逸/胡欢/吴雯瑜</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电      话：0512-67210880</w:t>
      </w:r>
      <w:r>
        <w:rPr>
          <w:color w:val="000000" w:themeColor="text1"/>
          <w:highlight w:val="none"/>
        </w:rPr>
      </w:r>
    </w:p>
    <w:p>
      <w:pPr>
        <w:rPr>
          <w:rFonts w:hint="eastAsia" w:cs="宋体"/>
          <w:b/>
          <w:bCs/>
          <w:color w:val="000000" w:themeColor="text1"/>
          <w:sz w:val="21"/>
          <w:szCs w:val="21"/>
          <w:highlight w:val="none"/>
        </w:rPr>
      </w:pPr>
      <w:r>
        <w:rPr>
          <w:color w:val="000000" w:themeColor="text1"/>
          <w:highlight w:val="none"/>
        </w:rPr>
      </w:r>
      <w:bookmarkStart w:id="4" w:name="_Toc23966"/>
      <w:r>
        <w:rPr>
          <w:color w:val="000000" w:themeColor="text1"/>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Style w:val="890"/>
          <w:rFonts w:hint="eastAsia" w:ascii="宋体" w:hAnsi="宋体" w:cs="宋体"/>
          <w:color w:val="000000" w:themeColor="text1"/>
          <w:sz w:val="24"/>
          <w:highlight w:val="none"/>
        </w:rPr>
        <w:br w:type="page" w:clear="all"/>
      </w:r>
      <w:r>
        <w:rPr>
          <w:color w:val="000000" w:themeColor="text1"/>
          <w:highlight w:val="none"/>
        </w:rPr>
      </w:r>
    </w:p>
    <w:p>
      <w:pPr>
        <w:pStyle w:val="1052"/>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52"/>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spacing w:line="500" w:lineRule="exact"/>
        <w:rPr>
          <w:rFonts w:hint="eastAsia" w:cs="宋体"/>
          <w:b/>
          <w:bCs/>
          <w:color w:val="000000" w:themeColor="text1"/>
          <w:sz w:val="44"/>
          <w:szCs w:val="44"/>
          <w:highlight w:val="none"/>
        </w:rPr>
        <w:outlineLvl w:val="0"/>
      </w:pPr>
      <w:r>
        <w:rPr>
          <w:color w:val="000000" w:themeColor="text1"/>
          <w:highlight w:val="none"/>
        </w:rPr>
      </w:r>
      <w:bookmarkStart w:id="5" w:name="_Toc3401"/>
      <w:r>
        <w:rPr>
          <w:rStyle w:val="890"/>
          <w:rFonts w:hint="eastAsia" w:ascii="宋体" w:hAnsi="宋体" w:cs="宋体"/>
          <w:color w:val="000000" w:themeColor="text1"/>
          <w:sz w:val="44"/>
          <w:szCs w:val="20"/>
          <w:highlight w:val="none"/>
        </w:rPr>
        <w:t xml:space="preserve">第二章  投标人须知</w:t>
      </w:r>
      <w:bookmarkEnd w:id="4"/>
      <w:r>
        <w:rPr>
          <w:color w:val="000000" w:themeColor="text1"/>
          <w:highlight w:val="none"/>
        </w:rPr>
      </w:r>
      <w:bookmarkEnd w:id="5"/>
      <w:r>
        <w:rPr>
          <w:color w:val="000000" w:themeColor="text1"/>
          <w:highlight w:val="none"/>
        </w:rPr>
      </w:r>
      <w:r>
        <w:rPr>
          <w:color w:val="000000" w:themeColor="text1"/>
          <w:highlight w:val="none"/>
        </w:rPr>
      </w:r>
    </w:p>
    <w:p>
      <w:pPr>
        <w:jc w:val="center"/>
        <w:rPr>
          <w:rStyle w:val="890"/>
          <w:rFonts w:hint="eastAsia" w:ascii="宋体" w:hAnsi="宋体" w:cs="宋体"/>
          <w:color w:val="000000" w:themeColor="text1"/>
          <w:sz w:val="24"/>
          <w:highlight w:val="none"/>
        </w:rPr>
      </w:pPr>
      <w:r>
        <w:rPr>
          <w:color w:val="000000" w:themeColor="text1"/>
          <w:highlight w:val="none"/>
        </w:rPr>
      </w:r>
      <w:bookmarkStart w:id="6" w:name="_Toc217446047"/>
      <w:r>
        <w:rPr>
          <w:color w:val="000000" w:themeColor="text1"/>
          <w:highlight w:val="none"/>
        </w:rPr>
      </w:r>
      <w:r>
        <w:rPr>
          <w:color w:val="000000" w:themeColor="text1"/>
          <w:highlight w:val="none"/>
        </w:rPr>
      </w:r>
    </w:p>
    <w:p>
      <w:pPr>
        <w:rPr>
          <w:rFonts w:hint="eastAsia" w:cs="宋体"/>
          <w:b/>
          <w:bCs/>
          <w:color w:val="000000" w:themeColor="text1"/>
          <w:sz w:val="21"/>
          <w:szCs w:val="21"/>
          <w:highlight w:val="none"/>
        </w:rPr>
      </w:pPr>
      <w:r>
        <w:rPr>
          <w:rFonts w:hint="eastAsia" w:cs="宋体"/>
          <w:b/>
          <w:bCs/>
          <w:color w:val="000000" w:themeColor="text1"/>
          <w:sz w:val="21"/>
          <w:szCs w:val="21"/>
          <w:highlight w:val="none"/>
        </w:rPr>
        <w:br w:type="page" w:clear="all"/>
      </w:r>
      <w:bookmarkEnd w:id="6"/>
      <w:r>
        <w:rPr>
          <w:color w:val="000000" w:themeColor="text1"/>
          <w:highlight w:val="none"/>
        </w:rPr>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1．说明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1.1本招标文件仅适用于苏州合亿盛工程咨询有限公司组织的采购活动。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1.2本次招标活动及因本次招标产生的合同受中国法律制约和保护。</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1.3本招标文件的解释权属于苏州合亿盛工程咨询有限公司。</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2．词语释义</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2.1采购人：指依法进行采购的国家机关、事业单位、团体组织。</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2.2采购代理机构：指依法接受采购人委托，从事货物、工程和服务等采购代理业务的社会中介机构。</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2.3投标人：指响应招标、参加投标竞争的法人、其他组织或者自然人。</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2.4响应：投标人根据采购人或采购代理机构发布的招标文件，编制投标文件并按规定投标的行为。</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2.6甲方（采购人）：合同中明确规定的实际购买货物和服务的法人或其他组织和自然人。</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2.7乙方（供应商）：合同中规定的向采购人提供货物和服务的法人或其他组织或分支机构。</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2.8货物：系指乙方按招标招标文件规定，应向甲方提供的一切设备、备品、备件、工具、手册及其它有关技术资料和材料。</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2.9服务：系指本次招标招标文件规定乙方应承担的与提供货物和服务有关的辅助服务，比如运输、保险、安装、调试、提供技术援助、培训、配合措施、维修响应及合同中规定乙方应承担的其它义务。</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2.10知识产权：指专利权、商标权、著作权等无形财产专有权的统称。</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2.11天：日历日。</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2.12时间：除特别说明，均指北京时间。</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2.13交货地点：合同中明确约定的乙方提交的货物和服务最终到达地点。</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2.14合同价款：根据合同规定，乙方在正确地履行合同义务后甲方应支付乙方的价款。</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2.15产地：货物开采、生长、生产、最终制造、加工或提供服务的来源地。</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2.16不可抗力：不能预见、不能避免并且不能克服的客观情况。</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2.17实质响应：满足有关本次采购标的、数量、质量、价款或者报酬、履行期限、履行地点和方式、违约责任和解决争议方法等要求。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2.18进口产品：通过中国海关报关验放进入中国境内且产自关境外的产品。</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2.19书面形式：指书面文字、合同书、信件和传真等可以有形地表现所载内容的形式。</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2.20核心产品：根据本项目技术构成、产品价格比重等合理确定的产品。</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3．合格投标人的一般条件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3.1具有独立承担民事责任的能力；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3.2具有良好的商业信誉和健全的财务会计制度；</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3.3具有履行合同所必需的设备和专业技术能力；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3.4有依法缴纳税收和社会保障资金的良好记录；</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3.5参加政府采购活动前三年内，在经营活动中没有重大违法记录；</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3.6法律、行政法规规定的其他条件。</w:t>
      </w:r>
      <w:r>
        <w:rPr>
          <w:color w:val="000000" w:themeColor="text1"/>
          <w:highlight w:val="none"/>
        </w:rPr>
      </w:r>
    </w:p>
    <w:p>
      <w:pPr>
        <w:numPr>
          <w:ilvl w:val="0"/>
          <w:numId w:val="4"/>
        </w:num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合格投标人的特殊条件：</w:t>
      </w:r>
      <w:r>
        <w:rPr>
          <w:rFonts w:hint="eastAsia" w:cs="宋体"/>
          <w:bCs/>
          <w:color w:val="000000" w:themeColor="text1"/>
          <w:highlight w:val="none"/>
        </w:rPr>
        <w:t xml:space="preserve">无。</w:t>
      </w:r>
      <w:r>
        <w:rPr>
          <w:color w:val="000000" w:themeColor="text1"/>
          <w:highlight w:val="none"/>
        </w:rPr>
      </w:r>
    </w:p>
    <w:p>
      <w:pPr>
        <w:ind w:firstLine="480"/>
        <w:spacing w:line="360" w:lineRule="auto"/>
        <w:rPr>
          <w:rFonts w:hint="eastAsia" w:cs="宋体"/>
          <w:b/>
          <w:color w:val="000000" w:themeColor="text1"/>
          <w:highlight w:val="none"/>
        </w:rPr>
        <w:outlineLvl w:val="2"/>
      </w:pPr>
      <w:r>
        <w:rPr>
          <w:color w:val="000000" w:themeColor="text1"/>
          <w:highlight w:val="none"/>
        </w:rPr>
      </w:r>
      <w:bookmarkStart w:id="7" w:name="_Toc35525655"/>
      <w:r>
        <w:rPr>
          <w:rFonts w:hint="eastAsia" w:cs="宋体"/>
          <w:b/>
          <w:color w:val="000000" w:themeColor="text1"/>
          <w:highlight w:val="none"/>
        </w:rPr>
        <w:t xml:space="preserve">5.投标人代表</w:t>
      </w:r>
      <w:bookmarkEnd w:id="7"/>
      <w:r>
        <w:rPr>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color w:val="000000" w:themeColor="text1"/>
          <w:highlight w:val="none"/>
        </w:rPr>
      </w:r>
      <w:bookmarkStart w:id="8" w:name="_Toc35525656"/>
      <w:r>
        <w:rPr>
          <w:rFonts w:hint="eastAsia" w:cs="宋体"/>
          <w:color w:val="000000" w:themeColor="text1"/>
          <w:highlight w:val="none"/>
        </w:rPr>
        <w:t xml:space="preserve">5.1指全权代表投标人参加投标活动并签署投标文件的人，如果投标人代表不是法定代表人，须持有《法人授权委托书》（详见统一格式）。</w:t>
      </w:r>
      <w:bookmarkEnd w:id="8"/>
      <w:r>
        <w:rPr>
          <w:color w:val="000000" w:themeColor="text1"/>
          <w:highlight w:val="none"/>
        </w:rPr>
      </w:r>
      <w:r>
        <w:rPr>
          <w:color w:val="000000" w:themeColor="text1"/>
          <w:highlight w:val="none"/>
        </w:rPr>
      </w:r>
    </w:p>
    <w:p>
      <w:pPr>
        <w:ind w:firstLine="480"/>
        <w:spacing w:line="360" w:lineRule="auto"/>
        <w:rPr>
          <w:rFonts w:hint="eastAsia" w:cs="宋体"/>
          <w:b/>
          <w:color w:val="000000" w:themeColor="text1"/>
          <w:highlight w:val="none"/>
        </w:rPr>
        <w:outlineLvl w:val="2"/>
      </w:pPr>
      <w:r>
        <w:rPr>
          <w:color w:val="000000" w:themeColor="text1"/>
          <w:highlight w:val="none"/>
        </w:rPr>
      </w:r>
      <w:bookmarkStart w:id="9" w:name="_Toc35525657"/>
      <w:r>
        <w:rPr>
          <w:rFonts w:hint="eastAsia" w:cs="宋体"/>
          <w:b/>
          <w:color w:val="000000" w:themeColor="text1"/>
          <w:highlight w:val="none"/>
        </w:rPr>
        <w:t xml:space="preserve">6.投标费用</w:t>
      </w:r>
      <w:bookmarkEnd w:id="9"/>
      <w:r>
        <w:rPr>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color w:val="000000" w:themeColor="text1"/>
          <w:highlight w:val="none"/>
        </w:rPr>
      </w:r>
      <w:bookmarkStart w:id="10" w:name="_Toc35525658"/>
      <w:r>
        <w:rPr>
          <w:rFonts w:hint="eastAsia" w:cs="宋体"/>
          <w:color w:val="000000" w:themeColor="text1"/>
          <w:highlight w:val="none"/>
        </w:rPr>
        <w:t xml:space="preserve">6.1无论投标过程中的做法和结果如何，投标人自行承担所有与参加投标有关的全部费用。</w:t>
      </w:r>
      <w:bookmarkEnd w:id="10"/>
      <w:r>
        <w:rPr>
          <w:color w:val="000000" w:themeColor="text1"/>
          <w:highlight w:val="none"/>
        </w:rPr>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7．联合体投标</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7.1本项目不接收联合体投标。</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8．招标文件</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9．招标文件的澄清和修改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9.1采购人或采购代理机构无论出于自己的考虑，还是出于对投标人提问的澄清，均可对已发出的招标文件进行必要的澄清或者修改，并通过苏州市政府采购网对外进行发布。</w:t>
      </w:r>
      <w:r>
        <w:rPr>
          <w:rFonts w:hint="eastAsia" w:cs="宋体"/>
          <w:bCs/>
          <w:color w:val="000000" w:themeColor="text1"/>
          <w:highlight w:val="none"/>
        </w:rPr>
        <w:t xml:space="preserve">澄清或者修改的内容为招标文件的组成部分。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9.3为使投标人有</w:t>
      </w:r>
      <w:r>
        <w:rPr>
          <w:rFonts w:hint="eastAsia" w:cs="宋体"/>
          <w:bCs/>
          <w:color w:val="000000" w:themeColor="text1"/>
          <w:highlight w:val="none"/>
        </w:rPr>
        <w:t xml:space="preserve">和修改</w:t>
      </w:r>
      <w:r>
        <w:rPr>
          <w:rFonts w:hint="eastAsia" w:cs="宋体"/>
          <w:color w:val="000000" w:themeColor="text1"/>
          <w:highlight w:val="none"/>
        </w:rPr>
        <w:t xml:space="preserve">足够的时间按招标文件的修改要求考虑修正投标文件，或出于其他原因，采购代理机构有权推迟投标截止日期和开标日期，并将此变更通知以更正公告的形式对外发布。</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9.4招标文件的澄清、修改、补充等内容均以苏州政府采购网上发布的内容为准。</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10.勘察现场（采购人不组织统一踏勘现场）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10.1根据自身投标需要，投标人可对有关现场和周围环境进行勘察，以获取编制投标文件和签署合同所需的信息。勘察现场所发生的费用由投标人自己承担。</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10.3经采购人允许，投标人可为勘察目的进入采购人的项目现场，但投标人不得因此使采购人承担有关的责任和蒙受损失。投标人应承担勘察现场的责任和风险。</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color w:val="000000" w:themeColor="text1"/>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11.投标答疑</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11.1投标人在获取招标文件后，若对招标文件有疑问（包括询问和质疑），应当以招标文件规定的方式和时间向采购人及采购代理机构提出，采购人及采购代理机构将按招标文件规定的方式予以解答，但不说明来源。</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11.2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11.3供应商提出质疑应当提交质疑函和必要的证明材料，质疑函应当包括下列内容：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（1）供应商的姓名或者名称（以提供的营业执照副本复印件为准）、地址、邮编、联系人及联系电话；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（2）质疑项目的名称、编号；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（3）具体、明确的质疑事项和与质疑事项相关的请求；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（4）事实依据；</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（5）必要的法律依据；</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（6）提出质疑的日期。</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cs="宋体"/>
          <w:b/>
          <w:bCs/>
          <w:color w:val="000000" w:themeColor="text1"/>
          <w:highlight w:val="none"/>
        </w:rPr>
        <w:t xml:space="preserve">（即《投标供应商确认函》）</w:t>
      </w:r>
      <w:r>
        <w:rPr>
          <w:rFonts w:hint="eastAsia" w:cs="宋体"/>
          <w:color w:val="000000" w:themeColor="text1"/>
          <w:highlight w:val="none"/>
        </w:rPr>
        <w:t xml:space="preserve">与质疑函一起递交，否则不予受理。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11.5接收质疑函的方式：书面形式（当场送达或邮寄方式）。</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质疑递交联系人、联系电话及地址详见采购公告。</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11.6投标人未按规定方式和时间提交的疑问（包括询问和质疑），采购人和采购代理机构有权拒绝回答，也不承担由此带来的对投标人投标结果的影响。</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11.7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11.8投标人在获得招标文件后，若有问题需要询问或质疑，应按相关规定提出。针对同一采购程序环节的质疑须在法定质疑期内一次性提出。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b/>
          <w:color w:val="000000" w:themeColor="text1"/>
          <w:highlight w:val="none"/>
        </w:rPr>
        <w:t xml:space="preserve">12.提示与要求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12.1投标人应仔细阅读招标文件的所有内容，按招标文件的要求提供投标文件，并保证所提供的全部资料的真实性，以使其投标对招标文件作出实质性响应，否则，其投标可能被拒绝。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12.2无论是否递交投标文件，投标人都应将招标文件及以后的所有通知、文件等视为保密文件。</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13.投标文件计量单位和使用文字</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13.1投标文件中所使用的计量单位，除招标文件中有特殊要求外，均应使用中华人民共和国法定计量单位。</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14．投标文件的组成</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14.1报价部分（格式见第三章）：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14.1.1开标一览表（统一格式，用于唱标）；</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color w:val="000000" w:themeColor="text1"/>
          <w:highlight w:val="none"/>
        </w:rPr>
        <w:t xml:space="preserve">14.1.2报价明细表；</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14.2资格审查文件：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合格供应商的基本条件、特定条件所需提供的相应证明材料，具体包括：</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14.2.1具有独立承担民事责任的能力证明。包括法人或者其他组织的营业执照等证明文件，自然人的身份证明；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14.2.2具有良好的商业信誉和健全的财务会计制度证明。包括但不限于最近一期经审计的财务报告或银行出具的资信证明；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14.2.3</w:t>
      </w:r>
      <w:r>
        <w:rPr>
          <w:rStyle w:val="1062"/>
          <w:rFonts w:hint="eastAsia" w:cs="宋体"/>
          <w:color w:val="000000" w:themeColor="text1"/>
          <w:highlight w:val="none"/>
        </w:rPr>
        <w:t xml:space="preserve">履行合同所必备的设备和专业技术能力的证明材料。包括履行合同所必需的设备和专业技术能力的书面声明等材料；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14.2.5参加政府采购活动前三年内在经营活动中没有重大违法记录的书面声明函；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14.2.6按照相关法律法规参与本项目所必须取得国家有关主管部门的行政许可证明资料复印件（如有须提供）；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14.2.7特殊资格条件的证明材料：无；</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14.3符合性审查文件（部分格式见第三章）：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14.3.1关于资格文件的声明函；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14.3.2投标函；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14.3.3投标单位情况表；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14.3.4投标人法定代表人身份证复印件；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14.3.5授权委托书、投标人代理人身份证复印件（如有授权）；</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14.3.6《服务要求偏离表》、《商务条款偏离表》；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14.3.7《实施方案》；</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14.3.8《拟投入本项目人员配备一览表》（提供符合采购要求的对应人员证书复印件）；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14.3.9《投标（响应）保证承诺书》《投标单位与其他单位存在控股、管理关系情况表》；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14.3.10招标文件中要求必须提供的其他相关证明材料；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14.3.11其他有关符合性证明的文件。</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14.4评标办法中要求提供的证明文件及其他材料（部分格式见第三章）：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14.4.1</w:t>
      </w:r>
      <w:r>
        <w:rPr>
          <w:rFonts w:hint="eastAsia" w:cs="宋体"/>
          <w:color w:val="000000" w:themeColor="text1"/>
          <w:highlight w:val="none"/>
          <w:lang w:val="zh-CN"/>
        </w:rPr>
        <w:t xml:space="preserve">服务能力、履约能力</w:t>
      </w:r>
      <w:r>
        <w:rPr>
          <w:rFonts w:hint="eastAsia" w:cs="宋体"/>
          <w:color w:val="000000" w:themeColor="text1"/>
          <w:highlight w:val="none"/>
        </w:rPr>
        <w:t xml:space="preserve">等；</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14.4.2《类似业绩一览表》；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14.4.3其他可以证明投标单位资信、资质和货物、服务质量的证书、文件、推荐信等资料；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14.4.4</w:t>
      </w:r>
      <w:r>
        <w:rPr>
          <w:rStyle w:val="1062"/>
          <w:rFonts w:hint="eastAsia" w:cs="宋体"/>
          <w:color w:val="000000" w:themeColor="text1"/>
          <w:highlight w:val="none"/>
        </w:rPr>
        <w:t xml:space="preserve">《中小企业声明函》或《残疾人福利性单位声明函》或省级以上监狱管理局、戒毒管理局（含新疆生产建设兵团）出具的属于监狱企业的证明文件。</w:t>
      </w:r>
      <w:r>
        <w:rPr>
          <w:color w:val="000000" w:themeColor="text1"/>
          <w:highlight w:val="none"/>
        </w:rPr>
      </w:r>
    </w:p>
    <w:p>
      <w:pPr>
        <w:ind w:firstLine="480"/>
        <w:spacing w:line="360" w:lineRule="auto"/>
        <w:rPr>
          <w:rFonts w:hint="eastAsia" w:cs="宋体"/>
          <w:b/>
          <w:bCs/>
          <w:color w:val="000000" w:themeColor="text1"/>
          <w:highlight w:val="none"/>
        </w:rPr>
      </w:pPr>
      <w:r>
        <w:rPr>
          <w:rStyle w:val="1062"/>
          <w:rFonts w:hint="eastAsia" w:cs="宋体"/>
          <w:b/>
          <w:bCs/>
          <w:color w:val="000000" w:themeColor="text1"/>
          <w:highlight w:val="none"/>
        </w:rPr>
        <w:t xml:space="preserve">注：《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注：（1）以上14.2为资格审查要求提供的材料，是作为对供应商资格审查、质疑身份认定的依据，投标人必须提供并加盖电子公章。否则，投标文件将被认定为不符合资格审查要求。</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（2）以上14.3为符合性审查须提供的资料，投标人必须提供并加盖电子公章。否则，投标文件将被认定为未实质性响应。</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（3）“14.2、14.3、14.4”中不得出现投标总报价。投标人所提交的资料的完整与否，将直接影响投标人的评分。</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（4）制作电子投标文件时必须与投标文件制作软件目录一一对应，将相关资料上传至相应模块。</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15．投标文件编制要求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15.1投标文件按统一格式、顺序编写。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15.2投标人必须按所投标段（若划分）分别单独制作投标文件。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15.3投标文件须分别编写目录及页码。</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15.4投标文件封面须写明采购编号、投标人名称、标段号（若有）等内容。</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16．投标报价（编制）要求的说明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16.1除非合同中另有规定，投标人在《开标一览表》中的全部报价应</w:t>
      </w:r>
      <w:r>
        <w:rPr>
          <w:rStyle w:val="1062"/>
          <w:rFonts w:hint="eastAsia" w:cs="宋体"/>
          <w:color w:val="000000" w:themeColor="text1"/>
          <w:highlight w:val="none"/>
        </w:rPr>
        <w:t xml:space="preserve">包括全部标的物及其备品备件、辅助材料、安装、调试、维护、人工、机械、包装、运输、装卸、仓储、保险、运费、各种税费、劳保、专利技术及质保期间等一切费用。</w:t>
      </w:r>
      <w:r>
        <w:rPr>
          <w:rFonts w:hint="eastAsia" w:cs="宋体"/>
          <w:color w:val="000000" w:themeColor="text1"/>
          <w:highlight w:val="none"/>
        </w:rPr>
        <w:t xml:space="preserve">同时，除非合同条款中另有规定，否则，投标人所报价格在合同实施期间不因市场变化因素而变动。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16.2投标人应按《开标一览表》中的全部货物和服务计算报价，并由法定代表人或代理人签署。投标人未填单价或合价的项目，在实施后，采购人将不予支付，并视为该项费用已包括在其它有价款的单价或合价内。</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16.3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16.4一项投标内容只允许一个报价，采购人、采购代理机构不接受任何有选择性的投标报价。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16.5投标文件报价中的单价和总价全部采用人民币表示，除非合同的特殊条款另有规定。</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17．投标文件的有效期</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17.1自投标截止日起</w:t>
      </w:r>
      <w:r>
        <w:rPr>
          <w:rFonts w:hint="eastAsia" w:cs="宋体"/>
          <w:color w:val="000000" w:themeColor="text1"/>
          <w:highlight w:val="none"/>
          <w:u w:val="single"/>
        </w:rPr>
        <w:t xml:space="preserve">90</w:t>
      </w:r>
      <w:r>
        <w:rPr>
          <w:rFonts w:hint="eastAsia" w:cs="宋体"/>
          <w:color w:val="000000" w:themeColor="text1"/>
          <w:highlight w:val="none"/>
        </w:rPr>
        <w:t xml:space="preserve">天，投标书应保持有效。有效期短于规定期限的投标文件将被拒绝。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17.2在特殊情况下，采购人或采购代理机构可与投标人协商延长投标书的有效期。这种要求和答复都应以书面形式进行。</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18．电子投标文件的制作、签署、上传</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18.1本项目采用电子招投标形式，请供应商按照《苏采云系统供应商操作手册》进行制作、上传电子投标文件。</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18.2制作电子投标文件时，由投标人法定代表人或授权代理人在招标文件要求处，亲自签署或盖章，并加盖电子公章。</w:t>
      </w:r>
      <w:r>
        <w:rPr>
          <w:color w:val="000000" w:themeColor="text1"/>
          <w:highlight w:val="none"/>
        </w:rPr>
      </w:r>
    </w:p>
    <w:p>
      <w:pPr>
        <w:ind w:firstLine="480"/>
        <w:spacing w:line="360" w:lineRule="auto"/>
        <w:rPr>
          <w:rFonts w:hint="eastAsia" w:cs="宋体"/>
          <w:b/>
          <w:color w:val="000000" w:themeColor="text1"/>
          <w:highlight w:val="none"/>
          <w:u w:val="single"/>
        </w:rPr>
      </w:pPr>
      <w:r>
        <w:rPr>
          <w:rFonts w:hint="eastAsia" w:cs="宋体"/>
          <w:bCs/>
          <w:color w:val="000000" w:themeColor="text1"/>
          <w:highlight w:val="none"/>
        </w:rPr>
        <w:t xml:space="preserve">18.3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19．投标文件的递交及投标截止时间</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19.1投标文件的递交</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19.1.1投标人应当在投标截止时间前制作并上传电子投标文件。</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19.1.2</w:t>
      </w:r>
      <w:r>
        <w:rPr>
          <w:rFonts w:hint="eastAsia" w:cs="宋体"/>
          <w:b/>
          <w:color w:val="000000" w:themeColor="text1"/>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19.2投标截止时间</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19.2.1投标人应当在招标文件要求投标文件网上提交截止时间前，将投标文件完成提交（上传）。逾期提交（上传）的投标文件，采购人和采购代理机构拒绝接收。</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19.2.2采购人和采购代理机构推迟投标截止时间时，将按本须知规定的更正公告的方式对外发布。在这种情况下，采购人、采购代理机构和投标人的权利和义务将受到新的截止期的约束。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bCs/>
          <w:color w:val="000000" w:themeColor="text1"/>
          <w:highlight w:val="none"/>
        </w:rPr>
        <w:t xml:space="preserve">19.2.3在投标截止时间止成功解密的投标文件少于三份，采购代理机构有权宣布本次招标失败。</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20.投标文件的补充、修改和撤回</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21.开标</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21.1开标由采购代理机构在线主持，邀请投标人在线参加。</w:t>
      </w:r>
      <w:r>
        <w:rPr>
          <w:rFonts w:hint="eastAsia" w:cs="宋体"/>
          <w:b/>
          <w:color w:val="000000" w:themeColor="text1"/>
          <w:highlight w:val="none"/>
        </w:rPr>
        <w:t xml:space="preserve">投标人应当按照《苏采云系统供应商操作手册》规定，参加开标活动和在“苏采云”系统规定的时间内对投标文件进行解密。</w:t>
      </w:r>
      <w:r>
        <w:rPr>
          <w:rFonts w:hint="eastAsia" w:cs="宋体"/>
          <w:bCs/>
          <w:color w:val="000000" w:themeColor="text1"/>
          <w:highlight w:val="none"/>
        </w:rPr>
        <w:t xml:space="preserve">评标委员会成员不得参加开标活动。</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21.3资格审查</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21.3.1公开招标采购项目开标结束后，采购人应当依法对投标人的资格进行审查，未通过资格审查的视为无效投标。</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21.3.2据政府采购法及相关法规，以及苏州市财政局《关于印发苏州市市级政府采购信用记录查询和使用工作试行办法的通知》（苏财购（2017）11号）文件的规定，采购代理机构将对供应商进行信用查询：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（1）查询时间：投标文件递交截止时间。</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22.评标委员会或评标小组</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22.1评标委员会由采购人或采购代理机构依法组建。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22.2评标委员会负责具体的评标事务，并独立履行以下职责：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22.2.1审查、评价投标文件是否符合招标文件的商务、技术等实质性要求；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22.2.2要求投标人对投标文件有关事项作出澄清或者说明；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22.2.3对投标文件进行比较和评价；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22.2.4推荐中标候选供应商名单，以及根据采购人委托直接确定中标人；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22.2.5向采购人、采购代理机构或者有关部门报告评标中发现的违法行为。</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22.3评标委员会成员应当履行下列义务：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22.3.1遵纪守法，客观、公正、廉洁地履行职责；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22.3.2按照招标文件规定的评标办法和评标标准进行评标，对评审意见承担个人责任；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22.3.3对评标过程和结果，以及投标人的商业秘密保密；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22.3.4参与评审报告的起草；</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22.3.5配合相关部门的投诉处理工作；</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22.3.6配合采购人或采购代理机构答复投标供应商提出的质疑。</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23.评标内容的保密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23.1公开开标后，直到宣布授予中标单位合同为止，凡属于审查、澄清、评价和比较投标的所有资料，有关授予合同的信息都不应向投标人或与评标无关的其他人泄露。</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23.2在投标文件的审查、澄清、评价和比较以及授予合同的过程中，投标人对采购人或采购代理机构和评标委员会成员施加影响的任何行为，都将取消其中标资格。</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23.3在评标期间，采购人或采购代理机构将通过指定联络人与投标人进行联系。</w:t>
      </w:r>
      <w:r>
        <w:rPr>
          <w:color w:val="000000" w:themeColor="text1"/>
          <w:highlight w:val="none"/>
        </w:rPr>
      </w:r>
    </w:p>
    <w:p>
      <w:pPr>
        <w:ind w:firstLine="480"/>
        <w:spacing w:line="360" w:lineRule="auto"/>
        <w:rPr>
          <w:rFonts w:hint="eastAsia" w:cs="宋体"/>
          <w:color w:val="000000" w:themeColor="text1"/>
          <w:highlight w:val="none"/>
        </w:rPr>
        <w:outlineLvl w:val="2"/>
      </w:pPr>
      <w:r>
        <w:rPr>
          <w:rFonts w:hint="eastAsia" w:cs="宋体"/>
          <w:b/>
          <w:color w:val="000000" w:themeColor="text1"/>
          <w:highlight w:val="none"/>
        </w:rPr>
        <w:t xml:space="preserve">24.对投标文件初审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24.1开标后，评标委员会在初审过程中有权拒绝有下列情况之一的投标文件：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24.1.1投标人的投标文件未按照本须知规定制作的；</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24.1.2与招标文件有重大偏离；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24.1.3投标人拒绝修正错误；</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24.1.4投标人的报价是选择性的；</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24.1.5投标人的报价只投了部分内容；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24.1.6投标人的投标文件出现了评标委员会认为不应当雷同的情况；</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24.1.7不同投标人的投标文件机器码一致；</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24.1.8其他被评标委员会认定无效的情况。</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24.2在详细评标之前，评委会将首先审查每份投标书是否实质响应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24.4评标委员会将拒绝被确定为非实质性响应的投标，投标人不能通过修正或撤销不符之处而使其投标成为实质性响应的投标。</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24.5评标委员会将对确定为实质性响应的投标进行审核，看其是否有计算上或累加上的算术错误。投标文件报价出现前后不一致的，除招标文件另有规定外，按照下列规定修正：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（1）投标文件中开标一览表（报价表）内容与投标文件中相应内容不一致的，以开标一览表（报价表）为准；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（2）大写金额和小写金额不一致的，以大写金额为准；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（3）单价金额小数点或者百分比有明显错位的，以开标一览表的总价为准，并修改单价；</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（4）总价金额与按单价汇总金额不一致的，以单价金额计算结果为准。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（5）投标人不同意以上修正，则其投标将被拒绝。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24.6评标委员会对投标文件的判定，只依据投标内容本身，不依靠开标后的任何外来证明。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24.8评标委员会成员对需要共同认定的事项存在争议的，应当按照少数服从多数的原则作出结论。持不同意见的评标委员会成员应当在评标报告上签署不同意见及理由，否则视为同意评标报告。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25.投标的澄清</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25.1对于投标文件中含义不明确、同类问题表述不一致或者有明显文字和计算错误的内容，评标委员会应当以书面形式要求投标人作出必要的澄清、说明或者补正。</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25.2投标人的澄清、说明或者补正应当采用书面形式，并加盖其单位电子公章。投标人的澄清、说明或者补正不得超出投标文件的范围或者改变投标文件的实质性内容。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color w:val="000000" w:themeColor="text1"/>
          <w:highlight w:val="none"/>
        </w:rPr>
        <w:t xml:space="preserve">25.3投标人对投标文件的澄清不得改变投标的价格（校核时发现的算术错误除外）及实质内容。</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26．废标</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26.1在招标过程中，出现下列情况之一的，应予废标：</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26.1.1符合专业条件的供应商或者对招标文件作实质投标的供应商不足三家的；</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26.1.2出现影响采购公正的违法、违规行为的；</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26.1.3投标人的报价均超过了采购预算，采购人不能支付的；</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26.1.4因重大变故，采购任务取消的；</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26.2废标后，采购人和采购代理机构将把废标的理由通知所有投标人。</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27．投标文件的评价和比较</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27.1评标委员会将仅对按照本须知有关规定确定为实质性响应招标文件要求的投标文件进行评价和比较。</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color w:val="000000" w:themeColor="text1"/>
          <w:highlight w:val="none"/>
        </w:rPr>
        <w:t xml:space="preserve">27.2</w:t>
      </w:r>
      <w:r>
        <w:rPr>
          <w:rFonts w:hint="eastAsia" w:cs="宋体"/>
          <w:bCs/>
          <w:color w:val="000000" w:themeColor="text1"/>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28.中标单位的确认</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28.1由采购人授权评审委员会（含评标委员会、竞争性谈判小组、磋商小组等，下同）在候选供应商名单中直接确定中标（成交）供应商。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28.2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由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w:t>
      </w:r>
      <w:r>
        <w:rPr>
          <w:rFonts w:hint="eastAsia" w:cs="宋体"/>
          <w:bCs/>
          <w:color w:val="000000" w:themeColor="text1"/>
          <w:highlight w:val="none"/>
        </w:rPr>
        <w:t xml:space="preserve">（原件）</w:t>
      </w:r>
      <w:r>
        <w:rPr>
          <w:rFonts w:hint="eastAsia" w:cs="宋体"/>
          <w:color w:val="000000" w:themeColor="text1"/>
          <w:highlight w:val="none"/>
        </w:rPr>
        <w:t xml:space="preserve">，采购代理机构有权对该质疑不予答复。</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29．合同授予标准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29.1采购人将把合同授予其投标文件在实质上响应招标文件要求和按本须知规定评选出的投标人。确定为中标的投标人必须具有实施本合同的能力和资源。</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30．中标通知书</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30.1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30.2中标通知书将成为合同的组成部分，对采购人和中标人具有同等法律效力。</w:t>
      </w:r>
      <w:r>
        <w:rPr>
          <w:color w:val="000000" w:themeColor="text1"/>
          <w:highlight w:val="none"/>
        </w:rPr>
      </w:r>
    </w:p>
    <w:p>
      <w:pPr>
        <w:ind w:firstLine="480"/>
        <w:spacing w:line="360" w:lineRule="auto"/>
        <w:rPr>
          <w:rFonts w:hint="eastAsia" w:cs="宋体"/>
          <w:bCs/>
          <w:color w:val="000000" w:themeColor="text1"/>
          <w:highlight w:val="none"/>
        </w:rPr>
        <w:outlineLvl w:val="2"/>
      </w:pPr>
      <w:r>
        <w:rPr>
          <w:rFonts w:hint="eastAsia" w:cs="宋体"/>
          <w:bCs/>
          <w:color w:val="000000" w:themeColor="text1"/>
          <w:highlight w:val="none"/>
        </w:rPr>
        <w:t xml:space="preserve">30.3中标通知书发出后，采购人不得违法改变中标结果，中标人无正当理由不得放弃中标。</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30.4采购人或采购代理机构对未中标人不承担解释未中标原因的义务。</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31．合同的签订</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31.1中标人应按中标通知书中的规定，由法定代表人或代理人与采购方代表签订合同。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31.2签订合同及合同条款应以招标文件和中标人的投标文件及其澄清文件为依据。</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32．履约保证金</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32.1本项目无需提交履约保证金。</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33.代理服务费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33.1中标单位须按前附表的规定计算并支付代理服务费，该费用应在领取中标通知书时付清。</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33.2中标单位如果未按规定缴纳代理服务费，采购代理机构将保留诉讼的权利。</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33.3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highlight w:val="none"/>
        </w:rPr>
      </w:r>
    </w:p>
    <w:p>
      <w:pPr>
        <w:ind w:firstLine="480"/>
        <w:jc w:val="center"/>
        <w:spacing w:line="360" w:lineRule="auto"/>
        <w:rPr>
          <w:rFonts w:hint="eastAsia" w:cs="宋体"/>
          <w:color w:val="000000" w:themeColor="text1"/>
          <w:highlight w:val="none"/>
        </w:rPr>
      </w:pPr>
      <w:r>
        <w:rPr>
          <w:rFonts w:hint="eastAsia" w:cs="宋体"/>
          <w:color w:val="000000" w:themeColor="text1"/>
          <w:highlight w:val="none"/>
        </w:rPr>
        <w:t xml:space="preserve">开票信息</w:t>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报名人名称</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地址</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电话</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税号</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开户行</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2288"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t xml:space="preserve">银行账号</w:t>
            </w:r>
            <w:r>
              <w:rPr>
                <w:color w:val="000000" w:themeColor="text1"/>
                <w:highlight w:val="none"/>
              </w:rPr>
            </w:r>
          </w:p>
        </w:tc>
        <w:tc>
          <w:tcPr>
            <w:tcW w:w="3990" w:type="dxa"/>
            <w:textDirection w:val="lrTb"/>
            <w:noWrap w:val="false"/>
          </w:tcPr>
          <w:p>
            <w:pPr>
              <w:ind w:firstLine="480"/>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ind w:firstLine="480"/>
        <w:spacing w:line="360" w:lineRule="auto"/>
        <w:rPr>
          <w:rFonts w:hint="eastAsia" w:cs="宋体"/>
          <w:color w:val="000000" w:themeColor="text1"/>
          <w:highlight w:val="none"/>
        </w:rPr>
        <w:outlineLvl w:val="2"/>
      </w:pPr>
      <w:r>
        <w:rPr>
          <w:rFonts w:hint="eastAsia" w:cs="宋体"/>
          <w:color w:val="000000" w:themeColor="text1"/>
          <w:highlight w:val="none"/>
        </w:rPr>
        <w:t xml:space="preserve">33.4中标单位凭已缴纳代理服务费的银行回单至代理机构领取中标通知书、合同。</w:t>
      </w:r>
      <w:r>
        <w:rPr>
          <w:color w:val="000000" w:themeColor="text1"/>
          <w:highlight w:val="none"/>
        </w:rPr>
      </w:r>
    </w:p>
    <w:p>
      <w:pPr>
        <w:ind w:firstLine="480"/>
        <w:spacing w:line="360" w:lineRule="auto"/>
        <w:rPr>
          <w:rFonts w:hint="eastAsia" w:cs="宋体"/>
          <w:color w:val="000000" w:themeColor="text1"/>
          <w:highlight w:val="none"/>
        </w:rPr>
        <w:outlineLvl w:val="2"/>
      </w:pPr>
      <w:r>
        <w:rPr>
          <w:rFonts w:hint="eastAsia" w:cs="宋体"/>
          <w:b/>
          <w:color w:val="000000" w:themeColor="text1"/>
          <w:highlight w:val="none"/>
        </w:rPr>
        <w:t xml:space="preserve">34.监督和公证</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34.1有关监督部门将对招投标全过程进行监督。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34.2采购代理机构的招标过程将通过公证机关进行公证。</w:t>
      </w:r>
      <w:r>
        <w:rPr>
          <w:color w:val="000000" w:themeColor="text1"/>
          <w:highlight w:val="none"/>
        </w:rPr>
      </w:r>
    </w:p>
    <w:p>
      <w:pPr>
        <w:ind w:firstLine="480"/>
        <w:spacing w:line="360" w:lineRule="auto"/>
        <w:rPr>
          <w:rFonts w:hint="eastAsia" w:cs="宋体"/>
          <w:b/>
          <w:color w:val="000000" w:themeColor="text1"/>
          <w:highlight w:val="none"/>
        </w:rPr>
        <w:outlineLvl w:val="2"/>
      </w:pPr>
      <w:r>
        <w:rPr>
          <w:rFonts w:hint="eastAsia" w:cs="宋体"/>
          <w:b/>
          <w:color w:val="000000" w:themeColor="text1"/>
          <w:highlight w:val="none"/>
        </w:rPr>
        <w:t xml:space="preserve">35.未尽事宜</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按《中华人民共和国政府采购法》及其他有关的法律法规的规定执行。</w:t>
      </w:r>
      <w:r>
        <w:rPr>
          <w:color w:val="000000" w:themeColor="text1"/>
          <w:highlight w:val="none"/>
        </w:rPr>
      </w:r>
    </w:p>
    <w:p>
      <w:pPr>
        <w:ind w:firstLine="600"/>
        <w:spacing w:line="288" w:lineRule="auto"/>
        <w:rPr>
          <w:rFonts w:hint="eastAsia" w:cs="宋体"/>
          <w:b/>
          <w:bCs/>
          <w:color w:val="000000" w:themeColor="text1"/>
          <w:highlight w:val="none"/>
        </w:rPr>
      </w:pPr>
      <w:r>
        <w:rPr>
          <w:rFonts w:hint="eastAsia" w:cs="宋体"/>
          <w:color w:val="000000" w:themeColor="text1"/>
          <w:sz w:val="30"/>
          <w:szCs w:val="30"/>
          <w:highlight w:val="none"/>
        </w:rPr>
        <w:br w:type="page" w:clear="all"/>
      </w:r>
      <w:bookmarkStart w:id="11" w:name="_Toc6045"/>
      <w:r>
        <w:rPr>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spacing w:line="24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1066"/>
        <w:ind w:firstLine="0"/>
        <w:jc w:val="center"/>
        <w:rPr>
          <w:rFonts w:hint="eastAsia" w:cs="宋体"/>
          <w:b/>
          <w:bCs/>
          <w:color w:val="000000" w:themeColor="text1"/>
          <w:sz w:val="44"/>
          <w:szCs w:val="44"/>
          <w:highlight w:val="none"/>
        </w:rPr>
        <w:outlineLvl w:val="0"/>
      </w:pPr>
      <w:r>
        <w:rPr>
          <w:color w:val="000000" w:themeColor="text1"/>
          <w:highlight w:val="none"/>
        </w:rPr>
      </w:r>
      <w:bookmarkStart w:id="12" w:name="_Toc32435"/>
      <w:r>
        <w:rPr>
          <w:rFonts w:hint="eastAsia" w:cs="宋体"/>
          <w:b/>
          <w:bCs/>
          <w:color w:val="000000" w:themeColor="text1"/>
          <w:sz w:val="44"/>
          <w:szCs w:val="44"/>
          <w:highlight w:val="none"/>
        </w:rPr>
        <w:t xml:space="preserve">第三章  </w:t>
      </w:r>
      <w:r>
        <w:rPr>
          <w:color w:val="000000" w:themeColor="text1"/>
          <w:highlight w:val="none"/>
        </w:rPr>
        <w:fldChar w:fldCharType="begin"/>
      </w:r>
      <w:r>
        <w:rPr>
          <w:color w:val="000000" w:themeColor="text1"/>
          <w:highlight w:val="none"/>
        </w:rPr>
        <w:instrText xml:space="preserve"> HYPERLINK \l "投标文件格式" </w:instrText>
      </w:r>
      <w:r>
        <w:rPr>
          <w:color w:val="000000" w:themeColor="text1"/>
          <w:highlight w:val="none"/>
        </w:rPr>
        <w:fldChar w:fldCharType="separate"/>
      </w:r>
      <w:r>
        <w:rPr>
          <w:rStyle w:val="1055"/>
          <w:rFonts w:hint="eastAsia" w:cs="宋体"/>
          <w:b/>
          <w:bCs/>
          <w:color w:val="000000" w:themeColor="text1"/>
          <w:sz w:val="44"/>
          <w:szCs w:val="44"/>
          <w:highlight w:val="none"/>
          <w:u w:val="none"/>
        </w:rPr>
        <w:t xml:space="preserve">投标文件格式</w:t>
      </w:r>
      <w:r>
        <w:rPr>
          <w:rStyle w:val="1055"/>
          <w:rFonts w:hint="eastAsia" w:cs="宋体"/>
          <w:b/>
          <w:bCs/>
          <w:color w:val="000000" w:themeColor="text1"/>
          <w:sz w:val="44"/>
          <w:szCs w:val="44"/>
          <w:highlight w:val="none"/>
          <w:u w:val="none"/>
        </w:rPr>
        <w:fldChar w:fldCharType="end"/>
      </w:r>
      <w:bookmarkEnd w:id="11"/>
      <w:r>
        <w:rPr>
          <w:color w:val="000000" w:themeColor="text1"/>
          <w:highlight w:val="none"/>
        </w:rPr>
      </w:r>
      <w:bookmarkEnd w:id="12"/>
      <w:r>
        <w:rPr>
          <w:color w:val="000000" w:themeColor="text1"/>
          <w:highlight w:val="none"/>
        </w:rPr>
      </w:r>
      <w:r>
        <w:rPr>
          <w:color w:val="000000" w:themeColor="text1"/>
          <w:highlight w:val="none"/>
        </w:rPr>
      </w:r>
    </w:p>
    <w:p>
      <w:pPr>
        <w:pStyle w:val="1031"/>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说明：</w:t>
      </w:r>
      <w:r>
        <w:rPr>
          <w:color w:val="000000" w:themeColor="text1"/>
          <w:highlight w:val="none"/>
        </w:rPr>
      </w:r>
    </w:p>
    <w:p>
      <w:pPr>
        <w:pStyle w:val="1031"/>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对本章所有的投标书格式，投标人可根据自身情况进行补充和修改，但补充和修改不得造成与本格式内容有实质性的违背。</w:t>
      </w:r>
      <w:r>
        <w:rPr>
          <w:color w:val="000000" w:themeColor="text1"/>
          <w:highlight w:val="none"/>
        </w:rPr>
      </w:r>
    </w:p>
    <w:p>
      <w:pPr>
        <w:rPr>
          <w:rFonts w:hint="eastAsia" w:cs="宋体"/>
          <w:b/>
          <w:color w:val="000000" w:themeColor="text1"/>
          <w:highlight w:val="none"/>
        </w:rPr>
      </w:pPr>
      <w:r>
        <w:rPr>
          <w:rFonts w:hint="eastAsia" w:cs="宋体"/>
          <w:b/>
          <w:color w:val="000000" w:themeColor="text1"/>
          <w:sz w:val="21"/>
          <w:szCs w:val="21"/>
          <w:highlight w:val="none"/>
        </w:rPr>
        <w:br w:type="page" w:clear="all"/>
      </w:r>
      <w:r>
        <w:rPr>
          <w:rFonts w:hint="eastAsia" w:cs="宋体"/>
          <w:b/>
          <w:color w:val="000000" w:themeColor="text1"/>
          <w:highlight w:val="none"/>
        </w:rPr>
        <w:t xml:space="preserve">1、（投标人）法定代表人授权委托书</w:t>
      </w:r>
      <w:r>
        <w:rPr>
          <w:color w:val="000000" w:themeColor="text1"/>
          <w:highlight w:val="none"/>
        </w:rPr>
      </w:r>
    </w:p>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jc w:val="center"/>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法定代表人授权委托书</w:t>
      </w:r>
      <w:r>
        <w:rPr>
          <w:color w:val="000000" w:themeColor="text1"/>
          <w:highlight w:val="none"/>
        </w:rPr>
      </w:r>
    </w:p>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本授权委托书声明：我 </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（姓名）系</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（投标人名称）的法定代表人，现授权委托</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单位名称）的</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（姓名）为我公司委托代理人，以本公司的名义参加苏州合亿盛工程咨询有限公司组织实施的编号为</w:t>
      </w:r>
      <w:r>
        <w:rPr>
          <w:rFonts w:hint="eastAsia" w:ascii="宋体" w:hAnsi="宋体" w:eastAsia="宋体" w:cs="宋体"/>
          <w:color w:val="000000" w:themeColor="text1"/>
          <w:szCs w:val="24"/>
          <w:highlight w:val="none"/>
          <w:u w:val="single"/>
        </w:rPr>
        <w:t xml:space="preserve">JSZC-320591-SHYS-G2025-0006</w:t>
      </w:r>
      <w:r>
        <w:rPr>
          <w:rFonts w:hint="eastAsia" w:ascii="宋体" w:hAnsi="宋体" w:eastAsia="宋体" w:cs="宋体"/>
          <w:color w:val="000000" w:themeColor="text1"/>
          <w:szCs w:val="24"/>
          <w:highlight w:val="none"/>
        </w:rPr>
        <w:t xml:space="preserve">号的招标活动。委托代理人在投标报名、制作投标文件、开标、评标、合同签署等招标过程中所签署的一切文件和处理与这有关的一切事务，我均予以承认。</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委托代理人在授权委托书有效期内签署的所有文件不因授权委托的撤销而失效，除非有撤销授权委托的书面通知，本授权委托书自签署之日起至合同履行完毕止均有效。</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委托代理人无转委托权。特此委托。</w:t>
      </w:r>
      <w:r>
        <w:rPr>
          <w:color w:val="000000" w:themeColor="text1"/>
          <w:highlight w:val="none"/>
        </w:rPr>
      </w:r>
    </w:p>
    <w:p>
      <w:pPr>
        <w:pStyle w:val="1031"/>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投标人：（公章）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法定代表人：（签字或盖章）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代理人：（签字或盖章）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日期：       年    月     日</w:t>
      </w:r>
      <w:r>
        <w:rPr>
          <w:color w:val="000000" w:themeColor="text1"/>
          <w:highlight w:val="none"/>
        </w:rPr>
      </w:r>
    </w:p>
    <w:p>
      <w:pPr>
        <w:pStyle w:val="1031"/>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031"/>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031"/>
        <w:ind w:firstLine="0"/>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 w:val="21"/>
          <w:szCs w:val="21"/>
          <w:highlight w:val="none"/>
        </w:rPr>
        <w:br w:type="page" w:clear="all"/>
      </w:r>
      <w:r>
        <w:rPr>
          <w:rFonts w:hint="eastAsia" w:ascii="宋体" w:hAnsi="宋体" w:eastAsia="宋体" w:cs="宋体"/>
          <w:b/>
          <w:color w:val="000000" w:themeColor="text1"/>
          <w:szCs w:val="24"/>
          <w:highlight w:val="none"/>
        </w:rPr>
        <w:t xml:space="preserve">2、投标函</w:t>
      </w:r>
      <w:r>
        <w:rPr>
          <w:color w:val="000000" w:themeColor="text1"/>
          <w:highlight w:val="none"/>
        </w:rPr>
      </w:r>
    </w:p>
    <w:p>
      <w:pPr>
        <w:pStyle w:val="1077"/>
        <w:jc w:val="center"/>
        <w:spacing w:line="360" w:lineRule="exact"/>
        <w:rPr>
          <w:rFonts w:hint="eastAsia" w:hAnsi="宋体" w:eastAsia="宋体" w:cs="宋体"/>
          <w:b/>
          <w:color w:val="000000" w:themeColor="text1"/>
          <w:sz w:val="24"/>
          <w:szCs w:val="24"/>
          <w:highlight w:val="none"/>
        </w:rPr>
      </w:pPr>
      <w:r>
        <w:rPr>
          <w:rFonts w:hint="eastAsia" w:hAnsi="宋体" w:eastAsia="宋体" w:cs="宋体"/>
          <w:b/>
          <w:color w:val="000000" w:themeColor="text1"/>
          <w:sz w:val="24"/>
          <w:szCs w:val="24"/>
          <w:highlight w:val="none"/>
        </w:rPr>
        <w:t xml:space="preserve">投标函</w:t>
      </w:r>
      <w:r>
        <w:rPr>
          <w:color w:val="000000" w:themeColor="text1"/>
          <w:highlight w:val="none"/>
        </w:rPr>
      </w:r>
    </w:p>
    <w:p>
      <w:pPr>
        <w:pStyle w:val="1077"/>
        <w:spacing w:line="360" w:lineRule="exact"/>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u w:val="single"/>
        </w:rPr>
        <w:t xml:space="preserve">                              </w:t>
      </w:r>
      <w:r>
        <w:rPr>
          <w:rFonts w:hint="eastAsia" w:hAnsi="宋体" w:eastAsia="宋体" w:cs="宋体"/>
          <w:color w:val="000000" w:themeColor="text1"/>
          <w:sz w:val="24"/>
          <w:szCs w:val="24"/>
          <w:highlight w:val="none"/>
        </w:rPr>
        <w:t xml:space="preserve">：</w:t>
      </w:r>
      <w:r>
        <w:rPr>
          <w:color w:val="000000" w:themeColor="text1"/>
          <w:highlight w:val="none"/>
        </w:rPr>
      </w:r>
    </w:p>
    <w:p>
      <w:pPr>
        <w:ind w:firstLine="480"/>
        <w:rPr>
          <w:rFonts w:hint="eastAsia" w:cs="宋体"/>
          <w:color w:val="000000" w:themeColor="text1"/>
          <w:highlight w:val="none"/>
        </w:rPr>
      </w:pPr>
      <w:r>
        <w:rPr>
          <w:rFonts w:hint="eastAsia" w:cs="宋体"/>
          <w:color w:val="000000" w:themeColor="text1"/>
          <w:highlight w:val="none"/>
        </w:rPr>
        <w:t xml:space="preserve">我们收到贵公司</w:t>
      </w:r>
      <w:r>
        <w:rPr>
          <w:rFonts w:hint="eastAsia" w:cs="宋体"/>
          <w:color w:val="000000" w:themeColor="text1"/>
          <w:highlight w:val="none"/>
          <w:u w:val="single"/>
        </w:rPr>
        <w:t xml:space="preserve">JSZC-320591-SHYS-G2025-0006</w:t>
      </w:r>
      <w:r>
        <w:rPr>
          <w:rFonts w:hint="eastAsia" w:cs="宋体"/>
          <w:color w:val="000000" w:themeColor="text1"/>
          <w:highlight w:val="none"/>
        </w:rPr>
        <w:t xml:space="preserve">号的招标文件，经仔细阅读和研究，我们决定参加投标。</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1、我方愿意按照招标文件的一切要求，提供本项目的所有内容，包括全部标的物及其备品备件、辅助材料、安装、调试、维护、人工、机械、包装、运输、装卸、仓储、保险、运费、各种税费、劳保、专利技术及质保期间等一切费用。</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2、如果我们的投标书被接受，我们将严格履行招标文件中规定的每一项要求，按期、按质、按量履行合同的义务。</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3、我们已详细审查全部招标文件，包括补充文件（更正公告）(如有)。我们完全理解并同意放弃对这方面有不明及误解的权力。</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4、我们同意按招标文件中的规定，本投标书的有效期限为投标截止日起</w:t>
      </w:r>
      <w:r>
        <w:rPr>
          <w:rFonts w:hint="eastAsia" w:hAnsi="宋体" w:cs="宋体"/>
          <w:color w:val="000000" w:themeColor="text1"/>
          <w:highlight w:val="none"/>
          <w:u w:val="single"/>
        </w:rPr>
        <w:t xml:space="preserve">90</w:t>
      </w:r>
      <w:r>
        <w:rPr>
          <w:rFonts w:hint="eastAsia" w:hAnsi="宋体" w:cs="宋体"/>
          <w:color w:val="000000" w:themeColor="text1"/>
          <w:highlight w:val="none"/>
        </w:rPr>
        <w:t xml:space="preserve">天。</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5、我们愿意提供采购人或采购代理机构在招标文件中要求的所有资料。</w:t>
      </w:r>
      <w:r>
        <w:rPr>
          <w:color w:val="000000" w:themeColor="text1"/>
          <w:highlight w:val="none"/>
        </w:rPr>
      </w:r>
    </w:p>
    <w:p>
      <w:pPr>
        <w:ind w:firstLine="480"/>
        <w:spacing w:line="320" w:lineRule="exact"/>
        <w:rPr>
          <w:rFonts w:hint="eastAsia" w:cs="宋体"/>
          <w:color w:val="000000" w:themeColor="text1"/>
          <w:highlight w:val="none"/>
        </w:rPr>
      </w:pPr>
      <w:r>
        <w:rPr>
          <w:rFonts w:hint="eastAsia" w:cs="宋体"/>
          <w:color w:val="000000" w:themeColor="text1"/>
          <w:highlight w:val="none"/>
        </w:rPr>
        <w:t xml:space="preserve">6、我们声明：我们在参加本次政府采购活动前3年内在经营活动中没有重大违法记录。</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7、我们愿意遵守招标公告及招标文件中所列的收费标准。</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8、我们承诺该项投标在开标后的全过程中保持有效，不作任何更改和变动。</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9、我们愿意按招标文件的规定交纳投标保证金，并同意投标人须知中关于不予退还投标保证金的规定。</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10、如果我们中标，我们愿意按招标文件规定支付代理服务费；</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11、我们承诺我公司符合招标文件投标人须知中“合格投标人的资格条件”的要求，若与真实情况不符，本公司愿意承担由此而产生的一切后果。</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12、综合说明：</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（1）伴随服务及配合措施；</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（2）要求甲方提供的配合；</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（3）对招标文件有不同意见的偏离说明；</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（4）其它说明。</w:t>
      </w:r>
      <w:r>
        <w:rPr>
          <w:color w:val="000000" w:themeColor="text1"/>
          <w:highlight w:val="none"/>
        </w:rPr>
      </w:r>
    </w:p>
    <w:p>
      <w:pPr>
        <w:pStyle w:val="1072"/>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所有有关标书的函电，请按下列地址联系：</w:t>
      </w:r>
      <w:r>
        <w:rPr>
          <w:color w:val="000000" w:themeColor="text1"/>
          <w:highlight w:val="none"/>
        </w:rPr>
      </w:r>
    </w:p>
    <w:p>
      <w:pPr>
        <w:pStyle w:val="1067"/>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单位：</w:t>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 xml:space="preserve">联系人：</w:t>
      </w:r>
      <w:r>
        <w:rPr>
          <w:color w:val="000000" w:themeColor="text1"/>
          <w:highlight w:val="none"/>
        </w:rPr>
      </w:r>
    </w:p>
    <w:p>
      <w:pPr>
        <w:pStyle w:val="1067"/>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地址：</w:t>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 xml:space="preserve">邮政编码：</w:t>
      </w:r>
      <w:r>
        <w:rPr>
          <w:color w:val="000000" w:themeColor="text1"/>
          <w:highlight w:val="none"/>
        </w:rPr>
      </w:r>
    </w:p>
    <w:p>
      <w:pPr>
        <w:pStyle w:val="1067"/>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联系电话：</w:t>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ab/>
      </w:r>
      <w:r>
        <w:rPr>
          <w:rFonts w:hint="eastAsia" w:hAnsi="宋体" w:cs="宋体"/>
          <w:color w:val="000000" w:themeColor="text1"/>
          <w:highlight w:val="none"/>
        </w:rPr>
        <w:t xml:space="preserve">传真：</w:t>
      </w:r>
      <w:r>
        <w:rPr>
          <w:color w:val="000000" w:themeColor="text1"/>
          <w:highlight w:val="none"/>
        </w:rPr>
      </w:r>
    </w:p>
    <w:p>
      <w:pPr>
        <w:pStyle w:val="1067"/>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t xml:space="preserve">企业电子邮箱地址：</w:t>
      </w:r>
      <w:r>
        <w:rPr>
          <w:color w:val="000000" w:themeColor="text1"/>
          <w:highlight w:val="none"/>
        </w:rPr>
      </w:r>
    </w:p>
    <w:p>
      <w:pPr>
        <w:pStyle w:val="1067"/>
        <w:ind w:firstLine="480"/>
        <w:spacing w:line="320" w:lineRule="exact"/>
        <w:rPr>
          <w:rFonts w:hint="eastAsia" w:hAnsi="宋体" w:cs="宋体"/>
          <w:color w:val="000000" w:themeColor="text1"/>
          <w:highlight w:val="none"/>
        </w:rPr>
      </w:pPr>
      <w:r>
        <w:rPr>
          <w:rFonts w:hint="eastAsia" w:hAnsi="宋体" w:cs="宋体"/>
          <w:color w:val="000000" w:themeColor="text1"/>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投标人：（盖章）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法定代表人或代理人：（签字或盖章）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日期：      年    月    日</w:t>
      </w:r>
      <w:r>
        <w:rPr>
          <w:color w:val="000000" w:themeColor="text1"/>
          <w:highlight w:val="none"/>
        </w:rPr>
      </w:r>
    </w:p>
    <w:p>
      <w:pPr>
        <w:pStyle w:val="1077"/>
        <w:ind w:firstLine="425"/>
        <w:spacing w:line="400" w:lineRule="exact"/>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31"/>
        <w:ind w:firstLine="0"/>
        <w:spacing w:line="360" w:lineRule="auto"/>
        <w:rPr>
          <w:rFonts w:hint="eastAsia" w:ascii="宋体" w:hAnsi="宋体" w:eastAsia="宋体" w:cs="宋体"/>
          <w:b/>
          <w:bCs/>
          <w:color w:val="000000" w:themeColor="text1"/>
          <w:sz w:val="21"/>
          <w:szCs w:val="21"/>
          <w:highlight w:val="none"/>
        </w:rPr>
        <w:outlineLvl w:val="1"/>
      </w:pPr>
      <w:r>
        <w:rPr>
          <w:rFonts w:hint="eastAsia" w:ascii="宋体" w:hAnsi="宋体" w:eastAsia="宋体" w:cs="宋体"/>
          <w:color w:val="000000" w:themeColor="text1"/>
          <w:sz w:val="21"/>
          <w:szCs w:val="21"/>
          <w:highlight w:val="none"/>
          <w:lang w:val="zh-CN"/>
        </w:rPr>
        <w:br w:type="page" w:clear="all"/>
      </w:r>
      <w:r>
        <w:rPr>
          <w:rFonts w:hint="eastAsia" w:ascii="宋体" w:hAnsi="宋体" w:eastAsia="宋体" w:cs="宋体"/>
          <w:b/>
          <w:bCs/>
          <w:color w:val="000000" w:themeColor="text1"/>
          <w:szCs w:val="24"/>
          <w:highlight w:val="none"/>
        </w:rPr>
        <w:t xml:space="preserve">3、开标一览表</w:t>
      </w:r>
      <w:r>
        <w:rPr>
          <w:color w:val="000000" w:themeColor="text1"/>
          <w:highlight w:val="none"/>
        </w:rPr>
      </w:r>
    </w:p>
    <w:p>
      <w:pPr>
        <w:jc w:val="center"/>
        <w:spacing w:line="360" w:lineRule="auto"/>
        <w:rPr>
          <w:rFonts w:hint="eastAsia" w:cs="宋体"/>
          <w:b/>
          <w:color w:val="000000" w:themeColor="text1"/>
          <w:highlight w:val="none"/>
        </w:rPr>
      </w:pPr>
      <w:r>
        <w:rPr>
          <w:rFonts w:hint="eastAsia" w:cs="宋体"/>
          <w:b/>
          <w:color w:val="000000" w:themeColor="text1"/>
          <w:highlight w:val="none"/>
          <w:lang w:val="zh-CN"/>
        </w:rPr>
        <w:t xml:space="preserve">开标一览表</w:t>
      </w:r>
      <w:r>
        <w:rPr>
          <w:color w:val="000000" w:themeColor="text1"/>
          <w:highlight w:val="none"/>
        </w:rPr>
      </w:r>
    </w:p>
    <w:p>
      <w:pPr>
        <w:pStyle w:val="1078"/>
        <w:ind w:firstLine="420"/>
        <w:rPr>
          <w:rFonts w:hint="eastAsia" w:hAnsi="宋体" w:cs="宋体"/>
          <w:color w:val="000000" w:themeColor="text1"/>
          <w:highlight w:val="none"/>
        </w:rPr>
      </w:pPr>
      <w:r>
        <w:rPr>
          <w:rFonts w:hint="eastAsia" w:hAnsi="宋体" w:cs="宋体"/>
          <w:color w:val="000000" w:themeColor="text1"/>
          <w:highlight w:val="none"/>
          <w:lang w:val="zh-CN"/>
        </w:rPr>
      </w:r>
      <w:r>
        <w:rPr>
          <w:color w:val="000000" w:themeColor="text1"/>
          <w:highlight w:val="none"/>
        </w:rPr>
      </w:r>
    </w:p>
    <w:p>
      <w:pPr>
        <w:contextualSpacing/>
        <w:ind w:firstLine="480"/>
        <w:spacing w:line="600" w:lineRule="exact"/>
        <w:rPr>
          <w:rFonts w:hint="eastAsia" w:cs="宋体"/>
          <w:color w:val="000000" w:themeColor="text1"/>
          <w:highlight w:val="none"/>
        </w:rPr>
      </w:pPr>
      <w:r>
        <w:rPr>
          <w:rFonts w:hint="eastAsia" w:cs="宋体"/>
          <w:color w:val="000000" w:themeColor="text1"/>
          <w:highlight w:val="none"/>
        </w:rPr>
        <w:t xml:space="preserve">项目编号：</w:t>
      </w:r>
      <w:r>
        <w:rPr>
          <w:color w:val="000000" w:themeColor="text1"/>
          <w:highlight w:val="none"/>
        </w:rPr>
      </w:r>
    </w:p>
    <w:p>
      <w:pPr>
        <w:contextualSpacing/>
        <w:ind w:firstLine="480"/>
        <w:spacing w:line="600" w:lineRule="exact"/>
        <w:rPr>
          <w:rFonts w:hint="eastAsia" w:cs="宋体"/>
          <w:color w:val="000000" w:themeColor="text1"/>
          <w:highlight w:val="none"/>
        </w:rPr>
      </w:pPr>
      <w:r>
        <w:rPr>
          <w:rFonts w:hint="eastAsia" w:cs="宋体"/>
          <w:color w:val="000000" w:themeColor="text1"/>
          <w:highlight w:val="none"/>
        </w:rPr>
        <w:t xml:space="preserve">分包号：</w:t>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683"/>
        <w:gridCol w:w="3138"/>
        <w:gridCol w:w="1840"/>
        <w:gridCol w:w="1022"/>
      </w:tblGrid>
      <w:tr>
        <w:trPr>
          <w:jc w:val="center"/>
          <w:trHeight w:val="777"/>
        </w:trPr>
        <w:tc>
          <w:tcPr>
            <w:tcW w:w="1080"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t xml:space="preserve">序号</w:t>
            </w:r>
            <w:r>
              <w:rPr>
                <w:color w:val="000000" w:themeColor="text1"/>
                <w:highlight w:val="none"/>
              </w:rPr>
            </w:r>
          </w:p>
        </w:tc>
        <w:tc>
          <w:tcPr>
            <w:tcW w:w="2683"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t xml:space="preserve">项目名称</w:t>
            </w:r>
            <w:r>
              <w:rPr>
                <w:color w:val="000000" w:themeColor="text1"/>
                <w:highlight w:val="none"/>
              </w:rPr>
            </w:r>
          </w:p>
        </w:tc>
        <w:tc>
          <w:tcPr>
            <w:tcW w:w="3138"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rPr>
              <w:t xml:space="preserve">投标总价（元）</w:t>
            </w:r>
            <w:r>
              <w:rPr>
                <w:color w:val="000000" w:themeColor="text1"/>
                <w:highlight w:val="none"/>
              </w:rPr>
            </w:r>
          </w:p>
        </w:tc>
        <w:tc>
          <w:tcPr>
            <w:tcW w:w="1840"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rPr>
              <w:t xml:space="preserve">服务期限</w:t>
            </w:r>
            <w:r>
              <w:rPr>
                <w:color w:val="000000" w:themeColor="text1"/>
                <w:highlight w:val="none"/>
              </w:rPr>
            </w:r>
          </w:p>
        </w:tc>
        <w:tc>
          <w:tcPr>
            <w:tcW w:w="1022"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t xml:space="preserve">备注</w:t>
            </w:r>
            <w:r>
              <w:rPr>
                <w:color w:val="000000" w:themeColor="text1"/>
                <w:highlight w:val="none"/>
              </w:rPr>
            </w:r>
          </w:p>
        </w:tc>
      </w:tr>
      <w:tr>
        <w:trPr>
          <w:jc w:val="center"/>
          <w:trHeight w:val="1236"/>
        </w:trPr>
        <w:tc>
          <w:tcPr>
            <w:tcW w:w="1080"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t xml:space="preserve">1</w:t>
            </w:r>
            <w:r>
              <w:rPr>
                <w:color w:val="000000" w:themeColor="text1"/>
                <w:highlight w:val="none"/>
              </w:rPr>
            </w:r>
          </w:p>
        </w:tc>
        <w:tc>
          <w:tcPr>
            <w:tcW w:w="2683"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t xml:space="preserve">胜浦街道动迁社区楼道智能监控</w:t>
            </w:r>
            <w:r>
              <w:rPr>
                <w:color w:val="000000" w:themeColor="text1"/>
                <w:highlight w:val="none"/>
              </w:rPr>
            </w:r>
          </w:p>
        </w:tc>
        <w:tc>
          <w:tcPr>
            <w:tcW w:w="3138" w:type="dxa"/>
            <w:vAlign w:val="center"/>
            <w:textDirection w:val="lrTb"/>
            <w:noWrap w:val="false"/>
          </w:tcPr>
          <w:p>
            <w:pPr>
              <w:pStyle w:val="1058"/>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人民币（大写）：</w:t>
            </w:r>
            <w:r>
              <w:rPr>
                <w:color w:val="000000" w:themeColor="text1"/>
                <w:highlight w:val="none"/>
              </w:rPr>
            </w:r>
          </w:p>
          <w:p>
            <w:pPr>
              <w:spacing w:line="360" w:lineRule="exact"/>
              <w:rPr>
                <w:rFonts w:hint="eastAsia" w:cs="宋体"/>
                <w:color w:val="000000" w:themeColor="text1"/>
                <w:highlight w:val="none"/>
              </w:rPr>
            </w:pPr>
            <w:r>
              <w:rPr>
                <w:rFonts w:hint="eastAsia" w:cs="宋体"/>
                <w:color w:val="000000" w:themeColor="text1"/>
                <w:highlight w:val="none"/>
              </w:rPr>
              <w:t xml:space="preserve">人民币（小写）：</w:t>
            </w:r>
            <w:r>
              <w:rPr>
                <w:color w:val="000000" w:themeColor="text1"/>
                <w:highlight w:val="none"/>
              </w:rPr>
            </w:r>
          </w:p>
        </w:tc>
        <w:tc>
          <w:tcPr>
            <w:tcW w:w="1840"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tc>
        <w:tc>
          <w:tcPr>
            <w:tcW w:w="1022" w:type="dxa"/>
            <w:vAlign w:val="center"/>
            <w:textDirection w:val="lrTb"/>
            <w:noWrap w:val="false"/>
          </w:tcPr>
          <w:p>
            <w:pPr>
              <w:jc w:val="center"/>
              <w:spacing w:line="360" w:lineRule="exact"/>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tc>
      </w:tr>
    </w:tbl>
    <w:p>
      <w:pPr>
        <w:contextualSpacing/>
        <w:ind w:firstLine="6480"/>
        <w:spacing w:line="600" w:lineRule="exact"/>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contextualSpacing/>
        <w:ind w:firstLine="480"/>
        <w:spacing w:line="360" w:lineRule="auto"/>
        <w:rPr>
          <w:rFonts w:hint="eastAsia" w:cs="宋体"/>
          <w:color w:val="000000" w:themeColor="text1"/>
          <w:highlight w:val="none"/>
        </w:rPr>
      </w:pPr>
      <w:r>
        <w:rPr>
          <w:rFonts w:hint="eastAsia" w:cs="宋体"/>
          <w:color w:val="000000" w:themeColor="text1"/>
          <w:highlight w:val="none"/>
        </w:rPr>
        <w:t xml:space="preserve">注：投标报价包括全部标的物及其备品备件、辅助材料、安装、调试、维护、人工、机械、包装、运输、装卸、仓储、保险、运费、各种税费、劳保、专利技术及质保期间等一切费用。</w:t>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4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4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投标人（公章）：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法定代表人或代理人：（签字或签章）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日期：</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年</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月</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日</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34"/>
        <w:ind w:firstLine="48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3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ind w:right="480"/>
        <w:spacing w:line="360" w:lineRule="auto"/>
        <w:rPr>
          <w:rFonts w:hint="eastAsia" w:cs="宋体"/>
          <w:b/>
          <w:color w:val="000000" w:themeColor="text1"/>
          <w:highlight w:val="none"/>
        </w:rPr>
      </w:pPr>
      <w:r>
        <w:rPr>
          <w:rFonts w:hint="eastAsia" w:cs="宋体"/>
          <w:b/>
          <w:color w:val="000000" w:themeColor="text1"/>
          <w:sz w:val="21"/>
          <w:szCs w:val="21"/>
          <w:highlight w:val="none"/>
        </w:rPr>
        <w:br w:type="page" w:clear="all"/>
      </w:r>
      <w:r>
        <w:rPr>
          <w:rFonts w:hint="eastAsia" w:cs="宋体"/>
          <w:b/>
          <w:bCs/>
          <w:color w:val="000000" w:themeColor="text1"/>
          <w:highlight w:val="none"/>
        </w:rPr>
        <w:t xml:space="preserve">4、报价明细表</w:t>
      </w:r>
      <w:r>
        <w:rPr>
          <w:color w:val="000000" w:themeColor="text1"/>
          <w:highlight w:val="none"/>
        </w:rPr>
      </w:r>
    </w:p>
    <w:p>
      <w:pPr>
        <w:jc w:val="center"/>
        <w:spacing w:line="360" w:lineRule="auto"/>
        <w:rPr>
          <w:rFonts w:hint="eastAsia" w:cs="宋体"/>
          <w:b/>
          <w:bCs/>
          <w:color w:val="000000" w:themeColor="text1"/>
          <w:highlight w:val="none"/>
        </w:rPr>
      </w:pPr>
      <w:r>
        <w:rPr>
          <w:rFonts w:hint="eastAsia" w:cs="宋体"/>
          <w:b/>
          <w:bCs/>
          <w:color w:val="000000" w:themeColor="text1"/>
          <w:highlight w:val="none"/>
          <w:lang w:val="zh-CN"/>
        </w:rPr>
        <w:t xml:space="preserve">报价明细表</w:t>
      </w:r>
      <w:r>
        <w:rPr>
          <w:color w:val="000000" w:themeColor="text1"/>
          <w:highlight w:val="none"/>
        </w:rPr>
      </w:r>
    </w:p>
    <w:p>
      <w:pPr>
        <w:pStyle w:val="1071"/>
        <w:spacing w:line="360" w:lineRule="auto"/>
        <w:rPr>
          <w:rFonts w:hint="eastAsia" w:hAnsi="宋体" w:eastAsia="宋体"/>
          <w:color w:val="000000" w:themeColor="text1"/>
          <w:sz w:val="24"/>
          <w:highlight w:val="none"/>
        </w:rPr>
      </w:pPr>
      <w:r>
        <w:rPr>
          <w:rFonts w:hint="eastAsia" w:hAnsi="宋体" w:eastAsia="宋体"/>
          <w:color w:val="000000" w:themeColor="text1"/>
          <w:sz w:val="24"/>
          <w:highlight w:val="none"/>
        </w:rPr>
        <w:t xml:space="preserve">采购编号：                                                      价格单位：元</w:t>
      </w:r>
      <w:r>
        <w:rPr>
          <w:color w:val="000000" w:themeColor="text1"/>
          <w:highlight w:val="none"/>
        </w:rPr>
      </w:r>
    </w:p>
    <w:tbl>
      <w:tblPr>
        <w:tblStyle w:val="836"/>
        <w:tblW w:w="9300" w:type="dxa"/>
        <w:jc w:val="center"/>
        <w:tblLayout w:type="fixed"/>
        <w:tblCellMar>
          <w:left w:w="108" w:type="dxa"/>
          <w:top w:w="0" w:type="dxa"/>
          <w:right w:w="108" w:type="dxa"/>
          <w:bottom w:w="0" w:type="dxa"/>
        </w:tblCellMar>
        <w:tblLook w:val="04A0" w:firstRow="1" w:lastRow="0" w:firstColumn="1" w:lastColumn="0" w:noHBand="0" w:noVBand="1"/>
      </w:tblPr>
      <w:tblGrid>
        <w:gridCol w:w="1095"/>
        <w:gridCol w:w="2160"/>
        <w:gridCol w:w="1005"/>
        <w:gridCol w:w="1620"/>
        <w:gridCol w:w="2158"/>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color w:val="000000" w:themeColor="text1"/>
                <w:highlight w:val="none"/>
              </w:rPr>
              <w:t xml:space="preserve">序号</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color w:val="000000" w:themeColor="text1"/>
                <w:highlight w:val="none"/>
              </w:rPr>
              <w:t xml:space="preserve">项目名称</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color w:val="000000" w:themeColor="text1"/>
                <w:highlight w:val="none"/>
              </w:rPr>
              <w:t xml:space="preserve">数量</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color w:val="000000" w:themeColor="text1"/>
                <w:highlight w:val="none"/>
              </w:rPr>
              <w:t xml:space="preserve">单价（元）</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color w:val="000000" w:themeColor="text1"/>
                <w:highlight w:val="none"/>
              </w:rPr>
              <w:t xml:space="preserve">合</w:t>
            </w:r>
            <w:r>
              <w:rPr>
                <w:rFonts w:hint="eastAsia"/>
                <w:color w:val="000000" w:themeColor="text1"/>
                <w:highlight w:val="none"/>
              </w:rPr>
              <w:t xml:space="preserve">价</w:t>
            </w:r>
            <w:r>
              <w:rPr>
                <w:color w:val="000000" w:themeColor="text1"/>
                <w:highlight w:val="none"/>
              </w:rPr>
              <w:t xml:space="preserve">（元）</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color w:val="000000" w:themeColor="text1"/>
                <w:highlight w:val="none"/>
              </w:rPr>
              <w:t xml:space="preserve">备注</w:t>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color w:val="000000" w:themeColor="text1"/>
                <w:highlight w:val="none"/>
              </w:rPr>
              <w:t xml:space="preserve">1</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color w:val="000000" w:themeColor="text1"/>
                <w:highlight w:val="none"/>
              </w:rPr>
              <w:t xml:space="preserve">…</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t xml:space="preserve">合计</w:t>
            </w:r>
            <w:r>
              <w:rPr>
                <w:color w:val="000000" w:themeColor="text1"/>
                <w:highlight w:val="none"/>
              </w:rPr>
            </w:r>
          </w:p>
        </w:tc>
        <w:tc>
          <w:tcPr>
            <w:gridSpan w:val="5"/>
            <w:tcBorders>
              <w:top w:val="single" w:color="000000" w:sz="4" w:space="0"/>
              <w:left w:val="none" w:color="000000" w:sz="4" w:space="0"/>
              <w:bottom w:val="single" w:color="000000" w:sz="4" w:space="0"/>
              <w:right w:val="single" w:color="000000" w:sz="4" w:space="0"/>
            </w:tcBorders>
            <w:tcW w:w="820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highlight w:val="none"/>
              </w:rPr>
            </w:r>
          </w:p>
        </w:tc>
      </w:tr>
    </w:tbl>
    <w:p>
      <w:pPr>
        <w:ind w:firstLine="482"/>
        <w:spacing w:line="360" w:lineRule="auto"/>
        <w:rPr>
          <w:rStyle w:val="1062"/>
          <w:rFonts w:hint="eastAsia"/>
          <w:b/>
          <w:bCs/>
          <w:color w:val="000000" w:themeColor="text1"/>
          <w:highlight w:val="none"/>
        </w:rPr>
      </w:pPr>
      <w:r>
        <w:rPr>
          <w:rStyle w:val="1062"/>
          <w:rFonts w:hint="eastAsia"/>
          <w:b/>
          <w:bCs/>
          <w:color w:val="000000" w:themeColor="text1"/>
          <w:highlight w:val="none"/>
        </w:rPr>
        <w:t xml:space="preserve">注：本表合计金额应与《</w:t>
      </w:r>
      <w:r>
        <w:rPr>
          <w:rStyle w:val="1062"/>
          <w:rFonts w:hint="eastAsia"/>
          <w:b/>
          <w:bCs/>
          <w:color w:val="000000" w:themeColor="text1"/>
          <w:highlight w:val="none"/>
          <w:lang w:val="en-US"/>
        </w:rPr>
        <w:t xml:space="preserve">开标一览表</w:t>
      </w:r>
      <w:r>
        <w:rPr>
          <w:rStyle w:val="1062"/>
          <w:rFonts w:hint="eastAsia"/>
          <w:b/>
          <w:bCs/>
          <w:color w:val="000000" w:themeColor="text1"/>
          <w:highlight w:val="none"/>
        </w:rPr>
        <w:t xml:space="preserve">》的响应总报价一致，否则以《</w:t>
      </w:r>
      <w:r>
        <w:rPr>
          <w:rStyle w:val="1062"/>
          <w:rFonts w:hint="eastAsia"/>
          <w:b/>
          <w:bCs/>
          <w:color w:val="000000" w:themeColor="text1"/>
          <w:highlight w:val="none"/>
          <w:lang w:val="en-US"/>
        </w:rPr>
        <w:t xml:space="preserve">开标一览表</w:t>
      </w:r>
      <w:r>
        <w:rPr>
          <w:rStyle w:val="1062"/>
          <w:rFonts w:hint="eastAsia"/>
          <w:b/>
          <w:bCs/>
          <w:color w:val="000000" w:themeColor="text1"/>
          <w:highlight w:val="none"/>
        </w:rPr>
        <w:t xml:space="preserve">》为准。</w:t>
      </w:r>
      <w:r>
        <w:rPr>
          <w:color w:val="000000" w:themeColor="text1"/>
          <w:highlight w:val="none"/>
        </w:rPr>
      </w:r>
    </w:p>
    <w:p>
      <w:pPr>
        <w:pStyle w:val="841"/>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pStyle w:val="838"/>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投标人（公章）：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法定代表人或代理人：（签字或签章）</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t xml:space="preserve">日期：</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年</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月</w:t>
      </w: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lang w:val="zh-CN"/>
        </w:rPr>
        <w:t xml:space="preserve">日</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58"/>
        <w:spacing w:line="360" w:lineRule="auto"/>
        <w:rPr>
          <w:rFonts w:hint="eastAsia" w:hAnsi="宋体" w:eastAsia="宋体" w:cs="宋体"/>
          <w:color w:val="000000" w:themeColor="text1"/>
          <w:sz w:val="24"/>
          <w:szCs w:val="24"/>
          <w:highlight w:val="none"/>
        </w:rPr>
      </w:pPr>
      <w:r>
        <w:rPr>
          <w:rFonts w:hint="eastAsia" w:hAnsi="宋体" w:eastAsia="宋体" w:cs="宋体"/>
          <w:b/>
          <w:bCs/>
          <w:color w:val="000000" w:themeColor="text1"/>
          <w:szCs w:val="24"/>
          <w:highlight w:val="none"/>
        </w:rPr>
        <w:br w:type="page" w:clear="all"/>
      </w:r>
      <w:r>
        <w:rPr>
          <w:rFonts w:hint="eastAsia" w:hAnsi="宋体" w:eastAsia="宋体" w:cs="宋体"/>
          <w:b/>
          <w:bCs/>
          <w:color w:val="000000" w:themeColor="text1"/>
          <w:sz w:val="24"/>
          <w:szCs w:val="24"/>
          <w:highlight w:val="none"/>
        </w:rPr>
        <w:t xml:space="preserve">5、参加政府采购活动前三年内在经营活动中没有重大违法记录的书面声明函</w:t>
      </w:r>
      <w:r>
        <w:rPr>
          <w:color w:val="000000" w:themeColor="text1"/>
          <w:highlight w:val="none"/>
        </w:rPr>
      </w:r>
    </w:p>
    <w:p>
      <w:pPr>
        <w:pStyle w:val="1058"/>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58"/>
        <w:ind w:firstLine="24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致：</w:t>
      </w:r>
      <w:r>
        <w:rPr>
          <w:rFonts w:hint="eastAsia" w:hAnsi="宋体" w:eastAsia="宋体" w:cs="宋体"/>
          <w:color w:val="000000" w:themeColor="text1"/>
          <w:sz w:val="24"/>
          <w:szCs w:val="24"/>
          <w:highlight w:val="none"/>
          <w:u w:val="single"/>
        </w:rPr>
        <w:t xml:space="preserve">苏州合亿盛工程咨询有限公司</w:t>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我单位参加政府采购活动前三年内在经营活动中没有重大违法记录。</w:t>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特此声明。</w:t>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投标人：（盖章）</w:t>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法定代表人或代理人：（签字或盖章）</w:t>
      </w:r>
      <w:r>
        <w:rPr>
          <w:color w:val="000000" w:themeColor="text1"/>
          <w:highlight w:val="none"/>
        </w:rPr>
      </w:r>
    </w:p>
    <w:p>
      <w:pPr>
        <w:pStyle w:val="1058"/>
        <w:ind w:firstLine="480"/>
        <w:spacing w:line="360" w:lineRule="auto"/>
        <w:rPr>
          <w:rFonts w:hint="eastAsia" w:hAnsi="宋体" w:eastAsia="宋体" w:cs="宋体"/>
          <w:b/>
          <w:color w:val="000000" w:themeColor="text1"/>
          <w:sz w:val="24"/>
          <w:highlight w:val="none"/>
        </w:rPr>
      </w:pPr>
      <w:r>
        <w:rPr>
          <w:rFonts w:hint="eastAsia" w:hAnsi="宋体" w:eastAsia="宋体" w:cs="宋体"/>
          <w:color w:val="000000" w:themeColor="text1"/>
          <w:sz w:val="24"/>
          <w:highlight w:val="none"/>
        </w:rPr>
        <w:t xml:space="preserve">日期：    年   月   日</w:t>
      </w:r>
      <w:r>
        <w:rPr>
          <w:color w:val="000000" w:themeColor="text1"/>
          <w:highlight w:val="none"/>
        </w:rPr>
      </w:r>
    </w:p>
    <w:p>
      <w:pPr>
        <w:pStyle w:val="1058"/>
        <w:ind w:firstLine="480"/>
        <w:spacing w:line="360" w:lineRule="auto"/>
        <w:rPr>
          <w:rFonts w:hint="eastAsia" w:hAnsi="宋体" w:eastAsia="宋体" w:cs="宋体"/>
          <w:b/>
          <w:color w:val="000000" w:themeColor="text1"/>
          <w:szCs w:val="28"/>
          <w:highlight w:val="none"/>
        </w:rPr>
      </w:pPr>
      <w:r>
        <w:rPr>
          <w:rFonts w:hint="eastAsia" w:hAnsi="宋体" w:eastAsia="宋体" w:cs="宋体"/>
          <w:b/>
          <w:color w:val="000000" w:themeColor="text1"/>
          <w:szCs w:val="28"/>
          <w:highlight w:val="none"/>
        </w:rPr>
        <w:br w:type="page" w:clear="all"/>
      </w:r>
      <w:r>
        <w:rPr>
          <w:color w:val="000000" w:themeColor="text1"/>
          <w:highlight w:val="none"/>
        </w:rPr>
      </w:r>
    </w:p>
    <w:p>
      <w:pPr>
        <w:rPr>
          <w:rFonts w:hint="eastAsia" w:cs="宋体"/>
          <w:b/>
          <w:color w:val="000000" w:themeColor="text1"/>
          <w:sz w:val="21"/>
          <w:szCs w:val="21"/>
          <w:highlight w:val="none"/>
        </w:rPr>
      </w:pPr>
      <w:r>
        <w:rPr>
          <w:rFonts w:hint="eastAsia" w:cs="宋体"/>
          <w:b/>
          <w:bCs/>
          <w:color w:val="000000" w:themeColor="text1"/>
          <w:highlight w:val="none"/>
        </w:rPr>
        <w:t xml:space="preserve">6、拟投入本项目人员配备一览表</w:t>
      </w:r>
      <w:r>
        <w:rPr>
          <w:color w:val="000000" w:themeColor="text1"/>
          <w:highlight w:val="none"/>
        </w:rPr>
      </w:r>
    </w:p>
    <w:p>
      <w:pPr>
        <w:jc w:val="center"/>
        <w:spacing w:line="360" w:lineRule="auto"/>
        <w:rPr>
          <w:rFonts w:hint="eastAsia" w:cs="宋体"/>
          <w:b/>
          <w:bCs/>
          <w:color w:val="000000" w:themeColor="text1"/>
          <w:sz w:val="21"/>
          <w:szCs w:val="21"/>
          <w:highlight w:val="none"/>
        </w:rPr>
      </w:pPr>
      <w:r>
        <w:rPr>
          <w:rFonts w:hint="eastAsia" w:cs="宋体"/>
          <w:b/>
          <w:bCs/>
          <w:color w:val="000000" w:themeColor="text1"/>
          <w:sz w:val="21"/>
          <w:szCs w:val="21"/>
          <w:highlight w:val="none"/>
        </w:rPr>
      </w:r>
      <w:r>
        <w:rPr>
          <w:color w:val="000000" w:themeColor="text1"/>
          <w:highlight w:val="none"/>
        </w:rPr>
      </w:r>
    </w:p>
    <w:p>
      <w:pPr>
        <w:jc w:val="center"/>
        <w:spacing w:line="360" w:lineRule="auto"/>
        <w:rPr>
          <w:rFonts w:hint="eastAsia" w:cs="宋体"/>
          <w:b/>
          <w:bCs/>
          <w:color w:val="000000" w:themeColor="text1"/>
          <w:sz w:val="21"/>
          <w:szCs w:val="21"/>
          <w:highlight w:val="none"/>
        </w:rPr>
      </w:pPr>
      <w:r>
        <w:rPr>
          <w:rFonts w:hint="eastAsia" w:cs="宋体"/>
          <w:b/>
          <w:bCs/>
          <w:color w:val="000000" w:themeColor="text1"/>
          <w:highlight w:val="none"/>
        </w:rPr>
        <w:t xml:space="preserve">拟投入本项目人员配备一览表</w:t>
      </w:r>
      <w:r>
        <w:rPr>
          <w:color w:val="000000" w:themeColor="text1"/>
          <w:highlight w:val="none"/>
        </w:rPr>
      </w:r>
    </w:p>
    <w:p>
      <w:pPr>
        <w:pStyle w:val="1078"/>
        <w:ind w:firstLine="420"/>
        <w:rPr>
          <w:rFonts w:hint="eastAsia" w:hAnsi="宋体" w:cs="宋体"/>
          <w:color w:val="000000" w:themeColor="text1"/>
          <w:highlight w:val="none"/>
        </w:rPr>
      </w:pPr>
      <w:r>
        <w:rPr>
          <w:rFonts w:hint="eastAsia" w:hAnsi="宋体" w:cs="宋体"/>
          <w:color w:val="000000" w:themeColor="text1"/>
          <w:highlight w:val="none"/>
        </w:rPr>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序号</w:t>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项目组所任职务</w:t>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姓名</w:t>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性别</w:t>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年龄</w:t>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学历</w:t>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专业</w:t>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职称</w:t>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专业培训及证书</w:t>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项目经历或主要工作业绩</w:t>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2</w:t>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w:t>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w:t>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680"/>
        </w:trPr>
        <w:tc>
          <w:tcPr>
            <w:tcW w:w="755"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t xml:space="preserve">…</w:t>
            </w:r>
            <w:r>
              <w:rPr>
                <w:color w:val="000000" w:themeColor="text1"/>
                <w:highlight w:val="none"/>
              </w:rPr>
            </w:r>
          </w:p>
        </w:tc>
        <w:tc>
          <w:tcPr>
            <w:tcW w:w="143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04"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737"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19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01" w:type="dxa"/>
            <w:vAlign w:val="center"/>
            <w:textDirection w:val="lrTb"/>
            <w:noWrap w:val="false"/>
          </w:tcPr>
          <w:p>
            <w:pPr>
              <w:jc w:val="center"/>
              <w:tabs>
                <w:tab w:val="left" w:pos="9765"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ind w:firstLine="210"/>
        <w:spacing w:line="360" w:lineRule="auto"/>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p>
      <w:pPr>
        <w:ind w:firstLine="210"/>
        <w:spacing w:line="360" w:lineRule="auto"/>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投标人：（盖章）</w:t>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法定代表人或代理人：（签字或盖章）</w:t>
      </w:r>
      <w:r>
        <w:rPr>
          <w:color w:val="000000" w:themeColor="text1"/>
          <w:highlight w:val="none"/>
        </w:rPr>
      </w:r>
    </w:p>
    <w:p>
      <w:pPr>
        <w:pStyle w:val="1058"/>
        <w:ind w:firstLine="480"/>
        <w:spacing w:line="360" w:lineRule="auto"/>
        <w:rPr>
          <w:rFonts w:hint="eastAsia" w:hAnsi="宋体" w:eastAsia="宋体" w:cs="宋体"/>
          <w:b/>
          <w:color w:val="000000" w:themeColor="text1"/>
          <w:sz w:val="24"/>
          <w:highlight w:val="none"/>
        </w:rPr>
      </w:pPr>
      <w:r>
        <w:rPr>
          <w:rFonts w:hint="eastAsia" w:hAnsi="宋体" w:eastAsia="宋体" w:cs="宋体"/>
          <w:color w:val="000000" w:themeColor="text1"/>
          <w:sz w:val="24"/>
          <w:highlight w:val="none"/>
        </w:rPr>
        <w:t xml:space="preserve">日期：    年    月    日</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r>
      <w:r>
        <w:rPr>
          <w:color w:val="000000" w:themeColor="text1"/>
          <w:highlight w:val="none"/>
        </w:rPr>
      </w:r>
    </w:p>
    <w:p>
      <w:pPr>
        <w:pStyle w:val="1031"/>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highlight w:val="none"/>
        </w:rPr>
      </w:r>
    </w:p>
    <w:p>
      <w:pPr>
        <w:pStyle w:val="1031"/>
        <w:ind w:firstLine="0"/>
        <w:spacing w:line="360" w:lineRule="auto"/>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color w:val="000000" w:themeColor="text1"/>
          <w:szCs w:val="24"/>
          <w:highlight w:val="none"/>
        </w:rPr>
        <w:t xml:space="preserve">7、服务要求偏离表</w:t>
      </w:r>
      <w:r>
        <w:rPr>
          <w:color w:val="000000" w:themeColor="text1"/>
          <w:highlight w:val="none"/>
        </w:rPr>
      </w:r>
    </w:p>
    <w:p>
      <w:pPr>
        <w:jc w:val="cente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jc w:val="center"/>
        <w:spacing w:line="380" w:lineRule="exact"/>
        <w:rPr>
          <w:rFonts w:hint="eastAsia" w:cs="宋体"/>
          <w:b/>
          <w:bCs/>
          <w:color w:val="000000" w:themeColor="text1"/>
          <w:szCs w:val="28"/>
          <w:highlight w:val="none"/>
        </w:rPr>
      </w:pPr>
      <w:r>
        <w:rPr>
          <w:rFonts w:hint="eastAsia" w:cs="宋体"/>
          <w:b/>
          <w:bCs/>
          <w:color w:val="000000" w:themeColor="text1"/>
          <w:szCs w:val="28"/>
          <w:highlight w:val="none"/>
        </w:rPr>
        <w:t xml:space="preserve">服务要求偏离表</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bl>
      <w:tblPr>
        <w:tblStyle w:val="83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Borders>
              <w:top w:val="single" w:color="000000" w:sz="12" w:space="0"/>
            </w:tcBorders>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序号</w:t>
            </w:r>
            <w:r>
              <w:rPr>
                <w:color w:val="000000" w:themeColor="text1"/>
                <w:highlight w:val="none"/>
              </w:rPr>
            </w:r>
          </w:p>
        </w:tc>
        <w:tc>
          <w:tcPr>
            <w:tcBorders>
              <w:top w:val="single" w:color="000000" w:sz="12" w:space="0"/>
            </w:tcBorders>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招标文件条目</w:t>
            </w:r>
            <w:r>
              <w:rPr>
                <w:color w:val="000000" w:themeColor="text1"/>
                <w:highlight w:val="none"/>
              </w:rPr>
            </w:r>
          </w:p>
        </w:tc>
        <w:tc>
          <w:tcPr>
            <w:tcBorders>
              <w:top w:val="single" w:color="000000" w:sz="12" w:space="0"/>
            </w:tcBorders>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招标要求</w:t>
            </w:r>
            <w:r>
              <w:rPr>
                <w:color w:val="000000" w:themeColor="text1"/>
                <w:highlight w:val="none"/>
              </w:rPr>
            </w:r>
          </w:p>
        </w:tc>
        <w:tc>
          <w:tcPr>
            <w:tcBorders>
              <w:top w:val="single" w:color="000000" w:sz="12" w:space="0"/>
            </w:tcBorders>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投标要求</w:t>
            </w:r>
            <w:r>
              <w:rPr>
                <w:color w:val="000000" w:themeColor="text1"/>
                <w:highlight w:val="none"/>
              </w:rPr>
            </w:r>
          </w:p>
        </w:tc>
        <w:tc>
          <w:tcPr>
            <w:tcBorders>
              <w:top w:val="single" w:color="000000" w:sz="12" w:space="0"/>
            </w:tcBorders>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偏离/响应</w:t>
            </w:r>
            <w:r>
              <w:rPr>
                <w:color w:val="000000" w:themeColor="text1"/>
                <w:highlight w:val="none"/>
              </w:rPr>
            </w:r>
          </w:p>
        </w:tc>
        <w:tc>
          <w:tcPr>
            <w:tcBorders>
              <w:top w:val="single" w:color="000000" w:sz="12" w:space="0"/>
            </w:tcBorders>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说明</w:t>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Borders>
              <w:bottom w:val="single" w:color="000000" w:sz="12" w:space="0"/>
            </w:tcBorders>
            <w:tcW w:w="76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80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971"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819"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667"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注：1、投标人应对照招标文件服务要求，所投标的物与招标文件的规定有偏离的，应在此表中申明与服务要求条文的偏差和例外。</w:t>
      </w:r>
      <w:r>
        <w:rPr>
          <w:color w:val="000000" w:themeColor="text1"/>
          <w:highlight w:val="none"/>
        </w:rPr>
      </w:r>
    </w:p>
    <w:p>
      <w:pPr>
        <w:pStyle w:val="1058"/>
        <w:ind w:firstLine="480"/>
        <w:jc w:val="left"/>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color w:val="000000" w:themeColor="text1"/>
          <w:highlight w:val="none"/>
        </w:rPr>
      </w:r>
    </w:p>
    <w:p>
      <w:pPr>
        <w:spacing w:line="360" w:lineRule="auto"/>
        <w:rPr>
          <w:rFonts w:hint="eastAsia" w:cs="宋体"/>
          <w:color w:val="000000" w:themeColor="text1"/>
          <w:szCs w:val="21"/>
          <w:highlight w:val="none"/>
        </w:rPr>
      </w:pPr>
      <w:r>
        <w:rPr>
          <w:rFonts w:hint="eastAsia" w:cs="宋体"/>
          <w:color w:val="000000" w:themeColor="text1"/>
          <w:szCs w:val="21"/>
          <w:highlight w:val="none"/>
        </w:rPr>
      </w:r>
      <w:r>
        <w:rPr>
          <w:color w:val="000000" w:themeColor="text1"/>
          <w:highlight w:val="none"/>
        </w:rPr>
      </w:r>
    </w:p>
    <w:p>
      <w:pPr>
        <w:rPr>
          <w:rFonts w:hint="eastAsia" w:cs="宋体"/>
          <w:b/>
          <w:color w:val="000000" w:themeColor="text1"/>
          <w:sz w:val="21"/>
          <w:szCs w:val="21"/>
          <w:highlight w:val="none"/>
        </w:rPr>
      </w:pPr>
      <w:r>
        <w:rPr>
          <w:rFonts w:hint="eastAsia" w:cs="宋体"/>
          <w:b/>
          <w:color w:val="000000" w:themeColor="text1"/>
          <w:sz w:val="21"/>
          <w:szCs w:val="21"/>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投标人：（盖章）</w:t>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法定代表人或代理人：（签字或盖章）</w:t>
      </w:r>
      <w:r>
        <w:rPr>
          <w:color w:val="000000" w:themeColor="text1"/>
          <w:highlight w:val="none"/>
        </w:rPr>
      </w:r>
    </w:p>
    <w:p>
      <w:pPr>
        <w:pStyle w:val="1058"/>
        <w:ind w:firstLine="480"/>
        <w:spacing w:line="360" w:lineRule="auto"/>
        <w:rPr>
          <w:rFonts w:hint="eastAsia" w:hAnsi="宋体" w:eastAsia="宋体" w:cs="宋体"/>
          <w:b/>
          <w:color w:val="000000" w:themeColor="text1"/>
          <w:sz w:val="24"/>
          <w:highlight w:val="none"/>
        </w:rPr>
      </w:pPr>
      <w:r>
        <w:rPr>
          <w:rFonts w:hint="eastAsia" w:hAnsi="宋体" w:eastAsia="宋体" w:cs="宋体"/>
          <w:color w:val="000000" w:themeColor="text1"/>
          <w:sz w:val="24"/>
          <w:highlight w:val="none"/>
        </w:rPr>
        <w:t xml:space="preserve">日期：    年   月   日</w:t>
      </w:r>
      <w:r>
        <w:rPr>
          <w:color w:val="000000" w:themeColor="text1"/>
          <w:highlight w:val="none"/>
        </w:rPr>
      </w:r>
    </w:p>
    <w:p>
      <w:pPr>
        <w:pStyle w:val="1031"/>
        <w:ind w:firstLine="48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zh-CN"/>
        </w:rPr>
      </w:r>
      <w:r>
        <w:rPr>
          <w:color w:val="000000" w:themeColor="text1"/>
          <w:highlight w:val="none"/>
        </w:rPr>
      </w:r>
    </w:p>
    <w:p>
      <w:pPr>
        <w:pStyle w:val="1078"/>
        <w:ind w:firstLine="420"/>
        <w:rPr>
          <w:rFonts w:hint="eastAsia" w:hAnsi="宋体" w:cs="宋体"/>
          <w:color w:val="000000" w:themeColor="text1"/>
          <w:highlight w:val="none"/>
        </w:rPr>
      </w:pPr>
      <w:r>
        <w:rPr>
          <w:rFonts w:hint="eastAsia" w:hAnsi="宋体" w:cs="宋体"/>
          <w:color w:val="000000" w:themeColor="text1"/>
          <w:highlight w:val="none"/>
        </w:rPr>
      </w:r>
      <w:r>
        <w:rPr>
          <w:color w:val="000000" w:themeColor="text1"/>
          <w:highlight w:val="none"/>
        </w:rPr>
      </w:r>
    </w:p>
    <w:p>
      <w:pPr>
        <w:spacing w:line="360" w:lineRule="auto"/>
        <w:rPr>
          <w:rFonts w:hint="eastAsia" w:cs="宋体"/>
          <w:color w:val="000000" w:themeColor="text1"/>
          <w:highlight w:val="none"/>
        </w:rPr>
        <w:outlineLvl w:val="1"/>
      </w:pPr>
      <w:r>
        <w:rPr>
          <w:rFonts w:hint="eastAsia" w:cs="宋体"/>
          <w:color w:val="000000" w:themeColor="text1"/>
          <w:sz w:val="21"/>
          <w:szCs w:val="21"/>
          <w:highlight w:val="none"/>
          <w:lang w:val="zh-CN"/>
        </w:rPr>
        <w:br w:type="page" w:clear="all"/>
      </w:r>
      <w:r>
        <w:rPr>
          <w:rFonts w:hint="eastAsia" w:cs="宋体"/>
          <w:b/>
          <w:color w:val="000000" w:themeColor="text1"/>
          <w:highlight w:val="none"/>
        </w:rPr>
        <w:t xml:space="preserve">8、商务条款偏离表</w:t>
      </w:r>
      <w:r>
        <w:rPr>
          <w:color w:val="000000" w:themeColor="text1"/>
          <w:highlight w:val="none"/>
        </w:rPr>
      </w:r>
    </w:p>
    <w:p>
      <w:pPr>
        <w:pStyle w:val="1031"/>
        <w:ind w:firstLine="0"/>
        <w:jc w:val="center"/>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jc w:val="center"/>
        <w:spacing w:line="380" w:lineRule="exact"/>
        <w:rPr>
          <w:rFonts w:hint="eastAsia" w:cs="宋体"/>
          <w:b/>
          <w:bCs/>
          <w:color w:val="000000" w:themeColor="text1"/>
          <w:highlight w:val="none"/>
        </w:rPr>
      </w:pPr>
      <w:r>
        <w:rPr>
          <w:rFonts w:hint="eastAsia" w:cs="宋体"/>
          <w:b/>
          <w:bCs/>
          <w:color w:val="000000" w:themeColor="text1"/>
          <w:highlight w:val="none"/>
        </w:rPr>
        <w:t xml:space="preserve">商务条款偏离表</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bl>
      <w:tblPr>
        <w:tblStyle w:val="83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jc w:val="center"/>
        </w:trPr>
        <w:tc>
          <w:tcPr>
            <w:tcBorders>
              <w:top w:val="single" w:color="000000" w:sz="12" w:space="0"/>
            </w:tcBorders>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序号</w:t>
            </w:r>
            <w:r>
              <w:rPr>
                <w:color w:val="000000" w:themeColor="text1"/>
                <w:highlight w:val="none"/>
              </w:rPr>
            </w:r>
          </w:p>
        </w:tc>
        <w:tc>
          <w:tcPr>
            <w:tcBorders>
              <w:top w:val="single" w:color="000000" w:sz="12" w:space="0"/>
            </w:tcBorders>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招标文件条目号</w:t>
            </w:r>
            <w:r>
              <w:rPr>
                <w:color w:val="000000" w:themeColor="text1"/>
                <w:highlight w:val="none"/>
              </w:rPr>
            </w:r>
          </w:p>
        </w:tc>
        <w:tc>
          <w:tcPr>
            <w:tcBorders>
              <w:top w:val="single" w:color="000000" w:sz="12" w:space="0"/>
            </w:tcBorders>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招标文件的商务条款</w:t>
            </w:r>
            <w:r>
              <w:rPr>
                <w:color w:val="000000" w:themeColor="text1"/>
                <w:highlight w:val="none"/>
              </w:rPr>
            </w:r>
          </w:p>
        </w:tc>
        <w:tc>
          <w:tcPr>
            <w:tcBorders>
              <w:top w:val="single" w:color="000000" w:sz="12" w:space="0"/>
            </w:tcBorders>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投标文件的商务条款</w:t>
            </w:r>
            <w:r>
              <w:rPr>
                <w:color w:val="000000" w:themeColor="text1"/>
                <w:highlight w:val="none"/>
              </w:rPr>
            </w:r>
          </w:p>
        </w:tc>
        <w:tc>
          <w:tcPr>
            <w:tcBorders>
              <w:top w:val="single" w:color="000000" w:sz="12" w:space="0"/>
            </w:tcBorders>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t xml:space="preserve">说明</w:t>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Pr>
        <w:tc>
          <w:tcPr>
            <w:tcBorders>
              <w:bottom w:val="single" w:color="000000" w:sz="12" w:space="0"/>
            </w:tcBorders>
            <w:tcW w:w="92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2126"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255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2572"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Borders>
              <w:bottom w:val="single" w:color="000000" w:sz="12" w:space="0"/>
            </w:tcBorders>
            <w:tcW w:w="1043" w:type="dxa"/>
            <w:vAlign w:val="center"/>
            <w:textDirection w:val="lrTb"/>
            <w:noWrap w:val="false"/>
          </w:tcPr>
          <w:p>
            <w:pPr>
              <w:jc w:val="center"/>
              <w:spacing w:before="166" w:after="166"/>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color w:val="000000" w:themeColor="text1"/>
          <w:highlight w:val="none"/>
        </w:rPr>
      </w:r>
    </w:p>
    <w:p>
      <w:pPr>
        <w:pStyle w:val="1078"/>
        <w:ind w:firstLine="48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投标人：（盖章）</w:t>
      </w:r>
      <w:r>
        <w:rPr>
          <w:color w:val="000000" w:themeColor="text1"/>
          <w:highlight w:val="none"/>
        </w:rPr>
      </w:r>
    </w:p>
    <w:p>
      <w:pPr>
        <w:pStyle w:val="1058"/>
        <w:ind w:firstLine="480"/>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法定代表人或代理人：（签字或盖章）</w:t>
      </w:r>
      <w:r>
        <w:rPr>
          <w:color w:val="000000" w:themeColor="text1"/>
          <w:highlight w:val="none"/>
        </w:rPr>
      </w:r>
    </w:p>
    <w:p>
      <w:pPr>
        <w:pStyle w:val="1058"/>
        <w:ind w:firstLine="480"/>
        <w:spacing w:line="360" w:lineRule="auto"/>
        <w:rPr>
          <w:rFonts w:hint="eastAsia" w:hAnsi="宋体" w:eastAsia="宋体" w:cs="宋体"/>
          <w:b/>
          <w:color w:val="000000" w:themeColor="text1"/>
          <w:sz w:val="24"/>
          <w:highlight w:val="none"/>
        </w:rPr>
      </w:pPr>
      <w:r>
        <w:rPr>
          <w:rFonts w:hint="eastAsia" w:hAnsi="宋体" w:eastAsia="宋体" w:cs="宋体"/>
          <w:color w:val="000000" w:themeColor="text1"/>
          <w:sz w:val="24"/>
          <w:highlight w:val="none"/>
        </w:rPr>
        <w:t xml:space="preserve">日期：    年   月   日</w:t>
      </w:r>
      <w:r>
        <w:rPr>
          <w:color w:val="000000" w:themeColor="text1"/>
          <w:highlight w:val="none"/>
        </w:rPr>
      </w:r>
    </w:p>
    <w:p>
      <w:pPr>
        <w:pStyle w:val="1078"/>
        <w:ind w:firstLine="48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31"/>
        <w:ind w:firstLine="0"/>
        <w:spacing w:line="360" w:lineRule="auto"/>
        <w:rPr>
          <w:rFonts w:hint="eastAsia" w:ascii="宋体" w:hAnsi="宋体" w:eastAsia="宋体" w:cs="宋体"/>
          <w:b/>
          <w:color w:val="000000" w:themeColor="text1"/>
          <w:highlight w:val="none"/>
        </w:rPr>
        <w:outlineLvl w:val="1"/>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9</w:t>
      </w:r>
      <w:r>
        <w:rPr>
          <w:rFonts w:hint="eastAsia" w:ascii="宋体" w:hAnsi="宋体" w:eastAsia="宋体" w:cs="宋体"/>
          <w:b/>
          <w:color w:val="000000" w:themeColor="text1"/>
          <w:highlight w:val="none"/>
        </w:rPr>
        <w:t xml:space="preserve">、实施方案</w:t>
      </w:r>
      <w:r>
        <w:rPr>
          <w:color w:val="000000" w:themeColor="text1"/>
          <w:highlight w:val="none"/>
        </w:rPr>
      </w:r>
    </w:p>
    <w:p>
      <w:pPr>
        <w:jc w:val="center"/>
        <w:spacing w:before="25" w:after="25" w:line="360" w:lineRule="auto"/>
        <w:rPr>
          <w:rFonts w:hint="eastAsia" w:cs="宋体"/>
          <w:b/>
          <w:bCs/>
          <w:color w:val="000000" w:themeColor="text1"/>
          <w:highlight w:val="none"/>
        </w:rPr>
      </w:pPr>
      <w:r>
        <w:rPr>
          <w:rFonts w:hint="eastAsia" w:cs="宋体"/>
          <w:b/>
          <w:color w:val="000000" w:themeColor="text1"/>
          <w:highlight w:val="none"/>
        </w:rPr>
        <w:t xml:space="preserve">实施方案</w:t>
      </w:r>
      <w:r>
        <w:rPr>
          <w:color w:val="000000" w:themeColor="text1"/>
          <w:highlight w:val="none"/>
        </w:rPr>
      </w:r>
    </w:p>
    <w:tbl>
      <w:tblPr>
        <w:tblStyle w:val="83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886"/>
        </w:trPr>
        <w:tc>
          <w:tcPr>
            <w:tcW w:w="9648" w:type="dxa"/>
            <w:textDirection w:val="lrTb"/>
            <w:noWrap w:val="false"/>
          </w:tcPr>
          <w:p>
            <w:pPr>
              <w:pStyle w:val="1031"/>
              <w:ind w:firstLine="0"/>
              <w:rPr>
                <w:rFonts w:hint="eastAsia"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rPr>
              <w:t xml:space="preserve">提示：</w:t>
            </w:r>
            <w:r>
              <w:rPr>
                <w:color w:val="000000" w:themeColor="text1"/>
                <w:highlight w:val="none"/>
              </w:rPr>
            </w:r>
          </w:p>
          <w:p>
            <w:pPr>
              <w:pStyle w:val="1031"/>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投标人应根据本次招标项目要求，对所投服务进行详细的说明与描述。</w:t>
            </w:r>
            <w:r>
              <w:rPr>
                <w:color w:val="000000" w:themeColor="text1"/>
                <w:highlight w:val="none"/>
              </w:rPr>
            </w:r>
          </w:p>
        </w:tc>
      </w:tr>
      <w:tr>
        <w:trPr>
          <w:trHeight w:val="9163"/>
        </w:trPr>
        <w:tc>
          <w:tcPr>
            <w:tcW w:w="9648" w:type="dxa"/>
            <w:vAlign w:val="bottom"/>
            <w:textDirection w:val="lrTb"/>
            <w:noWrap w:val="false"/>
          </w:tcPr>
          <w:p>
            <w:pPr>
              <w:jc w:val="center"/>
              <w:spacing w:line="360" w:lineRule="auto"/>
              <w:tabs>
                <w:tab w:val="left" w:pos="1320"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jc w:val="center"/>
              <w:spacing w:line="360" w:lineRule="auto"/>
              <w:tabs>
                <w:tab w:val="left" w:pos="1320"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jc w:val="center"/>
              <w:spacing w:line="360" w:lineRule="auto"/>
              <w:tabs>
                <w:tab w:val="left" w:pos="1320"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jc w:val="center"/>
              <w:spacing w:line="360" w:lineRule="auto"/>
              <w:tabs>
                <w:tab w:val="left" w:pos="1320" w:leader="none"/>
              </w:tabs>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240"/>
              <w:jc w:val="center"/>
              <w:spacing w:line="360" w:lineRule="auto"/>
              <w:tabs>
                <w:tab w:val="left" w:pos="1320" w:leader="none"/>
              </w:tabs>
              <w:rPr>
                <w:rFonts w:hint="eastAsia" w:cs="宋体"/>
                <w:color w:val="000000" w:themeColor="text1"/>
                <w:highlight w:val="none"/>
                <w:u w:val="single"/>
              </w:rPr>
            </w:pPr>
            <w:r>
              <w:rPr>
                <w:rFonts w:hint="eastAsia" w:cs="宋体"/>
                <w:color w:val="000000" w:themeColor="text1"/>
                <w:highlight w:val="none"/>
                <w:u w:val="single"/>
              </w:rPr>
            </w:r>
            <w:r>
              <w:rPr>
                <w:color w:val="000000" w:themeColor="text1"/>
                <w:highlight w:val="none"/>
              </w:rPr>
            </w:r>
          </w:p>
          <w:p>
            <w:pPr>
              <w:pStyle w:val="1052"/>
              <w:rPr>
                <w:rFonts w:hint="eastAsia" w:ascii="宋体" w:cs="宋体"/>
                <w:color w:val="000000" w:themeColor="text1"/>
                <w:highlight w:val="none"/>
              </w:rPr>
            </w:pPr>
            <w:r>
              <w:rPr>
                <w:rFonts w:hint="eastAsia" w:ascii="宋体" w:cs="宋体"/>
                <w:color w:val="000000" w:themeColor="text1"/>
                <w:highlight w:val="none"/>
              </w:rPr>
            </w:r>
            <w:r>
              <w:rPr>
                <w:color w:val="000000" w:themeColor="text1"/>
                <w:highlight w:val="none"/>
              </w:rPr>
            </w:r>
          </w:p>
        </w:tc>
      </w:tr>
    </w:tbl>
    <w:p>
      <w:pPr>
        <w:pStyle w:val="1031"/>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1031"/>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投标人：（盖章）</w:t>
      </w:r>
      <w:r>
        <w:rPr>
          <w:color w:val="000000" w:themeColor="text1"/>
          <w:highlight w:val="none"/>
        </w:rPr>
      </w:r>
    </w:p>
    <w:p>
      <w:pPr>
        <w:pStyle w:val="1031"/>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法定代表人或代理人：（签字或盖章）</w:t>
      </w:r>
      <w:r>
        <w:rPr>
          <w:color w:val="000000" w:themeColor="text1"/>
          <w:highlight w:val="none"/>
        </w:rPr>
      </w:r>
    </w:p>
    <w:p>
      <w:pPr>
        <w:pStyle w:val="1031"/>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      年    月    日</w:t>
      </w:r>
      <w:r>
        <w:rPr>
          <w:rFonts w:hint="eastAsia" w:ascii="宋体" w:hAnsi="宋体" w:eastAsia="宋体" w:cs="宋体"/>
          <w:b/>
          <w:color w:val="000000" w:themeColor="text1"/>
          <w:highlight w:val="none"/>
        </w:rPr>
        <w:br w:type="page" w:clear="all"/>
      </w:r>
      <w:r>
        <w:rPr>
          <w:rFonts w:hint="eastAsia" w:ascii="宋体" w:hAnsi="宋体" w:eastAsia="宋体" w:cs="宋体"/>
          <w:b/>
          <w:color w:val="000000" w:themeColor="text1"/>
          <w:highlight w:val="none"/>
        </w:rPr>
        <w:t xml:space="preserve">10、类似业绩一览表</w:t>
      </w:r>
      <w:r>
        <w:rPr>
          <w:color w:val="000000" w:themeColor="text1"/>
          <w:highlight w:val="none"/>
        </w:rPr>
      </w:r>
    </w:p>
    <w:p>
      <w:pPr>
        <w:jc w:val="center"/>
        <w:spacing w:line="360" w:lineRule="auto"/>
        <w:rPr>
          <w:rFonts w:hint="eastAsia" w:cs="宋体"/>
          <w:b/>
          <w:color w:val="000000" w:themeColor="text1"/>
          <w:highlight w:val="none"/>
        </w:rPr>
      </w:pPr>
      <w:r>
        <w:rPr>
          <w:rFonts w:hint="eastAsia" w:cs="宋体"/>
          <w:b/>
          <w:color w:val="000000" w:themeColor="text1"/>
          <w:highlight w:val="none"/>
        </w:rPr>
        <w:t xml:space="preserve">类似业绩一览表</w:t>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18"/>
        <w:gridCol w:w="1752"/>
        <w:gridCol w:w="1772"/>
        <w:gridCol w:w="1898"/>
        <w:gridCol w:w="2020"/>
      </w:tblGrid>
      <w:tr>
        <w:trPr>
          <w:jc w:val="center"/>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序号</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项目名称</w:t>
            </w:r>
            <w:r>
              <w:rPr>
                <w:color w:val="000000" w:themeColor="text1"/>
                <w:highlight w:val="none"/>
              </w:rPr>
            </w:r>
          </w:p>
        </w:tc>
        <w:tc>
          <w:tcPr>
            <w:tcW w:w="1752" w:type="dxa"/>
            <w:vAlign w:val="center"/>
            <w:textDirection w:val="lrTb"/>
            <w:noWrap w:val="false"/>
          </w:tcPr>
          <w:p>
            <w:pPr>
              <w:jc w:val="center"/>
              <w:tabs>
                <w:tab w:val="left" w:pos="6252" w:leader="none"/>
              </w:tabs>
              <w:rPr>
                <w:rFonts w:hint="eastAsia" w:cs="宋体"/>
                <w:color w:val="000000" w:themeColor="text1"/>
                <w:highlight w:val="none"/>
              </w:rPr>
            </w:pPr>
            <w:r>
              <w:rPr>
                <w:rFonts w:hint="eastAsia" w:cs="宋体"/>
                <w:color w:val="000000" w:themeColor="text1"/>
                <w:highlight w:val="none"/>
              </w:rPr>
              <w:t xml:space="preserve">项目时间</w:t>
            </w:r>
            <w:r>
              <w:rPr>
                <w:color w:val="000000" w:themeColor="text1"/>
                <w:highlight w:val="none"/>
              </w:rPr>
            </w:r>
          </w:p>
        </w:tc>
        <w:tc>
          <w:tcPr>
            <w:tcW w:w="1772" w:type="dxa"/>
            <w:vAlign w:val="center"/>
            <w:textDirection w:val="lrTb"/>
            <w:noWrap w:val="false"/>
          </w:tcPr>
          <w:p>
            <w:pPr>
              <w:jc w:val="center"/>
              <w:tabs>
                <w:tab w:val="left" w:pos="6252" w:leader="none"/>
              </w:tabs>
              <w:rPr>
                <w:rFonts w:hint="eastAsia" w:cs="宋体"/>
                <w:color w:val="000000" w:themeColor="text1"/>
                <w:highlight w:val="none"/>
              </w:rPr>
            </w:pPr>
            <w:r>
              <w:rPr>
                <w:rFonts w:hint="eastAsia" w:cs="宋体"/>
                <w:color w:val="000000" w:themeColor="text1"/>
                <w:highlight w:val="none"/>
              </w:rPr>
              <w:t xml:space="preserve">合同金额</w:t>
            </w:r>
            <w:r>
              <w:rPr>
                <w:color w:val="000000" w:themeColor="text1"/>
                <w:highlight w:val="none"/>
              </w:rPr>
            </w:r>
          </w:p>
          <w:p>
            <w:pPr>
              <w:jc w:val="center"/>
              <w:tabs>
                <w:tab w:val="left" w:pos="6252" w:leader="none"/>
              </w:tabs>
              <w:rPr>
                <w:rFonts w:hint="eastAsia" w:cs="宋体"/>
                <w:color w:val="000000" w:themeColor="text1"/>
                <w:highlight w:val="none"/>
              </w:rPr>
            </w:pPr>
            <w:r>
              <w:rPr>
                <w:rFonts w:hint="eastAsia" w:cs="宋体"/>
                <w:color w:val="000000" w:themeColor="text1"/>
                <w:highlight w:val="none"/>
              </w:rPr>
              <w:t xml:space="preserve">（人民币元）</w:t>
            </w:r>
            <w:r>
              <w:rPr>
                <w:color w:val="000000" w:themeColor="text1"/>
                <w:highlight w:val="none"/>
              </w:rPr>
            </w:r>
          </w:p>
        </w:tc>
        <w:tc>
          <w:tcPr>
            <w:tcW w:w="1898" w:type="dxa"/>
            <w:vAlign w:val="center"/>
            <w:textDirection w:val="lrTb"/>
            <w:noWrap w:val="false"/>
          </w:tcPr>
          <w:p>
            <w:pPr>
              <w:jc w:val="center"/>
              <w:tabs>
                <w:tab w:val="left" w:pos="6252" w:leader="none"/>
              </w:tabs>
              <w:rPr>
                <w:rFonts w:hint="eastAsia" w:cs="宋体"/>
                <w:color w:val="000000" w:themeColor="text1"/>
                <w:highlight w:val="none"/>
              </w:rPr>
            </w:pPr>
            <w:r>
              <w:rPr>
                <w:rFonts w:hint="eastAsia" w:cs="宋体"/>
                <w:color w:val="000000" w:themeColor="text1"/>
                <w:highlight w:val="none"/>
              </w:rPr>
              <w:t xml:space="preserve">业主单位及联系电话</w:t>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备注</w:t>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2</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3</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4</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5</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6</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t xml:space="preserve">……</w:t>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r>
        <w:trPr>
          <w:jc w:val="center"/>
          <w:trHeight w:val="567" w:hRule="exact"/>
        </w:trPr>
        <w:tc>
          <w:tcPr>
            <w:tcW w:w="794"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61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5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772"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1898"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2020" w:type="dxa"/>
            <w:vAlign w:val="center"/>
            <w:textDirection w:val="lrTb"/>
            <w:noWrap w:val="false"/>
          </w:tcPr>
          <w:p>
            <w:pPr>
              <w:jc w:val="cente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spacing w:line="360" w:lineRule="auto"/>
        <w:rPr>
          <w:rFonts w:hint="eastAsia" w:cs="宋体"/>
          <w:color w:val="000000" w:themeColor="text1"/>
          <w:highlight w:val="none"/>
        </w:rPr>
      </w:pPr>
      <w:r>
        <w:rPr>
          <w:rFonts w:hint="eastAsia" w:cs="宋体"/>
          <w:color w:val="000000" w:themeColor="text1"/>
          <w:highlight w:val="none"/>
        </w:rPr>
        <w:t xml:space="preserve">注：具体需提供内容详见第六章评分标准。</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58"/>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投标人：（盖章）</w:t>
      </w:r>
      <w:r>
        <w:rPr>
          <w:color w:val="000000" w:themeColor="text1"/>
          <w:highlight w:val="none"/>
        </w:rPr>
      </w:r>
    </w:p>
    <w:p>
      <w:pPr>
        <w:pStyle w:val="1058"/>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法定代表人或代理人：（签字或盖章）</w:t>
      </w:r>
      <w:r>
        <w:rPr>
          <w:color w:val="000000" w:themeColor="text1"/>
          <w:highlight w:val="none"/>
        </w:rPr>
      </w:r>
    </w:p>
    <w:p>
      <w:pPr>
        <w:pStyle w:val="1031"/>
        <w:ind w:firstLine="0"/>
        <w:jc w:val="both"/>
        <w:spacing w:line="360" w:lineRule="auto"/>
        <w:rPr>
          <w:rFonts w:hint="eastAsia" w:ascii="宋体" w:hAnsi="宋体" w:eastAsia="宋体" w:cs="宋体"/>
          <w:b/>
          <w:color w:val="000000" w:themeColor="text1"/>
          <w:highlight w:val="none"/>
        </w:rPr>
      </w:pPr>
      <w:r>
        <w:rPr>
          <w:rFonts w:hint="eastAsia" w:ascii="宋体" w:hAnsi="宋体" w:eastAsia="宋体" w:cs="宋体"/>
          <w:color w:val="000000" w:themeColor="text1"/>
          <w:highlight w:val="none"/>
        </w:rPr>
        <w:t xml:space="preserve">日期：     年    月    日</w:t>
      </w:r>
      <w:r>
        <w:rPr>
          <w:color w:val="000000" w:themeColor="text1"/>
          <w:highlight w:val="none"/>
        </w:rPr>
      </w:r>
    </w:p>
    <w:p>
      <w:pPr>
        <w:ind w:firstLine="480"/>
        <w:spacing w:line="360" w:lineRule="auto"/>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pStyle w:val="1031"/>
        <w:ind w:firstLine="0"/>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11、资格证明文件</w:t>
      </w:r>
      <w:r>
        <w:rPr>
          <w:color w:val="000000" w:themeColor="text1"/>
          <w:highlight w:val="none"/>
        </w:rPr>
      </w:r>
    </w:p>
    <w:p>
      <w:pPr>
        <w:pStyle w:val="1031"/>
        <w:ind w:firstLine="0"/>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r>
      <w:r>
        <w:rPr>
          <w:color w:val="000000" w:themeColor="text1"/>
          <w:highlight w:val="none"/>
        </w:rPr>
      </w:r>
    </w:p>
    <w:p>
      <w:pPr>
        <w:pStyle w:val="1031"/>
        <w:ind w:firstLine="0"/>
        <w:jc w:val="both"/>
        <w:rPr>
          <w:rFonts w:hint="eastAsia" w:ascii="宋体" w:hAnsi="宋体" w:eastAsia="宋体" w:cs="宋体"/>
          <w:b/>
          <w:color w:val="000000" w:themeColor="text1"/>
          <w:szCs w:val="24"/>
          <w:highlight w:val="none"/>
        </w:rPr>
        <w:outlineLvl w:val="2"/>
      </w:pPr>
      <w:r>
        <w:rPr>
          <w:rFonts w:hint="eastAsia" w:ascii="宋体" w:hAnsi="宋体" w:eastAsia="宋体" w:cs="宋体"/>
          <w:b/>
          <w:color w:val="000000" w:themeColor="text1"/>
          <w:szCs w:val="24"/>
          <w:highlight w:val="none"/>
        </w:rPr>
        <w:t xml:space="preserve">（1）关于资格文件的声明函</w:t>
      </w:r>
      <w:r>
        <w:rPr>
          <w:color w:val="000000" w:themeColor="text1"/>
          <w:highlight w:val="none"/>
        </w:rPr>
      </w:r>
    </w:p>
    <w:p>
      <w:pPr>
        <w:pStyle w:val="1031"/>
        <w:ind w:firstLine="0"/>
        <w:rPr>
          <w:rFonts w:hint="eastAsia"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r>
      <w:r>
        <w:rPr>
          <w:color w:val="000000" w:themeColor="text1"/>
          <w:highlight w:val="none"/>
        </w:rPr>
      </w:r>
    </w:p>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jc w:val="center"/>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关于资格文件的声明函</w:t>
      </w:r>
      <w:r>
        <w:rPr>
          <w:color w:val="000000" w:themeColor="text1"/>
          <w:highlight w:val="none"/>
        </w:rPr>
      </w:r>
    </w:p>
    <w:p>
      <w:pPr>
        <w:pStyle w:val="1031"/>
        <w:jc w:val="cente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ind w:firstLine="0"/>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 </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w:t>
      </w:r>
      <w:r>
        <w:rPr>
          <w:color w:val="000000" w:themeColor="text1"/>
          <w:highlight w:val="none"/>
        </w:rPr>
      </w:r>
    </w:p>
    <w:p>
      <w:pPr>
        <w:pStyle w:val="1031"/>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本公司愿就由贵公司组织实施的编号为</w:t>
      </w:r>
      <w:r>
        <w:rPr>
          <w:rFonts w:hint="eastAsia" w:ascii="宋体" w:hAnsi="宋体" w:eastAsia="宋体" w:cs="宋体"/>
          <w:color w:val="000000" w:themeColor="text1"/>
          <w:szCs w:val="24"/>
          <w:highlight w:val="none"/>
          <w:u w:val="single"/>
        </w:rPr>
        <w:t xml:space="preserve">JSZC-320591-SHYS-G2025-0006</w:t>
      </w:r>
      <w:r>
        <w:rPr>
          <w:rFonts w:hint="eastAsia" w:ascii="宋体" w:hAnsi="宋体" w:eastAsia="宋体" w:cs="宋体"/>
          <w:color w:val="000000" w:themeColor="text1"/>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p>
    <w:p>
      <w:pPr>
        <w:pStyle w:val="1031"/>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pStyle w:val="1031"/>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投标人：（盖章）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法定代表人或代理人：（签字或盖章）</w:t>
      </w:r>
      <w:r>
        <w:rPr>
          <w:color w:val="000000" w:themeColor="text1"/>
          <w:highlight w:val="none"/>
        </w:rPr>
      </w:r>
    </w:p>
    <w:p>
      <w:pPr>
        <w:pStyle w:val="1031"/>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highlight w:val="none"/>
        </w:rPr>
        <w:t xml:space="preserve">日期：      年    月    日</w:t>
      </w:r>
      <w:r>
        <w:rPr>
          <w:color w:val="000000" w:themeColor="text1"/>
          <w:highlight w:val="none"/>
        </w:rPr>
      </w:r>
    </w:p>
    <w:p>
      <w:pPr>
        <w:pStyle w:val="1031"/>
        <w:ind w:firstLine="0"/>
        <w:rPr>
          <w:rFonts w:hint="eastAsia" w:ascii="宋体" w:hAnsi="宋体" w:eastAsia="宋体" w:cs="宋体"/>
          <w:b/>
          <w:color w:val="000000" w:themeColor="text1"/>
          <w:szCs w:val="24"/>
          <w:highlight w:val="none"/>
        </w:rPr>
        <w:outlineLvl w:val="2"/>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color w:val="000000" w:themeColor="text1"/>
          <w:szCs w:val="24"/>
          <w:highlight w:val="none"/>
        </w:rPr>
        <w:t xml:space="preserve">（2）投标人情况表</w:t>
      </w:r>
      <w:r>
        <w:rPr>
          <w:color w:val="000000" w:themeColor="text1"/>
          <w:highlight w:val="none"/>
        </w:rPr>
      </w:r>
    </w:p>
    <w:p>
      <w:pPr>
        <w:pStyle w:val="1031"/>
        <w:ind w:firstLine="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pStyle w:val="1031"/>
        <w:jc w:val="center"/>
        <w:rPr>
          <w:rFonts w:hint="eastAsia" w:ascii="宋体" w:hAnsi="宋体" w:eastAsia="宋体" w:cs="宋体"/>
          <w:color w:val="000000" w:themeColor="text1"/>
          <w:szCs w:val="24"/>
          <w:highlight w:val="none"/>
        </w:rPr>
      </w:pPr>
      <w:r>
        <w:rPr>
          <w:rFonts w:hint="eastAsia" w:ascii="宋体" w:hAnsi="宋体" w:eastAsia="宋体" w:cs="宋体"/>
          <w:b/>
          <w:bCs/>
          <w:color w:val="000000" w:themeColor="text1"/>
          <w:szCs w:val="24"/>
          <w:highlight w:val="none"/>
        </w:rPr>
        <w:t xml:space="preserve">投标人情况表</w:t>
      </w:r>
      <w:r>
        <w:rPr>
          <w:color w:val="000000" w:themeColor="text1"/>
          <w:highlight w:val="none"/>
        </w:rPr>
      </w:r>
    </w:p>
    <w:p>
      <w:pPr>
        <w:pStyle w:val="1031"/>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tbl>
      <w:tblPr>
        <w:tblStyle w:val="8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w:t>
            </w:r>
            <w:r>
              <w:rPr>
                <w:color w:val="000000" w:themeColor="text1"/>
                <w:highlight w:val="none"/>
              </w:rPr>
            </w:r>
          </w:p>
        </w:tc>
        <w:tc>
          <w:tcPr>
            <w:tcW w:w="2005"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c>
          <w:tcPr>
            <w:tcW w:w="1461"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成立日期</w:t>
            </w:r>
            <w:r>
              <w:rPr>
                <w:color w:val="000000" w:themeColor="text1"/>
                <w:highlight w:val="none"/>
              </w:rPr>
            </w:r>
          </w:p>
        </w:tc>
        <w:tc>
          <w:tcPr>
            <w:gridSpan w:val="2"/>
            <w:tcW w:w="3292"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企业地址</w:t>
            </w:r>
            <w:r>
              <w:rPr>
                <w:color w:val="000000" w:themeColor="text1"/>
                <w:highlight w:val="none"/>
              </w:rPr>
            </w:r>
          </w:p>
        </w:tc>
        <w:tc>
          <w:tcPr>
            <w:tcW w:w="2005"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c>
          <w:tcPr>
            <w:tcW w:w="1461"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注册资本</w:t>
            </w:r>
            <w:r>
              <w:rPr>
                <w:color w:val="000000" w:themeColor="text1"/>
                <w:highlight w:val="none"/>
              </w:rPr>
            </w:r>
          </w:p>
        </w:tc>
        <w:tc>
          <w:tcPr>
            <w:gridSpan w:val="2"/>
            <w:tcW w:w="3292" w:type="dxa"/>
            <w:textDirection w:val="lrTb"/>
            <w:noWrap w:val="false"/>
          </w:tcPr>
          <w:p>
            <w:pPr>
              <w:pStyle w:val="1031"/>
              <w:ind w:firstLine="216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万元</w:t>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经营范围</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职工人数</w:t>
            </w:r>
            <w:r>
              <w:rPr>
                <w:color w:val="000000" w:themeColor="text1"/>
                <w:highlight w:val="none"/>
              </w:rPr>
            </w:r>
          </w:p>
        </w:tc>
        <w:tc>
          <w:tcPr>
            <w:tcW w:w="2005"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c>
          <w:tcPr>
            <w:gridSpan w:val="2"/>
            <w:tcW w:w="3517"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其中：有中高级以上职称的人数</w:t>
            </w:r>
            <w:r>
              <w:rPr>
                <w:color w:val="000000" w:themeColor="text1"/>
                <w:highlight w:val="none"/>
              </w:rPr>
            </w:r>
          </w:p>
        </w:tc>
        <w:tc>
          <w:tcPr>
            <w:tcW w:w="1236"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资产总计</w:t>
            </w:r>
            <w:r>
              <w:rPr>
                <w:color w:val="000000" w:themeColor="text1"/>
                <w:highlight w:val="none"/>
              </w:rPr>
            </w:r>
          </w:p>
        </w:tc>
        <w:tc>
          <w:tcPr>
            <w:tcW w:w="2005"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2024年    万元</w:t>
            </w:r>
            <w:r>
              <w:rPr>
                <w:color w:val="000000" w:themeColor="text1"/>
                <w:highlight w:val="none"/>
              </w:rPr>
            </w:r>
          </w:p>
        </w:tc>
        <w:tc>
          <w:tcPr>
            <w:tcW w:w="1461"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净资产</w:t>
            </w:r>
            <w:r>
              <w:rPr>
                <w:color w:val="000000" w:themeColor="text1"/>
                <w:highlight w:val="none"/>
              </w:rPr>
            </w:r>
          </w:p>
        </w:tc>
        <w:tc>
          <w:tcPr>
            <w:gridSpan w:val="2"/>
            <w:tcW w:w="3292" w:type="dxa"/>
            <w:vAlign w:val="center"/>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2024年     万元</w:t>
            </w:r>
            <w:r>
              <w:rPr>
                <w:color w:val="000000" w:themeColor="text1"/>
                <w:highlight w:val="none"/>
              </w:rPr>
            </w:r>
          </w:p>
        </w:tc>
      </w:tr>
      <w:tr>
        <w:trPr>
          <w:cantSplit/>
          <w:jc w:val="center"/>
          <w:trHeight w:val="397"/>
        </w:trPr>
        <w:tc>
          <w:tcPr>
            <w:tcW w:w="2510"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股东权益</w:t>
            </w:r>
            <w:r>
              <w:rPr>
                <w:color w:val="000000" w:themeColor="text1"/>
                <w:highlight w:val="none"/>
              </w:rPr>
            </w:r>
          </w:p>
        </w:tc>
        <w:tc>
          <w:tcPr>
            <w:tcW w:w="2005"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2024年    万元</w:t>
            </w:r>
            <w:r>
              <w:rPr>
                <w:color w:val="000000" w:themeColor="text1"/>
                <w:highlight w:val="none"/>
              </w:rPr>
            </w:r>
          </w:p>
        </w:tc>
        <w:tc>
          <w:tcPr>
            <w:tcW w:w="1461"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销售收入</w:t>
            </w:r>
            <w:r>
              <w:rPr>
                <w:color w:val="000000" w:themeColor="text1"/>
                <w:highlight w:val="none"/>
              </w:rPr>
            </w:r>
          </w:p>
        </w:tc>
        <w:tc>
          <w:tcPr>
            <w:gridSpan w:val="2"/>
            <w:tcW w:w="3292" w:type="dxa"/>
            <w:vAlign w:val="center"/>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2023年     万元</w:t>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实现利润</w:t>
            </w:r>
            <w:r>
              <w:rPr>
                <w:color w:val="000000" w:themeColor="text1"/>
                <w:highlight w:val="none"/>
              </w:rPr>
            </w:r>
          </w:p>
        </w:tc>
        <w:tc>
          <w:tcPr>
            <w:tcW w:w="2005"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2024年    万元</w:t>
            </w:r>
            <w:r>
              <w:rPr>
                <w:color w:val="000000" w:themeColor="text1"/>
                <w:highlight w:val="none"/>
              </w:rPr>
            </w:r>
          </w:p>
        </w:tc>
        <w:tc>
          <w:tcPr>
            <w:tcW w:w="1461"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c>
          <w:tcPr>
            <w:gridSpan w:val="2"/>
            <w:tcW w:w="3292"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营业面积（含厂房面积）</w:t>
            </w:r>
            <w:r>
              <w:rPr>
                <w:color w:val="000000" w:themeColor="text1"/>
                <w:highlight w:val="none"/>
              </w:rPr>
            </w:r>
          </w:p>
        </w:tc>
        <w:tc>
          <w:tcPr>
            <w:tcW w:w="2005" w:type="dxa"/>
            <w:vAlign w:val="center"/>
            <w:textDirection w:val="lrTb"/>
            <w:noWrap w:val="false"/>
          </w:tcPr>
          <w:p>
            <w:pPr>
              <w:pStyle w:val="1031"/>
              <w:ind w:firstLine="0"/>
              <w:jc w:val="both"/>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        平方米</w:t>
            </w:r>
            <w:r>
              <w:rPr>
                <w:color w:val="000000" w:themeColor="text1"/>
                <w:highlight w:val="none"/>
              </w:rPr>
            </w:r>
          </w:p>
        </w:tc>
        <w:tc>
          <w:tcPr>
            <w:tcW w:w="1461"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其中：</w:t>
            </w:r>
            <w:r>
              <w:rPr>
                <w:color w:val="000000" w:themeColor="text1"/>
                <w:highlight w:val="none"/>
              </w:rPr>
            </w:r>
          </w:p>
        </w:tc>
        <w:tc>
          <w:tcPr>
            <w:gridSpan w:val="2"/>
            <w:tcW w:w="3292"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自有面积         平方米</w:t>
            </w:r>
            <w:r>
              <w:rPr>
                <w:color w:val="000000" w:themeColor="text1"/>
                <w:highlight w:val="none"/>
              </w:rPr>
            </w:r>
          </w:p>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承租面积         平方米</w:t>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单位简历及内设机构情况</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单位优势及特长</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近三年来完成或正在履行的重大合同情况</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最近3年内在经营过程中受到何种奖励或处分</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最近3年内有无因售假、售劣或是其他原因被消费者投诉或起诉的情况及说明</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最近3年内主要负责人有无因经济犯罪被司法机关追究的情况及说明</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获得技术认证的工程师及简介</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r>
        <w:trPr>
          <w:cantSplit/>
          <w:jc w:val="center"/>
          <w:trHeight w:val="397"/>
        </w:trPr>
        <w:tc>
          <w:tcPr>
            <w:tcW w:w="2510"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其他需要说明的情况</w:t>
            </w:r>
            <w:r>
              <w:rPr>
                <w:color w:val="000000" w:themeColor="text1"/>
                <w:highlight w:val="none"/>
              </w:rPr>
            </w:r>
          </w:p>
        </w:tc>
        <w:tc>
          <w:tcPr>
            <w:gridSpan w:val="4"/>
            <w:tcW w:w="6758" w:type="dxa"/>
            <w:textDirection w:val="lrTb"/>
            <w:noWrap w:val="false"/>
          </w:tcPr>
          <w:p>
            <w:pPr>
              <w:pStyle w:val="1031"/>
              <w:ind w:firstLine="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tc>
      </w:tr>
    </w:tbl>
    <w:p>
      <w:pPr>
        <w:pStyle w:val="1031"/>
        <w:spacing w:line="400" w:lineRule="exact"/>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投标人：（盖章）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法定代表人或代理人：（签字或盖章）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日期：      年    月    日</w:t>
      </w:r>
      <w:r>
        <w:rPr>
          <w:color w:val="000000" w:themeColor="text1"/>
          <w:highlight w:val="none"/>
        </w:rPr>
      </w:r>
    </w:p>
    <w:p>
      <w:pPr>
        <w:rPr>
          <w:rFonts w:hint="eastAsia" w:cs="宋体"/>
          <w:b/>
          <w:color w:val="000000" w:themeColor="text1"/>
          <w:highlight w:val="none"/>
        </w:rPr>
        <w:outlineLvl w:val="2"/>
      </w:pPr>
      <w:r>
        <w:rPr>
          <w:rFonts w:hint="eastAsia" w:cs="宋体"/>
          <w:b/>
          <w:color w:val="000000" w:themeColor="text1"/>
          <w:sz w:val="21"/>
          <w:szCs w:val="21"/>
          <w:highlight w:val="none"/>
        </w:rPr>
        <w:br w:type="page" w:clear="all"/>
      </w:r>
      <w:r>
        <w:rPr>
          <w:rFonts w:hint="eastAsia" w:cs="宋体"/>
          <w:b/>
          <w:color w:val="000000" w:themeColor="text1"/>
          <w:highlight w:val="none"/>
        </w:rPr>
        <w:t xml:space="preserve">（3）投标人与其他单位存在控股、管理关系情况表</w:t>
      </w:r>
      <w:r>
        <w:rPr>
          <w:color w:val="000000" w:themeColor="text1"/>
          <w:highlight w:val="none"/>
        </w:rPr>
      </w:r>
    </w:p>
    <w:p>
      <w:pPr>
        <w:pStyle w:val="893"/>
        <w:jc w:val="center"/>
        <w:rPr>
          <w:rFonts w:hint="eastAsia" w:cs="宋体"/>
          <w:b/>
          <w:color w:val="000000" w:themeColor="text1"/>
          <w:sz w:val="21"/>
          <w:highlight w:val="none"/>
        </w:rPr>
      </w:pPr>
      <w:r>
        <w:rPr>
          <w:rFonts w:hint="eastAsia" w:cs="宋体"/>
          <w:b/>
          <w:color w:val="000000" w:themeColor="text1"/>
          <w:sz w:val="21"/>
          <w:highlight w:val="none"/>
        </w:rPr>
      </w:r>
      <w:r>
        <w:rPr>
          <w:color w:val="000000" w:themeColor="text1"/>
          <w:highlight w:val="none"/>
        </w:rPr>
      </w:r>
    </w:p>
    <w:p>
      <w:pPr>
        <w:pStyle w:val="893"/>
        <w:ind w:firstLine="0"/>
        <w:jc w:val="center"/>
        <w:rPr>
          <w:rFonts w:hint="eastAsia" w:cs="宋体"/>
          <w:b/>
          <w:color w:val="000000" w:themeColor="text1"/>
          <w:szCs w:val="24"/>
          <w:highlight w:val="none"/>
        </w:rPr>
      </w:pPr>
      <w:r>
        <w:rPr>
          <w:rFonts w:hint="eastAsia" w:cs="宋体"/>
          <w:b/>
          <w:color w:val="000000" w:themeColor="text1"/>
          <w:szCs w:val="24"/>
          <w:highlight w:val="none"/>
        </w:rPr>
        <w:t xml:space="preserve">投标人与其他单位存在控股、管理关系情况表</w:t>
      </w:r>
      <w:r>
        <w:rPr>
          <w:color w:val="000000" w:themeColor="text1"/>
          <w:highlight w:val="none"/>
        </w:rPr>
      </w:r>
    </w:p>
    <w:p>
      <w:pPr>
        <w:pStyle w:val="1046"/>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t xml:space="preserve">与投标人存在控股、管理关系的单位名称</w:t>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t xml:space="preserve">控股、管理关系情况说明</w:t>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r>
        <w:trPr>
          <w:jc w:val="center"/>
          <w:trHeight w:val="850"/>
        </w:trPr>
        <w:tc>
          <w:tcPr>
            <w:tcW w:w="4438"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c>
          <w:tcPr>
            <w:tcW w:w="3902" w:type="dxa"/>
            <w:vAlign w:val="center"/>
            <w:textDirection w:val="lrTb"/>
            <w:noWrap w:val="false"/>
          </w:tcPr>
          <w:p>
            <w:pPr>
              <w:jc w:val="cente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tc>
      </w:tr>
    </w:tbl>
    <w:p>
      <w:pPr>
        <w:ind w:firstLine="480"/>
        <w:spacing w:line="360" w:lineRule="auto"/>
        <w:rPr>
          <w:rFonts w:hint="eastAsia" w:cs="宋体"/>
          <w:b/>
          <w:color w:val="000000" w:themeColor="text1"/>
          <w:sz w:val="21"/>
          <w:szCs w:val="21"/>
          <w:highlight w:val="none"/>
        </w:rPr>
      </w:pPr>
      <w:r>
        <w:rPr>
          <w:rFonts w:hint="eastAsia" w:cs="宋体"/>
          <w:b/>
          <w:color w:val="000000" w:themeColor="text1"/>
          <w:highlight w:val="none"/>
        </w:rPr>
        <w:t xml:space="preserve">注：投标人须如实填写所有与之有控股、管理关系的情况。</w:t>
      </w:r>
      <w:r>
        <w:rPr>
          <w:color w:val="000000" w:themeColor="text1"/>
          <w:highlight w:val="none"/>
        </w:rPr>
      </w:r>
    </w:p>
    <w:p>
      <w:pPr>
        <w:ind w:firstLine="420"/>
        <w:spacing w:line="360" w:lineRule="auto"/>
        <w:rPr>
          <w:rFonts w:hint="eastAsia" w:cs="宋体"/>
          <w:b/>
          <w:color w:val="000000" w:themeColor="text1"/>
          <w:sz w:val="21"/>
          <w:szCs w:val="21"/>
          <w:highlight w:val="none"/>
        </w:rPr>
      </w:pPr>
      <w:r>
        <w:rPr>
          <w:rFonts w:hint="eastAsia" w:cs="宋体"/>
          <w:b/>
          <w:color w:val="000000" w:themeColor="text1"/>
          <w:sz w:val="21"/>
          <w:szCs w:val="2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投标人：（盖章）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法定代表人或代理人：（签字或盖章）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日期：      年    月    日</w:t>
      </w:r>
      <w:r>
        <w:rPr>
          <w:color w:val="000000" w:themeColor="text1"/>
          <w:highlight w:val="none"/>
        </w:rPr>
      </w:r>
    </w:p>
    <w:p>
      <w:pPr>
        <w:pStyle w:val="1031"/>
        <w:ind w:firstLine="0"/>
        <w:jc w:val="both"/>
        <w:rPr>
          <w:rFonts w:hint="eastAsia" w:ascii="宋体" w:hAnsi="宋体" w:eastAsia="宋体" w:cs="宋体"/>
          <w:b/>
          <w:color w:val="000000" w:themeColor="text1"/>
          <w:szCs w:val="24"/>
          <w:highlight w:val="none"/>
        </w:rPr>
        <w:outlineLvl w:val="2"/>
      </w:pPr>
      <w:r>
        <w:rPr>
          <w:rFonts w:hint="eastAsia" w:ascii="宋体" w:hAnsi="宋体" w:eastAsia="宋体" w:cs="宋体"/>
          <w:color w:val="000000" w:themeColor="text1"/>
          <w:highlight w:val="none"/>
        </w:rPr>
        <w:br w:type="page" w:clear="all"/>
      </w:r>
      <w:r>
        <w:rPr>
          <w:rFonts w:hint="eastAsia" w:ascii="宋体" w:hAnsi="宋体" w:eastAsia="宋体" w:cs="宋体"/>
          <w:b/>
          <w:color w:val="000000" w:themeColor="text1"/>
          <w:highlight w:val="none"/>
        </w:rPr>
        <w:t xml:space="preserve">12、中小企业声明函</w:t>
      </w:r>
      <w:r>
        <w:rPr>
          <w:color w:val="000000" w:themeColor="text1"/>
          <w:highlight w:val="none"/>
        </w:rPr>
      </w:r>
    </w:p>
    <w:p>
      <w:pPr>
        <w:jc w:val="center"/>
        <w:spacing w:line="360" w:lineRule="auto"/>
        <w:rPr>
          <w:rFonts w:hint="eastAsia" w:cs="宋体"/>
          <w:b/>
          <w:bCs/>
          <w:color w:val="000000" w:themeColor="text1"/>
          <w:highlight w:val="none"/>
        </w:rPr>
      </w:pPr>
      <w:r>
        <w:rPr>
          <w:rFonts w:hint="eastAsia" w:cs="宋体"/>
          <w:b/>
          <w:bCs/>
          <w:color w:val="000000" w:themeColor="text1"/>
          <w:highlight w:val="none"/>
          <w:lang w:val="zh-CN"/>
        </w:rPr>
      </w:r>
      <w:r>
        <w:rPr>
          <w:color w:val="000000" w:themeColor="text1"/>
          <w:highlight w:val="none"/>
        </w:rPr>
      </w:r>
    </w:p>
    <w:p>
      <w:pPr>
        <w:jc w:val="center"/>
        <w:spacing w:line="360" w:lineRule="auto"/>
        <w:rPr>
          <w:rFonts w:hint="eastAsia" w:cs="宋体"/>
          <w:b/>
          <w:bCs/>
          <w:color w:val="000000" w:themeColor="text1"/>
          <w:sz w:val="28"/>
          <w:szCs w:val="28"/>
          <w:highlight w:val="none"/>
        </w:rPr>
      </w:pPr>
      <w:r>
        <w:rPr>
          <w:rFonts w:hint="eastAsia" w:cs="宋体"/>
          <w:b/>
          <w:bCs/>
          <w:color w:val="000000" w:themeColor="text1"/>
          <w:sz w:val="28"/>
          <w:szCs w:val="28"/>
          <w:highlight w:val="none"/>
          <w:lang w:val="zh-CN"/>
        </w:rPr>
        <w:t xml:space="preserve">中小企业声明函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本公司(联合体）郑重声明，根据《政府采购促进中小企业发展管理办法》(财库【2020】46号）的规定，本公司(联合体）参加</w:t>
      </w:r>
      <w:r>
        <w:rPr>
          <w:rFonts w:hint="eastAsia" w:cs="宋体"/>
          <w:color w:val="000000" w:themeColor="text1"/>
          <w:highlight w:val="none"/>
          <w:u w:val="single"/>
          <w:lang w:val="zh-CN"/>
        </w:rPr>
        <w:t xml:space="preserve">（单位名称）</w:t>
      </w:r>
      <w:r>
        <w:rPr>
          <w:rFonts w:hint="eastAsia" w:cs="宋体"/>
          <w:color w:val="000000" w:themeColor="text1"/>
          <w:highlight w:val="none"/>
          <w:lang w:val="zh-CN"/>
        </w:rPr>
        <w:t xml:space="preserve">的</w:t>
      </w:r>
      <w:r>
        <w:rPr>
          <w:rFonts w:hint="eastAsia" w:cs="宋体"/>
          <w:color w:val="000000" w:themeColor="text1"/>
          <w:highlight w:val="none"/>
          <w:u w:val="single"/>
          <w:lang w:val="zh-CN"/>
        </w:rPr>
        <w:t xml:space="preserve">（项目名称）</w:t>
      </w:r>
      <w:r>
        <w:rPr>
          <w:rFonts w:hint="eastAsia" w:cs="宋体"/>
          <w:color w:val="000000" w:themeColor="text1"/>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w:t>
      </w:r>
      <w:r>
        <w:rPr>
          <w:rFonts w:hint="eastAsia" w:cs="宋体"/>
          <w:color w:val="000000" w:themeColor="text1"/>
          <w:highlight w:val="none"/>
          <w:u w:val="single"/>
          <w:lang w:val="zh-CN"/>
        </w:rPr>
        <w:t xml:space="preserve">（标的名称） </w:t>
      </w:r>
      <w:r>
        <w:rPr>
          <w:rFonts w:hint="eastAsia" w:cs="宋体"/>
          <w:color w:val="000000" w:themeColor="text1"/>
          <w:highlight w:val="none"/>
          <w:lang w:val="zh-CN"/>
        </w:rPr>
        <w:t xml:space="preserve">，属于</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；承建（承接）企业为</w:t>
      </w:r>
      <w:r>
        <w:rPr>
          <w:rFonts w:hint="eastAsia" w:cs="宋体"/>
          <w:color w:val="000000" w:themeColor="text1"/>
          <w:highlight w:val="none"/>
          <w:u w:val="single"/>
          <w:lang w:val="zh-CN"/>
        </w:rPr>
        <w:t xml:space="preserve">（企业名称）</w:t>
      </w:r>
      <w:r>
        <w:rPr>
          <w:rFonts w:hint="eastAsia" w:cs="宋体"/>
          <w:color w:val="000000" w:themeColor="text1"/>
          <w:highlight w:val="none"/>
          <w:lang w:val="zh-CN"/>
        </w:rPr>
        <w:t xml:space="preserve">，从业人员</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人，营业收入为</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万元，资产总额为</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万元，属于</w:t>
      </w:r>
      <w:r>
        <w:rPr>
          <w:rFonts w:hint="eastAsia" w:cs="宋体"/>
          <w:color w:val="000000" w:themeColor="text1"/>
          <w:highlight w:val="none"/>
          <w:u w:val="single"/>
          <w:lang w:val="zh-CN"/>
        </w:rPr>
        <w:t xml:space="preserve">（中型企业、小型企业、微型企业）</w:t>
      </w:r>
      <w:r>
        <w:rPr>
          <w:rFonts w:hint="eastAsia" w:cs="宋体"/>
          <w:color w:val="000000" w:themeColor="text1"/>
          <w:highlight w:val="none"/>
          <w:lang w:val="zh-CN"/>
        </w:rPr>
        <w:t xml:space="preserve">；</w:t>
      </w:r>
      <w:r>
        <w:rPr>
          <w:rFonts w:hint="eastAsia" w:cs="宋体"/>
          <w:b/>
          <w:color w:val="000000" w:themeColor="text1"/>
          <w:highlight w:val="none"/>
          <w:lang w:val="zh-CN"/>
        </w:rPr>
        <w:t xml:space="preserve">注：（企业类型选填一项）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w:t>
      </w:r>
      <w:r>
        <w:rPr>
          <w:rFonts w:hint="eastAsia" w:cs="宋体"/>
          <w:color w:val="000000" w:themeColor="text1"/>
          <w:highlight w:val="none"/>
          <w:u w:val="single"/>
          <w:lang w:val="zh-CN"/>
        </w:rPr>
        <w:t xml:space="preserve">（标的名称） </w:t>
      </w:r>
      <w:r>
        <w:rPr>
          <w:rFonts w:hint="eastAsia" w:cs="宋体"/>
          <w:color w:val="000000" w:themeColor="text1"/>
          <w:highlight w:val="none"/>
          <w:lang w:val="zh-CN"/>
        </w:rPr>
        <w:t xml:space="preserve">，属于</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；承建（承接）企业为</w:t>
      </w:r>
      <w:r>
        <w:rPr>
          <w:rFonts w:hint="eastAsia" w:cs="宋体"/>
          <w:color w:val="000000" w:themeColor="text1"/>
          <w:highlight w:val="none"/>
          <w:u w:val="single"/>
          <w:lang w:val="zh-CN"/>
        </w:rPr>
        <w:t xml:space="preserve">（企业名称）</w:t>
      </w:r>
      <w:r>
        <w:rPr>
          <w:rFonts w:hint="eastAsia" w:cs="宋体"/>
          <w:color w:val="000000" w:themeColor="text1"/>
          <w:highlight w:val="none"/>
          <w:lang w:val="zh-CN"/>
        </w:rPr>
        <w:t xml:space="preserve">，从业人员</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人，营业收入为</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万元，资产总额为</w:t>
      </w:r>
      <w:r>
        <w:rPr>
          <w:rFonts w:hint="eastAsia" w:cs="宋体"/>
          <w:color w:val="000000" w:themeColor="text1"/>
          <w:highlight w:val="none"/>
          <w:u w:val="single"/>
        </w:rPr>
        <w:t xml:space="preserve">   </w:t>
      </w:r>
      <w:r>
        <w:rPr>
          <w:rFonts w:hint="eastAsia" w:cs="宋体"/>
          <w:color w:val="000000" w:themeColor="text1"/>
          <w:highlight w:val="none"/>
          <w:lang w:val="zh-CN"/>
        </w:rPr>
        <w:t xml:space="preserve">万元，属于</w:t>
      </w:r>
      <w:r>
        <w:rPr>
          <w:rFonts w:hint="eastAsia" w:cs="宋体"/>
          <w:color w:val="000000" w:themeColor="text1"/>
          <w:highlight w:val="none"/>
          <w:u w:val="single"/>
          <w:lang w:val="zh-CN"/>
        </w:rPr>
        <w:t xml:space="preserve">（中型企业、小型企业、微型企业）</w:t>
      </w:r>
      <w:r>
        <w:rPr>
          <w:rFonts w:hint="eastAsia" w:cs="宋体"/>
          <w:color w:val="000000" w:themeColor="text1"/>
          <w:highlight w:val="none"/>
          <w:lang w:val="zh-CN"/>
        </w:rPr>
        <w:t xml:space="preserve">；</w:t>
      </w:r>
      <w:r>
        <w:rPr>
          <w:rFonts w:hint="eastAsia" w:cs="宋体"/>
          <w:b/>
          <w:color w:val="000000" w:themeColor="text1"/>
          <w:highlight w:val="none"/>
          <w:lang w:val="zh-CN"/>
        </w:rPr>
        <w:t xml:space="preserve">注：（企业类型选填一项）</w:t>
      </w:r>
      <w:r>
        <w:rPr>
          <w:color w:val="000000" w:themeColor="text1"/>
          <w:highlight w:val="none"/>
        </w:rPr>
      </w:r>
    </w:p>
    <w:p>
      <w:pPr>
        <w:ind w:left="480"/>
        <w:spacing w:line="360" w:lineRule="auto"/>
        <w:rPr>
          <w:rFonts w:hint="eastAsia" w:cs="宋体"/>
          <w:color w:val="000000" w:themeColor="text1"/>
          <w:highlight w:val="none"/>
        </w:rPr>
      </w:pPr>
      <w:r>
        <w:rPr>
          <w:rFonts w:hint="eastAsia" w:cs="宋体"/>
          <w:color w:val="000000" w:themeColor="text1"/>
          <w:highlight w:val="none"/>
          <w:lang w:val="zh-CN"/>
        </w:rPr>
        <w:t xml:space="preserve">……</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t xml:space="preserve">本企业对上述声明内容的真实性负责。如有虚假，将依法承担相应责任。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t xml:space="preserve">企业名称（盖章）：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t xml:space="preserve">日 期：</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注：从业人员、营业收入、资产总额填报上一年度数据，无上一年度数据的新成立企业可不填报。</w:t>
      </w:r>
      <w:r>
        <w:rPr>
          <w:color w:val="000000" w:themeColor="text1"/>
          <w:highlight w:val="none"/>
        </w:rPr>
      </w:r>
    </w:p>
    <w:p>
      <w:pPr>
        <w:spacing w:line="312" w:lineRule="auto"/>
        <w:rPr>
          <w:rFonts w:hint="eastAsia" w:cs="宋体"/>
          <w:b/>
          <w:bCs/>
          <w:color w:val="000000" w:themeColor="text1"/>
          <w:sz w:val="21"/>
          <w:szCs w:val="21"/>
          <w:highlight w:val="none"/>
        </w:rPr>
      </w:pPr>
      <w:r>
        <w:rPr>
          <w:rFonts w:hint="eastAsia" w:cs="宋体"/>
          <w:color w:val="000000" w:themeColor="text1"/>
          <w:highlight w:val="none"/>
        </w:rPr>
        <w:br w:type="page" w:clear="all"/>
      </w:r>
      <w:r>
        <w:rPr>
          <w:rFonts w:hint="eastAsia" w:cs="宋体"/>
          <w:b/>
          <w:bCs/>
          <w:color w:val="000000" w:themeColor="text1"/>
          <w:sz w:val="21"/>
          <w:szCs w:val="21"/>
          <w:highlight w:val="none"/>
        </w:rPr>
        <w:t xml:space="preserve">附：中小企业划型标准规定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none"/>
        </w:rPr>
      </w:r>
    </w:p>
    <w:p>
      <w:pPr>
        <w:ind w:firstLine="420"/>
        <w:spacing w:line="312" w:lineRule="auto"/>
        <w:rPr>
          <w:rFonts w:hint="eastAsia" w:cs="宋体"/>
          <w:color w:val="000000" w:themeColor="text1"/>
          <w:sz w:val="21"/>
          <w:szCs w:val="21"/>
          <w:highlight w:val="none"/>
        </w:rPr>
      </w:pPr>
      <w:r>
        <w:rPr>
          <w:rFonts w:hint="eastAsia" w:cs="宋体"/>
          <w:color w:val="000000" w:themeColor="text1"/>
          <w:sz w:val="21"/>
          <w:szCs w:val="21"/>
          <w:highlight w:val="none"/>
        </w:rPr>
      </w:r>
      <w:r>
        <w:rPr>
          <w:color w:val="000000" w:themeColor="text1"/>
          <w:highlight w:val="none"/>
        </w:rPr>
      </w:r>
    </w:p>
    <w:p>
      <w:pPr>
        <w:pStyle w:val="1031"/>
        <w:ind w:firstLine="0"/>
        <w:jc w:val="both"/>
        <w:rPr>
          <w:rFonts w:hint="eastAsia" w:ascii="宋体" w:hAnsi="宋体" w:eastAsia="宋体" w:cs="宋体"/>
          <w:b/>
          <w:color w:val="000000" w:themeColor="text1"/>
          <w:highlight w:val="none"/>
        </w:rPr>
        <w:outlineLvl w:val="2"/>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color w:val="000000" w:themeColor="text1"/>
          <w:highlight w:val="none"/>
        </w:rPr>
        <w:t xml:space="preserve">（5）残疾人福利性单位声明函</w:t>
      </w:r>
      <w:r>
        <w:rPr>
          <w:color w:val="000000" w:themeColor="text1"/>
          <w:highlight w:val="none"/>
        </w:rPr>
      </w:r>
    </w:p>
    <w:p>
      <w:pPr>
        <w:jc w:val="center"/>
        <w:spacing w:line="360" w:lineRule="auto"/>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jc w:val="center"/>
        <w:spacing w:line="360" w:lineRule="auto"/>
        <w:rPr>
          <w:rFonts w:hint="eastAsia" w:cs="宋体"/>
          <w:b/>
          <w:color w:val="000000" w:themeColor="text1"/>
          <w:highlight w:val="none"/>
        </w:rPr>
      </w:pPr>
      <w:r>
        <w:rPr>
          <w:rFonts w:hint="eastAsia" w:cs="宋体"/>
          <w:b/>
          <w:color w:val="000000" w:themeColor="text1"/>
          <w:highlight w:val="none"/>
        </w:rPr>
        <w:t xml:space="preserve">残疾人福利性单位声明函</w:t>
      </w:r>
      <w:r>
        <w:rPr>
          <w:color w:val="000000" w:themeColor="text1"/>
          <w:highlight w:val="none"/>
        </w:rPr>
      </w:r>
    </w:p>
    <w:p>
      <w:pPr>
        <w:spacing w:line="360" w:lineRule="auto"/>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ind w:firstLine="564"/>
        <w:spacing w:line="360" w:lineRule="auto"/>
        <w:rPr>
          <w:rFonts w:hint="eastAsia" w:cs="宋体"/>
          <w:color w:val="000000" w:themeColor="text1"/>
          <w:highlight w:val="none"/>
        </w:rPr>
      </w:pPr>
      <w:r>
        <w:rPr>
          <w:rFonts w:hint="eastAsia" w:cs="宋体"/>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color w:val="000000" w:themeColor="text1"/>
          <w:highlight w:val="none"/>
          <w:u w:val="single"/>
        </w:rPr>
        <w:t xml:space="preserve">           </w:t>
      </w:r>
      <w:r>
        <w:rPr>
          <w:rFonts w:hint="eastAsia" w:cs="宋体"/>
          <w:color w:val="000000" w:themeColor="text1"/>
          <w:highlight w:val="none"/>
        </w:rPr>
        <w:t xml:space="preserve">单位的</w:t>
      </w:r>
      <w:r>
        <w:rPr>
          <w:rFonts w:hint="eastAsia" w:cs="宋体"/>
          <w:color w:val="000000" w:themeColor="text1"/>
          <w:highlight w:val="none"/>
          <w:u w:val="single"/>
        </w:rPr>
        <w:t xml:space="preserve">             </w:t>
      </w:r>
      <w:r>
        <w:rPr>
          <w:rFonts w:hint="eastAsia" w:cs="宋体"/>
          <w:color w:val="000000" w:themeColor="text1"/>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564"/>
        <w:spacing w:line="360" w:lineRule="auto"/>
        <w:rPr>
          <w:rFonts w:hint="eastAsia" w:cs="宋体"/>
          <w:color w:val="000000" w:themeColor="text1"/>
          <w:highlight w:val="none"/>
        </w:rPr>
      </w:pPr>
      <w:r>
        <w:rPr>
          <w:rFonts w:hint="eastAsia" w:cs="宋体"/>
          <w:color w:val="000000" w:themeColor="text1"/>
          <w:highlight w:val="none"/>
        </w:rPr>
        <w:t xml:space="preserve">本单位对上述声明的真实性负责。如有虚假，将依法承担相应责任。</w:t>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564"/>
        <w:spacing w:line="360" w:lineRule="auto"/>
        <w:rPr>
          <w:rFonts w:hint="eastAsia" w:cs="宋体"/>
          <w:color w:val="000000" w:themeColor="text1"/>
          <w:highlight w:val="none"/>
        </w:rPr>
      </w:pPr>
      <w:r>
        <w:rPr>
          <w:rFonts w:hint="eastAsia" w:cs="宋体"/>
          <w:color w:val="000000" w:themeColor="text1"/>
          <w:highlight w:val="none"/>
        </w:rPr>
        <w:t xml:space="preserve">单位名称（盖章）：</w:t>
      </w:r>
      <w:r>
        <w:rPr>
          <w:color w:val="000000" w:themeColor="text1"/>
          <w:highlight w:val="none"/>
        </w:rPr>
      </w:r>
    </w:p>
    <w:p>
      <w:pPr>
        <w:ind w:firstLine="564"/>
        <w:spacing w:line="360" w:lineRule="auto"/>
        <w:rPr>
          <w:rFonts w:hint="eastAsia" w:cs="宋体"/>
          <w:color w:val="000000" w:themeColor="text1"/>
          <w:highlight w:val="none"/>
        </w:rPr>
      </w:pPr>
      <w:r>
        <w:rPr>
          <w:rFonts w:hint="eastAsia" w:cs="宋体"/>
          <w:color w:val="000000" w:themeColor="text1"/>
          <w:highlight w:val="none"/>
        </w:rPr>
        <w:t xml:space="preserve">日期：</w:t>
      </w:r>
      <w:r>
        <w:rPr>
          <w:color w:val="000000" w:themeColor="text1"/>
          <w:highlight w:val="none"/>
        </w:rPr>
      </w:r>
    </w:p>
    <w:p>
      <w:pPr>
        <w:pStyle w:val="1031"/>
        <w:ind w:firstLine="0"/>
        <w:jc w:val="both"/>
        <w:rPr>
          <w:rFonts w:hint="eastAsia" w:ascii="宋体" w:hAnsi="宋体" w:eastAsia="宋体" w:cs="宋体"/>
          <w:b/>
          <w:color w:val="000000" w:themeColor="text1"/>
          <w:highlight w:val="none"/>
        </w:rPr>
        <w:outlineLvl w:val="2"/>
      </w:pPr>
      <w:r>
        <w:rPr>
          <w:rFonts w:hint="eastAsia" w:ascii="宋体" w:hAnsi="宋体" w:eastAsia="宋体" w:cs="宋体"/>
          <w:color w:val="000000" w:themeColor="text1"/>
          <w:sz w:val="32"/>
          <w:szCs w:val="32"/>
          <w:highlight w:val="none"/>
        </w:rPr>
        <w:br w:type="page" w:clear="all"/>
      </w:r>
      <w:r>
        <w:rPr>
          <w:rFonts w:hint="eastAsia" w:ascii="宋体" w:hAnsi="宋体" w:eastAsia="宋体" w:cs="宋体"/>
          <w:b/>
          <w:color w:val="000000" w:themeColor="text1"/>
          <w:highlight w:val="none"/>
        </w:rPr>
        <w:t xml:space="preserve">（6）投标（响应）保证承诺书</w:t>
      </w:r>
      <w:r>
        <w:rPr>
          <w:color w:val="000000" w:themeColor="text1"/>
          <w:highlight w:val="none"/>
        </w:rPr>
      </w:r>
    </w:p>
    <w:p>
      <w:pPr>
        <w:pStyle w:val="1050"/>
        <w:jc w:val="center"/>
        <w:spacing w:beforeAutospacing="0" w:afterAutospacing="0"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p>
    <w:p>
      <w:pPr>
        <w:pStyle w:val="1050"/>
        <w:jc w:val="center"/>
        <w:spacing w:beforeAutospacing="0" w:afterAutospacing="0"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投标（响应）保证承诺书</w:t>
      </w:r>
      <w:r>
        <w:rPr>
          <w:color w:val="000000" w:themeColor="text1"/>
          <w:highlight w:val="none"/>
        </w:rPr>
      </w:r>
    </w:p>
    <w:p>
      <w:pPr>
        <w:pStyle w:val="1050"/>
        <w:jc w:val="center"/>
        <w:spacing w:beforeAutospacing="0" w:afterAutospacing="0"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rPr>
          <w:color w:val="000000" w:themeColor="text1"/>
          <w:highlight w:val="none"/>
        </w:rPr>
      </w:r>
    </w:p>
    <w:p>
      <w:pPr>
        <w:pStyle w:val="105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rPr>
        <w:t xml:space="preserve">（采购代理机构名称）</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我（单位/本人，以下统称我单位）自愿参加</w:t>
      </w:r>
      <w:r>
        <w:rPr>
          <w:rFonts w:hint="eastAsia" w:ascii="宋体" w:hAnsi="宋体" w:eastAsia="宋体" w:cs="宋体"/>
          <w:color w:val="000000" w:themeColor="text1"/>
          <w:highlight w:val="none"/>
          <w:u w:val="single"/>
        </w:rPr>
        <w:t xml:space="preserve">（项目名称和采购编号）</w:t>
      </w:r>
      <w:r>
        <w:rPr>
          <w:rFonts w:hint="eastAsia" w:ascii="宋体" w:hAnsi="宋体" w:eastAsia="宋体" w:cs="宋体"/>
          <w:color w:val="000000" w:themeColor="text1"/>
          <w:highlight w:val="none"/>
        </w:rPr>
        <w:t xml:space="preserve">的投标（响应）,并做出如下承诺：</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一、除不可抗力外，我单位如果发生以下行为，将在行为发生的10个工作日内，向贵方</w:t>
      </w:r>
      <w:r>
        <w:rPr>
          <w:rFonts w:hint="eastAsia" w:ascii="宋体" w:hAnsi="宋体" w:eastAsia="宋体" w:cs="宋体"/>
          <w:color w:val="000000" w:themeColor="text1"/>
          <w:highlight w:val="none"/>
          <w:u w:val="single"/>
        </w:rPr>
        <w:t xml:space="preserve">（或采购人）</w:t>
      </w:r>
      <w:r>
        <w:rPr>
          <w:rFonts w:hint="eastAsia" w:ascii="宋体" w:hAnsi="宋体" w:eastAsia="宋体" w:cs="宋体"/>
          <w:color w:val="000000" w:themeColor="text1"/>
          <w:highlight w:val="none"/>
        </w:rPr>
        <w:t xml:space="preserve">支付本招标文件公布的预算金额（或最高限价）的2%作为违约赔偿金（数量不确定的单价采购须约定具体金额）。</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1.自投标（响应）截止时间至本项目发布中标（成交）公告为止，撤销投标（响应）；</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2.中标（成交）后不依法与采购人签订合同；</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3.中标（成交）后不按本招标文件规定向采购人提交履约保证金；</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4.中标（成交）后不按本招标文件规定向贵方缴纳采购代理费。</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二、我单位知晓上述行为的法律后果，承认本承诺书作为贵方</w:t>
      </w:r>
      <w:r>
        <w:rPr>
          <w:rFonts w:hint="eastAsia" w:ascii="宋体" w:hAnsi="宋体" w:eastAsia="宋体" w:cs="宋体"/>
          <w:color w:val="000000" w:themeColor="text1"/>
          <w:highlight w:val="none"/>
          <w:u w:val="single"/>
        </w:rPr>
        <w:t xml:space="preserve">（或采购人）</w:t>
      </w:r>
      <w:r>
        <w:rPr>
          <w:rFonts w:hint="eastAsia" w:ascii="宋体" w:hAnsi="宋体" w:eastAsia="宋体" w:cs="宋体"/>
          <w:color w:val="000000" w:themeColor="text1"/>
          <w:highlight w:val="none"/>
        </w:rPr>
        <w:t xml:space="preserve">要求我单位履行违约赔偿义务的依据作用。</w:t>
      </w:r>
      <w:r>
        <w:rPr>
          <w:color w:val="000000" w:themeColor="text1"/>
          <w:highlight w:val="none"/>
        </w:rPr>
      </w:r>
    </w:p>
    <w:p>
      <w:pPr>
        <w:pStyle w:val="1050"/>
        <w:ind w:firstLine="48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投标（响应）人（盖公章）：                              </w:t>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地址：                                                                </w:t>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电话：                                         传真：                      </w:t>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电子邮件：                                     邮编：                      </w:t>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法定代表人或委托代理人(签字或签章)：                                 </w:t>
      </w:r>
      <w:r>
        <w:rPr>
          <w:color w:val="000000" w:themeColor="text1"/>
          <w:highlight w:val="none"/>
        </w:rPr>
      </w:r>
    </w:p>
    <w:p>
      <w:pPr>
        <w:pStyle w:val="1050"/>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w:t>
      </w:r>
      <w:r>
        <w:rPr>
          <w:color w:val="000000" w:themeColor="text1"/>
          <w:highlight w:val="none"/>
        </w:rPr>
      </w:r>
    </w:p>
    <w:p>
      <w:pPr>
        <w:pStyle w:val="1078"/>
        <w:ind w:firstLine="199"/>
        <w:rPr>
          <w:rFonts w:hint="eastAsia" w:hAnsi="宋体" w:cs="宋体"/>
          <w:color w:val="000000" w:themeColor="text1"/>
          <w:highlight w:val="none"/>
        </w:rPr>
      </w:pPr>
      <w:r>
        <w:rPr>
          <w:rFonts w:hint="eastAsia" w:hAnsi="宋体" w:cs="宋体"/>
          <w:color w:val="000000" w:themeColor="text1"/>
          <w:highlight w:val="none"/>
        </w:rPr>
      </w:r>
      <w:r>
        <w:rPr>
          <w:color w:val="000000" w:themeColor="text1"/>
          <w:highlight w:val="none"/>
        </w:rPr>
      </w:r>
    </w:p>
    <w:p>
      <w:pPr>
        <w:jc w:val="center"/>
        <w:rPr>
          <w:rFonts w:hint="eastAsia" w:cs="宋体"/>
          <w:color w:val="000000" w:themeColor="text1"/>
          <w:sz w:val="44"/>
          <w:szCs w:val="44"/>
          <w:highlight w:val="none"/>
        </w:rPr>
      </w:pPr>
      <w:r>
        <w:rPr>
          <w:rFonts w:hint="eastAsia" w:cs="宋体"/>
          <w:color w:val="000000" w:themeColor="text1"/>
          <w:sz w:val="21"/>
          <w:szCs w:val="21"/>
          <w:highlight w:val="none"/>
        </w:rPr>
        <w:br w:type="page" w:clear="all"/>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1"/>
        <w:ind w:left="0" w:firstLine="0"/>
        <w:jc w:val="center"/>
        <w:spacing w:line="579" w:lineRule="auto"/>
        <w:rPr>
          <w:rFonts w:hint="eastAsia" w:ascii="宋体" w:hAnsi="宋体" w:cs="宋体"/>
          <w:color w:val="000000" w:themeColor="text1"/>
          <w:highlight w:val="none"/>
        </w:rPr>
      </w:pPr>
      <w:r>
        <w:rPr>
          <w:color w:val="000000" w:themeColor="text1"/>
          <w:highlight w:val="none"/>
        </w:rPr>
      </w:r>
      <w:bookmarkStart w:id="13" w:name="_Toc14281"/>
      <w:r>
        <w:rPr>
          <w:color w:val="000000" w:themeColor="text1"/>
          <w:highlight w:val="none"/>
        </w:rPr>
      </w:r>
      <w:bookmarkStart w:id="14" w:name="_Toc37331742"/>
      <w:r>
        <w:rPr>
          <w:color w:val="000000" w:themeColor="text1"/>
          <w:highlight w:val="none"/>
        </w:rPr>
      </w:r>
      <w:bookmarkStart w:id="15" w:name="_Toc85207113"/>
      <w:r>
        <w:rPr>
          <w:rFonts w:hint="eastAsia" w:ascii="宋体" w:hAnsi="宋体" w:cs="宋体"/>
          <w:color w:val="000000" w:themeColor="text1"/>
          <w:highlight w:val="none"/>
        </w:rPr>
        <w:t xml:space="preserve">第四章  招标书</w:t>
      </w:r>
      <w:bookmarkEnd w:id="13"/>
      <w:r>
        <w:rPr>
          <w:color w:val="000000" w:themeColor="text1"/>
          <w:highlight w:val="none"/>
        </w:rPr>
      </w:r>
      <w:bookmarkEnd w:id="14"/>
      <w:r>
        <w:rPr>
          <w:color w:val="000000" w:themeColor="text1"/>
          <w:highlight w:val="none"/>
        </w:rPr>
      </w:r>
      <w:bookmarkEnd w:id="15"/>
      <w:r>
        <w:rPr>
          <w:color w:val="000000" w:themeColor="text1"/>
          <w:highlight w:val="none"/>
        </w:rPr>
      </w:r>
      <w:r>
        <w:rPr>
          <w:color w:val="000000" w:themeColor="text1"/>
          <w:highlight w:val="none"/>
        </w:rPr>
      </w:r>
    </w:p>
    <w:p>
      <w:pPr>
        <w:pStyle w:val="1049"/>
        <w:jc w:val="cente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s="宋体"/>
          <w:b/>
          <w:bCs/>
          <w:color w:val="000000" w:themeColor="text1"/>
          <w:sz w:val="48"/>
          <w:szCs w:val="48"/>
          <w:highlight w:val="none"/>
        </w:rPr>
        <w:t xml:space="preserve">招标书</w:t>
      </w:r>
      <w:r>
        <w:rPr>
          <w:color w:val="000000" w:themeColor="text1"/>
          <w:highlight w:val="none"/>
        </w:rPr>
      </w:r>
    </w:p>
    <w:p>
      <w:pPr>
        <w:pStyle w:val="1049"/>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苏州合亿盛工程咨询有限公司受苏州工业园区胜浦街道办事处的委托，就胜浦街道动迁社区楼道智能监控项目进行公开招标，现欢迎符合相关条件的供应商参加投标。</w:t>
      </w:r>
      <w:r>
        <w:rPr>
          <w:color w:val="000000" w:themeColor="text1"/>
          <w:highlight w:val="none"/>
        </w:rPr>
      </w:r>
    </w:p>
    <w:p>
      <w:pPr>
        <w:pStyle w:val="1049"/>
        <w:jc w:val="left"/>
        <w:spacing w:line="36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一、招标编号：JSZC-320591-SHYS-G2025-0006</w:t>
      </w:r>
      <w:r>
        <w:rPr>
          <w:color w:val="000000" w:themeColor="text1"/>
          <w:highlight w:val="none"/>
        </w:rPr>
      </w:r>
    </w:p>
    <w:p>
      <w:pPr>
        <w:pStyle w:val="1049"/>
        <w:jc w:val="left"/>
        <w:spacing w:line="36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二、项目名称：</w:t>
      </w:r>
      <w:r>
        <w:rPr>
          <w:rFonts w:hint="eastAsia" w:ascii="宋体" w:hAnsi="宋体" w:cs="宋体"/>
          <w:color w:val="000000" w:themeColor="text1"/>
          <w:highlight w:val="none"/>
        </w:rPr>
        <w:t xml:space="preserve">胜浦街道动迁社区楼道智能监控</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三、项目概况：</w:t>
      </w:r>
      <w:r>
        <w:rPr>
          <w:color w:val="000000" w:themeColor="text1"/>
          <w:highlight w:val="none"/>
        </w:rPr>
      </w:r>
    </w:p>
    <w:p>
      <w:pPr>
        <w:ind w:left="121" w:right="57" w:firstLine="401"/>
        <w:spacing w:line="360" w:lineRule="auto"/>
        <w:tabs>
          <w:tab w:val="left" w:pos="4903" w:leader="none"/>
        </w:tabs>
        <w:rPr>
          <w:rFonts w:hint="eastAsia" w:cs="宋体"/>
          <w:color w:val="000000" w:themeColor="text1"/>
          <w:spacing w:val="-3"/>
          <w:highlight w:val="none"/>
        </w:rPr>
      </w:pPr>
      <w:r>
        <w:rPr>
          <w:rFonts w:hint="eastAsia" w:cs="宋体"/>
          <w:color w:val="000000" w:themeColor="text1"/>
          <w:spacing w:val="-3"/>
          <w:highlight w:val="none"/>
        </w:rPr>
        <w:t xml:space="preserve">动迁小区(多层)智能监控设施租赁采购项目，主要针对胜浦街道辖区内动迁小区(多层)一楼车库违规住人、电瓶车违规停放、杂物乱推、煤气罐进楼道、火情等情况，通过AI算法的技术生成告警信息并产生工单，管理员接到工单去现场处理并回单，形成事件闭环。 对存在的安全隐患做到预判，有效加强小区安全防范、应急联动，提高全体业主安全、和谐的生活环境</w:t>
      </w:r>
      <w:r>
        <w:rPr>
          <w:color w:val="000000" w:themeColor="text1"/>
          <w:highlight w:val="none"/>
        </w:rPr>
      </w:r>
    </w:p>
    <w:p>
      <w:pPr>
        <w:ind w:left="121" w:right="57" w:firstLine="401"/>
        <w:spacing w:line="360" w:lineRule="auto"/>
        <w:tabs>
          <w:tab w:val="left" w:pos="4903" w:leader="none"/>
        </w:tabs>
        <w:rPr>
          <w:rFonts w:hint="eastAsia" w:cs="宋体"/>
          <w:color w:val="000000" w:themeColor="text1"/>
          <w:spacing w:val="-3"/>
          <w:highlight w:val="none"/>
        </w:rPr>
      </w:pPr>
      <w:r>
        <w:rPr>
          <w:rFonts w:hint="eastAsia" w:cs="宋体"/>
          <w:color w:val="000000" w:themeColor="text1"/>
          <w:spacing w:val="-3"/>
          <w:highlight w:val="none"/>
        </w:rPr>
        <w:t xml:space="preserve">本次胜浦街道共涉及1349个单元，安装楼道监控摄像头2698个，其中，新盛花园社区涉及276个单元；园东社区涉及273个单元；吴淞社区涉及286个单元；金苑社区涉及142个单元；闻涛苑社区涉及117个单元；浪花苑社区涉及255个单元。服务商提供项目所需的设备和软件投入（包含摄像机安装调试、平台功能、4种AI算法能力、云存功能、传输链路搭建等），服务期限：3年。</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四、设备功能服务内容要求及参数</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1、功能服务内容要求：</w:t>
      </w:r>
      <w:r>
        <w:rPr>
          <w:color w:val="000000" w:themeColor="text1"/>
          <w:highlight w:val="none"/>
        </w:rP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65"/>
        <w:gridCol w:w="5124"/>
        <w:gridCol w:w="1019"/>
      </w:tblGrid>
      <w:tr>
        <w:trPr>
          <w:trHeight w:val="440"/>
          <w:tblHeader/>
        </w:trPr>
        <w:tc>
          <w:tcPr>
            <w:tcW w:w="374" w:type="pct"/>
            <w:vAlign w:val="center"/>
            <w:textDirection w:val="lrTb"/>
            <w:noWrap/>
          </w:tcPr>
          <w:p>
            <w:pPr>
              <w:jc w:val="center"/>
              <w:spacing w:line="360" w:lineRule="exact"/>
              <w:widowControl/>
              <w:rPr>
                <w:rFonts w:hint="eastAsia" w:cs="宋体"/>
                <w:b/>
                <w:bCs/>
                <w:color w:val="000000" w:themeColor="text1"/>
                <w:highlight w:val="none"/>
              </w:rPr>
            </w:pPr>
            <w:r>
              <w:rPr>
                <w:rFonts w:hint="eastAsia" w:cs="宋体"/>
                <w:b/>
                <w:bCs/>
                <w:color w:val="000000" w:themeColor="text1"/>
                <w:highlight w:val="none"/>
              </w:rPr>
              <w:t xml:space="preserve">序号</w:t>
            </w:r>
            <w:r>
              <w:rPr>
                <w:color w:val="000000" w:themeColor="text1"/>
                <w:highlight w:val="none"/>
              </w:rPr>
            </w:r>
          </w:p>
        </w:tc>
        <w:tc>
          <w:tcPr>
            <w:tcW w:w="1436" w:type="pct"/>
            <w:vAlign w:val="center"/>
            <w:textDirection w:val="lrTb"/>
            <w:noWrap/>
          </w:tcPr>
          <w:p>
            <w:pPr>
              <w:jc w:val="center"/>
              <w:spacing w:line="360" w:lineRule="exact"/>
              <w:widowControl/>
              <w:rPr>
                <w:rFonts w:hint="eastAsia" w:cs="宋体"/>
                <w:b/>
                <w:bCs/>
                <w:color w:val="000000" w:themeColor="text1"/>
                <w:highlight w:val="none"/>
              </w:rPr>
            </w:pPr>
            <w:r>
              <w:rPr>
                <w:rFonts w:hint="eastAsia" w:cs="宋体"/>
                <w:b/>
                <w:bCs/>
                <w:color w:val="000000" w:themeColor="text1"/>
                <w:highlight w:val="none"/>
              </w:rPr>
              <w:t xml:space="preserve">名称</w:t>
            </w:r>
            <w:r>
              <w:rPr>
                <w:color w:val="000000" w:themeColor="text1"/>
                <w:highlight w:val="none"/>
              </w:rPr>
            </w:r>
          </w:p>
        </w:tc>
        <w:tc>
          <w:tcPr>
            <w:tcW w:w="2661" w:type="pct"/>
            <w:vAlign w:val="center"/>
            <w:textDirection w:val="lrTb"/>
            <w:noWrap w:val="false"/>
          </w:tcPr>
          <w:p>
            <w:pPr>
              <w:jc w:val="center"/>
              <w:spacing w:line="360" w:lineRule="exact"/>
              <w:widowControl/>
              <w:rPr>
                <w:rFonts w:hint="eastAsia" w:cs="宋体"/>
                <w:b/>
                <w:bCs/>
                <w:color w:val="000000" w:themeColor="text1"/>
                <w:highlight w:val="none"/>
              </w:rPr>
            </w:pPr>
            <w:r>
              <w:rPr>
                <w:rFonts w:hint="eastAsia" w:cs="宋体"/>
                <w:b/>
                <w:bCs/>
                <w:color w:val="000000" w:themeColor="text1"/>
                <w:highlight w:val="none"/>
              </w:rPr>
              <w:t xml:space="preserve">功能要求描述</w:t>
            </w:r>
            <w:r>
              <w:rPr>
                <w:color w:val="000000" w:themeColor="text1"/>
                <w:highlight w:val="none"/>
              </w:rPr>
            </w:r>
          </w:p>
        </w:tc>
        <w:tc>
          <w:tcPr>
            <w:tcW w:w="529" w:type="pct"/>
            <w:textDirection w:val="lrTb"/>
            <w:noWrap w:val="false"/>
          </w:tcPr>
          <w:p>
            <w:pPr>
              <w:jc w:val="center"/>
              <w:spacing w:line="360" w:lineRule="exact"/>
              <w:widowControl/>
              <w:rPr>
                <w:rFonts w:hint="eastAsia" w:cs="宋体"/>
                <w:b/>
                <w:bCs/>
                <w:color w:val="000000" w:themeColor="text1"/>
                <w:highlight w:val="none"/>
              </w:rPr>
            </w:pPr>
            <w:r>
              <w:rPr>
                <w:rFonts w:hint="eastAsia" w:cs="宋体"/>
                <w:b/>
                <w:bCs/>
                <w:color w:val="000000" w:themeColor="text1"/>
                <w:highlight w:val="none"/>
              </w:rPr>
              <w:t xml:space="preserve">数量</w:t>
            </w:r>
            <w:r>
              <w:rPr>
                <w:color w:val="000000" w:themeColor="text1"/>
                <w:highlight w:val="none"/>
              </w:rPr>
            </w:r>
          </w:p>
        </w:tc>
      </w:tr>
      <w:tr>
        <w:trPr>
          <w:trHeight w:val="415"/>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前端视频服务</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视频采集（设备安装）、日常维护</w:t>
            </w:r>
            <w:r>
              <w:rPr>
                <w:color w:val="000000" w:themeColor="text1"/>
                <w:highlight w:val="none"/>
              </w:rPr>
            </w:r>
          </w:p>
        </w:tc>
        <w:tc>
          <w:tcPr>
            <w:tcW w:w="529" w:type="pct"/>
            <w:vAlign w:val="center"/>
            <w:vMerge w:val="restart"/>
            <w:textDirection w:val="lrTb"/>
            <w:noWrap w:val="false"/>
          </w:tcPr>
          <w:p>
            <w:pPr>
              <w:jc w:val="center"/>
              <w:spacing w:line="360" w:lineRule="exact"/>
              <w:widowControl/>
              <w:rPr>
                <w:rFonts w:hint="eastAsia" w:cs="宋体"/>
                <w:color w:val="000000" w:themeColor="text1"/>
                <w:highlight w:val="none"/>
              </w:rPr>
            </w:pPr>
            <w:r>
              <w:rPr>
                <w:rFonts w:hint="eastAsia" w:cs="宋体"/>
                <w:color w:val="000000" w:themeColor="text1"/>
                <w:spacing w:val="-3"/>
                <w:highlight w:val="none"/>
              </w:rPr>
              <w:t xml:space="preserve">2698套</w:t>
            </w:r>
            <w:r>
              <w:rPr>
                <w:color w:val="000000" w:themeColor="text1"/>
                <w:highlight w:val="none"/>
              </w:rPr>
            </w:r>
          </w:p>
        </w:tc>
      </w:tr>
      <w:tr>
        <w:trPr>
          <w:trHeight w:val="660"/>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2</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视频平台服务</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视频接入，实时、云回看、ai告警查询、支持PC端、手机端APP等</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660"/>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3</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AI算法（电瓶车检测）</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基于深度学习与图像识别等技术，检测画面中的电动车（摩托车），并标注出来</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741"/>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4</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AI算法（煤气罐检测）</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对监控区域内，检测到的煤气罐和类似于煤气罐的桶状物，产生告警信息</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940"/>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5</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AI算法（垃圾检测）</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对路面是否有散落垃圾进行监测，依托图像处理、算法聚焦、硬件设计及嵌入式软件领域的技术积累实现对路面垃圾情况的检测</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408"/>
        </w:trPr>
        <w:tc>
          <w:tcPr>
            <w:tcW w:w="374" w:type="pct"/>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6</w:t>
            </w:r>
            <w:r>
              <w:rPr>
                <w:color w:val="000000" w:themeColor="text1"/>
                <w:highlight w:val="none"/>
              </w:rPr>
            </w:r>
          </w:p>
        </w:tc>
        <w:tc>
          <w:tcPr>
            <w:tcW w:w="1436" w:type="pct"/>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AI算法（火焰检测）</w:t>
            </w:r>
            <w:r>
              <w:rPr>
                <w:color w:val="000000" w:themeColor="text1"/>
                <w:highlight w:val="none"/>
              </w:rPr>
            </w:r>
          </w:p>
        </w:tc>
        <w:tc>
          <w:tcPr>
            <w:tcW w:w="2661" w:type="pct"/>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对监控区域内，检测到火焰以及浓度较高的黑色/白色烟雾，产生告警信息，主要包括火焰、烟雾两种目标检测</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387"/>
        </w:trPr>
        <w:tc>
          <w:tcPr>
            <w:tcW w:w="720" w:type="dxa"/>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7</w:t>
            </w:r>
            <w:r>
              <w:rPr>
                <w:color w:val="000000" w:themeColor="text1"/>
                <w:highlight w:val="none"/>
              </w:rPr>
            </w:r>
          </w:p>
        </w:tc>
        <w:tc>
          <w:tcPr>
            <w:tcW w:w="2765" w:type="dxa"/>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监测违规住人</w:t>
            </w:r>
            <w:r>
              <w:rPr>
                <w:color w:val="000000" w:themeColor="text1"/>
                <w:highlight w:val="none"/>
              </w:rPr>
            </w:r>
          </w:p>
        </w:tc>
        <w:tc>
          <w:tcPr>
            <w:tcW w:w="5124" w:type="dxa"/>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实时监测车库违规住人</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388"/>
        </w:trPr>
        <w:tc>
          <w:tcPr>
            <w:tcW w:w="720" w:type="dxa"/>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8</w:t>
            </w:r>
            <w:r>
              <w:rPr>
                <w:color w:val="000000" w:themeColor="text1"/>
                <w:highlight w:val="none"/>
              </w:rPr>
            </w:r>
          </w:p>
        </w:tc>
        <w:tc>
          <w:tcPr>
            <w:tcW w:w="2765" w:type="dxa"/>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30天云存储</w:t>
            </w:r>
            <w:r>
              <w:rPr>
                <w:color w:val="000000" w:themeColor="text1"/>
                <w:highlight w:val="none"/>
              </w:rPr>
            </w:r>
          </w:p>
        </w:tc>
        <w:tc>
          <w:tcPr>
            <w:tcW w:w="5124" w:type="dxa"/>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30天云存储，提供云端存储与回看服务</w:t>
            </w:r>
            <w:r>
              <w:rPr>
                <w:color w:val="000000" w:themeColor="text1"/>
                <w:highlight w:val="none"/>
              </w:rPr>
            </w:r>
          </w:p>
        </w:tc>
        <w:tc>
          <w:tcPr>
            <w:tcW w:w="529" w:type="pct"/>
            <w:vMerge w:val="continue"/>
            <w:textDirection w:val="lrTb"/>
            <w:noWrap w:val="false"/>
          </w:tcPr>
          <w:p>
            <w:pPr>
              <w:jc w:val="left"/>
              <w:spacing w:line="360" w:lineRule="exact"/>
              <w:widowControl/>
              <w:rPr>
                <w:rFonts w:hint="eastAsia" w:cs="宋体"/>
                <w:color w:val="000000"/>
              </w:rPr>
            </w:pPr>
            <w:r>
              <w:rPr>
                <w:rFonts w:hint="eastAsia" w:cs="宋体"/>
                <w:color w:val="000000"/>
              </w:rPr>
            </w:r>
            <w:r/>
          </w:p>
        </w:tc>
      </w:tr>
      <w:tr>
        <w:trPr>
          <w:trHeight w:val="388"/>
        </w:trPr>
        <w:tc>
          <w:tcPr>
            <w:tcW w:w="720" w:type="dxa"/>
            <w:vAlign w:val="center"/>
            <w:textDirection w:val="lrTb"/>
            <w:noWrap/>
          </w:tcPr>
          <w:p>
            <w:pPr>
              <w:jc w:val="center"/>
              <w:spacing w:line="360" w:lineRule="exact"/>
              <w:widowControl/>
              <w:rPr>
                <w:rFonts w:hint="eastAsia" w:cs="宋体"/>
                <w:color w:val="000000" w:themeColor="text1"/>
                <w:highlight w:val="none"/>
              </w:rPr>
            </w:pPr>
            <w:r>
              <w:rPr>
                <w:rFonts w:hint="eastAsia" w:cs="宋体"/>
                <w:color w:val="000000" w:themeColor="text1"/>
                <w:highlight w:val="none"/>
              </w:rPr>
              <w:t xml:space="preserve">9</w:t>
            </w:r>
            <w:r>
              <w:rPr>
                <w:color w:val="000000" w:themeColor="text1"/>
                <w:highlight w:val="none"/>
              </w:rPr>
            </w:r>
          </w:p>
        </w:tc>
        <w:tc>
          <w:tcPr>
            <w:tcW w:w="2765" w:type="dxa"/>
            <w:vAlign w:val="center"/>
            <w:textDirection w:val="lrTb"/>
            <w:noWrap/>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数据传输</w:t>
            </w:r>
            <w:r>
              <w:rPr>
                <w:color w:val="000000" w:themeColor="text1"/>
                <w:highlight w:val="none"/>
              </w:rPr>
            </w:r>
          </w:p>
        </w:tc>
        <w:tc>
          <w:tcPr>
            <w:tcW w:w="5124" w:type="dxa"/>
            <w:vAlign w:val="center"/>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t xml:space="preserve">宽带</w:t>
            </w:r>
            <w:r>
              <w:rPr>
                <w:color w:val="000000" w:themeColor="text1"/>
                <w:highlight w:val="none"/>
              </w:rPr>
            </w:r>
          </w:p>
        </w:tc>
        <w:tc>
          <w:tcPr>
            <w:tcW w:w="529" w:type="pct"/>
            <w:textDirection w:val="lrTb"/>
            <w:noWrap w:val="false"/>
          </w:tcPr>
          <w:p>
            <w:pPr>
              <w:jc w:val="left"/>
              <w:spacing w:line="360" w:lineRule="exact"/>
              <w:widowControl/>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r>
    </w:tbl>
    <w:p>
      <w:pPr>
        <w:numPr>
          <w:ilvl w:val="0"/>
          <w:numId w:val="5"/>
        </w:num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技术参数</w:t>
      </w:r>
      <w:r>
        <w:rPr>
          <w:color w:val="000000" w:themeColor="text1"/>
          <w:highlight w:val="none"/>
        </w:rPr>
      </w:r>
    </w:p>
    <w:p>
      <w:pPr>
        <w:ind w:left="529"/>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（一）服务支撑设施设备要求</w:t>
      </w:r>
      <w:r>
        <w:rPr>
          <w:color w:val="000000" w:themeColor="text1"/>
          <w:highlight w:val="none"/>
        </w:rPr>
      </w:r>
    </w:p>
    <w:tbl>
      <w:tblPr>
        <w:tblStyle w:val="836"/>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62"/>
        <w:gridCol w:w="1924"/>
        <w:gridCol w:w="6942"/>
      </w:tblGrid>
      <w:tr>
        <w:trPr>
          <w:trHeight w:val="400"/>
        </w:trPr>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360" w:lineRule="auto"/>
              <w:widowControl/>
              <w:rPr>
                <w:rFonts w:hint="eastAsia" w:cs="宋体"/>
                <w:b/>
                <w:bCs/>
                <w:color w:val="000000" w:themeColor="text1"/>
                <w:highlight w:val="none"/>
              </w:rPr>
            </w:pPr>
            <w:r>
              <w:rPr>
                <w:rFonts w:hint="eastAsia" w:cs="宋体"/>
                <w:b/>
                <w:bCs/>
                <w:color w:val="000000" w:themeColor="text1"/>
                <w:highlight w:val="none"/>
              </w:rPr>
              <w:t xml:space="preserve">序号</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999" w:type="pct"/>
            <w:vAlign w:val="center"/>
            <w:textDirection w:val="lrTb"/>
            <w:noWrap w:val="false"/>
          </w:tcPr>
          <w:p>
            <w:pPr>
              <w:jc w:val="center"/>
              <w:spacing w:line="360" w:lineRule="auto"/>
              <w:widowControl/>
              <w:rPr>
                <w:rFonts w:hint="eastAsia" w:cs="宋体"/>
                <w:b/>
                <w:bCs/>
                <w:color w:val="000000" w:themeColor="text1"/>
                <w:highlight w:val="none"/>
              </w:rPr>
            </w:pPr>
            <w:r>
              <w:rPr>
                <w:rFonts w:hint="eastAsia" w:cs="宋体"/>
                <w:b/>
                <w:bCs/>
                <w:color w:val="000000" w:themeColor="text1"/>
                <w:highlight w:val="none"/>
              </w:rPr>
              <w:t xml:space="preserve">采购内容名称</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3605" w:type="pct"/>
            <w:vAlign w:val="center"/>
            <w:textDirection w:val="lrTb"/>
            <w:noWrap w:val="false"/>
          </w:tcPr>
          <w:p>
            <w:pPr>
              <w:jc w:val="center"/>
              <w:spacing w:line="360" w:lineRule="auto"/>
              <w:widowControl/>
              <w:rPr>
                <w:rFonts w:hint="eastAsia" w:cs="宋体"/>
                <w:b/>
                <w:bCs/>
                <w:color w:val="000000" w:themeColor="text1"/>
                <w:highlight w:val="none"/>
              </w:rPr>
            </w:pPr>
            <w:r>
              <w:rPr>
                <w:rFonts w:hint="eastAsia" w:cs="宋体"/>
                <w:b/>
                <w:bCs/>
                <w:color w:val="000000" w:themeColor="text1"/>
                <w:highlight w:val="none"/>
              </w:rPr>
              <w:t xml:space="preserve">技术要求</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POE半球摄像机</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200万网络摄像机</w:t>
            </w:r>
            <w:r>
              <w:rPr>
                <w:color w:val="000000" w:themeColor="text1"/>
                <w:highlight w:val="none"/>
              </w:rPr>
            </w:r>
          </w:p>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传感器类型：不小于1/2.7" Progressive Scan CMOS</w:t>
            </w:r>
            <w:r>
              <w:rPr>
                <w:color w:val="000000" w:themeColor="text1"/>
                <w:highlight w:val="none"/>
              </w:rPr>
            </w:r>
          </w:p>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最低照度：彩色：≤0.01 Lux @（F1.2，AGC ON），0 Lux with IR</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2</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POE电源模块</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配备RJ45网口,可为POE受电设备提供供电和数据通讯</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3</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空开</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国标</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4</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拖线板</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3位5孔，10A</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5</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管线、辅材</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网线、电源线、PVC管</w:t>
            </w:r>
            <w:r>
              <w:rPr>
                <w:color w:val="000000" w:themeColor="text1"/>
                <w:highlight w:val="none"/>
              </w:rP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tcPr>
          <w:p>
            <w:pPr>
              <w:jc w:val="center"/>
              <w:spacing w:line="360" w:lineRule="auto"/>
              <w:widowControl/>
              <w:rPr>
                <w:rFonts w:hint="eastAsia" w:cs="宋体"/>
                <w:color w:val="000000" w:themeColor="text1"/>
                <w:highlight w:val="none"/>
              </w:rPr>
            </w:pPr>
            <w:r>
              <w:rPr>
                <w:rFonts w:hint="eastAsia" w:cs="宋体"/>
                <w:color w:val="000000" w:themeColor="text1"/>
                <w:highlight w:val="none"/>
              </w:rPr>
              <w:t xml:space="preserve">6</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999"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设备箱</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3605" w:type="pct"/>
            <w:vAlign w:val="center"/>
            <w:textDirection w:val="lrTb"/>
            <w:noWrap/>
          </w:tcPr>
          <w:p>
            <w:pPr>
              <w:jc w:val="left"/>
              <w:spacing w:line="360" w:lineRule="auto"/>
              <w:widowControl/>
              <w:rPr>
                <w:rFonts w:hint="eastAsia" w:cs="宋体"/>
                <w:color w:val="000000" w:themeColor="text1"/>
                <w:highlight w:val="none"/>
              </w:rPr>
            </w:pPr>
            <w:r>
              <w:rPr>
                <w:rFonts w:hint="eastAsia" w:cs="宋体"/>
                <w:color w:val="000000" w:themeColor="text1"/>
                <w:highlight w:val="none"/>
              </w:rPr>
              <w:t xml:space="preserve">300*200*160</w:t>
            </w:r>
            <w:r>
              <w:rPr>
                <w:color w:val="000000" w:themeColor="text1"/>
                <w:highlight w:val="none"/>
              </w:rPr>
            </w:r>
          </w:p>
        </w:tc>
      </w:tr>
    </w:tbl>
    <w:p>
      <w:pPr>
        <w:ind w:firstLine="466"/>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（1）POE半球摄像机</w:t>
      </w:r>
      <w:r>
        <w:rPr>
          <w:color w:val="000000" w:themeColor="text1"/>
          <w:highlight w:val="none"/>
        </w:rPr>
      </w:r>
    </w:p>
    <w:p>
      <w:pPr>
        <w:ind w:left="529"/>
        <w:spacing w:line="360" w:lineRule="auto"/>
        <w:rPr>
          <w:rFonts w:hint="eastAsia" w:cs="宋体"/>
          <w:color w:val="000000" w:themeColor="text1"/>
          <w:spacing w:val="-4"/>
          <w:highlight w:val="none"/>
        </w:rPr>
      </w:pPr>
      <w:r>
        <w:rPr>
          <w:rFonts w:hint="eastAsia" w:cs="宋体"/>
          <w:color w:val="000000" w:themeColor="text1"/>
          <w:spacing w:val="-4"/>
          <w:highlight w:val="none"/>
        </w:rPr>
        <w:t xml:space="preserve">200万网络摄像机</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传感器类型：不小于1/2.7" Progressive Scan CMOS</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最低照度：彩色：≤0.01 Lux @（F1.2，AGC ON），0 Lux with IR</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宽动态：数字宽动态</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补光灯类型：红外灯/白光灯</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补光距离：白光最远可达20 m，红外光最远可达30 m</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防补光过曝：支持</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红外波长范围：850 nm</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最大图像尺寸：1920 × 1080</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视频压缩标准：主码流：H.265/H.264</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子码流：H.265/H.264</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网络：1个RJ45 10 M/100 M自适应以太网口</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音频：1个内置麦克风</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电流及功耗：DC：12 V，0.42 A，最大功耗：5 W</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PoE：IEEE802.3af ，CLASS 3，最大功耗：6.5 W</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供电方式：DC：12 V ± 25%，支持防反接保护</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PoE：IEEE802.3af，CLASS 3</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电源接口类型：Ø5.5 mm圆口</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防护：IP66</w:t>
      </w:r>
      <w:r>
        <w:rPr>
          <w:color w:val="000000" w:themeColor="text1"/>
          <w:highlight w:val="none"/>
        </w:rPr>
      </w:r>
    </w:p>
    <w:p>
      <w:pPr>
        <w:ind w:left="529"/>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（2）POE电源模块</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配备RJ45网口,可为POE受电设备提供供电和数据通讯</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输入:AC100-240V</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输出:DC48V 500MA</w:t>
      </w:r>
      <w:r>
        <w:rPr>
          <w:color w:val="000000" w:themeColor="text1"/>
          <w:highlight w:val="none"/>
        </w:rPr>
      </w:r>
    </w:p>
    <w:p>
      <w:pPr>
        <w:ind w:left="529"/>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（二）平台基础功能</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实时视频：监控平台可以单独显示一路视频，同时还可以对多路视频进行分屏显示，方便客户进行多路同时查看。</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录像管理：支持前端录像查询和回看功能；支持以通道维度在中心节点进行录像并将生成的.mp4文件保存至云盘或指定硬盘，包含开通/关闭录像、查询/回看/拖放/下载录像等功能。</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历史视频：支持按照指定设备、通道、时间等要素检索前端录像文件以及录像回放和下载功能；支持历史视频点播本地缓存，视频点播关闭后自动清理；支持回放中抓图、录屏、全屏播放、音量调节等。</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远程集中管理：视频监控管理平台将实现摄像头的远程集中管理，包括摄像头的状态监控、配置调整、录像回放等功能。</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多协议接入：平台支持多种监控摄像头协议，确保能够接入各种品牌和型号的摄像头。</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用户管理：平台对用户数据进行统一登记与修改，用户数据采用统一数据库管理，供若干子业务调用，实现用户信息同步获取与更新。支持设备分组和多级管理关系设置，分组可分配给对应子账号，使子账号获取查看对应分组视频的权限。</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1）一级帐号：拥有平台管理最高权限，可查看本项目所有设备的实时视频及历史视频，通过电子地图查看设备分布；支持分配AI设备、开通云存、管理设备信息；支持查看告警信息，可设置工单规则，将告警信息转化为工单；支持开通移动侦测、视图库等功能；支持对设备进行分组，授权客户子账号设备权限。</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（2）二级帐号：可查看部分设备（由主账号授权）的实时视频及历史视频；支持查看告警信息；支持查看该部分设备的信息。</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（3）三级帐号：可查看部分设备（由主账号授权）的实时视频及历史视频；支持查看告警信息；支持查看该部分设备的信息。</w:t>
      </w:r>
      <w:r>
        <w:rPr>
          <w:color w:val="000000" w:themeColor="text1"/>
          <w:highlight w:val="none"/>
        </w:rPr>
      </w:r>
    </w:p>
    <w:p>
      <w:pPr>
        <w:ind w:left="121" w:firstLine="46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日志管理：后台自动创建并记录重要的系统操作日志，如管理员日志、客户日志以及设备日志等，并可提供多种方式查询、浏览和导出日志信息。</w:t>
      </w:r>
      <w:r>
        <w:rPr>
          <w:color w:val="000000" w:themeColor="text1"/>
          <w:highlight w:val="none"/>
        </w:rPr>
      </w:r>
    </w:p>
    <w:p>
      <w:pPr>
        <w:ind w:left="121" w:firstLine="46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工单闭环：由主账号创建工单规则，可按单个设备单路告警分配到相关负责人，可开通短信通知。产生AI告警后，告警信息自动转化为工单，相关责任人收到工单短信，可线下核实告警情况，线上处理工单并记录处理结果，处理完成后工单自动存档形成历史记录，可供监管账号查询查看。</w:t>
      </w:r>
      <w:r>
        <w:rPr>
          <w:color w:val="000000" w:themeColor="text1"/>
          <w:highlight w:val="none"/>
        </w:rPr>
      </w:r>
    </w:p>
    <w:tbl>
      <w:tblPr>
        <w:tblStyle w:val="83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62"/>
        <w:gridCol w:w="1922"/>
        <w:gridCol w:w="6944"/>
      </w:tblGrid>
      <w:tr>
        <w:trPr>
          <w:trHeight w:val="400"/>
        </w:trPr>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widowControl/>
              <w:rPr>
                <w:rFonts w:hint="eastAsia" w:cs="宋体"/>
                <w:b/>
                <w:bCs/>
                <w:color w:val="000000" w:themeColor="text1"/>
                <w:highlight w:val="none"/>
              </w:rPr>
            </w:pPr>
            <w:r>
              <w:rPr>
                <w:rFonts w:hint="eastAsia" w:cs="宋体"/>
                <w:b/>
                <w:bCs/>
                <w:color w:val="000000" w:themeColor="text1"/>
                <w:highlight w:val="none"/>
              </w:rPr>
              <w:t xml:space="preserve">序号</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center"/>
              <w:widowControl/>
              <w:rPr>
                <w:rFonts w:hint="eastAsia" w:cs="宋体"/>
                <w:b/>
                <w:bCs/>
                <w:color w:val="000000" w:themeColor="text1"/>
                <w:highlight w:val="none"/>
              </w:rPr>
            </w:pPr>
            <w:r>
              <w:rPr>
                <w:rFonts w:hint="eastAsia" w:cs="宋体"/>
                <w:b/>
                <w:bCs/>
                <w:color w:val="000000" w:themeColor="text1"/>
                <w:highlight w:val="none"/>
              </w:rPr>
              <w:t xml:space="preserve">采购内容名称</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3606" w:type="pct"/>
            <w:vAlign w:val="center"/>
            <w:textDirection w:val="lrTb"/>
            <w:noWrap w:val="false"/>
          </w:tcPr>
          <w:p>
            <w:pPr>
              <w:jc w:val="center"/>
              <w:widowControl/>
              <w:rPr>
                <w:rFonts w:hint="eastAsia" w:cs="宋体"/>
                <w:b/>
                <w:bCs/>
                <w:color w:val="000000" w:themeColor="text1"/>
                <w:highlight w:val="none"/>
              </w:rPr>
            </w:pPr>
            <w:r>
              <w:rPr>
                <w:rFonts w:hint="eastAsia" w:cs="宋体"/>
                <w:b/>
                <w:bCs/>
                <w:color w:val="000000" w:themeColor="text1"/>
                <w:highlight w:val="none"/>
              </w:rPr>
              <w:t xml:space="preserve">技术要求</w:t>
            </w:r>
            <w:r>
              <w:rPr>
                <w:color w:val="000000" w:themeColor="text1"/>
                <w:highlight w:val="none"/>
              </w:rPr>
            </w:r>
          </w:p>
        </w:tc>
      </w:tr>
      <w:tr>
        <w:trPr>
          <w:trHeight w:val="68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智慧监控平台能力要求</w:t>
            </w:r>
            <w:r>
              <w:rPr>
                <w:color w:val="000000" w:themeColor="text1"/>
                <w:highlight w:val="none"/>
              </w:rP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支持不同协议标准的数据级联推送给上级平台；支持查看网关支持的协议标准，包括协议简称、协议编号、协议类型、发布日期和实施日期等；支持设置协议标准推送的机制参数，包括支持静态数据断线重连全量推送，动态数据推送的方式、频率、重推次数等；</w:t>
            </w:r>
            <w:r>
              <w:rPr>
                <w:color w:val="000000" w:themeColor="text1"/>
                <w:highlight w:val="none"/>
              </w:rPr>
            </w:r>
          </w:p>
        </w:tc>
      </w:tr>
      <w:tr>
        <w:trPr>
          <w:trHeight w:val="68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支持推送的数据包括采集系统数据、采集信息和动态业务数据，分类静态数据和动态数据两种类型；业务数据网关根据下级域的配置接收下级平台的注册连接，连接建立后接收数据推送，并将数据按数据类型入库存储管理，数据对象与作为下级向上级推送的数据对象对齐；</w:t>
            </w:r>
            <w:r>
              <w:rPr>
                <w:color w:val="000000" w:themeColor="text1"/>
                <w:highlight w:val="none"/>
              </w:rPr>
            </w:r>
          </w:p>
        </w:tc>
      </w:tr>
      <w:tr>
        <w:trPr>
          <w:trHeight w:val="68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支持1400视图库协议推送和接收的数据对象包括采集设备-设备对象、采集设备-设备状态对象、采集系统对象、图像对象、人脸对象、机动车对象、注册对象、保活对象、注销对象，其中设备子类包括人像抓拍相机、停车场出入口抓拍相机；作为下级1400级联时，支持图片级联推送给上级，支持按上级订阅方式进行推送人像和车辆抓拍设备；</w:t>
            </w:r>
            <w:r>
              <w:rPr>
                <w:color w:val="000000" w:themeColor="text1"/>
                <w:highlight w:val="none"/>
              </w:rPr>
            </w:r>
          </w:p>
        </w:tc>
      </w:tr>
      <w:tr>
        <w:trPr>
          <w:trHeight w:val="39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支持业务数据网关作为下级往上级推送数据的失败记录查看，包括推送数据对象、数据标志码、推送时间、推送结果等；失败的日志记录支持查看推送的详细内容和手动重推操作；失败的日志记录支持按关键字查询检索及导出</w:t>
            </w:r>
            <w:r>
              <w:rPr>
                <w:color w:val="000000" w:themeColor="text1"/>
                <w:highlight w:val="none"/>
              </w:rPr>
            </w:r>
          </w:p>
        </w:tc>
      </w:tr>
      <w:tr>
        <w:trPr>
          <w:trHeight w:val="68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5)支持业务数据网关作为上级接收下级推送数据的失败记录查看，包括接收时间、级联域名称、数据对象、数据标志码、失败错误码、失败原因等；失败的日志记录支持按关键字查询检索及导出；成功级联日志开关打开后，支持数据推送成功日志记录存储及查询展示；支持数据接收成功日志记录存储及查询展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1)支持主流品牌的监控摄像头、NVR(网络视频录像机)、自建监控视频平台进行接入整合，实现统一管理，统一调度，平台融合</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2)★支持网页端、CS客户端、APP端三种方式平台管理方式（提供登录界面截图）；</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b/>
                <w:bCs/>
                <w:color w:val="000000" w:themeColor="text1"/>
                <w:highlight w:val="none"/>
              </w:rPr>
            </w:pPr>
            <w:r>
              <w:rPr>
                <w:rFonts w:hint="eastAsia" w:cs="宋体"/>
                <w:b/>
                <w:bCs/>
                <w:color w:val="000000" w:themeColor="text1"/>
                <w:highlight w:val="none"/>
              </w:rPr>
              <w:t xml:space="preserve">WEB端：</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3)★支持数据总览展示、显示系统当前设备总数、设备在线数据、设备离线数据、存储设备数据、AI设备数据、运维设备数据；（提供页面截图并加盖公章）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4)★支持一周系统趋势分析，包括设备在线趋势、运维巡检趋势、AI告警趋势；（提供页面截图并加盖公章）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5)★支持展示存储类型，包括系统存储的类型以及相应数量；（提供页面截图并加盖公章）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6)★支持电子地图标点，精确定位平台所有设备具体的地图对应位置、展示区域内设备数量（提供页面截图并加盖公章）；支持点击视频定位图标实现实时视频播放、可自定义播放倍速、声音控制、全屏播放；</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7)★电子地图支持区域内设备信息快速查询、显示设备平台编号、设备名称、设备详细地址；（提供页面截图并加盖公章）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8)支持系统运维巡检日报，播报平台巡检数据；</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9)★支持系统实时告警数据展示，包括告警时间、告警截图、告警设备位置名称，支持快捷跳转告警中心查看告警列表；（提供页面截图并加盖公章）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10)支持1/4/6/8/12/16多分屏画面显示;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11)支持设备树展示设备通道数量及设备详细信息；</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12)支持设备经纬度设置；</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13)支持自定义分组，支持新建分组、单独关联设备、批量移动关联设备；</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14)★支持分权分域账号管理，支持创建下级子账号，可定义子账号账户名、所属人姓名、所属人手机号、授权子账号可监管分组；（提供页面截图并加盖公章）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15)支持实时视频列表排序，包括按照设备离线/在线排列、时间升序/降序排列、设备名称搜索；</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16)支持多用户对同一图像资源的同时点播；</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17)支持实时视频列表按照自然分组、子级账号分组、自定义分组三种方式进行展示；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18)支持历史视频列表排序，包括按照设备离线/在线排列、时间升序/降序排列、设备名称搜索；</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19)支持历史视频列表按照自然分组、子级账号分组、自定义分组三种方式进行展示；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20)历史视频支持本地存储、云存储两种查询方式，历史视频播放支持页面截图以及全屏播放；</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21)支持云存储管理，支持1/3/7/15/30/60/90天云存类型，支持每类云存储的配额总数、未分配配额数、订购日期以及到期日期；</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22)支持云存储自定义分配；</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23)支持云存储列表按照设备名称、接入号名称进行筛选；</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24)支持接入AI相机，接收并展示AI相机上报的区域入侵、电动车报警、煤气罐告警、持刀持械告警、打架斗殴告警、并支持报警联动上墙、抓图、报警输出；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25)支持平台AI任务管理，包括AI任务列表、AI任务新增分配、AI任务管理，支持AI任务设备触发时间间隔；</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26)支持告警中心集中展示AI智能识别告警、视频画面诊断告警、AI相机终端告警三种告警方式；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27)AI智能识别告警包括持刀持械、打架斗殴、燃气罐识别、电动车识别、车辆(含非机动)违停、区域入侵、翻墙检测、未穿厨师服、手提物品、垃圾检测、人员聚集、人员徘徊；（提供页面截图并加盖公章）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28)★视频画面诊断告警包括黑屏、条纹、偏亮、偏暗、抖动、遮挡、模糊、卡顿、雪花、色偏，短信推送巡检结果；（提供短信推送截图）；</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29)支持国标T1400协议设备上报的结构化数据；</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30)支持人脸识别，支持国标设备通过T1400协议上报人脸结构化数据，采集人脸数据，进行告警消息查询，实现人脸布控高效管理。</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31)支持车辆识别，支持国标设备通过T1400协议上报车辆结构化数据，包含车辆颜色、车牌识别等，并进行告警消息查询，实现车辆布控高效管理</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32)平台支持设备自动运维巡检，展示巡检记录；</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33)平台支持与维保平台做数据打通，自动派单并展示运维派单记录；</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34)支持导出自动运维巡检明细表以及汇总表；</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b/>
                <w:bCs/>
                <w:color w:val="000000" w:themeColor="text1"/>
                <w:highlight w:val="none"/>
              </w:rPr>
            </w:pPr>
            <w:r>
              <w:rPr>
                <w:rFonts w:hint="eastAsia" w:cs="宋体"/>
                <w:b/>
                <w:bCs/>
                <w:color w:val="000000" w:themeColor="text1"/>
                <w:highlight w:val="none"/>
              </w:rPr>
              <w:t xml:space="preserve">CS客户端:</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35)支持客户端实时视频播放支持单分屏、4分屏、6分屏、8分屏、9分屏等分屏方式;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36)支持播放控制：支持视频播放、拍照、录屏、声音控制、全屏等功能；</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37)支持多用户对同一图像资源的同时点播；</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38)★支持云台控制，控制云台转速调节；（提供页面截图并加盖公章）</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39)支持镜头控制，支持镜头的焦距控制，焦距的放大、缩小；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40)支持截图/录像：支持截图保存，支持按照用户的开始录制、停止录制指令进行控制的录像。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41)支持云端录像/本地录像的检索、回放、下载；</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42)支持重启设备；</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43)支持终端告警信息展示；</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44)支持用户信息的配置，支持存储路径的修改、分屏设置、分屏自动扩展、版本更新；</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b/>
                <w:bCs/>
                <w:color w:val="000000" w:themeColor="text1"/>
                <w:highlight w:val="none"/>
              </w:rPr>
            </w:pPr>
            <w:r>
              <w:rPr>
                <w:rFonts w:hint="eastAsia" w:cs="宋体"/>
                <w:b/>
                <w:bCs/>
                <w:color w:val="000000" w:themeColor="text1"/>
                <w:highlight w:val="none"/>
              </w:rPr>
              <w:t xml:space="preserve">APP端:APP端支持苹果客户端以及安卓客户端两种方式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45)支持视频资源检索；</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46)支持设备状态诊断，支持按照设备在线/离线进行排序；</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47)具有实时视频，实时视频截图、录像下载功能；</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48)具有按照指定设备、指定通道进行图像的实时点播，支持多用户对同一图像资源的同时点播。</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49)支持视频播放截图，截图统一管理；</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50)支持历史视频回看，历史视频支持云存储视频以及本地历史视频，支持历史视频下载；</w:t>
            </w:r>
            <w:r>
              <w:rPr>
                <w:color w:val="000000" w:themeColor="text1"/>
                <w:highlight w:val="none"/>
              </w:rPr>
            </w:r>
          </w:p>
        </w:tc>
      </w:tr>
      <w:tr>
        <w:trPr>
          <w:trHeight w:val="400"/>
        </w:trPr>
        <w:tc>
          <w:tcPr>
            <w:shd w:val="clear" w:color="auto" w:fill="auto"/>
            <w:tcBorders>
              <w:top w:val="none" w:color="000000" w:sz="4" w:space="0"/>
              <w:left w:val="single" w:color="auto" w:sz="4" w:space="0"/>
              <w:bottom w:val="single" w:color="auto" w:sz="4" w:space="0"/>
              <w:right w:val="single" w:color="auto" w:sz="4" w:space="0"/>
            </w:tcBorders>
            <w:tcW w:w="396"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hint="eastAsia" w:cs="宋体"/>
              </w:rPr>
            </w:pPr>
            <w:r>
              <w:rPr>
                <w:rFonts w:hint="eastAsia" w:cs="宋体"/>
              </w:rPr>
            </w:r>
            <w:r/>
          </w:p>
        </w:tc>
        <w:tc>
          <w:tcPr>
            <w:shd w:val="clear" w:color="auto" w:fill="auto"/>
            <w:tcBorders>
              <w:top w:val="none" w:color="000000" w:sz="4" w:space="0"/>
              <w:left w:val="none" w:color="000000" w:sz="4" w:space="0"/>
              <w:bottom w:val="single" w:color="auto" w:sz="4" w:space="0"/>
              <w:right w:val="single" w:color="auto" w:sz="4" w:space="0"/>
            </w:tcBorders>
            <w:tcW w:w="360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51）★平台满足信息系统安全等级保护（三级）及以上要求。（提供证书复印件）</w:t>
            </w:r>
            <w:r>
              <w:rPr>
                <w:color w:val="000000" w:themeColor="text1"/>
                <w:highlight w:val="none"/>
              </w:rPr>
            </w:r>
          </w:p>
        </w:tc>
      </w:tr>
    </w:tbl>
    <w:p>
      <w:pPr>
        <w:ind w:left="529"/>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（三）算法能力</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（1）电瓶车检测：基于深度学习与图像识别等技术，检测画面中的电动车（摩托车），并标注出来</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（2）煤气罐检测：对监控区域内，检测到的煤气罐和类似于煤气罐的桶状物，产生告警信息</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（3）垃圾检测：对路面是否有散落垃圾进行监测，依托图像处理、算法聚焦、硬件设计及嵌入式软件领域的技术积累实现对路面垃圾情况的检测</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（4）火焰检测：对监控区域内，检测到火焰以及浓度较高的黑色/白色烟雾，产生告警信息，主要包括火焰、烟雾两种目标检测</w:t>
      </w:r>
      <w:r>
        <w:rPr>
          <w:color w:val="000000" w:themeColor="text1"/>
          <w:highlight w:val="none"/>
        </w:rPr>
      </w:r>
    </w:p>
    <w:p>
      <w:pPr>
        <w:ind w:left="529"/>
        <w:spacing w:line="360" w:lineRule="auto"/>
        <w:rPr>
          <w:rFonts w:hint="eastAsia" w:cs="宋体"/>
          <w:b/>
          <w:bCs/>
          <w:color w:val="000000" w:themeColor="text1"/>
          <w:spacing w:val="-4"/>
          <w:highlight w:val="none"/>
        </w:rPr>
      </w:pPr>
      <w:r>
        <w:rPr>
          <w:rFonts w:hint="eastAsia" w:cs="宋体"/>
          <w:b/>
          <w:bCs/>
          <w:color w:val="000000" w:themeColor="text1"/>
          <w:spacing w:val="-4"/>
          <w:highlight w:val="none"/>
        </w:rPr>
        <w:t xml:space="preserve">（四）日常巡检服务内容</w:t>
      </w:r>
      <w:r>
        <w:rPr>
          <w:color w:val="000000" w:themeColor="text1"/>
          <w:highlight w:val="none"/>
        </w:rPr>
      </w:r>
    </w:p>
    <w:tbl>
      <w:tblPr>
        <w:tblStyle w:val="8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669"/>
        <w:gridCol w:w="3770"/>
        <w:gridCol w:w="2053"/>
        <w:gridCol w:w="1241"/>
      </w:tblGrid>
      <w:tr>
        <w:trPr>
          <w:jc w:val="center"/>
          <w:trHeight w:val="381"/>
        </w:trPr>
        <w:tc>
          <w:tcPr>
            <w:tcW w:w="465" w:type="pct"/>
            <w:vAlign w:val="center"/>
            <w:textDirection w:val="lrTb"/>
            <w:noWrap w:val="false"/>
          </w:tcPr>
          <w:p>
            <w:pPr>
              <w:jc w:val="center"/>
              <w:tabs>
                <w:tab w:val="left" w:pos="720" w:leader="none"/>
              </w:tabs>
              <w:rPr>
                <w:rFonts w:hint="eastAsia" w:cs="宋体"/>
                <w:b/>
                <w:color w:val="000000" w:themeColor="text1"/>
                <w:highlight w:val="none"/>
              </w:rPr>
            </w:pPr>
            <w:r>
              <w:rPr>
                <w:rFonts w:hint="eastAsia" w:cs="宋体"/>
                <w:b/>
                <w:bCs/>
                <w:color w:val="000000" w:themeColor="text1"/>
                <w:highlight w:val="none"/>
              </w:rPr>
              <w:t xml:space="preserve">序号</w:t>
            </w:r>
            <w:r>
              <w:rPr>
                <w:color w:val="000000" w:themeColor="text1"/>
                <w:highlight w:val="none"/>
              </w:rPr>
            </w:r>
          </w:p>
        </w:tc>
        <w:tc>
          <w:tcPr>
            <w:tcW w:w="867" w:type="pct"/>
            <w:vAlign w:val="center"/>
            <w:textDirection w:val="lrTb"/>
            <w:noWrap w:val="false"/>
          </w:tcPr>
          <w:p>
            <w:pPr>
              <w:jc w:val="center"/>
              <w:tabs>
                <w:tab w:val="left" w:pos="720" w:leader="none"/>
              </w:tabs>
              <w:rPr>
                <w:rFonts w:hint="eastAsia" w:cs="宋体"/>
                <w:b/>
                <w:color w:val="000000" w:themeColor="text1"/>
                <w:highlight w:val="none"/>
              </w:rPr>
            </w:pPr>
            <w:r>
              <w:rPr>
                <w:rFonts w:hint="eastAsia" w:cs="宋体"/>
                <w:b/>
                <w:bCs/>
                <w:color w:val="000000" w:themeColor="text1"/>
                <w:highlight w:val="none"/>
              </w:rPr>
              <w:t xml:space="preserve">维护事项</w:t>
            </w:r>
            <w:r>
              <w:rPr>
                <w:color w:val="000000" w:themeColor="text1"/>
                <w:highlight w:val="none"/>
              </w:rPr>
            </w:r>
          </w:p>
        </w:tc>
        <w:tc>
          <w:tcPr>
            <w:tcW w:w="1958" w:type="pct"/>
            <w:vAlign w:val="center"/>
            <w:textDirection w:val="lrTb"/>
            <w:noWrap w:val="false"/>
          </w:tcPr>
          <w:p>
            <w:pPr>
              <w:jc w:val="center"/>
              <w:tabs>
                <w:tab w:val="left" w:pos="720" w:leader="none"/>
              </w:tabs>
              <w:rPr>
                <w:rFonts w:hint="eastAsia" w:cs="宋体"/>
                <w:b/>
                <w:color w:val="000000" w:themeColor="text1"/>
                <w:highlight w:val="none"/>
              </w:rPr>
            </w:pPr>
            <w:r>
              <w:rPr>
                <w:rFonts w:hint="eastAsia" w:cs="宋体"/>
                <w:b/>
                <w:bCs/>
                <w:color w:val="000000" w:themeColor="text1"/>
                <w:highlight w:val="none"/>
              </w:rPr>
              <w:t xml:space="preserve">内容</w:t>
            </w:r>
            <w:r>
              <w:rPr>
                <w:color w:val="000000" w:themeColor="text1"/>
                <w:highlight w:val="none"/>
              </w:rPr>
            </w:r>
          </w:p>
        </w:tc>
        <w:tc>
          <w:tcPr>
            <w:tcW w:w="1066" w:type="pct"/>
            <w:vAlign w:val="center"/>
            <w:textDirection w:val="lrTb"/>
            <w:noWrap w:val="false"/>
          </w:tcPr>
          <w:p>
            <w:pPr>
              <w:jc w:val="center"/>
              <w:tabs>
                <w:tab w:val="left" w:pos="720" w:leader="none"/>
              </w:tabs>
              <w:rPr>
                <w:rFonts w:hint="eastAsia" w:cs="宋体"/>
                <w:b/>
                <w:color w:val="000000" w:themeColor="text1"/>
                <w:highlight w:val="none"/>
              </w:rPr>
            </w:pPr>
            <w:r>
              <w:rPr>
                <w:rFonts w:hint="eastAsia" w:cs="宋体"/>
                <w:b/>
                <w:bCs/>
                <w:color w:val="000000" w:themeColor="text1"/>
                <w:highlight w:val="none"/>
              </w:rPr>
              <w:t xml:space="preserve">标准</w:t>
            </w:r>
            <w:r>
              <w:rPr>
                <w:color w:val="000000" w:themeColor="text1"/>
                <w:highlight w:val="none"/>
              </w:rPr>
            </w:r>
          </w:p>
        </w:tc>
        <w:tc>
          <w:tcPr>
            <w:tcW w:w="644" w:type="pct"/>
            <w:vAlign w:val="center"/>
            <w:textDirection w:val="lrTb"/>
            <w:noWrap w:val="false"/>
          </w:tcPr>
          <w:p>
            <w:pPr>
              <w:jc w:val="center"/>
              <w:tabs>
                <w:tab w:val="left" w:pos="720" w:leader="none"/>
              </w:tabs>
              <w:rPr>
                <w:rFonts w:hint="eastAsia" w:cs="宋体"/>
                <w:b/>
                <w:bCs/>
                <w:color w:val="000000" w:themeColor="text1"/>
                <w:highlight w:val="none"/>
              </w:rPr>
            </w:pPr>
            <w:r>
              <w:rPr>
                <w:rFonts w:hint="eastAsia" w:cs="宋体"/>
                <w:b/>
                <w:bCs/>
                <w:color w:val="000000" w:themeColor="text1"/>
                <w:highlight w:val="none"/>
              </w:rPr>
              <w:t xml:space="preserve">巡查</w:t>
            </w:r>
            <w:r>
              <w:rPr>
                <w:color w:val="000000" w:themeColor="text1"/>
                <w:highlight w:val="none"/>
              </w:rPr>
            </w:r>
          </w:p>
          <w:p>
            <w:pPr>
              <w:jc w:val="center"/>
              <w:tabs>
                <w:tab w:val="left" w:pos="720" w:leader="none"/>
              </w:tabs>
              <w:rPr>
                <w:rFonts w:hint="eastAsia" w:cs="宋体"/>
                <w:b/>
                <w:color w:val="000000" w:themeColor="text1"/>
                <w:highlight w:val="none"/>
              </w:rPr>
            </w:pPr>
            <w:r>
              <w:rPr>
                <w:rFonts w:hint="eastAsia" w:cs="宋体"/>
                <w:b/>
                <w:bCs/>
                <w:color w:val="000000" w:themeColor="text1"/>
                <w:highlight w:val="none"/>
              </w:rPr>
              <w:t xml:space="preserve">周期</w:t>
            </w:r>
            <w:r>
              <w:rPr>
                <w:color w:val="000000" w:themeColor="text1"/>
                <w:highlight w:val="none"/>
              </w:rPr>
            </w:r>
          </w:p>
        </w:tc>
      </w:tr>
      <w:tr>
        <w:trPr>
          <w:jc w:val="center"/>
          <w:trHeight w:val="90"/>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1</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感知设备清洁</w:t>
            </w:r>
            <w:r>
              <w:rPr>
                <w:color w:val="000000" w:themeColor="text1"/>
                <w:highlight w:val="none"/>
              </w:rPr>
            </w:r>
          </w:p>
        </w:tc>
        <w:tc>
          <w:tcPr>
            <w:tcW w:w="1958" w:type="pct"/>
            <w:vAlign w:val="center"/>
            <w:textDirection w:val="lrTb"/>
            <w:noWrap w:val="false"/>
          </w:tcPr>
          <w:p>
            <w:pPr>
              <w:widowControl/>
              <w:rPr>
                <w:rFonts w:hint="eastAsia" w:cs="宋体"/>
                <w:color w:val="000000" w:themeColor="text1"/>
                <w:highlight w:val="none"/>
              </w:rPr>
            </w:pPr>
            <w:r>
              <w:rPr>
                <w:rFonts w:hint="eastAsia" w:cs="宋体"/>
                <w:color w:val="000000" w:themeColor="text1"/>
                <w:highlight w:val="none"/>
              </w:rPr>
              <w:t xml:space="preserve">使用干净的棉布对摄像机护罩镜头去除污迹或尘灰，检查摄像机的牢固情况，如摄像机镜头出现异物要一并清洁。</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清洁明亮、安装牢固，没有遮挡物。</w:t>
            </w:r>
            <w:r>
              <w:rPr>
                <w:color w:val="000000" w:themeColor="text1"/>
                <w:highlight w:val="none"/>
              </w:rPr>
            </w:r>
          </w:p>
        </w:tc>
        <w:tc>
          <w:tcPr>
            <w:tcW w:w="644"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每季度一次</w:t>
            </w:r>
            <w:r>
              <w:rPr>
                <w:color w:val="000000" w:themeColor="text1"/>
                <w:highlight w:val="none"/>
              </w:rP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2</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设备箱设备清洁</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用毛扫轻轻的对设备箱及箱内设备进行清洁，对光纤头的清洁必须使用专用的清洁带。设备箱后控封堵是否完好，箱内是否有渗水痕迹，箱体外观清理、补漆、补字。风扇和风网清洁。</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设备箱整洁。</w:t>
            </w:r>
            <w:r>
              <w:rPr>
                <w:color w:val="000000" w:themeColor="text1"/>
                <w:highlight w:val="none"/>
              </w:rPr>
            </w:r>
          </w:p>
        </w:tc>
        <w:tc>
          <w:tcPr>
            <w:tcW w:w="644"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每季度一次</w:t>
            </w:r>
            <w:r>
              <w:rPr>
                <w:color w:val="000000" w:themeColor="text1"/>
                <w:highlight w:val="none"/>
              </w:rP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3</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异物遮挡</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巡查发现有异物遮挡感知设备，立即进行处理</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画面无遮挡</w:t>
            </w:r>
            <w:r>
              <w:rPr>
                <w:color w:val="000000" w:themeColor="text1"/>
                <w:highlight w:val="none"/>
              </w:rPr>
            </w:r>
          </w:p>
        </w:tc>
        <w:tc>
          <w:tcPr>
            <w:tcW w:w="644"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每季度一次</w:t>
            </w:r>
            <w:r>
              <w:rPr>
                <w:color w:val="000000" w:themeColor="text1"/>
                <w:highlight w:val="none"/>
              </w:rP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4</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支架检查</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架体、螺栓、扣件及基础等完好性</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画面稳定不晃动</w:t>
            </w:r>
            <w:r>
              <w:rPr>
                <w:color w:val="000000" w:themeColor="text1"/>
                <w:highlight w:val="none"/>
              </w:rPr>
            </w:r>
          </w:p>
        </w:tc>
        <w:tc>
          <w:tcPr>
            <w:tcW w:w="644" w:type="pct"/>
            <w:vAlign w:val="center"/>
            <w:vMerge w:val="restart"/>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每季度一次</w:t>
            </w:r>
            <w:r>
              <w:rPr>
                <w:color w:val="000000" w:themeColor="text1"/>
                <w:highlight w:val="none"/>
              </w:rP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5</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巡检记录表</w:t>
            </w:r>
            <w:r>
              <w:rPr>
                <w:color w:val="000000" w:themeColor="text1"/>
                <w:highlight w:val="none"/>
              </w:rPr>
            </w:r>
          </w:p>
        </w:tc>
        <w:tc>
          <w:tcPr>
            <w:tcW w:w="1958" w:type="pct"/>
            <w:vAlign w:val="center"/>
            <w:textDirection w:val="lrTb"/>
            <w:noWrap w:val="false"/>
          </w:tcPr>
          <w:p>
            <w:pPr>
              <w:widowControl/>
              <w:rPr>
                <w:rFonts w:hint="eastAsia" w:cs="宋体"/>
                <w:color w:val="000000" w:themeColor="text1"/>
                <w:highlight w:val="none"/>
              </w:rPr>
            </w:pPr>
            <w:r>
              <w:rPr>
                <w:rFonts w:hint="eastAsia" w:cs="宋体"/>
                <w:color w:val="000000" w:themeColor="text1"/>
                <w:highlight w:val="none"/>
              </w:rPr>
              <w:t xml:space="preserve">在IDF箱内的巡检记录表要求按时、准确填写完毕</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填写维护内容及时间。</w:t>
            </w:r>
            <w:r>
              <w:rPr>
                <w:color w:val="000000" w:themeColor="text1"/>
                <w:highlight w:val="none"/>
              </w:rPr>
            </w:r>
          </w:p>
        </w:tc>
        <w:tc>
          <w:tcPr>
            <w:tcW w:w="644" w:type="pct"/>
            <w:vAlign w:val="center"/>
            <w:vMerge w:val="continue"/>
            <w:textDirection w:val="lrTb"/>
            <w:noWrap w:val="false"/>
          </w:tcPr>
          <w:p>
            <w:pPr>
              <w:jc w:val="center"/>
              <w:rPr>
                <w:rFonts w:hint="eastAsia" w:cs="宋体"/>
                <w:color w:val="000000"/>
              </w:rPr>
            </w:pPr>
            <w:r>
              <w:rPr>
                <w:rFonts w:hint="eastAsia" w:cs="宋体"/>
                <w:color w:val="000000"/>
              </w:rPr>
            </w: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6</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巡查传输路由</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发现在路由上其他单位需要改造、扩建等情况时，及时汇报甲方，并与相关单位协调迁改等事宜。</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tc>
        <w:tc>
          <w:tcPr>
            <w:tcW w:w="644" w:type="pct"/>
            <w:vAlign w:val="center"/>
            <w:vMerge w:val="continue"/>
            <w:textDirection w:val="lrTb"/>
            <w:noWrap w:val="false"/>
          </w:tcPr>
          <w:p>
            <w:pPr>
              <w:jc w:val="center"/>
              <w:rPr>
                <w:rFonts w:hint="eastAsia" w:cs="宋体"/>
                <w:color w:val="000000"/>
              </w:rPr>
            </w:pPr>
            <w:r>
              <w:rPr>
                <w:rFonts w:hint="eastAsia" w:cs="宋体"/>
                <w:color w:val="000000"/>
              </w:rPr>
            </w: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7</w:t>
            </w:r>
            <w:r>
              <w:rPr>
                <w:color w:val="000000" w:themeColor="text1"/>
                <w:highlight w:val="none"/>
              </w:rPr>
            </w:r>
          </w:p>
        </w:tc>
        <w:tc>
          <w:tcPr>
            <w:tcW w:w="867" w:type="pct"/>
            <w:vAlign w:val="center"/>
            <w:textDirection w:val="lrTb"/>
            <w:noWrap w:val="false"/>
          </w:tcPr>
          <w:p>
            <w:pPr>
              <w:jc w:val="center"/>
              <w:widowControl/>
              <w:rPr>
                <w:rFonts w:hint="eastAsia" w:cs="宋体"/>
                <w:color w:val="000000" w:themeColor="text1"/>
                <w:highlight w:val="none"/>
              </w:rPr>
            </w:pPr>
            <w:r>
              <w:rPr>
                <w:rFonts w:hint="eastAsia" w:cs="宋体"/>
                <w:color w:val="000000" w:themeColor="text1"/>
                <w:highlight w:val="none"/>
              </w:rPr>
              <w:t xml:space="preserve">电源检测</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POE供电设备检查，指示灯是否正常，线路接口是否正常，电压是否稳定</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设备运行正常</w:t>
            </w:r>
            <w:r>
              <w:rPr>
                <w:color w:val="000000" w:themeColor="text1"/>
                <w:highlight w:val="none"/>
              </w:rPr>
            </w:r>
          </w:p>
        </w:tc>
        <w:tc>
          <w:tcPr>
            <w:tcW w:w="644" w:type="pct"/>
            <w:vAlign w:val="center"/>
            <w:vMerge w:val="continue"/>
            <w:textDirection w:val="lrTb"/>
            <w:noWrap w:val="false"/>
          </w:tcPr>
          <w:p>
            <w:pPr>
              <w:jc w:val="center"/>
              <w:widowControl/>
              <w:rPr>
                <w:rFonts w:hint="eastAsia" w:cs="宋体"/>
                <w:color w:val="000000"/>
              </w:rPr>
            </w:pPr>
            <w:r>
              <w:rPr>
                <w:rFonts w:hint="eastAsia" w:cs="宋体"/>
                <w:color w:val="000000"/>
              </w:rPr>
            </w:r>
            <w:r/>
          </w:p>
        </w:tc>
      </w:tr>
      <w:tr>
        <w:trPr>
          <w:jc w:val="center"/>
        </w:trPr>
        <w:tc>
          <w:tcPr>
            <w:tcW w:w="465" w:type="pct"/>
            <w:vAlign w:val="center"/>
            <w:textDirection w:val="lrTb"/>
            <w:noWrap w:val="false"/>
          </w:tcPr>
          <w:p>
            <w:pPr>
              <w:jc w:val="center"/>
              <w:tabs>
                <w:tab w:val="left" w:pos="720" w:leader="none"/>
              </w:tabs>
              <w:rPr>
                <w:rFonts w:hint="eastAsia" w:cs="宋体"/>
                <w:color w:val="000000" w:themeColor="text1"/>
                <w:highlight w:val="none"/>
              </w:rPr>
            </w:pPr>
            <w:r>
              <w:rPr>
                <w:rFonts w:hint="eastAsia" w:cs="宋体"/>
                <w:color w:val="000000" w:themeColor="text1"/>
                <w:highlight w:val="none"/>
              </w:rPr>
              <w:t xml:space="preserve">8</w:t>
            </w:r>
            <w:r>
              <w:rPr>
                <w:color w:val="000000" w:themeColor="text1"/>
                <w:highlight w:val="none"/>
              </w:rPr>
            </w:r>
          </w:p>
        </w:tc>
        <w:tc>
          <w:tcPr>
            <w:tcW w:w="867"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视频质量</w:t>
            </w:r>
            <w:r>
              <w:rPr>
                <w:color w:val="000000" w:themeColor="text1"/>
                <w:highlight w:val="none"/>
              </w:rPr>
            </w:r>
          </w:p>
        </w:tc>
        <w:tc>
          <w:tcPr>
            <w:tcW w:w="1958"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检查网络质量、图像调度质量。</w:t>
            </w:r>
            <w:r>
              <w:rPr>
                <w:color w:val="000000" w:themeColor="text1"/>
                <w:highlight w:val="none"/>
              </w:rPr>
            </w:r>
          </w:p>
        </w:tc>
        <w:tc>
          <w:tcPr>
            <w:tcW w:w="1066" w:type="pct"/>
            <w:vAlign w:val="center"/>
            <w:textDirection w:val="lrTb"/>
            <w:noWrap w:val="false"/>
          </w:tcPr>
          <w:p>
            <w:pPr>
              <w:jc w:val="left"/>
              <w:widowControl/>
              <w:rPr>
                <w:rFonts w:hint="eastAsia" w:cs="宋体"/>
                <w:color w:val="000000" w:themeColor="text1"/>
                <w:highlight w:val="none"/>
              </w:rPr>
            </w:pPr>
            <w:r>
              <w:rPr>
                <w:rFonts w:hint="eastAsia" w:cs="宋体"/>
                <w:color w:val="000000" w:themeColor="text1"/>
                <w:highlight w:val="none"/>
              </w:rPr>
              <w:t xml:space="preserve">图像有无卡顿，是否流畅。对所有图像进行浏览，保证所有图像正常。</w:t>
            </w:r>
            <w:r>
              <w:rPr>
                <w:color w:val="000000" w:themeColor="text1"/>
                <w:highlight w:val="none"/>
              </w:rPr>
            </w:r>
          </w:p>
        </w:tc>
        <w:tc>
          <w:tcPr>
            <w:tcW w:w="644" w:type="pct"/>
            <w:vAlign w:val="center"/>
            <w:vMerge w:val="continue"/>
            <w:textDirection w:val="lrTb"/>
            <w:noWrap w:val="false"/>
          </w:tcPr>
          <w:p>
            <w:pPr>
              <w:jc w:val="left"/>
              <w:widowControl/>
              <w:rPr>
                <w:rFonts w:hint="eastAsia" w:cs="宋体"/>
                <w:color w:val="000000"/>
              </w:rPr>
            </w:pPr>
            <w:r>
              <w:rPr>
                <w:rFonts w:hint="eastAsia" w:cs="宋体"/>
                <w:color w:val="000000"/>
              </w:rPr>
            </w:r>
            <w:r/>
          </w:p>
        </w:tc>
      </w:tr>
    </w:tbl>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中标单位对服务范围内所有设备进行定期巡检服务，及时发现设备的损坏或系统的功能异常。</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中标单位对服务范围内所有设备进行必要的定期保养服务。</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中标单位负责监控平台软件的功能维护及软件版本升级。</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中标单位对采购单位的重大事件和重大活动进行技术支持和现场保障服务。（如一年一度的“两会 ”保障、会议或群体性活动保障等需要配合主办方和公安部门做好相关工作，如保障活动现场监控点的正常运行、故障修复、调取录像等，保障活动的顺利进行）。具体要求如下：</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（1）保障任务所涉及到监控点位的前端及中心端须根据规模分别安排一定数量的专业工程技术人员进行保障。同时配备技术人员在甲方或组委会指定地点进行 24 小时值班，随时响应。</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（2）所有技术人员须做到实时响应、随时排除故障，并配合甲方或组委会完成交办的其他紧急任务。同时必须保障所涉点位视频监控图像 100%的完好率，并做好增加临时点位、点位移位、摄像机角度调整等 工作的施工准备。</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（3）所有的保障任务涉及的费用包含在本次报价中。</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维修时限要求</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当设备及其承载的系统发生故障，中标单位需 2 小时内响应（即在接到采购单位的维修要求后，做出具体的维修安排），同时需满足下列要求：</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1、故障导致监控平台不能正常运行中标方应在4 小时内恢复系统；</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2、外场设备故障中标方应在 8 小时内恢复；</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3、故障不影响平台系统运行则中标方应在 24 小时内恢复系统；</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4、特殊原因导致的故障，如停电原因、道路施工、点位迁移、不可抗力（含极端天气）等因素向派 出所报备的，则对中标方响应时间从特殊原因解除后开始计算；</w:t>
      </w:r>
      <w:r>
        <w:rPr>
          <w:color w:val="000000" w:themeColor="text1"/>
          <w:highlight w:val="none"/>
        </w:rPr>
      </w:r>
    </w:p>
    <w:p>
      <w:pPr>
        <w:ind w:left="121" w:right="57" w:firstLine="401"/>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5、中标方应承担因操作失误而造成故障扩大、数据损坏、误操作等的赔偿和安全责任；</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六、综合说明：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w:t>
      </w:r>
      <w:r>
        <w:rPr>
          <w:rStyle w:val="1062"/>
          <w:rFonts w:hint="eastAsia"/>
          <w:color w:val="000000" w:themeColor="text1"/>
          <w:highlight w:val="none"/>
        </w:rPr>
        <w:t xml:space="preserve">磋商</w:t>
      </w:r>
      <w:r>
        <w:rPr>
          <w:rStyle w:val="1062"/>
          <w:color w:val="000000" w:themeColor="text1"/>
          <w:highlight w:val="none"/>
        </w:rPr>
        <w:t xml:space="preserve">供应商</w:t>
      </w:r>
      <w:r>
        <w:rPr>
          <w:rStyle w:val="1062"/>
          <w:rFonts w:hint="eastAsia"/>
          <w:color w:val="000000" w:themeColor="text1"/>
          <w:highlight w:val="none"/>
        </w:rPr>
        <w:t xml:space="preserve">需</w:t>
      </w:r>
      <w:r>
        <w:rPr>
          <w:rStyle w:val="1062"/>
          <w:color w:val="000000" w:themeColor="text1"/>
          <w:highlight w:val="none"/>
        </w:rPr>
        <w:t xml:space="preserve">在响应文件中明确服务内容</w:t>
      </w:r>
      <w:r>
        <w:rPr>
          <w:rStyle w:val="1062"/>
          <w:rFonts w:hint="eastAsia"/>
          <w:color w:val="000000" w:themeColor="text1"/>
          <w:highlight w:val="none"/>
        </w:rPr>
        <w:t xml:space="preserve">和服务方案</w:t>
      </w:r>
      <w:r>
        <w:rPr>
          <w:rStyle w:val="1062"/>
          <w:color w:val="000000" w:themeColor="text1"/>
          <w:highlight w:val="none"/>
        </w:rPr>
        <w:t xml:space="preserve">。</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2、磋商供应商必须承诺文件中提出的全部要求，如果其中某些条款不响应时，应在文件中逐条列出，未列出的视同响应。</w:t>
      </w:r>
      <w:r>
        <w:rPr>
          <w:color w:val="000000" w:themeColor="text1"/>
          <w:highlight w:val="none"/>
        </w:rPr>
      </w:r>
    </w:p>
    <w:p>
      <w:pPr>
        <w:ind w:firstLine="480"/>
        <w:spacing w:line="360" w:lineRule="auto"/>
        <w:rPr>
          <w:rFonts w:hint="eastAsia" w:cs="宋体"/>
          <w:color w:val="000000" w:themeColor="text1"/>
          <w:highlight w:val="none"/>
        </w:rPr>
      </w:pPr>
      <w:r>
        <w:rPr>
          <w:rFonts w:cs="宋体"/>
          <w:color w:val="000000" w:themeColor="text1"/>
          <w:highlight w:val="none"/>
        </w:rPr>
        <w:t xml:space="preserve">3、磋商供应商应对所投项目的全部内容进行报价，只投其中部分内容者或出现选择性报价的，其响应文件将被拒绝。</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4、其他要求：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4.1供应商在项目进行过程中产生的任何安全、损坏等责任事故一律由供应商自行承担。如遇突发情况，供应商需协助采购人完成需要配合的服务。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4.2供应商需严格按采购文件中规定的时间完成项目全部工作内容，如在实施的过程中出现错误、误差的，供应商需及时更正至采购人确认并经主管部门验收合格。</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4.3本项目不允许转包、分包，发现查实者一律取消合同。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5、本项目报价包括全部标的物及其备品备件、辅助材料、安装、调试、维护、人工、机械、包装、运输、装卸、仓储、保险、运费、各种税费、劳保、专利技术及质保期间等一切费用</w:t>
      </w:r>
      <w:r>
        <w:rPr>
          <w:rStyle w:val="1062"/>
          <w:rFonts w:hint="eastAsia" w:cs="宋体"/>
          <w:color w:val="000000" w:themeColor="text1"/>
          <w:highlight w:val="none"/>
        </w:rPr>
        <w:t xml:space="preserve">。</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w:t>
      </w:r>
      <w:r>
        <w:rPr>
          <w:rFonts w:hint="eastAsia"/>
          <w:bCs/>
          <w:color w:val="000000" w:themeColor="text1"/>
          <w:highlight w:val="none"/>
        </w:rPr>
        <w:t xml:space="preserve">知识产权：成交单位须保障采购人在使用该服务或其任何一部分时不受到第三方关于侵犯专利权、商标权等知识产权的指控。如果任何第三方提出侵权指控，成交单位须与第三方交涉，并承担由此而产生的索赔、损失、损害、支出等一切费用（含律师费）。如采购人因此而遭致损失的，成交单位应赔偿该损失（包括但不限于由此产生的索赔、损失、损害、支出、律师费、调查费等一切费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7、服务期限：自合同签订之日起三年，具体时间以采购单位通知为准。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8、服务地点：采购人指定地点。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9、验收：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（1）验收时间：</w:t>
      </w:r>
      <w:r>
        <w:rPr>
          <w:rFonts w:hint="eastAsia" w:cs="宋体"/>
          <w:color w:val="000000" w:themeColor="text1"/>
          <w:highlight w:val="none"/>
          <w:lang w:val="en-US" w:eastAsia="zh-CN"/>
        </w:rPr>
        <w:t xml:space="preserve">2025年7月1日前完成40%项目进度，11月完工并完成验收工作。</w:t>
      </w:r>
      <w:r>
        <w:rPr>
          <w:rFonts w:hint="eastAsia" w:cs="宋体"/>
          <w:color w:val="000000" w:themeColor="text1"/>
          <w:highlight w:val="none"/>
        </w:rPr>
        <w:t xml:space="preserve">（2）验收标准：</w:t>
      </w:r>
      <w:r>
        <w:rPr>
          <w:rFonts w:hint="eastAsia" w:cs="宋体"/>
          <w:color w:val="000000" w:themeColor="text1"/>
          <w:highlight w:val="none"/>
          <w:lang w:val="zh-CN"/>
        </w:rPr>
        <w:t xml:space="preserve">根据采购文件、成交单位的响应文件、双方签订的合同文件及其附件的规定和现行法律、规范及规定</w:t>
      </w:r>
      <w:r>
        <w:rPr>
          <w:rFonts w:hint="eastAsia" w:cs="宋体"/>
          <w:color w:val="000000" w:themeColor="text1"/>
          <w:highlight w:val="none"/>
        </w:rPr>
        <w:t xml:space="preserve">。</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10、售后服务：服务期内提供免费质保期；自验收合格之日起，开始进入质保期，一旦响应产品发生质量问题，中标单位应以优良的服务态度2小时内响应，8小时内到达现场，24小时内解决采购方提出的问题。如供应商在接到通知后24小时内没有答复或处理问题，则视为供应商承认质量问题并承担由此而发生的一切费用。保修期间内一切质量问题造成的直接经济损失应全部由供应商自行负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10、付款方式：</w:t>
      </w:r>
      <w:r>
        <w:rPr>
          <w:rFonts w:hint="eastAsia" w:cs="宋体"/>
          <w:color w:val="000000" w:themeColor="text1"/>
          <w:highlight w:val="none"/>
        </w:rPr>
        <w:t xml:space="preserve">按季度付款。合同生效后90天内支付第一笔季度款，季度付款金额=合同总金额/12。</w:t>
      </w:r>
      <w:bookmarkStart w:id="21" w:name="_GoBack"/>
      <w:r>
        <w:rPr>
          <w:color w:val="000000" w:themeColor="text1"/>
          <w:highlight w:val="none"/>
        </w:rPr>
      </w:r>
      <w:bookmarkEnd w:id="21"/>
      <w:r>
        <w:rPr>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注：上述付款方式可在甲乙双方签订合同时根据《苏财购[2020]42号》文件相关内容进行调整。</w:t>
      </w:r>
      <w:r>
        <w:rPr>
          <w:color w:val="000000" w:themeColor="text1"/>
          <w:highlight w:val="none"/>
        </w:rPr>
      </w:r>
    </w:p>
    <w:p>
      <w:pPr>
        <w:ind w:firstLine="480"/>
        <w:spacing w:line="360" w:lineRule="auto"/>
        <w:rPr>
          <w:rStyle w:val="1062"/>
          <w:rFonts w:hint="eastAsia" w:cs="宋体"/>
          <w:color w:val="000000" w:themeColor="text1"/>
          <w:highlight w:val="none"/>
        </w:rPr>
      </w:pPr>
      <w:r>
        <w:rPr>
          <w:rStyle w:val="1062"/>
          <w:rFonts w:hint="eastAsia" w:cs="宋体"/>
          <w:color w:val="000000" w:themeColor="text1"/>
          <w:highlight w:val="none"/>
        </w:rPr>
        <w:t xml:space="preserve">付款前，乙方需先向甲方提供：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（1）合格的发票。</w:t>
      </w:r>
      <w:r>
        <w:rPr>
          <w:color w:val="000000" w:themeColor="text1"/>
          <w:highlight w:val="none"/>
        </w:rPr>
      </w:r>
    </w:p>
    <w:p>
      <w:pPr>
        <w:ind w:firstLine="480"/>
        <w:spacing w:line="360" w:lineRule="auto"/>
        <w:rPr>
          <w:rFonts w:hint="eastAsia" w:cs="宋体"/>
          <w:color w:val="000000" w:themeColor="text1"/>
          <w:sz w:val="21"/>
          <w:szCs w:val="21"/>
          <w:highlight w:val="none"/>
        </w:rPr>
      </w:pPr>
      <w:r>
        <w:rPr>
          <w:rFonts w:hint="eastAsia" w:cs="宋体"/>
          <w:color w:val="000000" w:themeColor="text1"/>
          <w:highlight w:val="none"/>
        </w:rPr>
        <w:t xml:space="preserve">（2）由甲乙双方及采购代理机构签章的《政府采购合同履行验收报告》。</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11、凡涉及采购文件的补充说明和修改，均以最后在苏州市政府采购网发布的内容。</w:t>
      </w:r>
      <w:r>
        <w:rPr>
          <w:color w:val="000000" w:themeColor="text1"/>
          <w:highlight w:val="none"/>
        </w:rPr>
      </w:r>
    </w:p>
    <w:p>
      <w:pPr>
        <w:ind w:firstLine="480"/>
        <w:spacing w:line="360" w:lineRule="auto"/>
        <w:rPr>
          <w:rFonts w:hint="eastAsia" w:cs="宋体"/>
          <w:b/>
          <w:bCs/>
          <w:color w:val="000000" w:themeColor="text1"/>
          <w:highlight w:val="none"/>
        </w:rPr>
      </w:pPr>
      <w:r>
        <w:rPr>
          <w:rFonts w:hint="eastAsia" w:cs="宋体"/>
          <w:b/>
          <w:bCs/>
          <w:color w:val="000000" w:themeColor="text1"/>
          <w:highlight w:val="none"/>
        </w:rPr>
        <w:t xml:space="preserve">七、政府采购政策</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（1）根据《关于贯彻执行绿色采购、促进残疾人就业和支持监狱企业发</w:t>
      </w:r>
      <w:r>
        <w:rPr>
          <w:rFonts w:hint="eastAsia" w:cs="宋体"/>
          <w:color w:val="000000" w:themeColor="text1"/>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拟采购产品属于政府采购节能产品品目清单（强制采购）范围内的，投标人须按照上述要求并依据国家相关标准的最新版本在其响应文件中提供对应认证证书复印件，否则视为未实质性响应采购文件要求。</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拟采购产品属于政府采购节能产品（优先采购）、环境标志产品品目清单范围内的，投标人可按照上述要求并依据国家相关标准的最新版本在其响应文件中提供对应认证证书复印件。在报价相同的前提下，属于政府采购节能产品（优先采购）、环境标志产品品目清单范围内的响应产品最多的优先成交。</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（2）政府采购促进残疾人就业和支持监狱企业发展政策 </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符合《关于促进残疾人就业政府采购政策的通知》（财库〔2017〕141号）、《关于政府采购支持监狱企业发展有关问题的通知》（财库〔2014〕68号）等文件，对属于监狱企业、残疾人企业给予价格评审加分。投标认为残疾人企业和监狱企业的，其价格在评审时给予20%的扣除，用扣除后的价格参与评审。若最后成交，成交价格则以实际投标报价为准。残疾人企业和监狱企业属于小型、微型企业的，不重复享受政策，以折扣最优的为准。一个项目中包含多项货物采购的，按其中可以认定为小微企业生产产品的价格或价值部分给予价格折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磋商响应文件中未提供相关材料、资料的，不享受评审优惠政策。</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如投标人提供虚假材料，将按“政府采购法”相关规定处理并由政府监管部门给予严肃处理。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（3）小微企业的价格分评审：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①根据财政部、工业和信息化部关于印发《政府采购促进中小企业发展管理办法》的通知要求执行。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在政府采购活动中，供应商提供的服务符合下列情形的，享受本办法规定的中小企业扶持政策：在服务采购项目中，服务由中小企业承接，即提供服务的人员为中小企业依照《中华人民共和国劳动民法典》 订立劳动合同的从业人员。</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明确本项目相关内容：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中小企业参加政府采购活动，应当在投标文件中出具本办法规定的《中小企业声明函》。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依据本办法规定享受扶持政策获得政府采购合同的，小微企业不得将合同分包给大中型企业，中型企业不得将合同分包给大型企业； </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采购人认为具备相关条件的，对中小企业在资金支付期限、预付款比例等方面按合同内容执行；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采购标的对应的中小企业划分标准所属行业为“其他未列明行业”。</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t xml:space="preserve">法律法规和省级以上人民政府财政部门规定的其他事项。</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②价格分的折扣：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依据（江苏省财政厅文件：苏财购〔2020〕19号）新冠肺炎疫情防控期间加大政府采购支持中小微企业力度的通知，对于小型企业和微型企业产品或服务的价格给予20%的扣除，用扣除后的价格参与评审。    </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（4）凡涉及招标文件的补充说明和修改，均以苏州市政府采购网、江苏政府采购网上公示的补充通知为准。</w:t>
      </w:r>
      <w:r>
        <w:rPr>
          <w:color w:val="000000" w:themeColor="text1"/>
          <w:highlight w:val="none"/>
        </w:rPr>
      </w:r>
    </w:p>
    <w:p>
      <w:pPr>
        <w:ind w:left="567"/>
        <w:jc w:val="center"/>
        <w:spacing w:line="360" w:lineRule="auto"/>
        <w:tabs>
          <w:tab w:val="left" w:pos="567" w:leader="none"/>
        </w:tabs>
        <w:rPr>
          <w:rFonts w:hint="eastAsia" w:cs="宋体"/>
          <w:b/>
          <w:bCs/>
          <w:color w:val="000000" w:themeColor="text1"/>
          <w:highlight w:val="none"/>
        </w:rPr>
      </w:pPr>
      <w:r>
        <w:rPr>
          <w:rFonts w:hint="eastAsia" w:cs="宋体"/>
          <w:b/>
          <w:bCs/>
          <w:color w:val="000000" w:themeColor="text1"/>
          <w:sz w:val="44"/>
          <w:szCs w:val="44"/>
          <w:highlight w:val="none"/>
        </w:rPr>
        <w:br w:type="page" w:clear="all"/>
      </w:r>
      <w:bookmarkStart w:id="16" w:name="_Toc23740"/>
      <w:r>
        <w:rPr>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jc w:val="center"/>
        <w:tabs>
          <w:tab w:val="left" w:pos="567" w:leader="none"/>
        </w:tabs>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ind w:left="567"/>
        <w:jc w:val="center"/>
        <w:spacing w:line="480" w:lineRule="auto"/>
        <w:tabs>
          <w:tab w:val="left" w:pos="567" w:leader="none"/>
        </w:tabs>
        <w:rPr>
          <w:rStyle w:val="1055"/>
          <w:rFonts w:hint="eastAsia" w:cs="宋体"/>
          <w:b/>
          <w:bCs/>
          <w:color w:val="000000" w:themeColor="text1"/>
          <w:sz w:val="44"/>
          <w:szCs w:val="44"/>
          <w:highlight w:val="none"/>
          <w:u w:val="none"/>
        </w:rPr>
        <w:outlineLvl w:val="0"/>
      </w:pPr>
      <w:r>
        <w:rPr>
          <w:color w:val="000000" w:themeColor="text1"/>
          <w:highlight w:val="none"/>
        </w:rPr>
      </w:r>
      <w:bookmarkStart w:id="17" w:name="_Toc11448"/>
      <w:r>
        <w:rPr>
          <w:rFonts w:hint="eastAsia" w:cs="宋体"/>
          <w:b/>
          <w:bCs/>
          <w:color w:val="000000" w:themeColor="text1"/>
          <w:sz w:val="44"/>
          <w:szCs w:val="44"/>
          <w:highlight w:val="none"/>
        </w:rPr>
        <w:t xml:space="preserve">第五章 </w:t>
      </w:r>
      <w:r>
        <w:rPr>
          <w:color w:val="000000" w:themeColor="text1"/>
          <w:highlight w:val="none"/>
        </w:rPr>
        <w:fldChar w:fldCharType="begin"/>
      </w:r>
      <w:r>
        <w:rPr>
          <w:color w:val="000000" w:themeColor="text1"/>
          <w:highlight w:val="none"/>
        </w:rPr>
        <w:instrText xml:space="preserve"> HYPERLINK \l "合同一般条款" </w:instrText>
      </w:r>
      <w:r>
        <w:rPr>
          <w:color w:val="000000" w:themeColor="text1"/>
          <w:highlight w:val="none"/>
        </w:rPr>
        <w:fldChar w:fldCharType="separate"/>
      </w:r>
      <w:r>
        <w:rPr>
          <w:rStyle w:val="1055"/>
          <w:rFonts w:hint="eastAsia" w:cs="宋体"/>
          <w:b/>
          <w:bCs/>
          <w:color w:val="000000" w:themeColor="text1"/>
          <w:sz w:val="44"/>
          <w:szCs w:val="44"/>
          <w:highlight w:val="none"/>
          <w:u w:val="none"/>
        </w:rPr>
        <w:t xml:space="preserve">合同主要条款</w:t>
      </w:r>
      <w:r>
        <w:rPr>
          <w:rStyle w:val="1055"/>
          <w:rFonts w:hint="eastAsia" w:cs="宋体"/>
          <w:b/>
          <w:bCs/>
          <w:color w:val="000000" w:themeColor="text1"/>
          <w:sz w:val="44"/>
          <w:szCs w:val="44"/>
          <w:highlight w:val="none"/>
          <w:u w:val="none"/>
        </w:rPr>
        <w:fldChar w:fldCharType="end"/>
      </w:r>
      <w:bookmarkEnd w:id="16"/>
      <w:r>
        <w:rPr>
          <w:color w:val="000000" w:themeColor="text1"/>
          <w:highlight w:val="none"/>
        </w:rPr>
      </w:r>
      <w:bookmarkEnd w:id="17"/>
      <w:r>
        <w:rPr>
          <w:color w:val="000000" w:themeColor="text1"/>
          <w:highlight w:val="none"/>
        </w:rPr>
      </w:r>
      <w:r>
        <w:rPr>
          <w:color w:val="000000" w:themeColor="text1"/>
          <w:highlight w:val="none"/>
        </w:rPr>
      </w:r>
    </w:p>
    <w:p>
      <w:pPr>
        <w:jc w:val="center"/>
        <w:spacing w:line="360" w:lineRule="auto"/>
        <w:rPr>
          <w:rFonts w:hint="eastAsia" w:cs="宋体"/>
          <w:b/>
          <w:bCs/>
          <w:color w:val="000000" w:themeColor="text1"/>
          <w:sz w:val="32"/>
          <w:szCs w:val="32"/>
          <w:highlight w:val="none"/>
        </w:rPr>
      </w:pPr>
      <w:r>
        <w:rPr>
          <w:rStyle w:val="1055"/>
          <w:rFonts w:hint="eastAsia" w:cs="宋体"/>
          <w:b/>
          <w:bCs/>
          <w:color w:val="000000" w:themeColor="text1"/>
          <w:sz w:val="44"/>
          <w:szCs w:val="44"/>
          <w:highlight w:val="none"/>
          <w:u w:val="none"/>
        </w:rPr>
        <w:br w:type="page" w:clear="all"/>
      </w:r>
      <w:r>
        <w:rPr>
          <w:rFonts w:hint="eastAsia" w:cs="宋体"/>
          <w:b/>
          <w:bCs/>
          <w:color w:val="000000" w:themeColor="text1"/>
          <w:sz w:val="32"/>
          <w:szCs w:val="32"/>
          <w:highlight w:val="none"/>
        </w:rPr>
        <w:t xml:space="preserve">合同主要条款</w:t>
      </w:r>
      <w:r>
        <w:rPr>
          <w:color w:val="000000" w:themeColor="text1"/>
          <w:highlight w:val="none"/>
        </w:rPr>
      </w:r>
    </w:p>
    <w:p>
      <w:pPr>
        <w:ind w:firstLine="480"/>
        <w:spacing w:line="360" w:lineRule="auto"/>
        <w:rPr>
          <w:rFonts w:hint="eastAsia"/>
          <w:color w:val="000000" w:themeColor="text1"/>
          <w:szCs w:val="20"/>
          <w:highlight w:val="none"/>
        </w:rPr>
      </w:pPr>
      <w:r>
        <w:rPr>
          <w:color w:val="000000" w:themeColor="text1"/>
          <w:szCs w:val="20"/>
          <w:highlight w:val="none"/>
        </w:rPr>
        <w:t xml:space="preserve">依据甲方委托</w:t>
      </w:r>
      <w:r>
        <w:rPr>
          <w:rFonts w:hint="eastAsia"/>
          <w:color w:val="000000" w:themeColor="text1"/>
          <w:szCs w:val="20"/>
          <w:highlight w:val="none"/>
          <w:u w:val="single"/>
        </w:rPr>
        <w:t xml:space="preserve">苏州合亿盛工程咨询有限公司</w:t>
      </w:r>
      <w:r>
        <w:rPr>
          <w:color w:val="000000" w:themeColor="text1"/>
          <w:szCs w:val="20"/>
          <w:highlight w:val="none"/>
        </w:rPr>
        <w:t xml:space="preserve">进行本项目政府采购</w:t>
      </w:r>
      <w:r>
        <w:rPr>
          <w:color w:val="000000" w:themeColor="text1"/>
          <w:szCs w:val="20"/>
          <w:highlight w:val="none"/>
          <w:u w:val="single"/>
        </w:rPr>
        <w:t xml:space="preserve">（采购编号：</w:t>
      </w:r>
      <w:r>
        <w:rPr>
          <w:rFonts w:hint="eastAsia"/>
          <w:color w:val="000000" w:themeColor="text1"/>
          <w:highlight w:val="none"/>
          <w:u w:val="single"/>
        </w:rPr>
        <w:t xml:space="preserve">JSZC-320591-SHYS-G2025-0006</w:t>
      </w:r>
      <w:r>
        <w:rPr>
          <w:color w:val="000000" w:themeColor="text1"/>
          <w:szCs w:val="20"/>
          <w:highlight w:val="none"/>
          <w:u w:val="single"/>
        </w:rPr>
        <w:t xml:space="preserve">）</w:t>
      </w:r>
      <w:r>
        <w:rPr>
          <w:color w:val="000000" w:themeColor="text1"/>
          <w:szCs w:val="20"/>
          <w:highlight w:val="none"/>
        </w:rPr>
        <w:t xml:space="preserve">的采购结果，确定乙方为本次成交供应商，现依照采购文件、乙方的响应文件及相关文件的内容，签订本合同书。</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一、合同标的物和合同价格组成</w:t>
      </w:r>
      <w:r>
        <w:rPr>
          <w:color w:val="000000" w:themeColor="text1"/>
          <w:highlight w:val="none"/>
        </w:rPr>
      </w:r>
    </w:p>
    <w:p>
      <w:pPr>
        <w:ind w:firstLine="480"/>
        <w:spacing w:line="360" w:lineRule="auto"/>
        <w:tabs>
          <w:tab w:val="left" w:pos="7560" w:leader="none"/>
        </w:tabs>
        <w:rPr>
          <w:rFonts w:hint="eastAsia" w:cs="宋体"/>
          <w:color w:val="000000" w:themeColor="text1"/>
          <w:highlight w:val="none"/>
        </w:rPr>
      </w:pPr>
      <w:r>
        <w:rPr>
          <w:rFonts w:hint="eastAsia" w:cs="宋体"/>
          <w:color w:val="000000" w:themeColor="text1"/>
          <w:highlight w:val="none"/>
        </w:rPr>
        <w:t xml:space="preserve">1.1采购的服务内容概述；</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1.2服务具体范围，</w:t>
      </w:r>
      <w:r>
        <w:rPr>
          <w:rFonts w:hint="eastAsia" w:cs="宋体"/>
          <w:b/>
          <w:color w:val="000000" w:themeColor="text1"/>
          <w:highlight w:val="none"/>
        </w:rPr>
        <w:t xml:space="preserve">详见第四章；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1.3服务期限，</w:t>
      </w:r>
      <w:r>
        <w:rPr>
          <w:rFonts w:hint="eastAsia" w:cs="宋体"/>
          <w:b/>
          <w:color w:val="000000" w:themeColor="text1"/>
          <w:highlight w:val="none"/>
        </w:rPr>
        <w:t xml:space="preserve">详见第四章；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1.4合同价款的组成：合同价款包含甲方应付乙方的全部款项，</w:t>
      </w:r>
      <w:r>
        <w:rPr>
          <w:rFonts w:hint="eastAsia" w:cs="宋体"/>
          <w:b/>
          <w:color w:val="000000" w:themeColor="text1"/>
          <w:highlight w:val="none"/>
        </w:rPr>
        <w:t xml:space="preserve">详见第四章。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二、下列文件为本合同不可分割部分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2.1成交通知书；</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2.2乙方成交的响应文件；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2.3采购文件；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2.4乙方在磋商过程中所作的其它承诺、声明、书面澄清等。</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三、合同价格支付</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3.1支付步骤和比例，</w:t>
      </w:r>
      <w:r>
        <w:rPr>
          <w:rFonts w:hint="eastAsia" w:cs="宋体"/>
          <w:b/>
          <w:color w:val="000000" w:themeColor="text1"/>
          <w:highlight w:val="none"/>
        </w:rPr>
        <w:t xml:space="preserve">详见第四章。</w:t>
      </w:r>
      <w:r>
        <w:rPr>
          <w:color w:val="000000" w:themeColor="text1"/>
          <w:highlight w:val="none"/>
        </w:rPr>
      </w:r>
    </w:p>
    <w:p>
      <w:pPr>
        <w:ind w:firstLine="480"/>
        <w:spacing w:line="360" w:lineRule="auto"/>
        <w:rPr>
          <w:rFonts w:hint="eastAsia" w:cs="宋体"/>
          <w:i/>
          <w:iCs/>
          <w:color w:val="000000" w:themeColor="text1"/>
          <w:highlight w:val="none"/>
        </w:rPr>
      </w:pPr>
      <w:r>
        <w:rPr>
          <w:rFonts w:hint="eastAsia" w:cs="宋体"/>
          <w:color w:val="000000" w:themeColor="text1"/>
          <w:highlight w:val="none"/>
        </w:rPr>
        <w:t xml:space="preserve">3.2根据现行税法对甲方征收的与本合同有关的一切税费均由甲方承担；根据现行税法对乙方征收的与本合同有关的一切税费均由乙方承担。</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3.3乙方要求付款应提供以下资料：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（1）合格的发票。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（2）由甲乙双方及采购代理机构签章的《政府采购合同履行验收报告》。</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3.4支付方式：银行转账、银行汇票或转账支票，具体支付方式甲方有权根据财务安排自主选择。</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bCs/>
          <w:color w:val="000000" w:themeColor="text1"/>
          <w:highlight w:val="none"/>
        </w:rPr>
        <w:t xml:space="preserve">四、服务工作管理</w:t>
      </w:r>
      <w:r>
        <w:rPr>
          <w:color w:val="000000" w:themeColor="text1"/>
          <w:highlight w:val="none"/>
        </w:rPr>
      </w:r>
    </w:p>
    <w:p>
      <w:pPr>
        <w:ind w:firstLine="482"/>
        <w:spacing w:line="360" w:lineRule="auto"/>
        <w:rPr>
          <w:rFonts w:hint="eastAsia" w:cs="宋体"/>
          <w:color w:val="000000" w:themeColor="text1"/>
          <w:highlight w:val="none"/>
        </w:rPr>
      </w:pPr>
      <w:r>
        <w:rPr>
          <w:rFonts w:hint="eastAsia" w:cs="宋体"/>
          <w:b/>
          <w:color w:val="000000" w:themeColor="text1"/>
          <w:highlight w:val="none"/>
        </w:rPr>
        <w:t xml:space="preserve">详见第四章</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五、不可抗力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5.1因不可抗力不能履行合同的，根据不可抗力的影响，部分或者全部免除责任。但合同一方延迟履行后发生不可抗力的，不能免除责任。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5.2合同一方因不可抗力不能履行合同的，应当及时通知对方，以减轻可能给对方造成的损失，并应当在合理期限内提供证明。</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六、合同的解除和转让</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6.1甲方和乙方协商一致，可以解除合同。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6.2有下列情形之一，合同一方可以解除合同：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6.2.1因不可抗力致使不能实现合同目的，未受不可抗力影响的一方有权解除合同；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6.2.2因合同一方违约导致合同不能履行，另一方有权解除合同；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6.2.3因乙方在履行合同过程中造成社会不良影响的，甲方有权解除合同。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6.3有权解除合同的一方，应当在违约事实或不可抗力发生之后三十天内书面通知对方以主张解除合同，合同在书面通知到达对方时解除。</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6.4合同的部分和全部都不得转让。</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七、违约责任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7.1合同一方不履行合同义务或者履行合同义务不符合约定的，应当承担继续履行、采取补救措施或赔偿损失等违约责任。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7.2甲方违约责任。甲方未按照约定时间支付合同价款的，应当承担逾期付款违约责任。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7.3乙方违约责任。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7.3.1甲方有权按照规定对乙方进行考核，并按照考核办法的规定要求乙方承担相应责任。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7.3.2乙方承担的违约金不足以赔偿甲方实际损失的，甲方有权要求乙方继续赔偿。</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7.3.3乙方履行合同不符合合同要求的，甲方有权责令乙方立即改正，乙方拒不改正或已经造成不良社会影响的，甲方有权要求乙方承担责任。</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bCs/>
          <w:color w:val="000000" w:themeColor="text1"/>
          <w:highlight w:val="none"/>
        </w:rPr>
        <w:t xml:space="preserve">八、争议解决办法</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因本合同或与本合同有关的一切事项发生争议，由双方友好协商解决。协商不成的，任何一方均可以向甲方所在地人民法院起诉。</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九、合同生效</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本合同在双方签字盖章后生效。</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十、其他</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none"/>
        </w:rPr>
      </w:r>
    </w:p>
    <w:p>
      <w:pPr>
        <w:ind w:firstLine="480"/>
        <w:spacing w:line="360" w:lineRule="auto"/>
        <w:rPr>
          <w:rFonts w:hint="eastAsia" w:cs="宋体"/>
          <w:bCs/>
          <w:color w:val="000000" w:themeColor="text1"/>
          <w:highlight w:val="none"/>
        </w:rPr>
      </w:pPr>
      <w:r>
        <w:rPr>
          <w:rFonts w:hint="eastAsia" w:cs="宋体"/>
          <w:bCs/>
          <w:color w:val="000000" w:themeColor="text1"/>
          <w:highlight w:val="none"/>
        </w:rPr>
        <w:t xml:space="preserve">十一、附则</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11.1本合同一式四份，甲方、乙方各执一份，政府采购监督管理部门备案一份，采购代理机构一份。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11.2本合同文件使用中文书写、解释和说明。</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11.3本合同履行过程中产生的纪要、协议以及成交通知书、响应文件和采购文件为本合同的附件，与合同具有同等效力。</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11.4未尽事宜</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按《中华人民共和国政府采购法》及其他有关的法律法规的规定执行。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甲方：                                 乙方：                     </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法定代表人（授权代表）：               法定代表人（授权代表）：   </w:t>
      </w:r>
      <w:r>
        <w:rPr>
          <w:color w:val="000000" w:themeColor="text1"/>
          <w:highlight w:val="none"/>
        </w:rPr>
      </w:r>
    </w:p>
    <w:p>
      <w:pPr>
        <w:spacing w:line="360" w:lineRule="auto"/>
        <w:rPr>
          <w:rFonts w:hint="eastAsia" w:cs="宋体"/>
          <w:color w:val="000000" w:themeColor="text1"/>
          <w:highlight w:val="none"/>
        </w:rPr>
      </w:pPr>
      <w:r>
        <w:rPr>
          <w:rFonts w:hint="eastAsia" w:cs="宋体"/>
          <w:color w:val="000000" w:themeColor="text1"/>
          <w:highlight w:val="none"/>
        </w:rPr>
        <w:t xml:space="preserve"> </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签约日期：                             签约日期：</w:t>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pStyle w:val="841"/>
        <w:rPr>
          <w:rFonts w:hint="eastAsia"/>
          <w:color w:val="000000" w:themeColor="text1"/>
          <w:highlight w:val="none"/>
        </w:rPr>
      </w:pPr>
      <w:r>
        <w:rPr>
          <w:rFonts w:hint="eastAsia"/>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spacing w:line="360" w:lineRule="auto"/>
        <w:rPr>
          <w:rFonts w:hint="eastAsia" w:cs="宋体"/>
          <w:bCs/>
          <w:color w:val="000000" w:themeColor="text1"/>
          <w:highlight w:val="none"/>
        </w:rPr>
      </w:pPr>
      <w:r>
        <w:rPr>
          <w:rFonts w:hint="eastAsia" w:cs="宋体"/>
          <w:b/>
          <w:color w:val="000000" w:themeColor="text1"/>
          <w:highlight w:val="none"/>
        </w:rPr>
        <w:br w:type="page" w:clear="all"/>
      </w:r>
      <w:r>
        <w:rPr>
          <w:rFonts w:hint="eastAsia" w:cs="宋体"/>
          <w:bCs/>
          <w:color w:val="000000" w:themeColor="text1"/>
          <w:highlight w:val="none"/>
        </w:rPr>
        <w:t xml:space="preserve">附件1：</w:t>
      </w:r>
      <w:r>
        <w:rPr>
          <w:color w:val="000000" w:themeColor="text1"/>
          <w:highlight w:val="none"/>
        </w:rPr>
      </w:r>
    </w:p>
    <w:p>
      <w:pPr>
        <w:pStyle w:val="826"/>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政府采购合同信用融资政策告知函</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各政府采购供应商: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欢迎贵公司参加苏州市政府采购活动!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br w:type="page" w:clear="all"/>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1078"/>
        <w:ind w:firstLine="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p>
    <w:p>
      <w:pPr>
        <w:rPr>
          <w:rFonts w:hint="eastAsia" w:cs="宋体"/>
          <w:b/>
          <w:color w:val="000000" w:themeColor="text1"/>
          <w:highlight w:val="none"/>
        </w:rPr>
      </w:pPr>
      <w:r>
        <w:rPr>
          <w:rFonts w:hint="eastAsia" w:cs="宋体"/>
          <w:b/>
          <w:color w:val="000000" w:themeColor="text1"/>
          <w:highlight w:val="none"/>
        </w:rPr>
      </w:r>
      <w:r>
        <w:rPr>
          <w:color w:val="000000" w:themeColor="text1"/>
          <w:highlight w:val="none"/>
        </w:rPr>
      </w:r>
    </w:p>
    <w:p>
      <w:pPr>
        <w:jc w:val="center"/>
        <w:rPr>
          <w:rFonts w:hint="eastAsia" w:cs="宋体"/>
          <w:b/>
          <w:bCs/>
          <w:color w:val="000000" w:themeColor="text1"/>
          <w:sz w:val="44"/>
          <w:szCs w:val="44"/>
          <w:highlight w:val="none"/>
        </w:rPr>
      </w:pPr>
      <w:r>
        <w:rPr>
          <w:rFonts w:hint="eastAsia" w:cs="宋体"/>
          <w:b/>
          <w:bCs/>
          <w:color w:val="000000" w:themeColor="text1"/>
          <w:sz w:val="44"/>
          <w:szCs w:val="44"/>
          <w:highlight w:val="none"/>
        </w:rPr>
      </w:r>
      <w:r>
        <w:rPr>
          <w:color w:val="000000" w:themeColor="text1"/>
          <w:highlight w:val="none"/>
        </w:rPr>
      </w:r>
    </w:p>
    <w:p>
      <w:pPr>
        <w:jc w:val="center"/>
        <w:rPr>
          <w:rFonts w:hint="eastAsia" w:cs="宋体"/>
          <w:b/>
          <w:bCs/>
          <w:color w:val="000000" w:themeColor="text1"/>
          <w:sz w:val="44"/>
          <w:szCs w:val="44"/>
          <w:highlight w:val="none"/>
        </w:rPr>
        <w:outlineLvl w:val="0"/>
      </w:pPr>
      <w:r>
        <w:rPr>
          <w:color w:val="000000" w:themeColor="text1"/>
          <w:highlight w:val="none"/>
        </w:rPr>
      </w:r>
      <w:bookmarkStart w:id="18" w:name="_Toc24904"/>
      <w:r>
        <w:rPr>
          <w:color w:val="000000" w:themeColor="text1"/>
          <w:highlight w:val="none"/>
        </w:rPr>
      </w:r>
      <w:bookmarkStart w:id="19" w:name="_Toc21699"/>
      <w:r>
        <w:rPr>
          <w:rFonts w:hint="eastAsia" w:cs="宋体"/>
          <w:b/>
          <w:bCs/>
          <w:color w:val="000000" w:themeColor="text1"/>
          <w:sz w:val="44"/>
          <w:szCs w:val="44"/>
          <w:highlight w:val="none"/>
        </w:rPr>
        <w:t xml:space="preserve">第六章 </w:t>
      </w:r>
      <w:bookmarkEnd w:id="18"/>
      <w:r>
        <w:rPr>
          <w:rFonts w:hint="eastAsia" w:cs="宋体"/>
          <w:b/>
          <w:bCs/>
          <w:color w:val="000000" w:themeColor="text1"/>
          <w:sz w:val="44"/>
          <w:szCs w:val="44"/>
          <w:highlight w:val="none"/>
        </w:rPr>
        <w:t xml:space="preserve"> 评标办法</w:t>
      </w:r>
      <w:bookmarkEnd w:id="19"/>
      <w:r>
        <w:rPr>
          <w:color w:val="000000" w:themeColor="text1"/>
          <w:highlight w:val="none"/>
        </w:rPr>
      </w:r>
      <w:r>
        <w:rPr>
          <w:color w:val="000000" w:themeColor="text1"/>
          <w:highlight w:val="none"/>
        </w:rPr>
      </w:r>
    </w:p>
    <w:p>
      <w:pPr>
        <w:rPr>
          <w:rFonts w:hint="eastAsia" w:cs="宋体"/>
          <w:b/>
          <w:bCs/>
          <w:color w:val="000000" w:themeColor="text1"/>
          <w:highlight w:val="none"/>
        </w:rPr>
      </w:pPr>
      <w:r>
        <w:rPr>
          <w:color w:val="000000" w:themeColor="text1"/>
          <w:highlight w:val="none"/>
        </w:rPr>
      </w:r>
      <w:bookmarkStart w:id="20" w:name="_Toc7345"/>
      <w:r>
        <w:rPr>
          <w:rFonts w:hint="eastAsia" w:cs="宋体"/>
          <w:b/>
          <w:bCs/>
          <w:color w:val="000000" w:themeColor="text1"/>
          <w:highlight w:val="none"/>
        </w:rPr>
        <w:br w:type="page" w:clear="all"/>
      </w:r>
      <w:r>
        <w:rPr>
          <w:color w:val="000000" w:themeColor="text1"/>
          <w:highlight w:val="none"/>
        </w:rPr>
      </w:r>
    </w:p>
    <w:p>
      <w:pPr>
        <w:ind w:firstLine="480"/>
        <w:spacing w:line="356" w:lineRule="auto"/>
        <w:rPr>
          <w:rFonts w:hint="eastAsia" w:cs="宋体"/>
          <w:b/>
          <w:bCs/>
          <w:color w:val="000000" w:themeColor="text1"/>
          <w:highlight w:val="none"/>
        </w:rPr>
      </w:pPr>
      <w:r>
        <w:rPr>
          <w:rFonts w:hint="eastAsia" w:cs="宋体"/>
          <w:b/>
          <w:bCs/>
          <w:color w:val="000000" w:themeColor="text1"/>
          <w:highlight w:val="none"/>
        </w:rPr>
        <w:t xml:space="preserve">一、评标办法</w:t>
      </w:r>
      <w:bookmarkEnd w:id="20"/>
      <w:r>
        <w:rPr>
          <w:color w:val="000000" w:themeColor="text1"/>
          <w:highlight w:val="none"/>
        </w:rPr>
      </w:r>
      <w:r>
        <w:rPr>
          <w:color w:val="000000" w:themeColor="text1"/>
          <w:highlight w:val="none"/>
        </w:rPr>
      </w:r>
    </w:p>
    <w:p>
      <w:pPr>
        <w:ind w:firstLine="480"/>
        <w:jc w:val="left"/>
        <w:spacing w:line="360" w:lineRule="auto"/>
        <w:rPr>
          <w:rFonts w:hint="eastAsia" w:cs="宋体"/>
          <w:color w:val="000000" w:themeColor="text1"/>
          <w:highlight w:val="none"/>
        </w:rPr>
      </w:pPr>
      <w:r>
        <w:rPr>
          <w:rFonts w:hint="eastAsia" w:cs="宋体"/>
          <w:color w:val="000000" w:themeColor="text1"/>
          <w:highlight w:val="none"/>
        </w:rPr>
        <w:t xml:space="preserve">1、本次采购评审采用为综合评分法，即在满足采购文件实质性要求前提下，按照采购文件中规定的评分标准和各项因素进行综合评审后，以评标总得分最高的投标人作为相应标段的中标候选人。</w:t>
      </w:r>
      <w:r>
        <w:rPr>
          <w:color w:val="000000" w:themeColor="text1"/>
          <w:highlight w:val="none"/>
        </w:rPr>
      </w:r>
    </w:p>
    <w:p>
      <w:pPr>
        <w:ind w:firstLine="480"/>
        <w:jc w:val="left"/>
        <w:spacing w:line="360" w:lineRule="auto"/>
        <w:rPr>
          <w:rFonts w:hint="eastAsia" w:cs="宋体"/>
          <w:color w:val="000000" w:themeColor="text1"/>
          <w:highlight w:val="none"/>
        </w:rPr>
      </w:pPr>
      <w:r>
        <w:rPr>
          <w:rFonts w:hint="eastAsia" w:cs="宋体"/>
          <w:color w:val="000000" w:themeColor="text1"/>
          <w:highlight w:val="none"/>
        </w:rPr>
        <w:t xml:space="preserve">2、评标委员会各成员独立对每个有效投标人的投标书（报价除外）进行评价、打分（计算结果均四舍五入保留两位小数），对评委的评分（除价格分外）进行统计汇总，直接计算平均值；技术分和价格分相加为投标人的总得分。 </w:t>
      </w:r>
      <w:r>
        <w:rPr>
          <w:color w:val="000000" w:themeColor="text1"/>
          <w:highlight w:val="none"/>
        </w:rPr>
      </w:r>
    </w:p>
    <w:p>
      <w:pPr>
        <w:ind w:firstLine="480"/>
        <w:jc w:val="left"/>
        <w:spacing w:line="360" w:lineRule="auto"/>
        <w:rPr>
          <w:rFonts w:hint="eastAsia" w:cs="宋体"/>
          <w:color w:val="000000" w:themeColor="text1"/>
          <w:highlight w:val="none"/>
        </w:rPr>
      </w:pPr>
      <w:r>
        <w:rPr>
          <w:rFonts w:hint="eastAsia" w:cs="宋体"/>
          <w:color w:val="000000" w:themeColor="text1"/>
          <w:highlight w:val="none"/>
        </w:rPr>
        <w:t xml:space="preserve">3、如出现评审总得分最高的投标人有两个或两个以上的，以投标报价较低者优先作为成交候选人，如果响应报价也相同的，则采购单位以抽签方式确定成交候选人。</w:t>
      </w:r>
      <w:r>
        <w:rPr>
          <w:color w:val="000000" w:themeColor="text1"/>
          <w:highlight w:val="none"/>
        </w:rPr>
      </w:r>
    </w:p>
    <w:p>
      <w:pPr>
        <w:ind w:firstLine="480"/>
        <w:jc w:val="left"/>
        <w:spacing w:line="360" w:lineRule="auto"/>
        <w:rPr>
          <w:rFonts w:hint="eastAsia" w:cs="宋体"/>
          <w:color w:val="000000" w:themeColor="text1"/>
          <w:highlight w:val="none"/>
        </w:rPr>
      </w:pPr>
      <w:r>
        <w:rPr>
          <w:rFonts w:hint="eastAsia" w:cs="宋体"/>
          <w:color w:val="000000" w:themeColor="text1"/>
          <w:highlight w:val="none"/>
        </w:rPr>
        <w:t xml:space="preserve">4、针对中小型企业的评审加分：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根据财政部、工业和信息化部关于印发意见“财库〔2020〕46号” 关于印发《政府采购促进中小企业发展管理办法》的通知规定，对属于小型、微型企业的投标人给予评审加分：</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中小微企业在投标文件中，可以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根据“中小微企业认定书”或“中小企业声明函”及提供的认定证明中所确定的企业性质，如投标人属于小型企业，且提供自有服务的，对其报价给予20%的扣除；如投标人属于微型企业，且提供自有服务的，对其报价给予20%的扣除；扣除后的价格参与价格评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小微企业提供中型企业制造或使用中型企业注册商标的货物的，视同为中型企业。小微企业提供大型企业制造或使用大型企业注册商标的货物的，视同为大型企业。</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注：</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①填报“中小企业声明函”需严格按“工信部联企业〔2011〕300号通知中的《中小企业划型标准规定》进行。</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②若投标人提供的 “中小企业声明函” 或认定证明为虚假声明则视同提供虚假材料，按“政府采购法”相关规定处理并报请政府监管部门给予行政处罚。</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5、针对残疾人福利性单位的价格评审：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符合《关于促进残疾人就业政府采购政策的通知》（财库〔2017〕141号）规定条件的残疾人福利性单位在参加政府采购活动时，应当提供《残疾人福利性单位声明函》，如投标人属于残疾人福利性单位的对其报价给予20%的扣除，扣除后的价格参与价格评审；如中标，《残疾人福利性单位声明函》将与中标公告同时公布，接收社会监督。</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6、针对监狱企业的价格评审：</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如投标人属于监狱企业的对其报价给予20%的扣除，扣除后的价格参与价格评审；</w:t>
      </w:r>
      <w:r>
        <w:rPr>
          <w:color w:val="000000" w:themeColor="text1"/>
          <w:highlight w:val="none"/>
        </w:rPr>
      </w:r>
    </w:p>
    <w:p>
      <w:pPr>
        <w:ind w:firstLine="480"/>
        <w:spacing w:line="356" w:lineRule="auto"/>
        <w:rPr>
          <w:rFonts w:hint="eastAsia" w:cs="宋体"/>
          <w:color w:val="000000" w:themeColor="text1"/>
          <w:highlight w:val="none"/>
        </w:rPr>
      </w:pPr>
      <w:r>
        <w:rPr>
          <w:rFonts w:hint="eastAsia" w:cs="宋体"/>
          <w:color w:val="000000" w:themeColor="text1"/>
          <w:highlight w:val="none"/>
        </w:rPr>
        <w:t xml:space="preserve">上述优惠政策不重复享受。</w:t>
      </w:r>
      <w:r>
        <w:rPr>
          <w:color w:val="000000" w:themeColor="text1"/>
          <w:highlight w:val="none"/>
        </w:rPr>
      </w:r>
    </w:p>
    <w:p>
      <w:pPr>
        <w:ind w:firstLine="480"/>
        <w:spacing w:line="356" w:lineRule="auto"/>
        <w:rPr>
          <w:rFonts w:hint="eastAsia" w:cs="宋体"/>
          <w:b/>
          <w:color w:val="000000" w:themeColor="text1"/>
          <w:highlight w:val="none"/>
        </w:rPr>
      </w:pPr>
      <w:r>
        <w:rPr>
          <w:rFonts w:hint="eastAsia" w:cs="宋体"/>
          <w:b/>
          <w:color w:val="000000" w:themeColor="text1"/>
          <w:highlight w:val="none"/>
        </w:rPr>
        <w:t xml:space="preserve">二、评分标准</w:t>
      </w:r>
      <w:r>
        <w:rPr>
          <w:color w:val="000000" w:themeColor="text1"/>
          <w:highlight w:val="none"/>
        </w:rPr>
      </w:r>
    </w:p>
    <w:p>
      <w:pPr>
        <w:ind w:left="532"/>
        <w:spacing w:line="360" w:lineRule="auto"/>
        <w:rPr>
          <w:rFonts w:hint="eastAsia" w:cs="宋体"/>
          <w:color w:val="000000" w:themeColor="text1"/>
          <w:highlight w:val="none"/>
        </w:rPr>
      </w:pPr>
      <w:r>
        <w:rPr>
          <w:rFonts w:cs="宋体"/>
          <w:b/>
          <w:bCs/>
          <w:color w:val="000000" w:themeColor="text1"/>
          <w:spacing w:val="-3"/>
          <w:highlight w:val="none"/>
        </w:rPr>
        <w:t xml:space="preserve">（一）价格得分：</w:t>
      </w:r>
      <w:r>
        <w:rPr>
          <w:rFonts w:hint="eastAsia" w:cs="宋体"/>
          <w:b/>
          <w:bCs/>
          <w:color w:val="000000" w:themeColor="text1"/>
          <w:spacing w:val="-3"/>
          <w:highlight w:val="none"/>
        </w:rPr>
        <w:t xml:space="preserve">20</w:t>
      </w:r>
      <w:r>
        <w:rPr>
          <w:rFonts w:cs="宋体"/>
          <w:color w:val="000000" w:themeColor="text1"/>
          <w:spacing w:val="-40"/>
          <w:highlight w:val="none"/>
        </w:rPr>
        <w:t xml:space="preserve"> </w:t>
      </w:r>
      <w:r>
        <w:rPr>
          <w:rFonts w:cs="宋体"/>
          <w:b/>
          <w:bCs/>
          <w:color w:val="000000" w:themeColor="text1"/>
          <w:spacing w:val="-3"/>
          <w:highlight w:val="none"/>
        </w:rPr>
        <w:t xml:space="preserve">分</w:t>
      </w:r>
      <w:r>
        <w:rPr>
          <w:color w:val="000000" w:themeColor="text1"/>
          <w:highlight w:val="none"/>
        </w:rPr>
      </w:r>
    </w:p>
    <w:p>
      <w:pPr>
        <w:ind w:left="106" w:right="84" w:firstLine="433"/>
        <w:spacing w:line="360" w:lineRule="auto"/>
        <w:rPr>
          <w:rFonts w:hint="eastAsia" w:cs="宋体"/>
          <w:color w:val="000000" w:themeColor="text1"/>
          <w:highlight w:val="none"/>
        </w:rPr>
      </w:pPr>
      <w:r>
        <w:rPr>
          <w:rFonts w:cs="宋体"/>
          <w:color w:val="000000" w:themeColor="text1"/>
          <w:spacing w:val="-1"/>
          <w:highlight w:val="none"/>
        </w:rPr>
        <w:t xml:space="preserve">1、投标报价不超过采购预算价格的，为有效投标报价。超出此范围的投标报价为无效</w:t>
      </w:r>
      <w:r>
        <w:rPr>
          <w:rFonts w:cs="宋体"/>
          <w:color w:val="000000" w:themeColor="text1"/>
          <w:spacing w:val="3"/>
          <w:highlight w:val="none"/>
        </w:rPr>
        <w:t xml:space="preserve"> </w:t>
      </w:r>
      <w:r>
        <w:rPr>
          <w:rFonts w:cs="宋体"/>
          <w:color w:val="000000" w:themeColor="text1"/>
          <w:spacing w:val="-2"/>
          <w:highlight w:val="none"/>
        </w:rPr>
        <w:t xml:space="preserve">投标报价。无效投标报价的投标文件不进行评审，也不得标。</w:t>
      </w:r>
      <w:r>
        <w:rPr>
          <w:color w:val="000000" w:themeColor="text1"/>
          <w:highlight w:val="none"/>
        </w:rPr>
      </w:r>
    </w:p>
    <w:p>
      <w:pPr>
        <w:ind w:left="526"/>
        <w:spacing w:line="360" w:lineRule="auto"/>
        <w:rPr>
          <w:rFonts w:hint="eastAsia" w:cs="宋体"/>
          <w:color w:val="000000" w:themeColor="text1"/>
          <w:highlight w:val="none"/>
        </w:rPr>
      </w:pPr>
      <w:r>
        <w:rPr>
          <w:rFonts w:cs="宋体"/>
          <w:color w:val="000000" w:themeColor="text1"/>
          <w:spacing w:val="-2"/>
          <w:highlight w:val="none"/>
        </w:rPr>
        <w:t xml:space="preserve">2、在所有有效投标报价中选择报价最低的确定为基准报价。</w:t>
      </w:r>
      <w:r>
        <w:rPr>
          <w:color w:val="000000" w:themeColor="text1"/>
          <w:highlight w:val="none"/>
        </w:rPr>
      </w:r>
    </w:p>
    <w:p>
      <w:pPr>
        <w:ind w:left="106" w:right="84" w:firstLine="421"/>
        <w:spacing w:line="360" w:lineRule="auto"/>
        <w:rPr>
          <w:rFonts w:hint="eastAsia" w:cs="宋体"/>
          <w:color w:val="000000" w:themeColor="text1"/>
          <w:highlight w:val="none"/>
        </w:rPr>
      </w:pPr>
      <w:r>
        <w:rPr>
          <w:rFonts w:cs="宋体"/>
          <w:color w:val="000000" w:themeColor="text1"/>
          <w:spacing w:val="-1"/>
          <w:highlight w:val="none"/>
        </w:rPr>
        <w:t xml:space="preserve">3、价格分计算在满足招标文件要求且投标价格最低的投标报价为评标基准价，其价格</w:t>
      </w:r>
      <w:r>
        <w:rPr>
          <w:rFonts w:cs="宋体"/>
          <w:color w:val="000000" w:themeColor="text1"/>
          <w:spacing w:val="14"/>
          <w:highlight w:val="none"/>
        </w:rPr>
        <w:t xml:space="preserve"> </w:t>
      </w:r>
      <w:r>
        <w:rPr>
          <w:rFonts w:cs="宋体"/>
          <w:color w:val="000000" w:themeColor="text1"/>
          <w:highlight w:val="none"/>
        </w:rPr>
        <w:t xml:space="preserve">分为满分。其他投标人的价格分统一按照下列公式计算（计</w:t>
      </w:r>
      <w:r>
        <w:rPr>
          <w:rFonts w:cs="宋体"/>
          <w:color w:val="000000" w:themeColor="text1"/>
          <w:spacing w:val="-1"/>
          <w:highlight w:val="none"/>
        </w:rPr>
        <w:t xml:space="preserve">算结果四舍五入保留两位小</w:t>
      </w:r>
      <w:r>
        <w:rPr>
          <w:color w:val="000000" w:themeColor="text1"/>
          <w:highlight w:val="none"/>
        </w:rPr>
      </w:r>
    </w:p>
    <w:p>
      <w:pPr>
        <w:ind w:left="105"/>
        <w:spacing w:line="360" w:lineRule="auto"/>
        <w:rPr>
          <w:rFonts w:hint="eastAsia" w:cs="宋体"/>
          <w:color w:val="000000" w:themeColor="text1"/>
          <w:highlight w:val="none"/>
        </w:rPr>
      </w:pPr>
      <w:r>
        <w:rPr>
          <w:rFonts w:cs="宋体"/>
          <w:color w:val="000000" w:themeColor="text1"/>
          <w:spacing w:val="-17"/>
          <w:highlight w:val="none"/>
        </w:rPr>
        <w:t xml:space="preserve">数</w:t>
      </w:r>
      <w:r>
        <w:rPr>
          <w:rFonts w:cs="宋体"/>
          <w:color w:val="000000" w:themeColor="text1"/>
          <w:spacing w:val="-10"/>
          <w:highlight w:val="none"/>
        </w:rPr>
        <w:t xml:space="preserve">）：</w:t>
      </w:r>
      <w:r>
        <w:rPr>
          <w:color w:val="000000" w:themeColor="text1"/>
          <w:highlight w:val="none"/>
        </w:rPr>
      </w:r>
    </w:p>
    <w:p>
      <w:pPr>
        <w:ind w:left="526"/>
        <w:spacing w:line="360" w:lineRule="auto"/>
        <w:rPr>
          <w:rFonts w:hint="eastAsia" w:cs="宋体"/>
          <w:color w:val="000000" w:themeColor="text1"/>
          <w:highlight w:val="none"/>
        </w:rPr>
      </w:pPr>
      <w:r>
        <w:rPr>
          <w:rFonts w:cs="宋体"/>
          <w:color w:val="000000" w:themeColor="text1"/>
          <w:spacing w:val="-1"/>
          <w:highlight w:val="none"/>
        </w:rPr>
        <w:t xml:space="preserve">投标报价得分=（评标基准价/投标报价）*价格权值*100 （本次招标价格权值为</w:t>
      </w:r>
      <w:r>
        <w:rPr>
          <w:color w:val="000000" w:themeColor="text1"/>
          <w:highlight w:val="none"/>
        </w:rPr>
      </w:r>
    </w:p>
    <w:p>
      <w:pPr>
        <w:ind w:left="108"/>
        <w:spacing w:line="360" w:lineRule="auto"/>
        <w:rPr>
          <w:rFonts w:hint="eastAsia" w:cs="宋体"/>
          <w:color w:val="000000" w:themeColor="text1"/>
          <w:highlight w:val="none"/>
        </w:rPr>
      </w:pPr>
      <w:r>
        <w:rPr>
          <w:rFonts w:hint="eastAsia" w:cs="宋体"/>
          <w:color w:val="000000" w:themeColor="text1"/>
          <w:spacing w:val="-4"/>
          <w:highlight w:val="none"/>
        </w:rPr>
        <w:t xml:space="preserve">20</w:t>
      </w:r>
      <w:r>
        <w:rPr>
          <w:rFonts w:cs="宋体"/>
          <w:color w:val="000000" w:themeColor="text1"/>
          <w:spacing w:val="-4"/>
          <w:highlight w:val="none"/>
        </w:rPr>
        <w:t xml:space="preserve">%）</w:t>
      </w:r>
      <w:r>
        <w:rPr>
          <w:color w:val="000000" w:themeColor="text1"/>
          <w:highlight w:val="none"/>
        </w:rPr>
      </w:r>
    </w:p>
    <w:p>
      <w:pPr>
        <w:ind w:left="532"/>
        <w:spacing w:line="360" w:lineRule="auto"/>
        <w:rPr>
          <w:rFonts w:hint="eastAsia" w:cs="宋体"/>
          <w:color w:val="000000" w:themeColor="text1"/>
          <w:highlight w:val="none"/>
        </w:rPr>
      </w:pPr>
      <w:r>
        <w:rPr>
          <w:rFonts w:cs="宋体"/>
          <w:b/>
          <w:bCs/>
          <w:color w:val="000000" w:themeColor="text1"/>
          <w:spacing w:val="-3"/>
          <w:highlight w:val="none"/>
        </w:rPr>
        <w:t xml:space="preserve">（二）技术部分（</w:t>
      </w:r>
      <w:r>
        <w:rPr>
          <w:rFonts w:hint="eastAsia" w:ascii="Times New Roman" w:hAnsi="Times New Roman" w:eastAsia="等线"/>
          <w:b/>
          <w:bCs/>
          <w:color w:val="000000" w:themeColor="text1"/>
          <w:spacing w:val="-3"/>
          <w:highlight w:val="none"/>
        </w:rPr>
        <w:t xml:space="preserve">80</w:t>
      </w:r>
      <w:r>
        <w:rPr>
          <w:rFonts w:ascii="Times New Roman" w:hAnsi="Times New Roman" w:eastAsia="Times New Roman"/>
          <w:b/>
          <w:bCs/>
          <w:color w:val="000000" w:themeColor="text1"/>
          <w:spacing w:val="-3"/>
          <w:highlight w:val="none"/>
        </w:rPr>
        <w:t xml:space="preserve"> </w:t>
      </w:r>
      <w:r>
        <w:rPr>
          <w:rFonts w:cs="宋体"/>
          <w:b/>
          <w:bCs/>
          <w:color w:val="000000" w:themeColor="text1"/>
          <w:spacing w:val="-3"/>
          <w:highlight w:val="none"/>
        </w:rPr>
        <w:t xml:space="preserve">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1、技术参数、性能等符合性比较（10分）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投标人必须根据技术规格书中要求的参数逐条响应，并在技术偏离表中给予说明，评委参照产品技术参数指标对各投标人所提供的产品性能、产品质量等情况进行打分。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全部满足的得10分。清单中打★号的技术参数要求，投标人需提供技术偏离表的盖章件，每负偏离一项扣2分；但技术参数的偏离不得改变该产品的性能和使用，否则视为非实质性响应招标文件要求。打★号技术参数要求未按规定提供相关证明材料的视为负偏离。</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其他技术指标每负偏离一项扣1分，扣完为止。</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注：提供产品功能截图，截图需清晰可辨认，否则不予得分。</w:t>
      </w:r>
      <w:r>
        <w:rPr>
          <w:color w:val="000000" w:themeColor="text1"/>
          <w:highlight w:val="none"/>
        </w:rPr>
      </w:r>
    </w:p>
    <w:p>
      <w:pPr>
        <w:ind w:left="532"/>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2、项目需求分析（2分）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根据投标人提供的项目需求分析（应包含项目背景，现状分析，项目目标，预期成效等），对项目需求分析内容完整详细、逻辑清晰、架构合理性、实用性强，得2分；方案内容较为完整详细、逻辑较清晰、架构合理性、实用性较强，得1分；未提供方案的不得分。</w:t>
      </w:r>
      <w:r>
        <w:rPr>
          <w:color w:val="000000" w:themeColor="text1"/>
          <w:highlight w:val="none"/>
        </w:rPr>
      </w:r>
    </w:p>
    <w:p>
      <w:pPr>
        <w:ind w:left="532"/>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3、巡检方案：（4分）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包括但不限于定期巡检服务内容、巡检频次、巡检维护台账、巡检专用工具和专用车辆、依托于数字运维系统等相关内容。方案内容完整详细、针对性适用性较强的得4分；方案内容较完整、针对性适用性一般的得2分；方案内容基本完整、针对性适用性较差的得1分；未提供的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4、应急事件处理方案(4分)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应急事件处理方案内容描述详细全面、切合实际、可操作性强的得4分；内容描述较详细、符合实际、可操作性较强的得2分；内容描述简略、可操作性差的得1分；内容明显与本项目内容无关或基本不具备可行性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5、售后服务框架：（5分）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投标人提供为保障本项目顺利实施的售后服务框架流程图，包括但不限于运维服务中的用户方、设备厂商、售后服务方的闭环故障处理服务流程，用户的报修流程、事故分析、故障确认、一般事故、较大事故与重大事故的处理流程、事故处理后的归档、用户建议售后服务动态调整等的描述和说明。方案内容完整详细、针对性适用性较强的得5分；方案内容较完整、针对性适用性一般的得3分；方案内容基本完整、针对性适用性较差的得1分；未提供的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6、针对本项目提出的管理制度：（5分）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包括但不限于针对本项目的管理规范、业务管理制度、安全和文明服务措施、保密管理制度等内容。方案内容完整详细、针对性适用性较强的得5分；方案内容较完整、针对性适用性一般的得3分；方案内容基本完整、针对性适用性较差的得1分；未提供的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7</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投标人</w:t>
      </w:r>
      <w:r>
        <w:rPr>
          <w:rFonts w:cs="宋体"/>
          <w:b/>
          <w:bCs/>
          <w:color w:val="000000" w:themeColor="text1"/>
          <w:spacing w:val="-3"/>
          <w:highlight w:val="none"/>
        </w:rPr>
        <w:t xml:space="preserve">技术保障评价（</w:t>
      </w:r>
      <w:r>
        <w:rPr>
          <w:rFonts w:hint="eastAsia" w:cs="宋体"/>
          <w:b/>
          <w:bCs/>
          <w:color w:val="000000" w:themeColor="text1"/>
          <w:spacing w:val="-3"/>
          <w:highlight w:val="none"/>
        </w:rPr>
        <w:t xml:space="preserve">35</w:t>
      </w:r>
      <w:r>
        <w:rPr>
          <w:rFonts w:cs="宋体"/>
          <w:b/>
          <w:bCs/>
          <w:color w:val="000000" w:themeColor="text1"/>
          <w:spacing w:val="-3"/>
          <w:highlight w:val="none"/>
        </w:rPr>
        <w:t xml:space="preserve"> 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cs="宋体"/>
          <w:b/>
          <w:bCs/>
          <w:color w:val="000000" w:themeColor="text1"/>
          <w:spacing w:val="-3"/>
          <w:highlight w:val="none"/>
        </w:rPr>
        <w:t xml:space="preserve">(1)</w:t>
      </w:r>
      <w:r>
        <w:rPr>
          <w:rFonts w:hint="eastAsia" w:cs="宋体"/>
          <w:b/>
          <w:bCs/>
          <w:color w:val="000000" w:themeColor="text1"/>
          <w:spacing w:val="-3"/>
          <w:highlight w:val="none"/>
        </w:rPr>
        <w:t xml:space="preserve"> 项目经理</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12</w:t>
      </w:r>
      <w:r>
        <w:rPr>
          <w:rFonts w:cs="宋体"/>
          <w:b/>
          <w:bCs/>
          <w:color w:val="000000" w:themeColor="text1"/>
          <w:spacing w:val="-3"/>
          <w:highlight w:val="none"/>
        </w:rPr>
        <w:t xml:space="preserve"> 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项目经理具有信息系统项目管理师证书、系统规划与管理师证书、信息系统业务安全服务工程师（高级）、CISAW信息安全保障人员（应急服务）、通信专业技术人员职业水平证书（终端与业务专业）和IT服务项目经理，每提供一个证书的得2分，最高得12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cs="宋体"/>
          <w:b/>
          <w:bCs/>
          <w:color w:val="000000" w:themeColor="text1"/>
          <w:spacing w:val="-3"/>
          <w:highlight w:val="none"/>
        </w:rPr>
        <w:t xml:space="preserve">(</w:t>
      </w:r>
      <w:r>
        <w:rPr>
          <w:rFonts w:hint="eastAsia" w:cs="宋体"/>
          <w:b/>
          <w:bCs/>
          <w:color w:val="000000" w:themeColor="text1"/>
          <w:spacing w:val="-3"/>
          <w:highlight w:val="none"/>
        </w:rPr>
        <w:t xml:space="preserve">2</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 项目技术负责人</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12</w:t>
      </w:r>
      <w:r>
        <w:rPr>
          <w:rFonts w:cs="宋体"/>
          <w:b/>
          <w:bCs/>
          <w:color w:val="000000" w:themeColor="text1"/>
          <w:spacing w:val="-3"/>
          <w:highlight w:val="none"/>
        </w:rPr>
        <w:t xml:space="preserve"> 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具有信息系统项目管理师、ITSS信息技术应用创新服务工程师、ITSS-IT服务工程师、系统集成项目管理工程师（高级）、CISP（注册信息安全专业人员）和PMP高级项目经理</w:t>
      </w:r>
      <w:r>
        <w:rPr>
          <w:rFonts w:hint="eastAsia" w:cs="宋体"/>
          <w:color w:val="000000" w:themeColor="text1"/>
          <w:spacing w:val="-3"/>
          <w:highlight w:val="none"/>
        </w:rPr>
        <w:t xml:space="preserve">，每提供一个证书的得2分，最高得12分。（项目技术负责人与项目经理、现场负责人不为同一人）</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cs="宋体"/>
          <w:b/>
          <w:bCs/>
          <w:color w:val="000000" w:themeColor="text1"/>
          <w:spacing w:val="-3"/>
          <w:highlight w:val="none"/>
        </w:rPr>
        <w:t xml:space="preserve">(</w:t>
      </w:r>
      <w:r>
        <w:rPr>
          <w:rFonts w:hint="eastAsia" w:cs="宋体"/>
          <w:b/>
          <w:bCs/>
          <w:color w:val="000000" w:themeColor="text1"/>
          <w:spacing w:val="-3"/>
          <w:highlight w:val="none"/>
        </w:rPr>
        <w:t xml:space="preserve">3</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 现场负责人</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8</w:t>
      </w:r>
      <w:r>
        <w:rPr>
          <w:rFonts w:cs="宋体"/>
          <w:b/>
          <w:bCs/>
          <w:color w:val="000000" w:themeColor="text1"/>
          <w:spacing w:val="-3"/>
          <w:highlight w:val="none"/>
        </w:rPr>
        <w:t xml:space="preserve"> 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具有网络工程师、系统分析师、系统集成项目管理工程师、信息系统项目管理师，每提供一个证书的得2分，最高得8分。（现场负责人与项目经理、项目技术负责人不为同一人）</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（4）项目团队人员</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3</w:t>
      </w:r>
      <w:r>
        <w:rPr>
          <w:rFonts w:cs="宋体"/>
          <w:b/>
          <w:bCs/>
          <w:color w:val="000000" w:themeColor="text1"/>
          <w:spacing w:val="-3"/>
          <w:highlight w:val="none"/>
        </w:rPr>
        <w:t xml:space="preserve"> 分）</w:t>
      </w:r>
      <w:r>
        <w:rPr>
          <w:color w:val="000000" w:themeColor="text1"/>
          <w:highlight w:val="none"/>
        </w:rPr>
      </w:r>
    </w:p>
    <w:p>
      <w:pPr>
        <w:ind w:left="106" w:right="55" w:firstLine="418"/>
        <w:spacing w:line="360" w:lineRule="auto"/>
        <w:rPr>
          <w:rFonts w:hint="eastAsia" w:cs="宋体"/>
          <w:color w:val="000000" w:themeColor="text1"/>
          <w:spacing w:val="-3"/>
          <w:highlight w:val="none"/>
        </w:rPr>
      </w:pPr>
      <w:r>
        <w:rPr>
          <w:rFonts w:hint="eastAsia" w:cs="宋体"/>
          <w:color w:val="000000" w:themeColor="text1"/>
          <w:spacing w:val="-3"/>
          <w:highlight w:val="none"/>
        </w:rPr>
        <w:t xml:space="preserve"> (除项目经理、项目技术负责人、现场负责人外)具有系统集成项目管理工程师、信息系统项目管理师证书，每提供一个证书的得1.5分，本项最高得3分（同一人员提供一个证书，不重复得分）。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注：投标文件中须提供1-4项相关人员证书复印件及投标单位为其缴纳的最近一期社保证明复印件（相关社保部门盖章），未按要求提供或未提供不得分。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9</w:t>
      </w:r>
      <w:r>
        <w:rPr>
          <w:rFonts w:cs="宋体"/>
          <w:b/>
          <w:bCs/>
          <w:color w:val="000000" w:themeColor="text1"/>
          <w:spacing w:val="-3"/>
          <w:highlight w:val="none"/>
        </w:rPr>
        <w:t xml:space="preserve">、</w:t>
      </w:r>
      <w:r>
        <w:rPr>
          <w:rFonts w:hint="eastAsia" w:cs="宋体"/>
          <w:b/>
          <w:bCs/>
          <w:color w:val="000000" w:themeColor="text1"/>
          <w:spacing w:val="-3"/>
          <w:highlight w:val="none"/>
        </w:rPr>
        <w:t xml:space="preserve">投标人</w:t>
      </w:r>
      <w:r>
        <w:rPr>
          <w:rFonts w:cs="宋体"/>
          <w:b/>
          <w:bCs/>
          <w:color w:val="000000" w:themeColor="text1"/>
          <w:spacing w:val="-3"/>
          <w:highlight w:val="none"/>
        </w:rPr>
        <w:t xml:space="preserve">综合实力评价（</w:t>
      </w:r>
      <w:r>
        <w:rPr>
          <w:rFonts w:hint="eastAsia" w:cs="宋体"/>
          <w:b/>
          <w:bCs/>
          <w:color w:val="000000" w:themeColor="text1"/>
          <w:spacing w:val="-3"/>
          <w:highlight w:val="none"/>
        </w:rPr>
        <w:t xml:space="preserve">8</w:t>
      </w:r>
      <w:r>
        <w:rPr>
          <w:rFonts w:cs="宋体"/>
          <w:b/>
          <w:bCs/>
          <w:color w:val="000000" w:themeColor="text1"/>
          <w:spacing w:val="-3"/>
          <w:highlight w:val="none"/>
        </w:rPr>
        <w:t xml:space="preserve"> 分）</w:t>
      </w:r>
      <w:r>
        <w:rPr>
          <w:color w:val="000000" w:themeColor="text1"/>
          <w:highlight w:val="none"/>
        </w:rPr>
      </w:r>
    </w:p>
    <w:p>
      <w:pPr>
        <w:ind w:left="109" w:right="39" w:firstLine="410"/>
        <w:spacing w:line="360" w:lineRule="auto"/>
        <w:rPr>
          <w:rFonts w:ascii="Times New Roman" w:hAnsi="Times New Roman" w:eastAsia="Times New Roman"/>
          <w:color w:val="000000" w:themeColor="text1"/>
          <w:spacing w:val="-8"/>
          <w:highlight w:val="none"/>
        </w:rPr>
      </w:pPr>
      <w:r>
        <w:rPr>
          <w:rFonts w:hint="eastAsia" w:cs="宋体"/>
          <w:color w:val="000000" w:themeColor="text1"/>
          <w:spacing w:val="-8"/>
          <w:highlight w:val="none"/>
        </w:rPr>
        <w:t xml:space="preserve">（1）投标人具有</w:t>
      </w:r>
      <w:r>
        <w:rPr>
          <w:rFonts w:hint="eastAsia" w:ascii="Times New Roman" w:hAnsi="Times New Roman" w:eastAsia="Times New Roman"/>
          <w:color w:val="000000" w:themeColor="text1"/>
          <w:spacing w:val="-8"/>
          <w:highlight w:val="none"/>
        </w:rPr>
        <w:t xml:space="preserve">CCRC</w:t>
      </w:r>
      <w:r>
        <w:rPr>
          <w:rFonts w:hint="eastAsia" w:cs="宋体"/>
          <w:color w:val="000000" w:themeColor="text1"/>
          <w:spacing w:val="-8"/>
          <w:highlight w:val="none"/>
        </w:rPr>
        <w:t xml:space="preserve">信息安全服务资质认证证书</w:t>
      </w:r>
      <w:r>
        <w:rPr>
          <w:rFonts w:hint="eastAsia" w:ascii="Times New Roman" w:hAnsi="Times New Roman" w:eastAsia="Times New Roman"/>
          <w:color w:val="000000" w:themeColor="text1"/>
          <w:spacing w:val="-8"/>
          <w:highlight w:val="none"/>
        </w:rPr>
        <w:t xml:space="preserve">(</w:t>
      </w:r>
      <w:r>
        <w:rPr>
          <w:rFonts w:hint="eastAsia" w:cs="宋体"/>
          <w:color w:val="000000" w:themeColor="text1"/>
          <w:spacing w:val="-8"/>
          <w:highlight w:val="none"/>
        </w:rPr>
        <w:t xml:space="preserve">信息系统安全运维</w:t>
      </w:r>
      <w:r>
        <w:rPr>
          <w:rFonts w:hint="eastAsia" w:ascii="Times New Roman" w:hAnsi="Times New Roman" w:eastAsia="Times New Roman"/>
          <w:color w:val="000000" w:themeColor="text1"/>
          <w:spacing w:val="-8"/>
          <w:highlight w:val="none"/>
        </w:rPr>
        <w:t xml:space="preserve">)</w:t>
      </w:r>
      <w:r>
        <w:rPr>
          <w:rFonts w:hint="eastAsia" w:cs="宋体"/>
          <w:color w:val="000000" w:themeColor="text1"/>
          <w:spacing w:val="-8"/>
          <w:highlight w:val="none"/>
        </w:rPr>
        <w:t xml:space="preserve">二级及以上得2分，二级以下得1分；</w:t>
      </w:r>
      <w:r>
        <w:rPr>
          <w:color w:val="000000" w:themeColor="text1"/>
          <w:highlight w:val="none"/>
        </w:rPr>
      </w:r>
    </w:p>
    <w:p>
      <w:pPr>
        <w:ind w:left="109" w:right="39" w:firstLine="410"/>
        <w:spacing w:line="360" w:lineRule="auto"/>
        <w:rPr>
          <w:rFonts w:ascii="Times New Roman" w:hAnsi="Times New Roman" w:eastAsia="Times New Roman"/>
          <w:color w:val="000000" w:themeColor="text1"/>
          <w:spacing w:val="-8"/>
          <w:highlight w:val="none"/>
        </w:rPr>
      </w:pPr>
      <w:r>
        <w:rPr>
          <w:rFonts w:hint="eastAsia" w:cs="宋体"/>
          <w:color w:val="000000" w:themeColor="text1"/>
          <w:spacing w:val="-8"/>
          <w:highlight w:val="none"/>
        </w:rPr>
        <w:t xml:space="preserve">（2）投标人具有信息技术服务标准（</w:t>
      </w:r>
      <w:r>
        <w:rPr>
          <w:rFonts w:ascii="Times New Roman" w:hAnsi="Times New Roman" w:eastAsia="Times New Roman"/>
          <w:color w:val="000000" w:themeColor="text1"/>
          <w:spacing w:val="-8"/>
          <w:highlight w:val="none"/>
        </w:rPr>
        <w:t xml:space="preserve">ITSS</w:t>
      </w:r>
      <w:r>
        <w:rPr>
          <w:rFonts w:hint="eastAsia" w:cs="宋体"/>
          <w:color w:val="000000" w:themeColor="text1"/>
          <w:spacing w:val="-8"/>
          <w:highlight w:val="none"/>
        </w:rPr>
        <w:t xml:space="preserve">）证书一级的得2分，一级以下得1分；</w:t>
      </w:r>
      <w:r>
        <w:rPr>
          <w:color w:val="000000" w:themeColor="text1"/>
          <w:highlight w:val="none"/>
        </w:rPr>
      </w:r>
    </w:p>
    <w:p>
      <w:pPr>
        <w:ind w:left="109" w:right="39" w:firstLine="410"/>
        <w:spacing w:line="360" w:lineRule="auto"/>
        <w:rPr>
          <w:rFonts w:ascii="Times New Roman" w:hAnsi="Times New Roman" w:eastAsia="Times New Roman"/>
          <w:color w:val="000000" w:themeColor="text1"/>
          <w:spacing w:val="-8"/>
          <w:highlight w:val="none"/>
        </w:rPr>
      </w:pPr>
      <w:r>
        <w:rPr>
          <w:rFonts w:hint="eastAsia" w:cs="宋体"/>
          <w:color w:val="000000" w:themeColor="text1"/>
          <w:spacing w:val="-8"/>
          <w:highlight w:val="none"/>
        </w:rPr>
        <w:t xml:space="preserve">（3）投标人具有信息系统建设和服务能力证书</w:t>
      </w:r>
      <w:r>
        <w:rPr>
          <w:rFonts w:ascii="Times New Roman" w:hAnsi="Times New Roman" w:eastAsia="Times New Roman"/>
          <w:color w:val="000000" w:themeColor="text1"/>
          <w:spacing w:val="-8"/>
          <w:highlight w:val="none"/>
        </w:rPr>
        <w:t xml:space="preserve"> CS4</w:t>
      </w:r>
      <w:r>
        <w:rPr>
          <w:rFonts w:hint="eastAsia" w:cs="宋体"/>
          <w:color w:val="000000" w:themeColor="text1"/>
          <w:spacing w:val="-8"/>
          <w:highlight w:val="none"/>
        </w:rPr>
        <w:t xml:space="preserve">级及以上的得2分，CS4级以下得1分；</w:t>
      </w:r>
      <w:r>
        <w:rPr>
          <w:color w:val="000000" w:themeColor="text1"/>
          <w:highlight w:val="none"/>
        </w:rPr>
      </w:r>
    </w:p>
    <w:p>
      <w:pPr>
        <w:ind w:left="109" w:right="39" w:firstLine="410"/>
        <w:spacing w:line="360" w:lineRule="auto"/>
        <w:rPr>
          <w:rFonts w:ascii="Times New Roman" w:hAnsi="Times New Roman" w:eastAsia="Times New Roman"/>
          <w:color w:val="000000" w:themeColor="text1"/>
          <w:spacing w:val="-8"/>
          <w:highlight w:val="none"/>
        </w:rPr>
      </w:pPr>
      <w:r>
        <w:rPr>
          <w:rFonts w:hint="eastAsia" w:cs="宋体"/>
          <w:color w:val="000000" w:themeColor="text1"/>
          <w:spacing w:val="-8"/>
          <w:highlight w:val="none"/>
        </w:rPr>
        <w:t xml:space="preserve">（4）投标人具有信息化工程与技术服务能力评价证书</w:t>
      </w:r>
      <w:r>
        <w:rPr>
          <w:rFonts w:ascii="Times New Roman" w:hAnsi="Times New Roman" w:eastAsia="Times New Roman"/>
          <w:color w:val="000000" w:themeColor="text1"/>
          <w:spacing w:val="-8"/>
          <w:highlight w:val="none"/>
        </w:rPr>
        <w:t xml:space="preserve"> CN-IETS </w:t>
      </w:r>
      <w:r>
        <w:rPr>
          <w:rFonts w:hint="eastAsia" w:cs="宋体"/>
          <w:color w:val="000000" w:themeColor="text1"/>
          <w:spacing w:val="-8"/>
          <w:highlight w:val="none"/>
        </w:rPr>
        <w:t xml:space="preserve">一级得2分，一级以下得1分；</w:t>
      </w:r>
      <w:r>
        <w:rPr>
          <w:color w:val="000000" w:themeColor="text1"/>
          <w:highlight w:val="none"/>
        </w:rPr>
      </w:r>
    </w:p>
    <w:p>
      <w:pPr>
        <w:ind w:left="532"/>
        <w:spacing w:line="360" w:lineRule="auto"/>
        <w:rPr>
          <w:rFonts w:hint="eastAsia" w:cs="宋体"/>
          <w:color w:val="000000" w:themeColor="text1"/>
          <w:highlight w:val="none"/>
        </w:rPr>
      </w:pPr>
      <w:r>
        <w:rPr>
          <w:rFonts w:cs="宋体"/>
          <w:b/>
          <w:bCs/>
          <w:color w:val="000000" w:themeColor="text1"/>
          <w:spacing w:val="-3"/>
          <w:highlight w:val="none"/>
        </w:rPr>
        <w:t xml:space="preserve">（</w:t>
      </w:r>
      <w:r>
        <w:rPr>
          <w:rFonts w:hint="eastAsia" w:cs="宋体"/>
          <w:b/>
          <w:bCs/>
          <w:color w:val="000000" w:themeColor="text1"/>
          <w:spacing w:val="-3"/>
          <w:highlight w:val="none"/>
        </w:rPr>
        <w:t xml:space="preserve">投标</w:t>
      </w:r>
      <w:r>
        <w:rPr>
          <w:rFonts w:cs="宋体"/>
          <w:b/>
          <w:bCs/>
          <w:color w:val="000000" w:themeColor="text1"/>
          <w:spacing w:val="-3"/>
          <w:highlight w:val="none"/>
        </w:rPr>
        <w:t xml:space="preserve">文件中提供相应证书扫描件，不提供不得分）</w:t>
      </w:r>
      <w:r>
        <w:rPr>
          <w:color w:val="000000" w:themeColor="text1"/>
          <w:highlight w:val="none"/>
        </w:rPr>
      </w:r>
    </w:p>
    <w:p>
      <w:pPr>
        <w:ind w:left="106" w:right="55" w:firstLine="418"/>
        <w:spacing w:line="360" w:lineRule="auto"/>
        <w:rPr>
          <w:rFonts w:hint="eastAsia" w:cs="宋体"/>
          <w:b/>
          <w:bCs/>
          <w:color w:val="000000" w:themeColor="text1"/>
          <w:spacing w:val="-3"/>
          <w:highlight w:val="none"/>
        </w:rPr>
      </w:pPr>
      <w:r>
        <w:rPr>
          <w:rFonts w:hint="eastAsia" w:cs="宋体"/>
          <w:b/>
          <w:bCs/>
          <w:color w:val="000000" w:themeColor="text1"/>
          <w:spacing w:val="-3"/>
          <w:highlight w:val="none"/>
        </w:rPr>
        <w:t xml:space="preserve">10、</w:t>
      </w:r>
      <w:r>
        <w:rPr>
          <w:rFonts w:cs="宋体"/>
          <w:b/>
          <w:bCs/>
          <w:color w:val="000000" w:themeColor="text1"/>
          <w:spacing w:val="-3"/>
          <w:highlight w:val="none"/>
        </w:rPr>
        <w:t xml:space="preserve">履约能力（</w:t>
      </w:r>
      <w:r>
        <w:rPr>
          <w:rFonts w:hint="eastAsia" w:cs="宋体"/>
          <w:b/>
          <w:bCs/>
          <w:color w:val="000000" w:themeColor="text1"/>
          <w:spacing w:val="-3"/>
          <w:highlight w:val="none"/>
        </w:rPr>
        <w:t xml:space="preserve">7</w:t>
      </w:r>
      <w:r>
        <w:rPr>
          <w:rFonts w:cs="宋体"/>
          <w:b/>
          <w:bCs/>
          <w:color w:val="000000" w:themeColor="text1"/>
          <w:spacing w:val="-3"/>
          <w:highlight w:val="none"/>
        </w:rPr>
        <w:t xml:space="preserve">分）</w:t>
      </w:r>
      <w:r>
        <w:rPr>
          <w:color w:val="000000" w:themeColor="text1"/>
          <w:highlight w:val="none"/>
        </w:rPr>
      </w:r>
    </w:p>
    <w:p>
      <w:pPr>
        <w:ind w:left="109" w:right="39" w:firstLine="410"/>
        <w:spacing w:line="360" w:lineRule="auto"/>
        <w:rPr>
          <w:rFonts w:hint="eastAsia" w:cs="宋体"/>
          <w:color w:val="000000" w:themeColor="text1"/>
          <w:spacing w:val="-1"/>
          <w:highlight w:val="none"/>
        </w:rPr>
      </w:pPr>
      <w:r>
        <w:rPr>
          <w:rFonts w:hint="eastAsia" w:cs="宋体"/>
          <w:color w:val="000000" w:themeColor="text1"/>
          <w:spacing w:val="-8"/>
          <w:highlight w:val="none"/>
        </w:rPr>
        <w:t xml:space="preserve">（1）投标人自</w:t>
      </w:r>
      <w:r>
        <w:rPr>
          <w:rFonts w:hint="eastAsia" w:ascii="Times New Roman" w:hAnsi="Times New Roman" w:eastAsia="Times New Roman"/>
          <w:color w:val="000000" w:themeColor="text1"/>
          <w:spacing w:val="-8"/>
          <w:highlight w:val="none"/>
        </w:rPr>
        <w:t xml:space="preserve">202</w:t>
      </w:r>
      <w:r>
        <w:rPr>
          <w:rFonts w:hint="eastAsia" w:ascii="Times New Roman" w:hAnsi="Times New Roman"/>
          <w:color w:val="000000" w:themeColor="text1"/>
          <w:spacing w:val="-8"/>
          <w:highlight w:val="none"/>
        </w:rPr>
        <w:t xml:space="preserve">2</w:t>
      </w:r>
      <w:r>
        <w:rPr>
          <w:rFonts w:hint="eastAsia" w:cs="宋体"/>
          <w:color w:val="000000" w:themeColor="text1"/>
          <w:spacing w:val="-8"/>
          <w:highlight w:val="none"/>
        </w:rPr>
        <w:t xml:space="preserve">年</w:t>
      </w:r>
      <w:r>
        <w:rPr>
          <w:rFonts w:hint="eastAsia" w:ascii="Times New Roman" w:hAnsi="Times New Roman" w:eastAsia="Times New Roman"/>
          <w:color w:val="000000" w:themeColor="text1"/>
          <w:spacing w:val="-8"/>
          <w:highlight w:val="none"/>
        </w:rPr>
        <w:t xml:space="preserve">1 </w:t>
      </w:r>
      <w:r>
        <w:rPr>
          <w:rFonts w:hint="eastAsia" w:cs="宋体"/>
          <w:color w:val="000000" w:themeColor="text1"/>
          <w:spacing w:val="-8"/>
          <w:highlight w:val="none"/>
        </w:rPr>
        <w:t xml:space="preserve">月</w:t>
      </w:r>
      <w:r>
        <w:rPr>
          <w:rFonts w:hint="eastAsia" w:ascii="Times New Roman" w:hAnsi="Times New Roman" w:eastAsia="Times New Roman"/>
          <w:color w:val="000000" w:themeColor="text1"/>
          <w:spacing w:val="-8"/>
          <w:highlight w:val="none"/>
        </w:rPr>
        <w:t xml:space="preserve">1 </w:t>
      </w:r>
      <w:r>
        <w:rPr>
          <w:rFonts w:hint="eastAsia" w:cs="宋体"/>
          <w:color w:val="000000" w:themeColor="text1"/>
          <w:spacing w:val="-8"/>
          <w:highlight w:val="none"/>
        </w:rPr>
        <w:t xml:space="preserve">日（以签订之日为准）至今承担的类似项目业绩案例，每提供一份得</w:t>
      </w:r>
      <w:r>
        <w:rPr>
          <w:rFonts w:hint="eastAsia" w:ascii="Times New Roman" w:hAnsi="Times New Roman" w:eastAsia="等线"/>
          <w:color w:val="000000" w:themeColor="text1"/>
          <w:spacing w:val="-8"/>
          <w:highlight w:val="none"/>
        </w:rPr>
        <w:t xml:space="preserve">2</w:t>
      </w:r>
      <w:r>
        <w:rPr>
          <w:rFonts w:hint="eastAsia" w:cs="宋体"/>
          <w:color w:val="000000" w:themeColor="text1"/>
          <w:spacing w:val="-8"/>
          <w:highlight w:val="none"/>
        </w:rPr>
        <w:t xml:space="preserve">分，最高得</w:t>
      </w:r>
      <w:r>
        <w:rPr>
          <w:rFonts w:hint="eastAsia" w:ascii="Times New Roman" w:hAnsi="Times New Roman" w:eastAsia="等线"/>
          <w:color w:val="000000" w:themeColor="text1"/>
          <w:spacing w:val="-8"/>
          <w:highlight w:val="none"/>
        </w:rPr>
        <w:t xml:space="preserve">4</w:t>
      </w:r>
      <w:r>
        <w:rPr>
          <w:rFonts w:hint="eastAsia" w:cs="宋体"/>
          <w:color w:val="000000" w:themeColor="text1"/>
          <w:spacing w:val="-8"/>
          <w:highlight w:val="none"/>
        </w:rPr>
        <w:t xml:space="preserve">分（投标文件中需提供相关合同复印件，未按要求提供或未提供不得分）</w:t>
      </w:r>
      <w:r>
        <w:rPr>
          <w:rFonts w:cs="宋体"/>
          <w:color w:val="000000" w:themeColor="text1"/>
          <w:spacing w:val="-1"/>
          <w:highlight w:val="none"/>
        </w:rPr>
        <w:t xml:space="preserve">。</w:t>
      </w:r>
      <w:r>
        <w:rPr>
          <w:color w:val="000000" w:themeColor="text1"/>
          <w:highlight w:val="none"/>
        </w:rPr>
      </w:r>
    </w:p>
    <w:p>
      <w:pPr>
        <w:ind w:left="109" w:right="39" w:firstLine="410"/>
        <w:spacing w:line="360" w:lineRule="auto"/>
        <w:rPr>
          <w:rFonts w:hint="eastAsia" w:cs="宋体"/>
          <w:color w:val="000000" w:themeColor="text1"/>
          <w:highlight w:val="none"/>
        </w:rPr>
      </w:pPr>
      <w:r>
        <w:rPr>
          <w:rFonts w:hint="eastAsia" w:cs="宋体"/>
          <w:color w:val="000000" w:themeColor="text1"/>
          <w:spacing w:val="-1"/>
          <w:highlight w:val="none"/>
        </w:rPr>
        <w:t xml:space="preserve">（2）投标人具备平台客户端软件著作权得3分（提供著作权证明文件）。</w:t>
      </w:r>
      <w:r>
        <w:rPr>
          <w:color w:val="000000" w:themeColor="text1"/>
          <w:highlight w:val="none"/>
        </w:rPr>
      </w:r>
    </w:p>
    <w:p>
      <w:pPr>
        <w:ind w:firstLine="480"/>
        <w:spacing w:line="360" w:lineRule="auto"/>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pStyle w:val="893"/>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spacing w:line="360" w:lineRule="auto"/>
        <w:rPr>
          <w:rStyle w:val="1062"/>
          <w:rFonts w:hint="eastAsia" w:cs="宋体"/>
          <w:b/>
          <w:bCs/>
          <w:color w:val="000000" w:themeColor="text1"/>
          <w:szCs w:val="20"/>
          <w:highlight w:val="none"/>
        </w:rPr>
      </w:pPr>
      <w:r>
        <w:rPr>
          <w:rFonts w:hint="eastAsia" w:cs="宋体"/>
          <w:b/>
          <w:color w:val="000000" w:themeColor="text1"/>
          <w:highlight w:val="none"/>
        </w:rPr>
        <w:t xml:space="preserve">注：针对评分标准中评分的每一条，投标单位在投标文件中均应提供清晰明了的相关资料并做出相应说明供评委评判，不提供相关资料的视为不具备该项得分的条件。</w:t>
      </w:r>
      <w:r>
        <w:rPr>
          <w:color w:val="000000" w:themeColor="text1"/>
          <w:highlight w:val="none"/>
        </w:rPr>
      </w:r>
    </w:p>
    <w:p>
      <w:pPr>
        <w:ind w:left="960" w:hanging="960"/>
        <w:jc w:val="left"/>
        <w:rPr>
          <w:rFonts w:hint="eastAsia" w:cs="宋体"/>
          <w:color w:val="000000" w:themeColor="text1"/>
          <w:highlight w:val="none"/>
        </w:rPr>
      </w:pPr>
      <w:r>
        <w:rPr>
          <w:rFonts w:hint="eastAsia" w:cs="宋体"/>
          <w:color w:val="000000" w:themeColor="text1"/>
          <w:highlight w:val="none"/>
        </w:rPr>
      </w:r>
      <w:r>
        <w:rPr>
          <w:color w:val="000000" w:themeColor="text1"/>
          <w:highlight w:val="none"/>
        </w:rPr>
      </w:r>
    </w:p>
    <w:p>
      <w:pPr>
        <w:ind w:firstLine="480"/>
        <w:jc w:val="right"/>
        <w:spacing w:line="360" w:lineRule="auto"/>
        <w:rPr>
          <w:rFonts w:hint="eastAsia" w:cs="宋体"/>
          <w:b/>
          <w:bCs/>
          <w:color w:val="000000" w:themeColor="text1"/>
          <w:highlight w:val="none"/>
        </w:rPr>
      </w:pPr>
      <w:r>
        <w:rPr>
          <w:rFonts w:hint="eastAsia" w:cs="宋体"/>
          <w:b/>
          <w:bCs/>
          <w:color w:val="000000" w:themeColor="text1"/>
          <w:highlight w:val="none"/>
        </w:rPr>
      </w:r>
      <w:r>
        <w:rPr>
          <w:color w:val="000000" w:themeColor="text1"/>
          <w:highlight w:val="none"/>
        </w:rPr>
      </w:r>
    </w:p>
    <w:p>
      <w:pPr>
        <w:ind w:firstLine="480"/>
        <w:jc w:val="right"/>
        <w:spacing w:line="360" w:lineRule="auto"/>
        <w:rPr>
          <w:rFonts w:hint="eastAsia" w:cs="宋体"/>
          <w:b/>
          <w:bCs/>
          <w:color w:val="000000" w:themeColor="text1"/>
          <w:highlight w:val="none"/>
        </w:rPr>
      </w:pPr>
      <w:r>
        <w:rPr>
          <w:rFonts w:hint="eastAsia" w:cs="宋体"/>
          <w:b/>
          <w:bCs/>
          <w:color w:val="000000" w:themeColor="text1"/>
          <w:highlight w:val="none"/>
        </w:rPr>
        <w:t xml:space="preserve">（全文完）</w:t>
      </w:r>
      <w:r>
        <w:rPr>
          <w:color w:val="000000" w:themeColor="text1"/>
          <w:highlight w:val="none"/>
        </w:rPr>
      </w:r>
    </w:p>
    <w:sectPr>
      <w:headerReference w:type="default" r:id="rId10"/>
      <w:headerReference w:type="first" r:id="rId11"/>
      <w:footerReference w:type="default" r:id="rId13"/>
      <w:footerReference w:type="first" r:id="rId14"/>
      <w:footnotePr/>
      <w:endnotePr/>
      <w:type w:val="nextPage"/>
      <w:pgSz w:w="11906" w:h="16838" w:orient="portrait"/>
      <w:pgMar w:top="1361" w:right="1247" w:bottom="1361" w:left="1247" w:header="1134" w:footer="11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5"/>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44</w:t>
                          </w:r>
                          <w:r>
                            <w:fldChar w:fldCharType="end"/>
                          </w:r>
                          <w:r>
                            <w:t xml:space="preserve"> </w:t>
                          </w:r>
                          <w:r>
                            <w:rPr>
                              <w:rFonts w:hint="eastAsia"/>
                            </w:rPr>
                            <w:t xml:space="preserve">页</w:t>
                          </w:r>
                          <w:r>
                            <w:t xml:space="preserve"> </w:t>
                          </w:r>
                          <w:r>
                            <w:rPr>
                              <w:rFonts w:hint="eastAsia"/>
                            </w:rPr>
                            <w:t xml:space="preserve">共65页</w:t>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44</w:t>
                    </w:r>
                    <w:r>
                      <w:fldChar w:fldCharType="end"/>
                    </w:r>
                    <w:r>
                      <w:t xml:space="preserve"> </w:t>
                    </w:r>
                    <w:r>
                      <w:rPr>
                        <w:rFonts w:hint="eastAsia"/>
                      </w:rPr>
                      <w:t xml:space="preserve">页</w:t>
                    </w:r>
                    <w:r>
                      <w:t xml:space="preserve"> </w:t>
                    </w:r>
                    <w:r>
                      <w:rPr>
                        <w:rFonts w:hint="eastAsia"/>
                      </w:rPr>
                      <w:t xml:space="preserve">共65页</w:t>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Fonts w:ascii="宋体"/>
      </w:rPr>
      <w:framePr w:wrap="around" w:vAnchor="text" w:hAnchor="margin" w:xAlign="center" w:y="1"/>
    </w:pPr>
    <w:r>
      <w:rPr>
        <w:rStyle w:val="1054"/>
        <w:rFonts w:ascii="宋体" w:hAnsi="宋体"/>
      </w:rPr>
      <w:fldChar w:fldCharType="begin"/>
    </w:r>
    <w:r>
      <w:rPr>
        <w:rStyle w:val="1054"/>
        <w:rFonts w:ascii="宋体" w:hAnsi="宋体"/>
      </w:rPr>
      <w:instrText xml:space="preserve"> PAGE </w:instrText>
    </w:r>
    <w:r>
      <w:rPr>
        <w:rStyle w:val="1054"/>
        <w:rFonts w:ascii="宋体" w:hAnsi="宋体"/>
      </w:rPr>
      <w:fldChar w:fldCharType="separate"/>
    </w:r>
    <w:r>
      <w:rPr>
        <w:rStyle w:val="1054"/>
        <w:rFonts w:ascii="宋体" w:hAnsi="宋体"/>
      </w:rPr>
      <w:t xml:space="preserve">60</w:t>
    </w:r>
    <w:r>
      <w:rPr>
        <w:rStyle w:val="1054"/>
        <w:rFonts w:ascii="宋体" w:hAnsi="宋体"/>
      </w:rPr>
      <w:fldChar w:fldCharType="end"/>
    </w:r>
    <w:r/>
  </w:p>
  <w:p>
    <w:pPr>
      <w:pStyle w:val="1045"/>
      <w:jc w:val="center"/>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1770" cy="43307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461770" cy="433070"/>
                      </a:xfrm>
                      <a:prstGeom prst="rect">
                        <a:avLst/>
                      </a:prstGeom>
                      <a:noFill/>
                      <a:ln w="6350">
                        <a:noFill/>
                      </a:ln>
                      <a:effectLst/>
                    </wps:spPr>
                    <wps:txbx>
                      <w:txbxContent>
                        <w:p>
                          <w:pPr>
                            <w:rPr>
                              <w:rFonts w:hint="eastAsia"/>
                            </w:rPr>
                          </w:pPr>
                          <w:r>
                            <w:rPr>
                              <w:rFonts w:hint="eastAsia"/>
                            </w:rPr>
                            <w:t xml:space="preserve">第</w:t>
                          </w:r>
                          <w:r>
                            <w:t xml:space="preserve"> </w:t>
                          </w:r>
                          <w:r>
                            <w:fldChar w:fldCharType="begin"/>
                          </w:r>
                          <w:r>
                            <w:instrText xml:space="preserve"> PAGE  \* MERGEFORMAT </w:instrText>
                          </w:r>
                          <w:r>
                            <w:fldChar w:fldCharType="separate"/>
                          </w:r>
                          <w:r>
                            <w:t xml:space="preserve">60</w:t>
                          </w:r>
                          <w:r>
                            <w:fldChar w:fldCharType="end"/>
                          </w:r>
                          <w:r>
                            <w:t xml:space="preserve"> </w:t>
                          </w:r>
                          <w:r>
                            <w:rPr>
                              <w:rFonts w:hint="eastAsia"/>
                            </w:rPr>
                            <w:t xml:space="preserve">页</w:t>
                          </w:r>
                          <w:r>
                            <w:t xml:space="preserve"> </w:t>
                          </w:r>
                          <w:r>
                            <w:rPr>
                              <w:rFonts w:hint="eastAsia"/>
                            </w:rPr>
                            <w:t xml:space="preserve">共</w:t>
                          </w:r>
                          <w:r>
                            <w:t xml:space="preserve"> 57 </w:t>
                          </w:r>
                          <w:r>
                            <w:rPr>
                              <w:rFonts w:hint="eastAsia"/>
                            </w:rPr>
                            <w:t xml:space="preserve">页</w:t>
                          </w:r>
                          <w:r/>
                        </w:p>
                        <w:p>
                          <w:pPr>
                            <w:rPr>
                              <w:rFonts w:hint="eastAsia"/>
                            </w:rPr>
                          </w:pPr>
                          <w:r>
                            <w:rPr>
                              <w:rFonts w:hint="eastAsia"/>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5.1pt;height:34.1pt;mso-wrap-distance-left:9.0pt;mso-wrap-distance-top:0.0pt;mso-wrap-distance-right:9.0pt;mso-wrap-distance-bottom:0.0pt;visibility:visible;" filled="f" stroked="f" strokeweight="0.50pt">
              <v:textbox inset="0,0,0,0">
                <w:txbxContent>
                  <w:p>
                    <w:pPr>
                      <w:rPr>
                        <w:rFonts w:hint="eastAsia"/>
                      </w:rPr>
                    </w:pPr>
                    <w:r>
                      <w:rPr>
                        <w:rFonts w:hint="eastAsia"/>
                      </w:rPr>
                      <w:t xml:space="preserve">第</w:t>
                    </w:r>
                    <w:r>
                      <w:t xml:space="preserve"> </w:t>
                    </w:r>
                    <w:r>
                      <w:fldChar w:fldCharType="begin"/>
                    </w:r>
                    <w:r>
                      <w:instrText xml:space="preserve"> PAGE  \* MERGEFORMAT </w:instrText>
                    </w:r>
                    <w:r>
                      <w:fldChar w:fldCharType="separate"/>
                    </w:r>
                    <w:r>
                      <w:t xml:space="preserve">60</w:t>
                    </w:r>
                    <w:r>
                      <w:fldChar w:fldCharType="end"/>
                    </w:r>
                    <w:r>
                      <w:t xml:space="preserve"> </w:t>
                    </w:r>
                    <w:r>
                      <w:rPr>
                        <w:rFonts w:hint="eastAsia"/>
                      </w:rPr>
                      <w:t xml:space="preserve">页</w:t>
                    </w:r>
                    <w:r>
                      <w:t xml:space="preserve"> </w:t>
                    </w:r>
                    <w:r>
                      <w:rPr>
                        <w:rFonts w:hint="eastAsia"/>
                      </w:rPr>
                      <w:t xml:space="preserve">共</w:t>
                    </w:r>
                    <w:r>
                      <w:t xml:space="preserve"> 57 </w:t>
                    </w:r>
                    <w:r>
                      <w:rPr>
                        <w:rFonts w:hint="eastAsia"/>
                      </w:rPr>
                      <w:t xml:space="preserve">页</w:t>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rPr>
        <w:u w:val="single"/>
      </w:rPr>
      <w:pBdr>
        <w:bottom w:val="none" w:color="auto" w:sz="0" w:space="0"/>
      </w:pBdr>
    </w:pPr>
    <w:r>
      <w:rPr>
        <w:rFonts w:hint="eastAsia"/>
        <w:u w:val="single"/>
      </w:rPr>
      <w:t xml:space="preserve">苏州合亿盛工程咨询有限公司</w:t>
    </w:r>
    <w:r>
      <w:rPr>
        <w:u w:val="single"/>
      </w:rPr>
      <w:t xml:space="preserve">                                            </w:t>
    </w:r>
    <w:r>
      <w:rPr>
        <w:rFonts w:hint="eastAsia" w:ascii="宋体" w:hAnsi="宋体"/>
        <w:u w:val="single"/>
      </w:rPr>
      <w:t xml:space="preserve">JSZC-320591-SHYS-G2025-0006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pBdr>
        <w:bottom w:val="none" w:color="auto" w:sz="0" w:space="0"/>
      </w:pBdr>
    </w:pPr>
    <w:r>
      <w:rPr>
        <w:rFonts w:hint="eastAsia"/>
        <w:u w:val="single"/>
      </w:rPr>
      <w:t xml:space="preserve">苏州合亿盛工程咨询有限公司</w:t>
    </w:r>
    <w:r>
      <w:rPr>
        <w:u w:val="single"/>
      </w:rPr>
      <w:t xml:space="preserve">                                                </w:t>
    </w:r>
    <w:r>
      <w:rPr>
        <w:rFonts w:hint="eastAsia" w:ascii="宋体" w:hAnsi="宋体"/>
        <w:u w:val="single"/>
      </w:rPr>
      <w:t xml:space="preserve">JSZC-320591-SHYS-G2025-0006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58"/>
      <w:jc w:val="both"/>
      <w:tabs>
        <w:tab w:val="right" w:pos="8640" w:leader="none"/>
      </w:tabs>
      <w:rPr>
        <w:rFonts w:ascii="宋体"/>
      </w:rPr>
      <w:pBdr>
        <w:bottom w:val="none" w:color="auto" w:sz="0" w:space="0"/>
      </w:pBdr>
    </w:pPr>
    <w:r>
      <w:rPr>
        <w:rFonts w:hint="eastAsia"/>
      </w:rPr>
      <w:t xml:space="preserve">苏州合亿盛工程咨询有限公司</w:t>
    </w:r>
    <w:r>
      <w:t xml:space="preserve">                                                            </w:t>
    </w:r>
    <w:r>
      <w:rPr>
        <w:rFonts w:hint="eastAsia" w:ascii="宋体" w:hAnsi="宋体"/>
      </w:rPr>
      <w:t xml:space="preserve">JSZC-320591-SHYS-G2025-0006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5"/>
      <w:isLgl w:val="false"/>
      <w:suff w:val="tab"/>
      <w:lvlText w:val="%1."/>
      <w:lvlJc w:val="left"/>
      <w:pPr>
        <w:ind w:left="1200" w:hanging="360"/>
        <w:tabs>
          <w:tab w:val="left" w:pos="120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rPr>
        <w:rFonts w:cs="Times New Roman"/>
      </w:rPr>
    </w:lvl>
    <w:lvl w:ilvl="1">
      <w:start w:val="1"/>
      <w:numFmt w:val="decimal"/>
      <w:isLgl w:val="false"/>
      <w:suff w:val="nothing"/>
      <w:lvlText w:val=""/>
      <w:lvlJc w:val="left"/>
      <w:pPr/>
      <w:rPr>
        <w:rFonts w:cs="Times New Roman"/>
      </w:rPr>
    </w:lvl>
    <w:lvl w:ilvl="2">
      <w:start w:val="1"/>
      <w:numFmt w:val="decimal"/>
      <w:isLgl w:val="false"/>
      <w:suff w:val="nothing"/>
      <w:lvlText w:val=""/>
      <w:lvlJc w:val="left"/>
      <w:pPr/>
      <w:rPr>
        <w:rFonts w:cs="Times New Roman"/>
      </w:rPr>
    </w:lvl>
    <w:lvl w:ilvl="3">
      <w:start w:val="1"/>
      <w:numFmt w:val="decimal"/>
      <w:pStyle w:val="1028"/>
      <w:isLgl w:val="false"/>
      <w:suff w:val="nothing"/>
      <w:lvlText w:val=""/>
      <w:lvlJc w:val="left"/>
      <w:pPr/>
      <w:rPr>
        <w:rFonts w:cs="Times New Roman"/>
      </w:rPr>
    </w:lvl>
    <w:lvl w:ilvl="4">
      <w:start w:val="1"/>
      <w:numFmt w:val="decimal"/>
      <w:isLgl w:val="false"/>
      <w:suff w:val="nothing"/>
      <w:lvlText w:val=""/>
      <w:lvlJc w:val="left"/>
      <w:pPr/>
      <w:rPr>
        <w:rFonts w:cs="Times New Roman"/>
      </w:rPr>
    </w:lvl>
    <w:lvl w:ilvl="5">
      <w:start w:val="1"/>
      <w:numFmt w:val="decimal"/>
      <w:isLgl w:val="false"/>
      <w:suff w:val="nothing"/>
      <w:lvlText w:val=""/>
      <w:lvlJc w:val="left"/>
      <w:pPr/>
      <w:rPr>
        <w:rFonts w:cs="Times New Roman"/>
      </w:rPr>
    </w:lvl>
    <w:lvl w:ilvl="6">
      <w:start w:val="1"/>
      <w:numFmt w:val="decimal"/>
      <w:isLgl w:val="false"/>
      <w:suff w:val="nothing"/>
      <w:lvlText w:val=""/>
      <w:lvlJc w:val="left"/>
      <w:pPr/>
      <w:rPr>
        <w:rFonts w:cs="Times New Roman"/>
      </w:rPr>
    </w:lvl>
    <w:lvl w:ilvl="7">
      <w:start w:val="1"/>
      <w:numFmt w:val="decimal"/>
      <w:isLgl w:val="false"/>
      <w:suff w:val="nothing"/>
      <w:lvlText w:val=""/>
      <w:lvlJc w:val="left"/>
      <w:pPr/>
      <w:rPr>
        <w:rFonts w:cs="Times New Roman"/>
      </w:rPr>
    </w:lvl>
    <w:lvl w:ilvl="8">
      <w:start w:val="1"/>
      <w:numFmt w:val="decimal"/>
      <w:isLgl w:val="false"/>
      <w:suff w:val="nothing"/>
      <w:lvlText w:val=""/>
      <w:lvlJc w:val="left"/>
      <w:pPr/>
      <w:rPr>
        <w:rFonts w:cs="Times New Roman"/>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835"/>
    <w:link w:val="826"/>
    <w:uiPriority w:val="9"/>
    <w:rPr>
      <w:rFonts w:ascii="Arial" w:hAnsi="Arial" w:eastAsia="Arial" w:cs="Arial"/>
      <w:sz w:val="40"/>
      <w:szCs w:val="40"/>
    </w:rPr>
  </w:style>
  <w:style w:type="character" w:styleId="789">
    <w:name w:val="Heading 2 Char"/>
    <w:basedOn w:val="835"/>
    <w:link w:val="827"/>
    <w:uiPriority w:val="9"/>
    <w:rPr>
      <w:rFonts w:ascii="Arial" w:hAnsi="Arial" w:eastAsia="Arial" w:cs="Arial"/>
      <w:sz w:val="34"/>
    </w:rPr>
  </w:style>
  <w:style w:type="character" w:styleId="790">
    <w:name w:val="Heading 3 Char"/>
    <w:basedOn w:val="835"/>
    <w:link w:val="828"/>
    <w:uiPriority w:val="9"/>
    <w:rPr>
      <w:rFonts w:ascii="Arial" w:hAnsi="Arial" w:eastAsia="Arial" w:cs="Arial"/>
      <w:sz w:val="30"/>
      <w:szCs w:val="30"/>
    </w:rPr>
  </w:style>
  <w:style w:type="character" w:styleId="791">
    <w:name w:val="Heading 4 Char"/>
    <w:basedOn w:val="835"/>
    <w:link w:val="829"/>
    <w:uiPriority w:val="9"/>
    <w:rPr>
      <w:rFonts w:ascii="Arial" w:hAnsi="Arial" w:eastAsia="Arial" w:cs="Arial"/>
      <w:b/>
      <w:bCs/>
      <w:sz w:val="26"/>
      <w:szCs w:val="26"/>
    </w:rPr>
  </w:style>
  <w:style w:type="character" w:styleId="792">
    <w:name w:val="Heading 5 Char"/>
    <w:basedOn w:val="835"/>
    <w:link w:val="830"/>
    <w:uiPriority w:val="9"/>
    <w:rPr>
      <w:rFonts w:ascii="Arial" w:hAnsi="Arial" w:eastAsia="Arial" w:cs="Arial"/>
      <w:b/>
      <w:bCs/>
      <w:sz w:val="24"/>
      <w:szCs w:val="24"/>
    </w:rPr>
  </w:style>
  <w:style w:type="character" w:styleId="793">
    <w:name w:val="Heading 6 Char"/>
    <w:basedOn w:val="835"/>
    <w:link w:val="831"/>
    <w:uiPriority w:val="9"/>
    <w:rPr>
      <w:rFonts w:ascii="Arial" w:hAnsi="Arial" w:eastAsia="Arial" w:cs="Arial"/>
      <w:b/>
      <w:bCs/>
      <w:sz w:val="22"/>
      <w:szCs w:val="22"/>
    </w:rPr>
  </w:style>
  <w:style w:type="character" w:styleId="794">
    <w:name w:val="Heading 7 Char"/>
    <w:basedOn w:val="835"/>
    <w:link w:val="832"/>
    <w:uiPriority w:val="9"/>
    <w:rPr>
      <w:rFonts w:ascii="Arial" w:hAnsi="Arial" w:eastAsia="Arial" w:cs="Arial"/>
      <w:b/>
      <w:bCs/>
      <w:i/>
      <w:iCs/>
      <w:sz w:val="22"/>
      <w:szCs w:val="22"/>
    </w:rPr>
  </w:style>
  <w:style w:type="character" w:styleId="795">
    <w:name w:val="Heading 8 Char"/>
    <w:basedOn w:val="835"/>
    <w:link w:val="833"/>
    <w:uiPriority w:val="9"/>
    <w:rPr>
      <w:rFonts w:ascii="Arial" w:hAnsi="Arial" w:eastAsia="Arial" w:cs="Arial"/>
      <w:i/>
      <w:iCs/>
      <w:sz w:val="22"/>
      <w:szCs w:val="22"/>
    </w:rPr>
  </w:style>
  <w:style w:type="character" w:styleId="796">
    <w:name w:val="Heading 9 Char"/>
    <w:basedOn w:val="835"/>
    <w:link w:val="834"/>
    <w:uiPriority w:val="9"/>
    <w:rPr>
      <w:rFonts w:ascii="Arial" w:hAnsi="Arial" w:eastAsia="Arial" w:cs="Arial"/>
      <w:i/>
      <w:iCs/>
      <w:sz w:val="21"/>
      <w:szCs w:val="21"/>
    </w:rPr>
  </w:style>
  <w:style w:type="character" w:styleId="797">
    <w:name w:val="Title Char"/>
    <w:basedOn w:val="835"/>
    <w:link w:val="861"/>
    <w:uiPriority w:val="10"/>
    <w:rPr>
      <w:sz w:val="48"/>
      <w:szCs w:val="48"/>
    </w:rPr>
  </w:style>
  <w:style w:type="character" w:styleId="798">
    <w:name w:val="Subtitle Char"/>
    <w:basedOn w:val="835"/>
    <w:link w:val="854"/>
    <w:uiPriority w:val="11"/>
    <w:rPr>
      <w:sz w:val="24"/>
      <w:szCs w:val="24"/>
    </w:rPr>
  </w:style>
  <w:style w:type="character" w:styleId="799">
    <w:name w:val="Quote Char"/>
    <w:link w:val="896"/>
    <w:uiPriority w:val="29"/>
    <w:rPr>
      <w:i/>
    </w:rPr>
  </w:style>
  <w:style w:type="character" w:styleId="800">
    <w:name w:val="Intense Quote Char"/>
    <w:link w:val="898"/>
    <w:uiPriority w:val="30"/>
    <w:rPr>
      <w:i/>
    </w:rPr>
  </w:style>
  <w:style w:type="character" w:styleId="801">
    <w:name w:val="Header Char"/>
    <w:basedOn w:val="835"/>
    <w:link w:val="851"/>
    <w:uiPriority w:val="99"/>
  </w:style>
  <w:style w:type="character" w:styleId="802">
    <w:name w:val="Caption Char"/>
    <w:basedOn w:val="839"/>
    <w:link w:val="849"/>
    <w:uiPriority w:val="99"/>
  </w:style>
  <w:style w:type="table" w:styleId="803">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2">
    <w:name w:val="Footnote Text Char"/>
    <w:link w:val="855"/>
    <w:uiPriority w:val="99"/>
    <w:rPr>
      <w:sz w:val="18"/>
    </w:rPr>
  </w:style>
  <w:style w:type="character" w:styleId="823">
    <w:name w:val="Endnote Text Char"/>
    <w:link w:val="847"/>
    <w:uiPriority w:val="99"/>
    <w:rPr>
      <w:sz w:val="20"/>
    </w:rPr>
  </w:style>
  <w:style w:type="paragraph" w:styleId="824">
    <w:name w:val="TOC Heading"/>
    <w:uiPriority w:val="39"/>
    <w:unhideWhenUsed/>
  </w:style>
  <w:style w:type="paragraph" w:styleId="825" w:default="1">
    <w:name w:val="Normal"/>
    <w:uiPriority w:val="0"/>
    <w:qFormat/>
    <w:pPr>
      <w:jc w:val="both"/>
      <w:widowControl w:val="off"/>
    </w:pPr>
    <w:rPr>
      <w:rFonts w:ascii="宋体" w:hAnsi="宋体" w:eastAsia="宋体" w:cs="Times New Roman"/>
      <w:sz w:val="24"/>
      <w:szCs w:val="24"/>
      <w:lang w:val="en-US" w:eastAsia="zh-CN" w:bidi="ar-SA"/>
    </w:rPr>
  </w:style>
  <w:style w:type="paragraph" w:styleId="826">
    <w:name w:val="Heading 1"/>
    <w:basedOn w:val="825"/>
    <w:next w:val="825"/>
    <w:link w:val="871"/>
    <w:uiPriority w:val="99"/>
    <w:qFormat/>
    <w:pPr>
      <w:keepLines/>
      <w:keepNext/>
      <w:spacing w:before="480" w:after="200"/>
      <w:outlineLvl w:val="0"/>
    </w:pPr>
    <w:rPr>
      <w:rFonts w:ascii="Arial" w:hAnsi="Arial"/>
      <w:sz w:val="40"/>
      <w:szCs w:val="40"/>
    </w:rPr>
  </w:style>
  <w:style w:type="paragraph" w:styleId="827">
    <w:name w:val="Heading 2"/>
    <w:basedOn w:val="825"/>
    <w:next w:val="825"/>
    <w:link w:val="872"/>
    <w:uiPriority w:val="99"/>
    <w:qFormat/>
    <w:pPr>
      <w:keepLines/>
      <w:keepNext/>
      <w:spacing w:before="360" w:after="200"/>
      <w:outlineLvl w:val="1"/>
    </w:pPr>
    <w:rPr>
      <w:rFonts w:ascii="Arial" w:hAnsi="Arial"/>
      <w:sz w:val="34"/>
      <w:szCs w:val="20"/>
    </w:rPr>
  </w:style>
  <w:style w:type="paragraph" w:styleId="828">
    <w:name w:val="Heading 3"/>
    <w:basedOn w:val="825"/>
    <w:next w:val="825"/>
    <w:link w:val="873"/>
    <w:uiPriority w:val="99"/>
    <w:qFormat/>
    <w:pPr>
      <w:keepLines/>
      <w:keepNext/>
      <w:spacing w:before="320" w:after="200"/>
      <w:outlineLvl w:val="2"/>
    </w:pPr>
    <w:rPr>
      <w:rFonts w:ascii="Arial" w:hAnsi="Arial"/>
      <w:sz w:val="30"/>
      <w:szCs w:val="30"/>
    </w:rPr>
  </w:style>
  <w:style w:type="paragraph" w:styleId="829">
    <w:name w:val="Heading 4"/>
    <w:basedOn w:val="825"/>
    <w:next w:val="825"/>
    <w:link w:val="874"/>
    <w:uiPriority w:val="99"/>
    <w:qFormat/>
    <w:pPr>
      <w:keepLines/>
      <w:keepNext/>
      <w:spacing w:before="320" w:after="200"/>
      <w:outlineLvl w:val="3"/>
    </w:pPr>
    <w:rPr>
      <w:rFonts w:ascii="Arial" w:hAnsi="Arial"/>
      <w:b/>
      <w:bCs/>
      <w:sz w:val="26"/>
      <w:szCs w:val="26"/>
    </w:rPr>
  </w:style>
  <w:style w:type="paragraph" w:styleId="830">
    <w:name w:val="Heading 5"/>
    <w:basedOn w:val="825"/>
    <w:next w:val="825"/>
    <w:link w:val="875"/>
    <w:uiPriority w:val="99"/>
    <w:qFormat/>
    <w:pPr>
      <w:keepLines/>
      <w:keepNext/>
      <w:spacing w:before="320" w:after="200"/>
      <w:outlineLvl w:val="4"/>
    </w:pPr>
    <w:rPr>
      <w:rFonts w:ascii="Arial" w:hAnsi="Arial"/>
      <w:b/>
      <w:bCs/>
    </w:rPr>
  </w:style>
  <w:style w:type="paragraph" w:styleId="831">
    <w:name w:val="Heading 6"/>
    <w:basedOn w:val="825"/>
    <w:next w:val="825"/>
    <w:link w:val="876"/>
    <w:uiPriority w:val="99"/>
    <w:qFormat/>
    <w:pPr>
      <w:keepLines/>
      <w:keepNext/>
      <w:spacing w:before="320" w:after="200"/>
      <w:outlineLvl w:val="5"/>
    </w:pPr>
    <w:rPr>
      <w:rFonts w:ascii="Arial" w:hAnsi="Arial"/>
      <w:b/>
      <w:bCs/>
      <w:sz w:val="22"/>
      <w:szCs w:val="22"/>
    </w:rPr>
  </w:style>
  <w:style w:type="paragraph" w:styleId="832">
    <w:name w:val="Heading 7"/>
    <w:basedOn w:val="825"/>
    <w:next w:val="825"/>
    <w:link w:val="877"/>
    <w:uiPriority w:val="99"/>
    <w:qFormat/>
    <w:pPr>
      <w:keepLines/>
      <w:keepNext/>
      <w:spacing w:before="320" w:after="200"/>
      <w:outlineLvl w:val="6"/>
    </w:pPr>
    <w:rPr>
      <w:rFonts w:ascii="Arial" w:hAnsi="Arial"/>
      <w:b/>
      <w:bCs/>
      <w:i/>
      <w:iCs/>
      <w:sz w:val="22"/>
      <w:szCs w:val="22"/>
    </w:rPr>
  </w:style>
  <w:style w:type="paragraph" w:styleId="833">
    <w:name w:val="Heading 8"/>
    <w:basedOn w:val="825"/>
    <w:next w:val="825"/>
    <w:link w:val="878"/>
    <w:uiPriority w:val="99"/>
    <w:qFormat/>
    <w:pPr>
      <w:keepLines/>
      <w:keepNext/>
      <w:spacing w:before="320" w:after="200"/>
      <w:outlineLvl w:val="7"/>
    </w:pPr>
    <w:rPr>
      <w:rFonts w:ascii="Arial" w:hAnsi="Arial"/>
      <w:i/>
      <w:iCs/>
      <w:sz w:val="22"/>
      <w:szCs w:val="22"/>
    </w:rPr>
  </w:style>
  <w:style w:type="paragraph" w:styleId="834">
    <w:name w:val="Heading 9"/>
    <w:basedOn w:val="825"/>
    <w:next w:val="825"/>
    <w:link w:val="879"/>
    <w:uiPriority w:val="99"/>
    <w:qFormat/>
    <w:pPr>
      <w:keepLines/>
      <w:keepNext/>
      <w:spacing w:before="320" w:after="200"/>
      <w:outlineLvl w:val="8"/>
    </w:pPr>
    <w:rPr>
      <w:rFonts w:ascii="Arial" w:hAnsi="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99"/>
    <w:qFormat/>
    <w:pPr>
      <w:ind w:left="1701"/>
      <w:spacing w:after="57"/>
    </w:pPr>
  </w:style>
  <w:style w:type="paragraph" w:styleId="838">
    <w:name w:val="Normal Indent"/>
    <w:basedOn w:val="825"/>
    <w:next w:val="825"/>
    <w:uiPriority w:val="0"/>
    <w:qFormat/>
    <w:pPr>
      <w:ind w:left="420" w:firstLine="4772"/>
    </w:pPr>
  </w:style>
  <w:style w:type="paragraph" w:styleId="839">
    <w:name w:val="Caption"/>
    <w:basedOn w:val="825"/>
    <w:next w:val="825"/>
    <w:uiPriority w:val="99"/>
    <w:qFormat/>
    <w:pPr>
      <w:spacing w:line="276" w:lineRule="auto"/>
    </w:pPr>
    <w:rPr>
      <w:b/>
      <w:bCs/>
      <w:color w:val="4f81bd"/>
      <w:sz w:val="18"/>
      <w:szCs w:val="18"/>
    </w:rPr>
  </w:style>
  <w:style w:type="paragraph" w:styleId="840">
    <w:name w:val="annotation text"/>
    <w:basedOn w:val="825"/>
    <w:link w:val="880"/>
    <w:uiPriority w:val="99"/>
    <w:qFormat/>
    <w:pPr>
      <w:jc w:val="left"/>
    </w:pPr>
  </w:style>
  <w:style w:type="paragraph" w:styleId="841">
    <w:name w:val="Body Text"/>
    <w:basedOn w:val="825"/>
    <w:next w:val="838"/>
    <w:link w:val="881"/>
    <w:uiPriority w:val="99"/>
    <w:semiHidden/>
    <w:qFormat/>
    <w:pPr>
      <w:spacing w:after="120"/>
    </w:pPr>
  </w:style>
  <w:style w:type="paragraph" w:styleId="842">
    <w:name w:val="Body Text Indent"/>
    <w:basedOn w:val="825"/>
    <w:link w:val="882"/>
    <w:uiPriority w:val="99"/>
    <w:qFormat/>
    <w:pPr>
      <w:ind w:left="420"/>
      <w:spacing w:after="120"/>
    </w:pPr>
  </w:style>
  <w:style w:type="paragraph" w:styleId="843">
    <w:name w:val="toc 5"/>
    <w:basedOn w:val="825"/>
    <w:next w:val="825"/>
    <w:uiPriority w:val="99"/>
    <w:qFormat/>
    <w:pPr>
      <w:ind w:left="1134"/>
      <w:spacing w:after="57"/>
    </w:pPr>
  </w:style>
  <w:style w:type="paragraph" w:styleId="844">
    <w:name w:val="toc 3"/>
    <w:basedOn w:val="825"/>
    <w:next w:val="825"/>
    <w:uiPriority w:val="99"/>
    <w:qFormat/>
    <w:pPr>
      <w:ind w:left="567"/>
      <w:spacing w:after="57"/>
    </w:pPr>
  </w:style>
  <w:style w:type="paragraph" w:styleId="845">
    <w:name w:val="toc 8"/>
    <w:basedOn w:val="825"/>
    <w:next w:val="825"/>
    <w:uiPriority w:val="99"/>
    <w:qFormat/>
    <w:pPr>
      <w:ind w:left="1984"/>
      <w:spacing w:after="57"/>
    </w:pPr>
  </w:style>
  <w:style w:type="paragraph" w:styleId="846">
    <w:name w:val="Body Text Indent 2"/>
    <w:basedOn w:val="825"/>
    <w:uiPriority w:val="0"/>
    <w:qFormat/>
    <w:pPr>
      <w:ind w:left="1" w:firstLine="480"/>
      <w:spacing w:line="400" w:lineRule="exact"/>
      <w:tabs>
        <w:tab w:val="left" w:pos="360" w:leader="none"/>
      </w:tabs>
    </w:pPr>
    <w:rPr>
      <w:rFonts w:ascii="Times New Roman" w:hAnsi="Times New Roman"/>
      <w:sz w:val="20"/>
      <w:szCs w:val="20"/>
    </w:rPr>
  </w:style>
  <w:style w:type="paragraph" w:styleId="847">
    <w:name w:val="endnote text"/>
    <w:basedOn w:val="825"/>
    <w:link w:val="883"/>
    <w:uiPriority w:val="99"/>
    <w:semiHidden/>
    <w:qFormat/>
    <w:rPr>
      <w:rFonts w:ascii="Times New Roman" w:hAnsi="Times New Roman"/>
      <w:sz w:val="20"/>
      <w:szCs w:val="20"/>
    </w:rPr>
  </w:style>
  <w:style w:type="paragraph" w:styleId="848">
    <w:name w:val="Balloon Text"/>
    <w:basedOn w:val="825"/>
    <w:link w:val="884"/>
    <w:uiPriority w:val="99"/>
    <w:semiHidden/>
    <w:qFormat/>
    <w:rPr>
      <w:sz w:val="18"/>
      <w:szCs w:val="18"/>
    </w:rPr>
  </w:style>
  <w:style w:type="paragraph" w:styleId="849">
    <w:name w:val="Footer"/>
    <w:basedOn w:val="825"/>
    <w:link w:val="900"/>
    <w:uiPriority w:val="99"/>
    <w:qFormat/>
    <w:pPr>
      <w:tabs>
        <w:tab w:val="center" w:pos="7143" w:leader="none"/>
        <w:tab w:val="right" w:pos="14287" w:leader="none"/>
      </w:tabs>
    </w:pPr>
  </w:style>
  <w:style w:type="paragraph" w:styleId="850">
    <w:name w:val="envelope return"/>
    <w:basedOn w:val="825"/>
    <w:uiPriority w:val="99"/>
    <w:qFormat/>
    <w:rPr>
      <w:rFonts w:ascii="Arial" w:hAnsi="Arial"/>
    </w:rPr>
  </w:style>
  <w:style w:type="paragraph" w:styleId="851">
    <w:name w:val="Header"/>
    <w:basedOn w:val="825"/>
    <w:link w:val="886"/>
    <w:uiPriority w:val="99"/>
    <w:qFormat/>
    <w:pPr>
      <w:tabs>
        <w:tab w:val="center" w:pos="7143" w:leader="none"/>
        <w:tab w:val="right" w:pos="14287" w:leader="none"/>
      </w:tabs>
    </w:pPr>
  </w:style>
  <w:style w:type="paragraph" w:styleId="852">
    <w:name w:val="toc 1"/>
    <w:basedOn w:val="825"/>
    <w:next w:val="825"/>
    <w:uiPriority w:val="99"/>
    <w:qFormat/>
    <w:pPr>
      <w:spacing w:after="57"/>
    </w:pPr>
  </w:style>
  <w:style w:type="paragraph" w:styleId="853">
    <w:name w:val="toc 4"/>
    <w:basedOn w:val="825"/>
    <w:next w:val="825"/>
    <w:uiPriority w:val="99"/>
    <w:qFormat/>
    <w:pPr>
      <w:ind w:left="850"/>
      <w:spacing w:after="57"/>
    </w:pPr>
  </w:style>
  <w:style w:type="paragraph" w:styleId="854">
    <w:name w:val="Subtitle"/>
    <w:basedOn w:val="825"/>
    <w:next w:val="825"/>
    <w:link w:val="887"/>
    <w:uiPriority w:val="99"/>
    <w:qFormat/>
    <w:pPr>
      <w:spacing w:before="200" w:after="200"/>
    </w:pPr>
    <w:rPr>
      <w:rFonts w:ascii="Times New Roman" w:hAnsi="Times New Roman"/>
    </w:rPr>
  </w:style>
  <w:style w:type="paragraph" w:styleId="855">
    <w:name w:val="footnote text"/>
    <w:basedOn w:val="825"/>
    <w:link w:val="888"/>
    <w:uiPriority w:val="99"/>
    <w:semiHidden/>
    <w:qFormat/>
    <w:pPr>
      <w:spacing w:after="40"/>
    </w:pPr>
    <w:rPr>
      <w:rFonts w:ascii="Times New Roman" w:hAnsi="Times New Roman"/>
      <w:sz w:val="18"/>
      <w:szCs w:val="20"/>
    </w:rPr>
  </w:style>
  <w:style w:type="paragraph" w:styleId="856">
    <w:name w:val="toc 6"/>
    <w:basedOn w:val="825"/>
    <w:next w:val="825"/>
    <w:uiPriority w:val="99"/>
    <w:qFormat/>
    <w:pPr>
      <w:ind w:left="1417"/>
      <w:spacing w:after="57"/>
    </w:pPr>
  </w:style>
  <w:style w:type="paragraph" w:styleId="857">
    <w:name w:val="Body Text Indent 3"/>
    <w:basedOn w:val="825"/>
    <w:uiPriority w:val="0"/>
    <w:qFormat/>
    <w:pPr>
      <w:ind w:left="420"/>
      <w:spacing w:after="120"/>
    </w:pPr>
    <w:rPr>
      <w:sz w:val="16"/>
      <w:szCs w:val="16"/>
    </w:rPr>
  </w:style>
  <w:style w:type="paragraph" w:styleId="858">
    <w:name w:val="table of figures"/>
    <w:basedOn w:val="825"/>
    <w:next w:val="825"/>
    <w:uiPriority w:val="99"/>
    <w:qFormat/>
  </w:style>
  <w:style w:type="paragraph" w:styleId="859">
    <w:name w:val="toc 2"/>
    <w:basedOn w:val="825"/>
    <w:next w:val="825"/>
    <w:uiPriority w:val="99"/>
    <w:qFormat/>
    <w:pPr>
      <w:ind w:left="283"/>
      <w:spacing w:after="57"/>
    </w:pPr>
  </w:style>
  <w:style w:type="paragraph" w:styleId="860">
    <w:name w:val="toc 9"/>
    <w:basedOn w:val="825"/>
    <w:next w:val="825"/>
    <w:uiPriority w:val="99"/>
    <w:qFormat/>
    <w:pPr>
      <w:ind w:left="2268"/>
      <w:spacing w:after="57"/>
    </w:pPr>
  </w:style>
  <w:style w:type="paragraph" w:styleId="861">
    <w:name w:val="Title"/>
    <w:basedOn w:val="825"/>
    <w:next w:val="825"/>
    <w:link w:val="889"/>
    <w:uiPriority w:val="99"/>
    <w:qFormat/>
    <w:pPr>
      <w:contextualSpacing/>
      <w:spacing w:before="300" w:after="200"/>
    </w:pPr>
    <w:rPr>
      <w:rFonts w:ascii="Times New Roman" w:hAnsi="Times New Roman"/>
      <w:sz w:val="48"/>
      <w:szCs w:val="48"/>
    </w:rPr>
  </w:style>
  <w:style w:type="paragraph" w:styleId="862">
    <w:name w:val="annotation subject"/>
    <w:basedOn w:val="840"/>
    <w:next w:val="840"/>
    <w:link w:val="1084"/>
    <w:uiPriority w:val="99"/>
    <w:semiHidden/>
    <w:unhideWhenUsed/>
    <w:qFormat/>
    <w:rPr>
      <w:b/>
      <w:bCs/>
    </w:rPr>
  </w:style>
  <w:style w:type="table" w:styleId="863">
    <w:name w:val="Table Grid"/>
    <w:basedOn w:val="83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0"/>
    <w:qFormat/>
    <w:rPr>
      <w:b/>
      <w:bCs/>
      <w:lang w:eastAsia="zh-CN"/>
    </w:rPr>
  </w:style>
  <w:style w:type="character" w:styleId="865">
    <w:name w:val="endnote reference"/>
    <w:uiPriority w:val="99"/>
    <w:semiHidden/>
    <w:qFormat/>
    <w:rPr>
      <w:rFonts w:cs="Times New Roman"/>
      <w:vertAlign w:val="superscript"/>
    </w:rPr>
  </w:style>
  <w:style w:type="character" w:styleId="866">
    <w:name w:val="FollowedHyperlink"/>
    <w:uiPriority w:val="99"/>
    <w:semiHidden/>
    <w:qFormat/>
    <w:rPr>
      <w:rFonts w:cs="Times New Roman"/>
      <w:color w:val="333333"/>
      <w:u w:val="none"/>
    </w:rPr>
  </w:style>
  <w:style w:type="character" w:styleId="867">
    <w:name w:val="Emphasis"/>
    <w:uiPriority w:val="99"/>
    <w:qFormat/>
    <w:rPr>
      <w:rFonts w:cs="Times New Roman"/>
    </w:rPr>
  </w:style>
  <w:style w:type="character" w:styleId="868">
    <w:name w:val="Hyperlink"/>
    <w:uiPriority w:val="99"/>
    <w:qFormat/>
    <w:rPr>
      <w:rFonts w:cs="Times New Roman"/>
      <w:color w:val="0000ff"/>
      <w:u w:val="single"/>
    </w:rPr>
  </w:style>
  <w:style w:type="character" w:styleId="869">
    <w:name w:val="annotation reference"/>
    <w:basedOn w:val="835"/>
    <w:uiPriority w:val="99"/>
    <w:semiHidden/>
    <w:unhideWhenUsed/>
    <w:qFormat/>
    <w:rPr>
      <w:sz w:val="21"/>
      <w:szCs w:val="21"/>
    </w:rPr>
  </w:style>
  <w:style w:type="character" w:styleId="870">
    <w:name w:val="footnote reference"/>
    <w:uiPriority w:val="99"/>
    <w:qFormat/>
    <w:rPr>
      <w:rFonts w:cs="Times New Roman"/>
      <w:vertAlign w:val="superscript"/>
    </w:rPr>
  </w:style>
  <w:style w:type="character" w:styleId="871" w:customStyle="1">
    <w:name w:val="标题 1 字符"/>
    <w:link w:val="826"/>
    <w:uiPriority w:val="99"/>
    <w:qFormat/>
    <w:rPr>
      <w:rFonts w:ascii="Arial" w:hAnsi="Arial" w:eastAsia="Times New Roman"/>
      <w:sz w:val="40"/>
    </w:rPr>
  </w:style>
  <w:style w:type="character" w:styleId="872" w:customStyle="1">
    <w:name w:val="标题 2 字符"/>
    <w:link w:val="827"/>
    <w:uiPriority w:val="99"/>
    <w:qFormat/>
    <w:rPr>
      <w:rFonts w:ascii="Arial" w:hAnsi="Arial" w:eastAsia="Times New Roman"/>
      <w:sz w:val="34"/>
    </w:rPr>
  </w:style>
  <w:style w:type="character" w:styleId="873" w:customStyle="1">
    <w:name w:val="标题 3 字符"/>
    <w:link w:val="828"/>
    <w:uiPriority w:val="99"/>
    <w:qFormat/>
    <w:rPr>
      <w:rFonts w:ascii="Arial" w:hAnsi="Arial" w:eastAsia="Times New Roman"/>
      <w:sz w:val="30"/>
    </w:rPr>
  </w:style>
  <w:style w:type="character" w:styleId="874" w:customStyle="1">
    <w:name w:val="标题 4 字符"/>
    <w:link w:val="829"/>
    <w:uiPriority w:val="99"/>
    <w:qFormat/>
    <w:rPr>
      <w:rFonts w:ascii="Arial" w:hAnsi="Arial" w:eastAsia="Times New Roman"/>
      <w:b/>
      <w:sz w:val="26"/>
    </w:rPr>
  </w:style>
  <w:style w:type="character" w:styleId="875" w:customStyle="1">
    <w:name w:val="标题 5 字符"/>
    <w:link w:val="830"/>
    <w:uiPriority w:val="99"/>
    <w:qFormat/>
    <w:rPr>
      <w:rFonts w:ascii="Arial" w:hAnsi="Arial" w:eastAsia="Times New Roman"/>
      <w:b/>
      <w:sz w:val="24"/>
    </w:rPr>
  </w:style>
  <w:style w:type="character" w:styleId="876" w:customStyle="1">
    <w:name w:val="标题 6 字符"/>
    <w:link w:val="831"/>
    <w:uiPriority w:val="99"/>
    <w:qFormat/>
    <w:rPr>
      <w:rFonts w:ascii="Arial" w:hAnsi="Arial" w:eastAsia="Times New Roman"/>
      <w:b/>
      <w:sz w:val="22"/>
    </w:rPr>
  </w:style>
  <w:style w:type="character" w:styleId="877" w:customStyle="1">
    <w:name w:val="标题 7 字符"/>
    <w:link w:val="832"/>
    <w:uiPriority w:val="99"/>
    <w:qFormat/>
    <w:rPr>
      <w:rFonts w:ascii="Arial" w:hAnsi="Arial" w:eastAsia="Times New Roman"/>
      <w:b/>
      <w:i/>
      <w:sz w:val="22"/>
    </w:rPr>
  </w:style>
  <w:style w:type="character" w:styleId="878" w:customStyle="1">
    <w:name w:val="标题 8 字符"/>
    <w:link w:val="833"/>
    <w:uiPriority w:val="99"/>
    <w:qFormat/>
    <w:rPr>
      <w:rFonts w:ascii="Arial" w:hAnsi="Arial" w:eastAsia="Times New Roman"/>
      <w:i/>
      <w:sz w:val="22"/>
    </w:rPr>
  </w:style>
  <w:style w:type="character" w:styleId="879" w:customStyle="1">
    <w:name w:val="标题 9 字符"/>
    <w:link w:val="834"/>
    <w:uiPriority w:val="99"/>
    <w:qFormat/>
    <w:rPr>
      <w:rFonts w:ascii="Arial" w:hAnsi="Arial" w:eastAsia="Times New Roman"/>
      <w:i/>
      <w:sz w:val="21"/>
    </w:rPr>
  </w:style>
  <w:style w:type="character" w:styleId="880" w:customStyle="1">
    <w:name w:val="批注文字 字符"/>
    <w:link w:val="840"/>
    <w:uiPriority w:val="99"/>
    <w:semiHidden/>
    <w:qFormat/>
    <w:rPr>
      <w:rFonts w:ascii="宋体" w:hAnsi="宋体"/>
      <w:sz w:val="24"/>
      <w:szCs w:val="24"/>
    </w:rPr>
  </w:style>
  <w:style w:type="character" w:styleId="881" w:customStyle="1">
    <w:name w:val="正文文本 字符"/>
    <w:link w:val="841"/>
    <w:uiPriority w:val="99"/>
    <w:semiHidden/>
    <w:qFormat/>
    <w:rPr>
      <w:rFonts w:ascii="宋体" w:hAnsi="宋体"/>
      <w:sz w:val="24"/>
      <w:szCs w:val="24"/>
    </w:rPr>
  </w:style>
  <w:style w:type="character" w:styleId="882" w:customStyle="1">
    <w:name w:val="正文文本缩进 字符"/>
    <w:link w:val="842"/>
    <w:uiPriority w:val="99"/>
    <w:semiHidden/>
    <w:qFormat/>
    <w:rPr>
      <w:rFonts w:ascii="宋体" w:hAnsi="宋体"/>
      <w:sz w:val="24"/>
      <w:szCs w:val="24"/>
    </w:rPr>
  </w:style>
  <w:style w:type="character" w:styleId="883" w:customStyle="1">
    <w:name w:val="尾注文本 字符"/>
    <w:link w:val="847"/>
    <w:uiPriority w:val="99"/>
    <w:qFormat/>
    <w:rPr>
      <w:sz w:val="20"/>
    </w:rPr>
  </w:style>
  <w:style w:type="character" w:styleId="884" w:customStyle="1">
    <w:name w:val="批注框文本 字符"/>
    <w:link w:val="848"/>
    <w:uiPriority w:val="99"/>
    <w:semiHidden/>
    <w:qFormat/>
    <w:rPr>
      <w:rFonts w:ascii="宋体" w:eastAsia="宋体" w:cs="Times New Roman"/>
      <w:sz w:val="18"/>
      <w:szCs w:val="18"/>
    </w:rPr>
  </w:style>
  <w:style w:type="character" w:styleId="885" w:customStyle="1">
    <w:name w:val="Footer Char"/>
    <w:basedOn w:val="835"/>
    <w:uiPriority w:val="99"/>
    <w:qFormat/>
  </w:style>
  <w:style w:type="character" w:styleId="886" w:customStyle="1">
    <w:name w:val="页眉 字符"/>
    <w:basedOn w:val="835"/>
    <w:link w:val="851"/>
    <w:uiPriority w:val="99"/>
    <w:qFormat/>
  </w:style>
  <w:style w:type="character" w:styleId="887" w:customStyle="1">
    <w:name w:val="副标题 字符"/>
    <w:link w:val="854"/>
    <w:uiPriority w:val="99"/>
    <w:qFormat/>
    <w:rPr>
      <w:sz w:val="24"/>
    </w:rPr>
  </w:style>
  <w:style w:type="character" w:styleId="888" w:customStyle="1">
    <w:name w:val="脚注文本 字符"/>
    <w:link w:val="855"/>
    <w:uiPriority w:val="99"/>
    <w:qFormat/>
    <w:rPr>
      <w:sz w:val="18"/>
    </w:rPr>
  </w:style>
  <w:style w:type="character" w:styleId="889" w:customStyle="1">
    <w:name w:val="标题 字符"/>
    <w:link w:val="861"/>
    <w:uiPriority w:val="99"/>
    <w:qFormat/>
    <w:rPr>
      <w:sz w:val="48"/>
    </w:rPr>
  </w:style>
  <w:style w:type="character" w:styleId="890" w:customStyle="1">
    <w:name w:val="标题 1 Char"/>
    <w:link w:val="891"/>
    <w:uiPriority w:val="99"/>
    <w:qFormat/>
    <w:rPr>
      <w:rFonts w:ascii="Times New Roman" w:hAnsi="Times New Roman"/>
      <w:b/>
      <w:sz w:val="20"/>
    </w:rPr>
  </w:style>
  <w:style w:type="paragraph" w:styleId="891" w:customStyle="1">
    <w:name w:val="标题 11"/>
    <w:basedOn w:val="825"/>
    <w:next w:val="825"/>
    <w:link w:val="890"/>
    <w:uiPriority w:val="99"/>
    <w:qFormat/>
    <w:pPr>
      <w:ind w:left="432" w:hanging="432"/>
      <w:keepLines/>
      <w:keepNext/>
      <w:spacing w:before="340" w:after="330" w:line="578" w:lineRule="auto"/>
      <w:tabs>
        <w:tab w:val="left" w:pos="432" w:leader="none"/>
      </w:tabs>
      <w:outlineLvl w:val="0"/>
    </w:pPr>
    <w:rPr>
      <w:rFonts w:ascii="Times New Roman" w:hAnsi="Times New Roman"/>
      <w:b/>
      <w:sz w:val="44"/>
      <w:szCs w:val="20"/>
    </w:rPr>
  </w:style>
  <w:style w:type="paragraph" w:styleId="892" w:customStyle="1">
    <w:name w:val="正文1"/>
    <w:basedOn w:val="825"/>
    <w:next w:val="825"/>
    <w:uiPriority w:val="99"/>
    <w:qFormat/>
    <w:pPr>
      <w:ind w:left="420" w:firstLine="527"/>
      <w:spacing w:before="120" w:line="360" w:lineRule="auto"/>
    </w:pPr>
    <w:rPr>
      <w:szCs w:val="20"/>
    </w:rPr>
  </w:style>
  <w:style w:type="paragraph" w:styleId="893" w:customStyle="1">
    <w:name w:val="正文文本缩进1"/>
    <w:basedOn w:val="825"/>
    <w:next w:val="825"/>
    <w:uiPriority w:val="99"/>
    <w:qFormat/>
    <w:pPr>
      <w:ind w:firstLine="420"/>
      <w:spacing w:line="360" w:lineRule="exact"/>
    </w:pPr>
    <w:rPr>
      <w:szCs w:val="21"/>
    </w:rPr>
  </w:style>
  <w:style w:type="paragraph" w:styleId="894">
    <w:name w:val="List Paragraph"/>
    <w:basedOn w:val="825"/>
    <w:uiPriority w:val="99"/>
    <w:qFormat/>
    <w:pPr>
      <w:contextualSpacing/>
      <w:ind w:left="720"/>
    </w:pPr>
  </w:style>
  <w:style w:type="paragraph" w:styleId="895">
    <w:name w:val="No Spacing"/>
    <w:uiPriority w:val="99"/>
    <w:qFormat/>
    <w:rPr>
      <w:rFonts w:ascii="Calibri" w:hAnsi="Calibri" w:eastAsia="宋体" w:cs="Times New Roman"/>
      <w:lang w:val="en-US" w:eastAsia="zh-CN" w:bidi="ar-SA"/>
    </w:rPr>
  </w:style>
  <w:style w:type="paragraph" w:styleId="896">
    <w:name w:val="Quote"/>
    <w:basedOn w:val="825"/>
    <w:next w:val="825"/>
    <w:link w:val="897"/>
    <w:uiPriority w:val="99"/>
    <w:qFormat/>
    <w:pPr>
      <w:ind w:left="720" w:right="720"/>
    </w:pPr>
    <w:rPr>
      <w:rFonts w:ascii="Times New Roman" w:hAnsi="Times New Roman"/>
      <w:i/>
      <w:sz w:val="20"/>
      <w:szCs w:val="20"/>
    </w:rPr>
  </w:style>
  <w:style w:type="character" w:styleId="897" w:customStyle="1">
    <w:name w:val="引用 字符"/>
    <w:link w:val="896"/>
    <w:uiPriority w:val="99"/>
    <w:qFormat/>
    <w:rPr>
      <w:i/>
    </w:rPr>
  </w:style>
  <w:style w:type="paragraph" w:styleId="898">
    <w:name w:val="Intense Quote"/>
    <w:basedOn w:val="825"/>
    <w:next w:val="825"/>
    <w:link w:val="899"/>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99" w:customStyle="1">
    <w:name w:val="明显引用 字符"/>
    <w:link w:val="898"/>
    <w:uiPriority w:val="99"/>
    <w:qFormat/>
    <w:rPr>
      <w:i/>
    </w:rPr>
  </w:style>
  <w:style w:type="character" w:styleId="900" w:customStyle="1">
    <w:name w:val="页脚 字符"/>
    <w:link w:val="849"/>
    <w:uiPriority w:val="99"/>
    <w:qFormat/>
  </w:style>
  <w:style w:type="table" w:styleId="901" w:customStyle="1">
    <w:name w:val="Table Grid Light"/>
    <w:uiPriority w:val="9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无格式表格 11"/>
    <w:uiPriority w:val="9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无格式表格 21"/>
    <w:uiPriority w:val="9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4" w:customStyle="1">
    <w:name w:val="无格式表格 31"/>
    <w:uiPriority w:val="99"/>
    <w:qFormat/>
    <w:tblPr>
      <w:tblCellMar>
        <w:left w:w="0" w:type="dxa"/>
        <w:top w:w="0" w:type="dxa"/>
        <w:right w:w="0" w:type="dxa"/>
        <w:bottom w:w="0" w:type="dxa"/>
      </w:tblCellMar>
    </w:tblPr>
  </w:style>
  <w:style w:type="table" w:styleId="905" w:customStyle="1">
    <w:name w:val="无格式表格 41"/>
    <w:uiPriority w:val="99"/>
    <w:qFormat/>
    <w:tblPr>
      <w:tblCellMar>
        <w:left w:w="0" w:type="dxa"/>
        <w:top w:w="0" w:type="dxa"/>
        <w:right w:w="0" w:type="dxa"/>
        <w:bottom w:w="0" w:type="dxa"/>
      </w:tblCellMar>
    </w:tblPr>
  </w:style>
  <w:style w:type="table" w:styleId="906" w:customStyle="1">
    <w:name w:val="无格式表格 51"/>
    <w:uiPriority w:val="99"/>
    <w:qFormat/>
    <w:tblPr>
      <w:tblCellMar>
        <w:left w:w="0" w:type="dxa"/>
        <w:top w:w="0" w:type="dxa"/>
        <w:right w:w="0" w:type="dxa"/>
        <w:bottom w:w="0" w:type="dxa"/>
      </w:tblCellMar>
    </w:tblPr>
  </w:style>
  <w:style w:type="table" w:styleId="90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41"/>
    <w:uiPriority w:val="9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9" w:customStyle="1">
    <w:name w:val="Grid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0" w:customStyle="1">
    <w:name w:val="Grid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1" w:customStyle="1">
    <w:name w:val="Grid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2" w:customStyle="1">
    <w:name w:val="Grid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3" w:customStyle="1">
    <w:name w:val="Grid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清单表 1 浅色1"/>
    <w:uiPriority w:val="99"/>
    <w:qFormat/>
    <w:tblPr>
      <w:tblCellMar>
        <w:left w:w="0" w:type="dxa"/>
        <w:top w:w="0" w:type="dxa"/>
        <w:right w:w="0" w:type="dxa"/>
        <w:bottom w:w="0" w:type="dxa"/>
      </w:tblCellMar>
    </w:tblPr>
  </w:style>
  <w:style w:type="table" w:styleId="957" w:customStyle="1">
    <w:name w:val="List Table 1 Light - Accent 1"/>
    <w:uiPriority w:val="99"/>
    <w:qFormat/>
    <w:tblPr>
      <w:tblCellMar>
        <w:left w:w="0" w:type="dxa"/>
        <w:top w:w="0" w:type="dxa"/>
        <w:right w:w="0" w:type="dxa"/>
        <w:bottom w:w="0" w:type="dxa"/>
      </w:tblCellMar>
    </w:tblPr>
  </w:style>
  <w:style w:type="table" w:styleId="958" w:customStyle="1">
    <w:name w:val="List Table 1 Light - Accent 2"/>
    <w:uiPriority w:val="99"/>
    <w:qFormat/>
    <w:tblPr>
      <w:tblCellMar>
        <w:left w:w="0" w:type="dxa"/>
        <w:top w:w="0" w:type="dxa"/>
        <w:right w:w="0" w:type="dxa"/>
        <w:bottom w:w="0" w:type="dxa"/>
      </w:tblCellMar>
    </w:tblPr>
  </w:style>
  <w:style w:type="table" w:styleId="959" w:customStyle="1">
    <w:name w:val="List Table 1 Light - Accent 3"/>
    <w:uiPriority w:val="99"/>
    <w:qFormat/>
    <w:tblPr>
      <w:tblCellMar>
        <w:left w:w="0" w:type="dxa"/>
        <w:top w:w="0" w:type="dxa"/>
        <w:right w:w="0" w:type="dxa"/>
        <w:bottom w:w="0" w:type="dxa"/>
      </w:tblCellMar>
    </w:tbl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List Table 1 Light - Accent 5"/>
    <w:uiPriority w:val="99"/>
    <w:qFormat/>
    <w:tblPr>
      <w:tblCellMar>
        <w:left w:w="0" w:type="dxa"/>
        <w:top w:w="0" w:type="dxa"/>
        <w:right w:w="0" w:type="dxa"/>
        <w:bottom w:w="0" w:type="dxa"/>
      </w:tblCellMar>
    </w:tblPr>
  </w:style>
  <w:style w:type="table" w:styleId="962" w:customStyle="1">
    <w:name w:val="List Table 1 Light - Accent 6"/>
    <w:uiPriority w:val="99"/>
    <w:qFormat/>
    <w:tblPr>
      <w:tblCellMar>
        <w:left w:w="0" w:type="dxa"/>
        <w:top w:w="0" w:type="dxa"/>
        <w:right w:w="0" w:type="dxa"/>
        <w:bottom w:w="0" w:type="dxa"/>
      </w:tblCellMar>
    </w:tblPr>
  </w:style>
  <w:style w:type="table" w:styleId="96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5" w:customStyle="1">
    <w:name w:val="Lined - Accent"/>
    <w:uiPriority w:val="99"/>
    <w:qFormat/>
    <w:rPr>
      <w:color w:val="404040"/>
    </w:rPr>
    <w:tblPr>
      <w:tblCellMar>
        <w:left w:w="0" w:type="dxa"/>
        <w:top w:w="0" w:type="dxa"/>
        <w:right w:w="0" w:type="dxa"/>
        <w:bottom w:w="0" w:type="dxa"/>
      </w:tblCellMar>
    </w:tblPr>
  </w:style>
  <w:style w:type="table" w:styleId="1006" w:customStyle="1">
    <w:name w:val="Lined - Accent 1"/>
    <w:uiPriority w:val="99"/>
    <w:qFormat/>
    <w:rPr>
      <w:color w:val="404040"/>
    </w:rPr>
    <w:tblPr>
      <w:tblCellMar>
        <w:left w:w="0" w:type="dxa"/>
        <w:top w:w="0" w:type="dxa"/>
        <w:right w:w="0" w:type="dxa"/>
        <w:bottom w:w="0" w:type="dxa"/>
      </w:tblCellMar>
    </w:tblPr>
  </w:style>
  <w:style w:type="table" w:styleId="1007" w:customStyle="1">
    <w:name w:val="Lined - Accent 2"/>
    <w:uiPriority w:val="99"/>
    <w:qFormat/>
    <w:rPr>
      <w:color w:val="404040"/>
    </w:rPr>
    <w:tblPr>
      <w:tblCellMar>
        <w:left w:w="0" w:type="dxa"/>
        <w:top w:w="0" w:type="dxa"/>
        <w:right w:w="0" w:type="dxa"/>
        <w:bottom w:w="0" w:type="dxa"/>
      </w:tblCellMar>
    </w:tblPr>
  </w:style>
  <w:style w:type="table" w:styleId="1008" w:customStyle="1">
    <w:name w:val="Lined - Accent 3"/>
    <w:uiPriority w:val="99"/>
    <w:qFormat/>
    <w:rPr>
      <w:color w:val="404040"/>
    </w:rPr>
    <w:tblPr>
      <w:tblCellMar>
        <w:left w:w="0" w:type="dxa"/>
        <w:top w:w="0" w:type="dxa"/>
        <w:right w:w="0" w:type="dxa"/>
        <w:bottom w:w="0" w:type="dxa"/>
      </w:tblCellMar>
    </w:tblPr>
  </w:style>
  <w:style w:type="table" w:styleId="1009" w:customStyle="1">
    <w:name w:val="Lined - Accent 4"/>
    <w:uiPriority w:val="99"/>
    <w:qFormat/>
    <w:rPr>
      <w:color w:val="404040"/>
    </w:rPr>
    <w:tblPr>
      <w:tblCellMar>
        <w:left w:w="0" w:type="dxa"/>
        <w:top w:w="0" w:type="dxa"/>
        <w:right w:w="0" w:type="dxa"/>
        <w:bottom w:w="0" w:type="dxa"/>
      </w:tblCellMar>
    </w:tblPr>
  </w:style>
  <w:style w:type="table" w:styleId="1010" w:customStyle="1">
    <w:name w:val="Lined - Accent 5"/>
    <w:uiPriority w:val="99"/>
    <w:qFormat/>
    <w:rPr>
      <w:color w:val="404040"/>
    </w:rPr>
    <w:tblPr>
      <w:tblCellMar>
        <w:left w:w="0" w:type="dxa"/>
        <w:top w:w="0" w:type="dxa"/>
        <w:right w:w="0" w:type="dxa"/>
        <w:bottom w:w="0" w:type="dxa"/>
      </w:tblCellMar>
    </w:tblPr>
  </w:style>
  <w:style w:type="table" w:styleId="1011" w:customStyle="1">
    <w:name w:val="Lined - Accent 6"/>
    <w:uiPriority w:val="99"/>
    <w:qFormat/>
    <w:rPr>
      <w:color w:val="404040"/>
    </w:rPr>
    <w:tblPr>
      <w:tblCellMar>
        <w:left w:w="0" w:type="dxa"/>
        <w:top w:w="0" w:type="dxa"/>
        <w:right w:w="0" w:type="dxa"/>
        <w:bottom w:w="0" w:type="dxa"/>
      </w:tblCellMar>
    </w:tblPr>
  </w:style>
  <w:style w:type="table" w:styleId="10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26" w:customStyle="1">
    <w:name w:val="TOC 标题1"/>
    <w:uiPriority w:val="99"/>
    <w:qFormat/>
    <w:rPr>
      <w:rFonts w:ascii="Calibri" w:hAnsi="Calibri" w:eastAsia="宋体" w:cs="Times New Roman"/>
      <w:lang w:val="en-US" w:eastAsia="zh-CN" w:bidi="ar-SA"/>
    </w:rPr>
  </w:style>
  <w:style w:type="paragraph" w:styleId="1027" w:customStyle="1">
    <w:name w:val="标题 31"/>
    <w:basedOn w:val="825"/>
    <w:next w:val="825"/>
    <w:uiPriority w:val="99"/>
    <w:qFormat/>
    <w:pPr>
      <w:jc w:val="left"/>
      <w:spacing w:before="100" w:beforeAutospacing="1" w:after="100" w:afterAutospacing="1"/>
      <w:outlineLvl w:val="2"/>
    </w:pPr>
    <w:rPr>
      <w:b/>
      <w:bCs/>
      <w:sz w:val="27"/>
      <w:szCs w:val="27"/>
    </w:rPr>
  </w:style>
  <w:style w:type="paragraph" w:styleId="1028" w:customStyle="1">
    <w:name w:val="标题 41"/>
    <w:basedOn w:val="825"/>
    <w:next w:val="825"/>
    <w:uiPriority w:val="99"/>
    <w:qFormat/>
    <w:pPr>
      <w:numPr>
        <w:ilvl w:val="3"/>
        <w:numId w:val="1"/>
      </w:numPr>
      <w:keepLines/>
      <w:keepNext/>
      <w:spacing w:before="280" w:after="290" w:line="376" w:lineRule="auto"/>
      <w:outlineLvl w:val="3"/>
    </w:pPr>
    <w:rPr>
      <w:rFonts w:ascii="Cambria" w:hAnsi="Cambria" w:cs="Cambria"/>
      <w:b/>
      <w:bCs/>
      <w:sz w:val="28"/>
      <w:szCs w:val="28"/>
    </w:rPr>
  </w:style>
  <w:style w:type="character" w:styleId="1029" w:customStyle="1">
    <w:name w:val="默认段落字体1"/>
    <w:uiPriority w:val="99"/>
    <w:qFormat/>
  </w:style>
  <w:style w:type="table" w:styleId="1030" w:customStyle="1">
    <w:name w:val="普通表格1"/>
    <w:uiPriority w:val="99"/>
    <w:qFormat/>
    <w:tblPr>
      <w:tblCellMar>
        <w:left w:w="0" w:type="dxa"/>
        <w:top w:w="0" w:type="dxa"/>
        <w:right w:w="0" w:type="dxa"/>
        <w:bottom w:w="0" w:type="dxa"/>
      </w:tblCellMar>
    </w:tblPr>
  </w:style>
  <w:style w:type="paragraph" w:styleId="1031" w:customStyle="1">
    <w:name w:val="正文缩进1"/>
    <w:basedOn w:val="825"/>
    <w:next w:val="825"/>
    <w:link w:val="1032"/>
    <w:uiPriority w:val="99"/>
    <w:qFormat/>
    <w:pPr>
      <w:ind w:firstLine="420"/>
      <w:jc w:val="left"/>
    </w:pPr>
    <w:rPr>
      <w:rFonts w:ascii="Times New Roman" w:hAnsi="Times New Roman" w:eastAsia="楷体_GB2312"/>
      <w:szCs w:val="20"/>
    </w:rPr>
  </w:style>
  <w:style w:type="character" w:styleId="1032" w:customStyle="1">
    <w:name w:val="正文缩进 Char"/>
    <w:link w:val="1031"/>
    <w:uiPriority w:val="99"/>
    <w:qFormat/>
    <w:rPr>
      <w:rFonts w:eastAsia="楷体_GB2312"/>
      <w:sz w:val="24"/>
    </w:rPr>
  </w:style>
  <w:style w:type="paragraph" w:styleId="1033" w:customStyle="1">
    <w:name w:val="批注文字1"/>
    <w:basedOn w:val="825"/>
    <w:uiPriority w:val="99"/>
    <w:qFormat/>
    <w:pPr>
      <w:jc w:val="left"/>
    </w:pPr>
  </w:style>
  <w:style w:type="paragraph" w:styleId="1034" w:customStyle="1">
    <w:name w:val="正文文本1"/>
    <w:basedOn w:val="825"/>
    <w:next w:val="1031"/>
    <w:uiPriority w:val="99"/>
    <w:qFormat/>
    <w:rPr>
      <w:rFonts w:ascii="Times New Roman" w:hAnsi="Times New Roman"/>
    </w:rPr>
  </w:style>
  <w:style w:type="paragraph" w:styleId="1035" w:customStyle="1">
    <w:name w:val="列表编号 31"/>
    <w:basedOn w:val="891"/>
    <w:next w:val="825"/>
    <w:uiPriority w:val="99"/>
    <w:qFormat/>
    <w:pPr>
      <w:numPr>
        <w:ilvl w:val="0"/>
        <w:numId w:val="2"/>
      </w:numPr>
    </w:pPr>
  </w:style>
  <w:style w:type="paragraph" w:styleId="1036" w:customStyle="1">
    <w:name w:val="纯文本111"/>
    <w:basedOn w:val="825"/>
    <w:uiPriority w:val="99"/>
    <w:qFormat/>
    <w:rPr>
      <w:rFonts w:hAnsi="Courier New"/>
      <w:sz w:val="21"/>
      <w:szCs w:val="21"/>
    </w:rPr>
  </w:style>
  <w:style w:type="paragraph" w:styleId="1037" w:customStyle="1">
    <w:name w:val="列表项目符号 51"/>
    <w:basedOn w:val="891"/>
    <w:next w:val="1038"/>
    <w:uiPriority w:val="99"/>
    <w:qFormat/>
    <w:pPr>
      <w:numPr>
        <w:ilvl w:val="0"/>
        <w:numId w:val="3"/>
      </w:numPr>
    </w:pPr>
  </w:style>
  <w:style w:type="paragraph" w:styleId="1038" w:customStyle="1">
    <w:name w:val="正文首行缩进1"/>
    <w:next w:val="1035"/>
    <w:uiPriority w:val="99"/>
    <w:qFormat/>
    <w:pPr>
      <w:ind w:left="420" w:firstLine="2724"/>
      <w:spacing w:after="120" w:line="360" w:lineRule="auto"/>
    </w:pPr>
    <w:rPr>
      <w:rFonts w:ascii="Calibri" w:hAnsi="Calibri" w:eastAsia="宋体" w:cs="Times New Roman"/>
      <w:lang w:val="en-US" w:eastAsia="zh-CN" w:bidi="ar-SA"/>
    </w:rPr>
  </w:style>
  <w:style w:type="paragraph" w:styleId="1039" w:customStyle="1">
    <w:name w:val="日期1"/>
    <w:basedOn w:val="825"/>
    <w:next w:val="825"/>
    <w:uiPriority w:val="99"/>
    <w:qFormat/>
    <w:rPr>
      <w:rFonts w:eastAsia="楷体_GB2312"/>
      <w:szCs w:val="20"/>
    </w:rPr>
  </w:style>
  <w:style w:type="paragraph" w:styleId="1040" w:customStyle="1">
    <w:name w:val="正文文本缩进 21"/>
    <w:basedOn w:val="825"/>
    <w:next w:val="1041"/>
    <w:link w:val="1042"/>
    <w:uiPriority w:val="99"/>
    <w:qFormat/>
    <w:pPr>
      <w:ind w:left="420"/>
      <w:spacing w:after="120" w:line="480" w:lineRule="auto"/>
    </w:pPr>
  </w:style>
  <w:style w:type="paragraph" w:styleId="1041" w:customStyle="1">
    <w:name w:val="索引 91"/>
    <w:basedOn w:val="825"/>
    <w:next w:val="825"/>
    <w:uiPriority w:val="99"/>
    <w:semiHidden/>
    <w:qFormat/>
    <w:pPr>
      <w:ind w:left="1600"/>
    </w:pPr>
  </w:style>
  <w:style w:type="character" w:styleId="1042" w:customStyle="1">
    <w:name w:val="正文文本缩进 2 Char"/>
    <w:link w:val="1040"/>
    <w:uiPriority w:val="99"/>
    <w:qFormat/>
    <w:rPr>
      <w:rFonts w:ascii="宋体" w:eastAsia="宋体" w:cs="Times New Roman"/>
      <w:sz w:val="24"/>
      <w:szCs w:val="24"/>
    </w:rPr>
  </w:style>
  <w:style w:type="paragraph" w:styleId="1043" w:customStyle="1">
    <w:name w:val="批注框文本1"/>
    <w:basedOn w:val="825"/>
    <w:link w:val="1044"/>
    <w:uiPriority w:val="99"/>
    <w:qFormat/>
    <w:rPr>
      <w:sz w:val="18"/>
      <w:szCs w:val="18"/>
    </w:rPr>
  </w:style>
  <w:style w:type="character" w:styleId="1044" w:customStyle="1">
    <w:name w:val="批注框文本 Char"/>
    <w:link w:val="1043"/>
    <w:uiPriority w:val="99"/>
    <w:qFormat/>
    <w:rPr>
      <w:rFonts w:ascii="宋体" w:eastAsia="宋体" w:cs="Times New Roman"/>
      <w:sz w:val="18"/>
      <w:szCs w:val="18"/>
    </w:rPr>
  </w:style>
  <w:style w:type="paragraph" w:styleId="1045" w:customStyle="1">
    <w:name w:val="页脚1"/>
    <w:basedOn w:val="825"/>
    <w:uiPriority w:val="99"/>
    <w:qFormat/>
    <w:pPr>
      <w:jc w:val="left"/>
      <w:tabs>
        <w:tab w:val="center" w:pos="4153" w:leader="none"/>
        <w:tab w:val="right" w:pos="8306" w:leader="none"/>
      </w:tabs>
    </w:pPr>
    <w:rPr>
      <w:rFonts w:ascii="Times New Roman" w:hAnsi="Times New Roman"/>
      <w:sz w:val="18"/>
      <w:szCs w:val="18"/>
    </w:rPr>
  </w:style>
  <w:style w:type="paragraph" w:styleId="1046" w:customStyle="1">
    <w:name w:val="寄信人地址1"/>
    <w:basedOn w:val="825"/>
    <w:uiPriority w:val="99"/>
    <w:qFormat/>
    <w:rPr>
      <w:rFonts w:ascii="Arial" w:hAnsi="Arial"/>
    </w:rPr>
  </w:style>
  <w:style w:type="paragraph" w:styleId="1047" w:customStyle="1">
    <w:name w:val="页眉1"/>
    <w:basedOn w:val="825"/>
    <w:uiPriority w:val="99"/>
    <w:qFormat/>
    <w:pPr>
      <w:jc w:val="center"/>
      <w:tabs>
        <w:tab w:val="center" w:pos="4153" w:leader="none"/>
        <w:tab w:val="right" w:pos="8306" w:leader="none"/>
      </w:tabs>
      <w:pBdr>
        <w:bottom w:val="none" w:color="000000" w:sz="0" w:space="1"/>
      </w:pBdr>
    </w:pPr>
    <w:rPr>
      <w:rFonts w:ascii="Times New Roman" w:hAnsi="Times New Roman"/>
      <w:sz w:val="18"/>
      <w:szCs w:val="18"/>
    </w:rPr>
  </w:style>
  <w:style w:type="paragraph" w:styleId="1048" w:customStyle="1">
    <w:name w:val="目录 11"/>
    <w:basedOn w:val="825"/>
    <w:next w:val="825"/>
    <w:uiPriority w:val="99"/>
    <w:qFormat/>
  </w:style>
  <w:style w:type="paragraph" w:styleId="1049" w:customStyle="1">
    <w:name w:val="正文文本缩进 31"/>
    <w:basedOn w:val="825"/>
    <w:uiPriority w:val="99"/>
    <w:qFormat/>
    <w:pPr>
      <w:ind w:firstLine="480"/>
      <w:spacing w:line="400" w:lineRule="exact"/>
    </w:pPr>
    <w:rPr>
      <w:rFonts w:ascii="Times New Roman" w:hAnsi="Times New Roman"/>
    </w:rPr>
  </w:style>
  <w:style w:type="paragraph" w:styleId="1050" w:customStyle="1">
    <w:name w:val="普通(网站)1"/>
    <w:basedOn w:val="825"/>
    <w:uiPriority w:val="99"/>
    <w:qFormat/>
    <w:pPr>
      <w:jc w:val="left"/>
      <w:spacing w:before="100" w:beforeAutospacing="1" w:after="100" w:afterAutospacing="1"/>
    </w:pPr>
    <w:rPr>
      <w:rFonts w:ascii="Calibri" w:hAnsi="Calibri" w:eastAsia="楷体_GB2312"/>
      <w:szCs w:val="22"/>
    </w:rPr>
  </w:style>
  <w:style w:type="paragraph" w:styleId="1051" w:customStyle="1">
    <w:name w:val="正文首行缩进2"/>
    <w:basedOn w:val="1034"/>
    <w:uiPriority w:val="99"/>
    <w:semiHidden/>
    <w:qFormat/>
    <w:pPr>
      <w:ind w:firstLine="420"/>
    </w:pPr>
    <w:rPr>
      <w:sz w:val="21"/>
    </w:rPr>
  </w:style>
  <w:style w:type="paragraph" w:styleId="1052" w:customStyle="1">
    <w:name w:val="正文首行缩进 21"/>
    <w:basedOn w:val="893"/>
    <w:uiPriority w:val="99"/>
    <w:qFormat/>
    <w:pPr>
      <w:ind w:left="420"/>
      <w:spacing w:after="120" w:line="240" w:lineRule="auto"/>
    </w:pPr>
    <w:rPr>
      <w:rFonts w:ascii="等线"/>
      <w:sz w:val="21"/>
      <w:szCs w:val="24"/>
    </w:rPr>
  </w:style>
  <w:style w:type="table" w:styleId="1053" w:customStyle="1">
    <w:name w:val="网格型1"/>
    <w:basedOn w:val="1030"/>
    <w:uiPriority w:val="99"/>
    <w:qFormat/>
    <w:pPr>
      <w:jc w:val="both"/>
      <w:widowControl w:val="off"/>
    </w:pPr>
    <w:tblPr/>
  </w:style>
  <w:style w:type="character" w:styleId="1054" w:customStyle="1">
    <w:name w:val="页码1"/>
    <w:uiPriority w:val="99"/>
    <w:qFormat/>
    <w:rPr>
      <w:rFonts w:cs="Times New Roman"/>
    </w:rPr>
  </w:style>
  <w:style w:type="character" w:styleId="1055" w:customStyle="1">
    <w:name w:val="超链接1"/>
    <w:uiPriority w:val="99"/>
    <w:qFormat/>
    <w:rPr>
      <w:color w:val="0000ff"/>
      <w:u w:val="single"/>
    </w:rPr>
  </w:style>
  <w:style w:type="character" w:styleId="1056" w:customStyle="1">
    <w:name w:val="批注引用1"/>
    <w:uiPriority w:val="99"/>
    <w:qFormat/>
    <w:rPr>
      <w:sz w:val="21"/>
    </w:rPr>
  </w:style>
  <w:style w:type="character" w:styleId="1057" w:customStyle="1">
    <w:name w:val="Plain Text Char Char"/>
    <w:link w:val="1058"/>
    <w:uiPriority w:val="99"/>
    <w:qFormat/>
    <w:rPr>
      <w:rFonts w:ascii="宋体" w:hAnsi="Courier New" w:eastAsia="楷体_GB2312"/>
      <w:sz w:val="28"/>
    </w:rPr>
  </w:style>
  <w:style w:type="paragraph" w:styleId="1058" w:customStyle="1">
    <w:name w:val="纯文本1"/>
    <w:basedOn w:val="825"/>
    <w:link w:val="1057"/>
    <w:uiPriority w:val="99"/>
    <w:qFormat/>
    <w:rPr>
      <w:rFonts w:hAnsi="Courier New" w:eastAsia="楷体_GB2312"/>
      <w:sz w:val="28"/>
      <w:szCs w:val="20"/>
    </w:rPr>
  </w:style>
  <w:style w:type="character" w:styleId="1059" w:customStyle="1">
    <w:name w:val="font181"/>
    <w:uiPriority w:val="99"/>
    <w:qFormat/>
    <w:rPr>
      <w:rFonts w:ascii="宋体" w:hAnsi="宋体" w:eastAsia="宋体"/>
      <w:b/>
      <w:color w:val="000000"/>
      <w:sz w:val="20"/>
      <w:u w:val="none"/>
    </w:rPr>
  </w:style>
  <w:style w:type="character" w:styleId="1060" w:customStyle="1">
    <w:name w:val="font31"/>
    <w:uiPriority w:val="99"/>
    <w:qFormat/>
    <w:rPr>
      <w:rFonts w:ascii="宋体" w:hAnsi="宋体" w:eastAsia="宋体" w:cs="宋体"/>
      <w:b/>
      <w:bCs/>
      <w:color w:val="000000"/>
      <w:sz w:val="20"/>
      <w:szCs w:val="20"/>
      <w:u w:val="none"/>
    </w:rPr>
  </w:style>
  <w:style w:type="character" w:styleId="1061" w:customStyle="1">
    <w:name w:val="font41"/>
    <w:uiPriority w:val="99"/>
    <w:qFormat/>
    <w:rPr>
      <w:rFonts w:ascii="Times New Roman" w:hAnsi="Times New Roman" w:cs="Times New Roman"/>
      <w:b/>
      <w:bCs/>
      <w:color w:val="000000"/>
      <w:sz w:val="20"/>
      <w:szCs w:val="20"/>
      <w:u w:val="none"/>
    </w:rPr>
  </w:style>
  <w:style w:type="character" w:styleId="1062" w:customStyle="1">
    <w:name w:val="NormalCharacter1"/>
    <w:uiPriority w:val="99"/>
    <w:semiHidden/>
    <w:qFormat/>
    <w:rPr>
      <w:rFonts w:ascii="宋体" w:hAnsi="宋体" w:eastAsia="宋体" w:cs="Times New Roman"/>
      <w:sz w:val="24"/>
      <w:szCs w:val="24"/>
      <w:lang w:val="en-US" w:eastAsia="zh-CN" w:bidi="ar-SA"/>
    </w:rPr>
  </w:style>
  <w:style w:type="character" w:styleId="1063" w:customStyle="1">
    <w:name w:val="font112"/>
    <w:uiPriority w:val="99"/>
    <w:qFormat/>
    <w:rPr>
      <w:rFonts w:ascii="Times New Roman" w:hAnsi="Times New Roman" w:cs="Times New Roman"/>
      <w:color w:val="000000"/>
      <w:sz w:val="20"/>
      <w:szCs w:val="20"/>
      <w:u w:val="none"/>
    </w:rPr>
  </w:style>
  <w:style w:type="character" w:styleId="1064" w:customStyle="1">
    <w:name w:val="font51"/>
    <w:uiPriority w:val="99"/>
    <w:qFormat/>
    <w:rPr>
      <w:rFonts w:ascii="宋体" w:hAnsi="宋体" w:eastAsia="宋体" w:cs="宋体"/>
      <w:color w:val="000000"/>
      <w:sz w:val="20"/>
      <w:szCs w:val="20"/>
      <w:u w:val="none"/>
    </w:rPr>
  </w:style>
  <w:style w:type="character" w:styleId="1065" w:customStyle="1">
    <w:name w:val="_正文段落 Char"/>
    <w:link w:val="1066"/>
    <w:uiPriority w:val="99"/>
    <w:qFormat/>
    <w:rPr>
      <w:rFonts w:ascii="宋体" w:eastAsia="宋体"/>
      <w:sz w:val="24"/>
    </w:rPr>
  </w:style>
  <w:style w:type="paragraph" w:styleId="1066" w:customStyle="1">
    <w:name w:val="_正文段落"/>
    <w:basedOn w:val="825"/>
    <w:next w:val="825"/>
    <w:link w:val="1065"/>
    <w:uiPriority w:val="99"/>
    <w:qFormat/>
    <w:pPr>
      <w:ind w:firstLine="200"/>
      <w:spacing w:line="360" w:lineRule="auto"/>
    </w:pPr>
  </w:style>
  <w:style w:type="paragraph" w:styleId="1067" w:customStyle="1">
    <w:name w:val="纯文本4"/>
    <w:basedOn w:val="825"/>
    <w:uiPriority w:val="99"/>
    <w:qFormat/>
    <w:rPr>
      <w:rFonts w:hAnsi="Courier New"/>
    </w:rPr>
  </w:style>
  <w:style w:type="paragraph" w:styleId="1068" w:customStyle="1">
    <w:name w:val="目录 51"/>
    <w:next w:val="825"/>
    <w:uiPriority w:val="99"/>
    <w:qFormat/>
    <w:pPr>
      <w:ind w:left="1275"/>
      <w:jc w:val="both"/>
    </w:pPr>
    <w:rPr>
      <w:rFonts w:ascii="Times New Roman" w:hAnsi="Times New Roman" w:eastAsia="宋体" w:cs="Times New Roman"/>
      <w:sz w:val="21"/>
      <w:lang w:val="en-US" w:eastAsia="zh-CN" w:bidi="ar-SA"/>
    </w:rPr>
  </w:style>
  <w:style w:type="paragraph" w:styleId="1069" w:customStyle="1">
    <w:name w:val="首行缩进"/>
    <w:basedOn w:val="825"/>
    <w:uiPriority w:val="99"/>
    <w:qFormat/>
    <w:pPr>
      <w:ind w:left="1024" w:firstLine="480"/>
      <w:widowControl/>
    </w:pPr>
    <w:rPr>
      <w:rFonts w:ascii="Calibri" w:hAnsi="Calibri"/>
      <w:sz w:val="20"/>
      <w:szCs w:val="20"/>
      <w:lang w:val="zh-CN"/>
    </w:rPr>
  </w:style>
  <w:style w:type="paragraph" w:styleId="1070" w:customStyle="1">
    <w:name w:val="Default"/>
    <w:next w:val="1037"/>
    <w:uiPriority w:val="99"/>
    <w:qFormat/>
    <w:pPr>
      <w:widowControl w:val="off"/>
    </w:pPr>
    <w:rPr>
      <w:rFonts w:ascii="宋体" w:hAnsi="Times New Roman" w:eastAsia="宋体" w:cs="宋体"/>
      <w:color w:val="000000"/>
      <w:sz w:val="24"/>
      <w:szCs w:val="24"/>
      <w:lang w:val="en-US" w:eastAsia="zh-CN" w:bidi="ar-SA"/>
    </w:rPr>
  </w:style>
  <w:style w:type="paragraph" w:styleId="1071" w:customStyle="1">
    <w:name w:val="Plain Text1"/>
    <w:basedOn w:val="825"/>
    <w:uiPriority w:val="99"/>
    <w:qFormat/>
    <w:rPr>
      <w:rFonts w:hAnsi="Courier New" w:eastAsia="楷体_GB2312"/>
      <w:sz w:val="28"/>
    </w:rPr>
  </w:style>
  <w:style w:type="paragraph" w:styleId="1072" w:customStyle="1">
    <w:name w:val="纯文本3"/>
    <w:basedOn w:val="825"/>
    <w:uiPriority w:val="99"/>
    <w:qFormat/>
    <w:rPr>
      <w:rFonts w:hAnsi="Courier New"/>
    </w:rPr>
  </w:style>
  <w:style w:type="paragraph" w:styleId="1073" w:customStyle="1">
    <w:name w:val="列出段落1"/>
    <w:basedOn w:val="825"/>
    <w:uiPriority w:val="99"/>
    <w:qFormat/>
    <w:pPr>
      <w:ind w:firstLine="420"/>
    </w:pPr>
    <w:rPr>
      <w:rFonts w:ascii="等线" w:hAnsi="等线" w:eastAsia="等线"/>
    </w:rPr>
  </w:style>
  <w:style w:type="paragraph" w:styleId="1074" w:customStyle="1">
    <w:name w:val="Acetate1"/>
    <w:basedOn w:val="825"/>
    <w:uiPriority w:val="99"/>
    <w:semiHidden/>
    <w:qFormat/>
    <w:rPr>
      <w:sz w:val="18"/>
      <w:szCs w:val="18"/>
    </w:rPr>
  </w:style>
  <w:style w:type="paragraph" w:styleId="1075" w:customStyle="1">
    <w:name w:val="WPSOffice手动目录 1"/>
    <w:uiPriority w:val="99"/>
    <w:qFormat/>
    <w:rPr>
      <w:rFonts w:ascii="Times New Roman" w:hAnsi="Times New Roman" w:eastAsia="宋体" w:cs="Times New Roman"/>
      <w:lang w:val="en-US" w:eastAsia="zh-CN" w:bidi="ar-SA"/>
    </w:rPr>
  </w:style>
  <w:style w:type="paragraph" w:styleId="1076" w:customStyle="1">
    <w:name w:val="纯文本11"/>
    <w:basedOn w:val="825"/>
    <w:uiPriority w:val="99"/>
    <w:qFormat/>
    <w:rPr>
      <w:rFonts w:hAnsi="Courier New" w:eastAsia="楷体_GB2312"/>
      <w:sz w:val="26"/>
      <w:szCs w:val="20"/>
    </w:rPr>
  </w:style>
  <w:style w:type="paragraph" w:styleId="1077" w:customStyle="1">
    <w:name w:val="纯文本2"/>
    <w:basedOn w:val="825"/>
    <w:uiPriority w:val="99"/>
    <w:qFormat/>
    <w:rPr>
      <w:rFonts w:hAnsi="Courier New" w:eastAsia="楷体_GB2312"/>
      <w:sz w:val="28"/>
      <w:szCs w:val="20"/>
    </w:rPr>
  </w:style>
  <w:style w:type="paragraph" w:styleId="1078" w:customStyle="1">
    <w:name w:val="段"/>
    <w:next w:val="825"/>
    <w:uiPriority w:val="99"/>
    <w:qFormat/>
    <w:pPr>
      <w:ind w:firstLine="200"/>
      <w:jc w:val="both"/>
    </w:pPr>
    <w:rPr>
      <w:rFonts w:ascii="宋体" w:hAnsi="Times New Roman" w:eastAsia="宋体" w:cs="Times New Roman"/>
      <w:sz w:val="21"/>
      <w:lang w:val="en-US" w:eastAsia="zh-CN" w:bidi="ar-SA"/>
    </w:rPr>
  </w:style>
  <w:style w:type="paragraph" w:styleId="1079" w:customStyle="1">
    <w:name w:val="Body text|1"/>
    <w:basedOn w:val="825"/>
    <w:uiPriority w:val="99"/>
    <w:qFormat/>
    <w:pPr>
      <w:ind w:firstLine="210"/>
      <w:spacing w:after="170" w:line="360" w:lineRule="auto"/>
    </w:pPr>
    <w:rPr>
      <w:rFonts w:cs="宋体"/>
      <w:sz w:val="20"/>
      <w:szCs w:val="20"/>
      <w:lang w:val="zh-TW" w:eastAsia="zh-TW"/>
    </w:rPr>
  </w:style>
  <w:style w:type="paragraph" w:styleId="1080" w:customStyle="1">
    <w:name w:val="纯文本5"/>
    <w:basedOn w:val="825"/>
    <w:uiPriority w:val="0"/>
    <w:qFormat/>
    <w:rPr>
      <w:rFonts w:hAnsi="Courier New" w:eastAsia="楷体_GB2312"/>
      <w:sz w:val="26"/>
    </w:rPr>
  </w:style>
  <w:style w:type="character" w:styleId="1081" w:customStyle="1">
    <w:name w:val="NormalCharacter"/>
    <w:uiPriority w:val="0"/>
    <w:semiHidden/>
    <w:qFormat/>
  </w:style>
  <w:style w:type="paragraph" w:styleId="1082" w:customStyle="1">
    <w:name w:val="NormalIndent"/>
    <w:basedOn w:val="825"/>
    <w:uiPriority w:val="0"/>
    <w:qFormat/>
    <w:pPr>
      <w:ind w:firstLine="420"/>
      <w:jc w:val="left"/>
    </w:pPr>
  </w:style>
  <w:style w:type="paragraph" w:styleId="1083" w:customStyle="1">
    <w:name w:val="Revision"/>
    <w:hidden/>
    <w:uiPriority w:val="99"/>
    <w:unhideWhenUsed/>
    <w:qFormat/>
    <w:rPr>
      <w:rFonts w:ascii="宋体" w:hAnsi="宋体" w:eastAsia="宋体" w:cs="Times New Roman"/>
      <w:sz w:val="24"/>
      <w:szCs w:val="24"/>
      <w:lang w:val="en-US" w:eastAsia="zh-CN" w:bidi="ar-SA"/>
    </w:rPr>
  </w:style>
  <w:style w:type="character" w:styleId="1084" w:customStyle="1">
    <w:name w:val="批注主题 字符"/>
    <w:basedOn w:val="880"/>
    <w:link w:val="862"/>
    <w:uiPriority w:val="99"/>
    <w:semiHidden/>
    <w:qFormat/>
    <w:rPr>
      <w:rFonts w:ascii="宋体" w:hAnsi="宋体"/>
      <w:b/>
      <w:bCs/>
      <w:sz w:val="24"/>
      <w:szCs w:val="24"/>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dc:creator>
  <cp:lastModifiedBy>许菊根</cp:lastModifiedBy>
  <cp:revision>29</cp:revision>
  <dcterms:created xsi:type="dcterms:W3CDTF">2022-05-04T10:09:00Z</dcterms:created>
  <dcterms:modified xsi:type="dcterms:W3CDTF">2025-03-11T03:41:30Z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6E96991E738942FCB856697BB518ADBE_13</vt:lpwstr>
  </property>
  <property fmtid="{D5CDD505-2E9C-101B-9397-08002B2CF9AE}" pid="4" name="KSOTemplateDocerSaveRecord">
    <vt:lpwstr>eyJoZGlkIjoiZDlmOWVkMWIzMTNhMTc5OTI4NWM5ZjI5OWEwZjk2NmUiLCJ1c2VySWQiOiIzOTQ4NTMzMjYifQ==</vt:lpwstr>
  </property>
</Properties>
</file>