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7A0B6">
      <w:pPr>
        <w:spacing w:before="4" w:line="219" w:lineRule="auto"/>
        <w:outlineLvl w:val="0"/>
        <w:rPr>
          <w:rFonts w:ascii="新宋体" w:hAnsi="新宋体" w:eastAsia="新宋体" w:cs="新宋体"/>
          <w:sz w:val="2"/>
          <w:szCs w:val="2"/>
        </w:rPr>
      </w:pPr>
      <w:r>
        <w:rPr>
          <w:rFonts w:ascii="新宋体" w:hAnsi="新宋体" w:eastAsia="新宋体" w:cs="新宋体"/>
          <w:color w:val="FFFFFF"/>
          <w:spacing w:val="-1"/>
          <w:sz w:val="2"/>
          <w:szCs w:val="2"/>
        </w:rPr>
        <w:t>工</w:t>
      </w:r>
      <w:r>
        <w:rPr>
          <w:rFonts w:ascii="新宋体" w:hAnsi="新宋体" w:eastAsia="新宋体" w:cs="新宋体"/>
          <w:color w:val="FFFFFF"/>
          <w:sz w:val="2"/>
          <w:szCs w:val="2"/>
        </w:rPr>
        <w:t>程量清单总说明</w:t>
      </w:r>
    </w:p>
    <w:p w14:paraId="14E855CB">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ascii="宋体" w:hAnsi="宋体" w:eastAsia="宋体" w:cs="宋体"/>
          <w:sz w:val="35"/>
          <w:szCs w:val="35"/>
        </w:rPr>
      </w:pPr>
      <w:r>
        <w:rPr>
          <w:rFonts w:ascii="宋体" w:hAnsi="宋体" w:eastAsia="宋体" w:cs="宋体"/>
          <w:spacing w:val="11"/>
          <w:sz w:val="35"/>
          <w:szCs w:val="35"/>
          <w14:textOutline w14:w="6537" w14:cap="flat" w14:cmpd="sng">
            <w14:solidFill>
              <w14:srgbClr w14:val="000000"/>
            </w14:solidFill>
            <w14:prstDash w14:val="solid"/>
            <w14:miter w14:val="0"/>
          </w14:textOutline>
        </w:rPr>
        <w:t>工</w:t>
      </w:r>
      <w:r>
        <w:rPr>
          <w:rFonts w:ascii="宋体" w:hAnsi="宋体" w:eastAsia="宋体" w:cs="宋体"/>
          <w:spacing w:val="9"/>
          <w:sz w:val="35"/>
          <w:szCs w:val="35"/>
          <w14:textOutline w14:w="6537" w14:cap="flat" w14:cmpd="sng">
            <w14:solidFill>
              <w14:srgbClr w14:val="000000"/>
            </w14:solidFill>
            <w14:prstDash w14:val="solid"/>
            <w14:miter w14:val="0"/>
          </w14:textOutline>
        </w:rPr>
        <w:t>程量清单编制说明</w:t>
      </w:r>
    </w:p>
    <w:p w14:paraId="6B33925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z w:val="28"/>
          <w:szCs w:val="28"/>
        </w:rPr>
      </w:pPr>
      <w:r>
        <w:rPr>
          <w:rFonts w:ascii="宋体" w:hAnsi="宋体" w:eastAsia="宋体" w:cs="宋体"/>
          <w:spacing w:val="-2"/>
          <w:position w:val="2"/>
          <w:sz w:val="28"/>
          <w:szCs w:val="28"/>
          <w14:textOutline w14:w="5103" w14:cap="flat" w14:cmpd="sng">
            <w14:solidFill>
              <w14:srgbClr w14:val="000000"/>
            </w14:solidFill>
            <w14:prstDash w14:val="solid"/>
            <w14:miter w14:val="0"/>
          </w14:textOutline>
        </w:rPr>
        <w:t>一、工</w:t>
      </w:r>
      <w:r>
        <w:rPr>
          <w:rFonts w:ascii="宋体" w:hAnsi="宋体" w:eastAsia="宋体" w:cs="宋体"/>
          <w:spacing w:val="-1"/>
          <w:position w:val="2"/>
          <w:sz w:val="28"/>
          <w:szCs w:val="28"/>
          <w14:textOutline w14:w="5103" w14:cap="flat" w14:cmpd="sng">
            <w14:solidFill>
              <w14:srgbClr w14:val="000000"/>
            </w14:solidFill>
            <w14:prstDash w14:val="solid"/>
            <w14:miter w14:val="0"/>
          </w14:textOutline>
        </w:rPr>
        <w:t>程概况</w:t>
      </w:r>
    </w:p>
    <w:p w14:paraId="6CB9A38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76" w:firstLine="536" w:firstLineChars="200"/>
        <w:textAlignment w:val="baseline"/>
        <w:rPr>
          <w:rFonts w:hint="eastAsia" w:ascii="宋体" w:hAnsi="宋体" w:eastAsia="宋体" w:cs="宋体"/>
          <w:sz w:val="28"/>
          <w:szCs w:val="28"/>
          <w:lang w:eastAsia="zh-CN"/>
        </w:rPr>
      </w:pPr>
      <w:r>
        <w:rPr>
          <w:rFonts w:ascii="Calibri" w:hAnsi="Calibri" w:eastAsia="Calibri" w:cs="Calibri"/>
          <w:spacing w:val="-6"/>
          <w:sz w:val="28"/>
          <w:szCs w:val="28"/>
        </w:rPr>
        <w:t>1</w:t>
      </w:r>
      <w:r>
        <w:rPr>
          <w:rFonts w:ascii="宋体" w:hAnsi="宋体" w:eastAsia="宋体" w:cs="宋体"/>
          <w:spacing w:val="-6"/>
          <w:sz w:val="28"/>
          <w:szCs w:val="28"/>
        </w:rPr>
        <w:t>、工</w:t>
      </w:r>
      <w:r>
        <w:rPr>
          <w:rFonts w:ascii="宋体" w:hAnsi="宋体" w:eastAsia="宋体" w:cs="宋体"/>
          <w:spacing w:val="-3"/>
          <w:sz w:val="28"/>
          <w:szCs w:val="28"/>
        </w:rPr>
        <w:t>程名称：</w:t>
      </w:r>
      <w:r>
        <w:rPr>
          <w:rFonts w:hint="eastAsia" w:ascii="Calibri" w:hAnsi="Calibri" w:eastAsia="Calibri" w:cs="Calibri"/>
          <w:spacing w:val="-3"/>
          <w:sz w:val="28"/>
          <w:szCs w:val="28"/>
        </w:rPr>
        <w:t>2025年度江苏省镇江市镇江经开区姚桥镇高标准农田建设项目（财政补助）</w:t>
      </w:r>
      <w:r>
        <w:rPr>
          <w:rFonts w:hint="eastAsia" w:ascii="Calibri" w:hAnsi="Calibri" w:eastAsia="宋体" w:cs="Calibri"/>
          <w:spacing w:val="-3"/>
          <w:sz w:val="28"/>
          <w:szCs w:val="28"/>
          <w:lang w:eastAsia="zh-CN"/>
        </w:rPr>
        <w:t>。</w:t>
      </w:r>
    </w:p>
    <w:p w14:paraId="2890C0D3">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20" w:firstLineChars="200"/>
        <w:textAlignment w:val="baseline"/>
        <w:rPr>
          <w:rFonts w:ascii="宋体" w:hAnsi="宋体" w:eastAsia="宋体" w:cs="宋体"/>
          <w:sz w:val="28"/>
          <w:szCs w:val="28"/>
        </w:rPr>
      </w:pPr>
      <w:r>
        <w:rPr>
          <w:rFonts w:ascii="Calibri" w:hAnsi="Calibri" w:eastAsia="Calibri" w:cs="Calibri"/>
          <w:spacing w:val="-10"/>
          <w:sz w:val="28"/>
          <w:szCs w:val="28"/>
        </w:rPr>
        <w:t>2</w:t>
      </w:r>
      <w:r>
        <w:rPr>
          <w:rFonts w:ascii="宋体" w:hAnsi="宋体" w:eastAsia="宋体" w:cs="宋体"/>
          <w:spacing w:val="-10"/>
          <w:sz w:val="28"/>
          <w:szCs w:val="28"/>
        </w:rPr>
        <w:t>、工程概述：</w:t>
      </w:r>
    </w:p>
    <w:p w14:paraId="4037752C">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36" w:firstLineChars="200"/>
        <w:textAlignment w:val="baseline"/>
        <w:rPr>
          <w:rFonts w:hint="eastAsia" w:ascii="宋体" w:hAnsi="宋体" w:eastAsia="宋体" w:cs="宋体"/>
          <w:spacing w:val="-6"/>
          <w:sz w:val="28"/>
          <w:szCs w:val="28"/>
        </w:rPr>
      </w:pPr>
      <w:r>
        <w:rPr>
          <w:rFonts w:hint="eastAsia" w:ascii="宋体" w:hAnsi="宋体" w:eastAsia="宋体" w:cs="宋体"/>
          <w:spacing w:val="-6"/>
          <w:sz w:val="28"/>
          <w:szCs w:val="28"/>
        </w:rPr>
        <w:t>2025年度江苏省镇江市镇江经开区姚桥镇高标准农田建设项目位于镇江经开区姚桥镇，项目区集中连片，涉及兴隆村和儒里村。项目区总面积2900亩，耕地面积为450亩，本次工程建设规模为450亩（其中兴隆村130亩，儒里村320亩）。</w:t>
      </w:r>
    </w:p>
    <w:p w14:paraId="5494949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36" w:firstLineChars="200"/>
        <w:textAlignment w:val="baseline"/>
        <w:rPr>
          <w:rFonts w:hint="eastAsia" w:ascii="宋体" w:hAnsi="宋体" w:eastAsia="宋体" w:cs="宋体"/>
          <w:spacing w:val="-6"/>
          <w:sz w:val="28"/>
          <w:szCs w:val="28"/>
        </w:rPr>
      </w:pPr>
      <w:r>
        <w:rPr>
          <w:rFonts w:hint="eastAsia" w:ascii="宋体" w:hAnsi="宋体" w:eastAsia="宋体" w:cs="宋体"/>
          <w:spacing w:val="-6"/>
          <w:sz w:val="28"/>
          <w:szCs w:val="28"/>
          <w:lang w:val="en-US" w:eastAsia="zh-CN"/>
        </w:rPr>
        <w:t>2.1</w:t>
      </w:r>
      <w:r>
        <w:rPr>
          <w:rFonts w:hint="eastAsia" w:ascii="宋体" w:hAnsi="宋体" w:eastAsia="宋体" w:cs="宋体"/>
          <w:spacing w:val="-6"/>
          <w:sz w:val="28"/>
          <w:szCs w:val="28"/>
        </w:rPr>
        <w:t>水利措施</w:t>
      </w:r>
    </w:p>
    <w:p w14:paraId="199B50B1">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36" w:firstLineChars="200"/>
        <w:textAlignment w:val="baseline"/>
        <w:rPr>
          <w:rFonts w:hint="eastAsia" w:ascii="宋体" w:hAnsi="宋体" w:eastAsia="宋体" w:cs="宋体"/>
          <w:spacing w:val="-6"/>
          <w:sz w:val="28"/>
          <w:szCs w:val="28"/>
        </w:rPr>
      </w:pPr>
      <w:r>
        <w:rPr>
          <w:rFonts w:hint="eastAsia" w:ascii="宋体" w:hAnsi="宋体" w:eastAsia="宋体" w:cs="宋体"/>
          <w:spacing w:val="-6"/>
          <w:sz w:val="28"/>
          <w:szCs w:val="28"/>
        </w:rPr>
        <w:t>a）提升项目区的灌溉能力：新建泵站3座，全部为灌溉泵站。</w:t>
      </w:r>
    </w:p>
    <w:p w14:paraId="77ACEBDE">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36" w:firstLineChars="200"/>
        <w:textAlignment w:val="baseline"/>
        <w:rPr>
          <w:rFonts w:hint="eastAsia" w:ascii="宋体" w:hAnsi="宋体" w:eastAsia="宋体" w:cs="宋体"/>
          <w:spacing w:val="-6"/>
          <w:sz w:val="28"/>
          <w:szCs w:val="28"/>
        </w:rPr>
      </w:pPr>
      <w:r>
        <w:rPr>
          <w:rFonts w:hint="eastAsia" w:ascii="宋体" w:hAnsi="宋体" w:eastAsia="宋体" w:cs="宋体"/>
          <w:spacing w:val="-6"/>
          <w:sz w:val="28"/>
          <w:szCs w:val="28"/>
        </w:rPr>
        <w:t>b）提高项目区的排水，新建Φ600出水涵洞6座，长度6m；新建Φ600过2路涵洞1座，长度4m。</w:t>
      </w:r>
    </w:p>
    <w:p w14:paraId="7D10086A">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36" w:firstLineChars="200"/>
        <w:textAlignment w:val="baseline"/>
        <w:rPr>
          <w:rFonts w:hint="eastAsia" w:ascii="宋体" w:hAnsi="宋体" w:eastAsia="宋体" w:cs="宋体"/>
          <w:spacing w:val="-6"/>
          <w:sz w:val="28"/>
          <w:szCs w:val="28"/>
        </w:rPr>
      </w:pPr>
      <w:r>
        <w:rPr>
          <w:rFonts w:hint="eastAsia" w:ascii="宋体" w:hAnsi="宋体" w:eastAsia="宋体" w:cs="宋体"/>
          <w:spacing w:val="-6"/>
          <w:sz w:val="28"/>
          <w:szCs w:val="28"/>
        </w:rPr>
        <w:t>c）通过沟渠硬化等措施达到高效输水、节水目的，并配套渠系建筑物：新建衬砌渠道1190m，为U80衬砌渠道；配套人行便桥12座；田间分水管涵24座；下田涵8座；小节制闸8座；方井1座。</w:t>
      </w:r>
    </w:p>
    <w:p w14:paraId="57F951FB">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36" w:firstLineChars="200"/>
        <w:textAlignment w:val="baseline"/>
        <w:rPr>
          <w:rFonts w:hint="eastAsia" w:ascii="宋体" w:hAnsi="宋体" w:eastAsia="宋体" w:cs="宋体"/>
          <w:spacing w:val="-6"/>
          <w:sz w:val="28"/>
          <w:szCs w:val="28"/>
        </w:rPr>
      </w:pPr>
      <w:r>
        <w:rPr>
          <w:rFonts w:hint="eastAsia" w:ascii="宋体" w:hAnsi="宋体" w:eastAsia="宋体" w:cs="宋体"/>
          <w:spacing w:val="-6"/>
          <w:sz w:val="28"/>
          <w:szCs w:val="28"/>
        </w:rPr>
        <w:t>d)铺设250PE管道1280m。</w:t>
      </w:r>
    </w:p>
    <w:p w14:paraId="5EDCFCBF">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firstLine="536" w:firstLineChars="200"/>
        <w:textAlignment w:val="baseline"/>
        <w:rPr>
          <w:rFonts w:hint="eastAsia" w:ascii="宋体" w:hAnsi="宋体" w:eastAsia="宋体" w:cs="宋体"/>
          <w:spacing w:val="-6"/>
          <w:sz w:val="28"/>
          <w:szCs w:val="28"/>
        </w:rPr>
      </w:pPr>
      <w:r>
        <w:rPr>
          <w:rFonts w:hint="eastAsia" w:ascii="宋体" w:hAnsi="宋体" w:eastAsia="宋体" w:cs="宋体"/>
          <w:spacing w:val="-6"/>
          <w:sz w:val="28"/>
          <w:szCs w:val="28"/>
          <w:lang w:val="en-US" w:eastAsia="zh-CN"/>
        </w:rPr>
        <w:t>2.2</w:t>
      </w:r>
      <w:r>
        <w:rPr>
          <w:rFonts w:hint="eastAsia" w:ascii="宋体" w:hAnsi="宋体" w:eastAsia="宋体" w:cs="宋体"/>
          <w:spacing w:val="-6"/>
          <w:sz w:val="28"/>
          <w:szCs w:val="28"/>
        </w:rPr>
        <w:t>田间道路</w:t>
      </w:r>
    </w:p>
    <w:p w14:paraId="31DE9729">
      <w:pPr>
        <w:keepNext w:val="0"/>
        <w:keepLines w:val="0"/>
        <w:pageBreakBefore w:val="0"/>
        <w:widowControl/>
        <w:kinsoku w:val="0"/>
        <w:wordWrap/>
        <w:overflowPunct/>
        <w:topLinePunct w:val="0"/>
        <w:autoSpaceDE w:val="0"/>
        <w:autoSpaceDN w:val="0"/>
        <w:bidi w:val="0"/>
        <w:adjustRightInd w:val="0"/>
        <w:snapToGrid w:val="0"/>
        <w:spacing w:line="360" w:lineRule="auto"/>
        <w:ind w:left="27" w:right="72" w:firstLine="532" w:firstLineChars="200"/>
        <w:textAlignment w:val="baseline"/>
        <w:rPr>
          <w:rFonts w:ascii="宋体" w:hAnsi="宋体" w:eastAsia="宋体" w:cs="宋体"/>
          <w:sz w:val="28"/>
          <w:szCs w:val="28"/>
        </w:rPr>
      </w:pPr>
      <w:r>
        <w:rPr>
          <w:rFonts w:hint="eastAsia" w:ascii="宋体" w:hAnsi="宋体" w:eastAsia="宋体" w:cs="宋体"/>
          <w:spacing w:val="-7"/>
          <w:sz w:val="28"/>
          <w:szCs w:val="28"/>
        </w:rPr>
        <w:t>通过道路建设改善项目区交通状况，提高农产品运输和田间作业效率：新建混凝土道路766m（3m宽，无路基），配套会车平台2座，岔路口5个。</w:t>
      </w:r>
    </w:p>
    <w:p w14:paraId="6F6A1A3F">
      <w:pPr>
        <w:keepNext w:val="0"/>
        <w:keepLines w:val="0"/>
        <w:pageBreakBefore w:val="0"/>
        <w:widowControl/>
        <w:kinsoku w:val="0"/>
        <w:wordWrap/>
        <w:overflowPunct/>
        <w:topLinePunct w:val="0"/>
        <w:autoSpaceDE w:val="0"/>
        <w:autoSpaceDN w:val="0"/>
        <w:bidi w:val="0"/>
        <w:adjustRightInd w:val="0"/>
        <w:snapToGrid w:val="0"/>
        <w:spacing w:line="360" w:lineRule="auto"/>
        <w:ind w:firstLine="560" w:firstLineChars="200"/>
        <w:textAlignment w:val="baseline"/>
        <w:rPr>
          <w:rFonts w:hint="default" w:ascii="宋体" w:hAnsi="宋体" w:eastAsia="宋体" w:cs="宋体"/>
          <w:sz w:val="28"/>
          <w:szCs w:val="28"/>
          <w:lang w:val="en-US" w:eastAsia="zh-CN"/>
        </w:rPr>
      </w:pPr>
      <w:bookmarkStart w:id="0" w:name="_GoBack"/>
      <w:bookmarkEnd w:id="0"/>
      <w:r>
        <w:rPr>
          <w:rFonts w:hint="eastAsia" w:ascii="宋体" w:hAnsi="宋体" w:eastAsia="宋体" w:cs="宋体"/>
          <w:position w:val="1"/>
          <w:sz w:val="28"/>
          <w:szCs w:val="28"/>
          <w:lang w:val="en-US" w:eastAsia="zh-CN"/>
        </w:rPr>
        <w:t>2.3农业措施</w:t>
      </w:r>
    </w:p>
    <w:p w14:paraId="31C28EEE">
      <w:pPr>
        <w:keepNext w:val="0"/>
        <w:keepLines w:val="0"/>
        <w:pageBreakBefore w:val="0"/>
        <w:widowControl/>
        <w:kinsoku w:val="0"/>
        <w:wordWrap/>
        <w:overflowPunct/>
        <w:topLinePunct w:val="0"/>
        <w:autoSpaceDE w:val="0"/>
        <w:autoSpaceDN w:val="0"/>
        <w:bidi w:val="0"/>
        <w:adjustRightInd w:val="0"/>
        <w:snapToGrid w:val="0"/>
        <w:spacing w:line="360" w:lineRule="auto"/>
        <w:ind w:left="26" w:right="72" w:firstLine="556" w:firstLineChars="200"/>
        <w:textAlignment w:val="baseline"/>
        <w:rPr>
          <w:rFonts w:ascii="宋体" w:hAnsi="宋体" w:eastAsia="宋体" w:cs="宋体"/>
          <w:sz w:val="28"/>
          <w:szCs w:val="28"/>
        </w:rPr>
      </w:pPr>
      <w:r>
        <w:rPr>
          <w:rFonts w:hint="eastAsia" w:ascii="宋体" w:hAnsi="宋体" w:eastAsia="宋体" w:cs="宋体"/>
          <w:spacing w:val="-1"/>
          <w:sz w:val="28"/>
          <w:szCs w:val="28"/>
        </w:rPr>
        <w:t>a）土地平整119.36亩，共计89612m2。</w:t>
      </w:r>
    </w:p>
    <w:p w14:paraId="22239AF1">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宋体" w:hAnsi="宋体" w:eastAsia="宋体" w:cs="宋体"/>
          <w:sz w:val="28"/>
          <w:szCs w:val="28"/>
        </w:rPr>
      </w:pPr>
      <w:r>
        <w:rPr>
          <w:rFonts w:ascii="宋体" w:hAnsi="宋体" w:eastAsia="宋体" w:cs="宋体"/>
          <w:spacing w:val="-2"/>
          <w:position w:val="1"/>
          <w:sz w:val="28"/>
          <w:szCs w:val="28"/>
          <w14:textOutline w14:w="5103" w14:cap="flat" w14:cmpd="sng">
            <w14:solidFill>
              <w14:srgbClr w14:val="000000"/>
            </w14:solidFill>
            <w14:prstDash w14:val="solid"/>
            <w14:miter w14:val="0"/>
          </w14:textOutline>
        </w:rPr>
        <w:t>二、编</w:t>
      </w:r>
      <w:r>
        <w:rPr>
          <w:rFonts w:ascii="宋体" w:hAnsi="宋体" w:eastAsia="宋体" w:cs="宋体"/>
          <w:spacing w:val="-1"/>
          <w:position w:val="1"/>
          <w:sz w:val="28"/>
          <w:szCs w:val="28"/>
          <w14:textOutline w14:w="5103" w14:cap="flat" w14:cmpd="sng">
            <w14:solidFill>
              <w14:srgbClr w14:val="000000"/>
            </w14:solidFill>
            <w14:prstDash w14:val="solid"/>
            <w14:miter w14:val="0"/>
          </w14:textOutline>
        </w:rPr>
        <w:t>制依据</w:t>
      </w:r>
    </w:p>
    <w:p w14:paraId="19FEB04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2" w:firstLineChars="200"/>
        <w:textAlignment w:val="baseline"/>
        <w:rPr>
          <w:rFonts w:ascii="宋体" w:hAnsi="宋体" w:eastAsia="宋体" w:cs="宋体"/>
          <w:sz w:val="28"/>
          <w:szCs w:val="28"/>
        </w:rPr>
      </w:pPr>
      <w:r>
        <w:rPr>
          <w:rFonts w:ascii="Calibri" w:hAnsi="Calibri" w:eastAsia="Calibri" w:cs="Calibri"/>
          <w:spacing w:val="-2"/>
          <w:position w:val="27"/>
          <w:sz w:val="28"/>
          <w:szCs w:val="28"/>
        </w:rPr>
        <w:t>1</w:t>
      </w:r>
      <w:r>
        <w:rPr>
          <w:rFonts w:ascii="宋体" w:hAnsi="宋体" w:eastAsia="宋体" w:cs="宋体"/>
          <w:spacing w:val="-2"/>
          <w:position w:val="27"/>
          <w:sz w:val="28"/>
          <w:szCs w:val="28"/>
        </w:rPr>
        <w:t>、委托人提供的由</w:t>
      </w:r>
      <w:r>
        <w:rPr>
          <w:rFonts w:hint="eastAsia" w:ascii="宋体" w:hAnsi="宋体" w:eastAsia="宋体" w:cs="宋体"/>
          <w:spacing w:val="-2"/>
          <w:position w:val="27"/>
          <w:sz w:val="28"/>
          <w:szCs w:val="28"/>
          <w:lang w:val="en-US" w:eastAsia="zh-CN"/>
        </w:rPr>
        <w:t>镇江</w:t>
      </w:r>
      <w:r>
        <w:rPr>
          <w:rFonts w:ascii="宋体" w:hAnsi="宋体" w:eastAsia="宋体" w:cs="宋体"/>
          <w:spacing w:val="-1"/>
          <w:position w:val="27"/>
          <w:sz w:val="28"/>
          <w:szCs w:val="28"/>
        </w:rPr>
        <w:t>市</w:t>
      </w:r>
      <w:r>
        <w:rPr>
          <w:rFonts w:hint="eastAsia" w:ascii="宋体" w:hAnsi="宋体" w:eastAsia="宋体" w:cs="宋体"/>
          <w:spacing w:val="-1"/>
          <w:position w:val="27"/>
          <w:sz w:val="28"/>
          <w:szCs w:val="28"/>
          <w:lang w:val="en-US" w:eastAsia="zh-CN"/>
        </w:rPr>
        <w:t>工程</w:t>
      </w:r>
      <w:r>
        <w:rPr>
          <w:rFonts w:ascii="宋体" w:hAnsi="宋体" w:eastAsia="宋体" w:cs="宋体"/>
          <w:spacing w:val="-1"/>
          <w:position w:val="27"/>
          <w:sz w:val="28"/>
          <w:szCs w:val="28"/>
        </w:rPr>
        <w:t>勘测设计研究院有限公司出具的</w:t>
      </w:r>
      <w:r>
        <w:rPr>
          <w:rFonts w:hint="eastAsia" w:ascii="宋体" w:hAnsi="宋体" w:eastAsia="宋体" w:cs="宋体"/>
          <w:spacing w:val="-1"/>
          <w:position w:val="27"/>
          <w:sz w:val="28"/>
          <w:szCs w:val="28"/>
          <w:lang w:val="en-US" w:eastAsia="zh-CN"/>
        </w:rPr>
        <w:t>施工图设计文件、以及与设计单位的答疑纪要等；</w:t>
      </w:r>
    </w:p>
    <w:p w14:paraId="299D48AA">
      <w:pPr>
        <w:keepNext w:val="0"/>
        <w:keepLines w:val="0"/>
        <w:pageBreakBefore w:val="0"/>
        <w:widowControl/>
        <w:kinsoku w:val="0"/>
        <w:wordWrap/>
        <w:overflowPunct/>
        <w:topLinePunct w:val="0"/>
        <w:autoSpaceDE w:val="0"/>
        <w:autoSpaceDN w:val="0"/>
        <w:bidi w:val="0"/>
        <w:adjustRightInd w:val="0"/>
        <w:snapToGrid w:val="0"/>
        <w:spacing w:line="360" w:lineRule="auto"/>
        <w:ind w:left="29" w:firstLine="552" w:firstLineChars="200"/>
        <w:textAlignment w:val="baseline"/>
        <w:rPr>
          <w:rFonts w:ascii="宋体" w:hAnsi="宋体" w:eastAsia="宋体" w:cs="宋体"/>
          <w:sz w:val="28"/>
          <w:szCs w:val="28"/>
        </w:rPr>
      </w:pPr>
      <w:r>
        <w:rPr>
          <w:rFonts w:ascii="Calibri" w:hAnsi="Calibri" w:eastAsia="Calibri" w:cs="Calibri"/>
          <w:spacing w:val="-2"/>
          <w:position w:val="1"/>
          <w:sz w:val="28"/>
          <w:szCs w:val="28"/>
        </w:rPr>
        <w:t>2</w:t>
      </w:r>
      <w:r>
        <w:rPr>
          <w:rFonts w:ascii="宋体" w:hAnsi="宋体" w:eastAsia="宋体" w:cs="宋体"/>
          <w:spacing w:val="-2"/>
          <w:position w:val="1"/>
          <w:sz w:val="28"/>
          <w:szCs w:val="28"/>
        </w:rPr>
        <w:t>、《水利工程</w:t>
      </w:r>
      <w:r>
        <w:rPr>
          <w:rFonts w:ascii="宋体" w:hAnsi="宋体" w:eastAsia="宋体" w:cs="宋体"/>
          <w:spacing w:val="-1"/>
          <w:position w:val="1"/>
          <w:sz w:val="28"/>
          <w:szCs w:val="28"/>
        </w:rPr>
        <w:t>量清单计价规范》(</w:t>
      </w:r>
      <w:r>
        <w:rPr>
          <w:rFonts w:ascii="Calibri" w:hAnsi="Calibri" w:eastAsia="Calibri" w:cs="Calibri"/>
          <w:spacing w:val="-1"/>
          <w:position w:val="1"/>
          <w:sz w:val="28"/>
          <w:szCs w:val="28"/>
        </w:rPr>
        <w:t>GB50501-2007</w:t>
      </w:r>
      <w:r>
        <w:rPr>
          <w:rFonts w:ascii="宋体" w:hAnsi="宋体" w:eastAsia="宋体" w:cs="宋体"/>
          <w:spacing w:val="-1"/>
          <w:position w:val="1"/>
          <w:sz w:val="28"/>
          <w:szCs w:val="28"/>
        </w:rPr>
        <w:t>)、《关于印发</w:t>
      </w:r>
      <w:r>
        <w:rPr>
          <w:rFonts w:ascii="Calibri" w:hAnsi="Calibri" w:eastAsia="Calibri" w:cs="Calibri"/>
          <w:spacing w:val="-1"/>
          <w:position w:val="1"/>
          <w:sz w:val="28"/>
          <w:szCs w:val="28"/>
        </w:rPr>
        <w:t>&lt;</w:t>
      </w:r>
      <w:r>
        <w:rPr>
          <w:rFonts w:ascii="宋体" w:hAnsi="宋体" w:eastAsia="宋体" w:cs="宋体"/>
          <w:spacing w:val="10"/>
          <w:sz w:val="28"/>
          <w:szCs w:val="28"/>
        </w:rPr>
        <w:t>江苏省水</w:t>
      </w:r>
      <w:r>
        <w:rPr>
          <w:rFonts w:ascii="宋体" w:hAnsi="宋体" w:eastAsia="宋体" w:cs="宋体"/>
          <w:spacing w:val="5"/>
          <w:sz w:val="28"/>
          <w:szCs w:val="28"/>
        </w:rPr>
        <w:t>利工程招标投标文件工程量清单格式</w:t>
      </w:r>
      <w:r>
        <w:rPr>
          <w:rFonts w:ascii="Calibri" w:hAnsi="Calibri" w:eastAsia="Calibri" w:cs="Calibri"/>
          <w:spacing w:val="5"/>
          <w:sz w:val="28"/>
          <w:szCs w:val="28"/>
        </w:rPr>
        <w:t>&gt;</w:t>
      </w:r>
      <w:r>
        <w:rPr>
          <w:rFonts w:ascii="宋体" w:hAnsi="宋体" w:eastAsia="宋体" w:cs="宋体"/>
          <w:spacing w:val="5"/>
          <w:sz w:val="28"/>
          <w:szCs w:val="28"/>
        </w:rPr>
        <w:t>的通知</w:t>
      </w:r>
      <w:r>
        <w:rPr>
          <w:rFonts w:hint="eastAsia" w:ascii="宋体" w:hAnsi="宋体" w:eastAsia="宋体" w:cs="宋体"/>
          <w:spacing w:val="5"/>
          <w:sz w:val="28"/>
          <w:szCs w:val="28"/>
          <w:lang w:eastAsia="zh-CN"/>
        </w:rPr>
        <w:t>》</w:t>
      </w:r>
      <w:r>
        <w:rPr>
          <w:rFonts w:ascii="宋体" w:hAnsi="宋体" w:eastAsia="宋体" w:cs="宋体"/>
          <w:spacing w:val="5"/>
          <w:sz w:val="28"/>
          <w:szCs w:val="28"/>
        </w:rPr>
        <w:t>(苏水基</w:t>
      </w:r>
      <w:r>
        <w:rPr>
          <w:rFonts w:ascii="宋体" w:hAnsi="宋体" w:eastAsia="宋体" w:cs="宋体"/>
          <w:spacing w:val="-4"/>
          <w:sz w:val="28"/>
          <w:szCs w:val="28"/>
        </w:rPr>
        <w:t>〔</w:t>
      </w:r>
      <w:r>
        <w:rPr>
          <w:rFonts w:ascii="Calibri" w:hAnsi="Calibri" w:eastAsia="Calibri" w:cs="Calibri"/>
          <w:spacing w:val="-4"/>
          <w:sz w:val="28"/>
          <w:szCs w:val="28"/>
        </w:rPr>
        <w:t>2</w:t>
      </w:r>
      <w:r>
        <w:rPr>
          <w:rFonts w:ascii="Calibri" w:hAnsi="Calibri" w:eastAsia="Calibri" w:cs="Calibri"/>
          <w:spacing w:val="-2"/>
          <w:sz w:val="28"/>
          <w:szCs w:val="28"/>
        </w:rPr>
        <w:t>011</w:t>
      </w:r>
      <w:r>
        <w:rPr>
          <w:rFonts w:ascii="宋体" w:hAnsi="宋体" w:eastAsia="宋体" w:cs="宋体"/>
          <w:spacing w:val="-2"/>
          <w:sz w:val="28"/>
          <w:szCs w:val="28"/>
        </w:rPr>
        <w:t>〕</w:t>
      </w:r>
      <w:r>
        <w:rPr>
          <w:rFonts w:ascii="Calibri" w:hAnsi="Calibri" w:eastAsia="Calibri" w:cs="Calibri"/>
          <w:spacing w:val="-2"/>
          <w:sz w:val="28"/>
          <w:szCs w:val="28"/>
        </w:rPr>
        <w:t>21</w:t>
      </w:r>
      <w:r>
        <w:rPr>
          <w:rFonts w:ascii="宋体" w:hAnsi="宋体" w:eastAsia="宋体" w:cs="宋体"/>
          <w:spacing w:val="-2"/>
          <w:sz w:val="28"/>
          <w:szCs w:val="28"/>
        </w:rPr>
        <w:t>号)；</w:t>
      </w:r>
    </w:p>
    <w:p w14:paraId="12D3C4B0">
      <w:pPr>
        <w:keepNext w:val="0"/>
        <w:keepLines w:val="0"/>
        <w:pageBreakBefore w:val="0"/>
        <w:widowControl/>
        <w:tabs>
          <w:tab w:val="left" w:pos="172"/>
        </w:tabs>
        <w:kinsoku w:val="0"/>
        <w:wordWrap/>
        <w:overflowPunct/>
        <w:topLinePunct w:val="0"/>
        <w:autoSpaceDE w:val="0"/>
        <w:autoSpaceDN w:val="0"/>
        <w:bidi w:val="0"/>
        <w:adjustRightInd w:val="0"/>
        <w:snapToGrid w:val="0"/>
        <w:spacing w:line="360" w:lineRule="auto"/>
        <w:ind w:left="20" w:right="72" w:firstLine="528" w:firstLineChars="200"/>
        <w:textAlignment w:val="baseline"/>
        <w:rPr>
          <w:rFonts w:ascii="宋体" w:hAnsi="宋体" w:eastAsia="宋体" w:cs="宋体"/>
          <w:spacing w:val="-6"/>
          <w:sz w:val="28"/>
          <w:szCs w:val="28"/>
        </w:rPr>
      </w:pPr>
      <w:r>
        <w:rPr>
          <w:rFonts w:ascii="Calibri" w:hAnsi="Calibri" w:eastAsia="Calibri" w:cs="Calibri"/>
          <w:spacing w:val="-8"/>
          <w:sz w:val="28"/>
          <w:szCs w:val="28"/>
        </w:rPr>
        <w:t>3</w:t>
      </w:r>
      <w:r>
        <w:rPr>
          <w:rFonts w:ascii="宋体" w:hAnsi="宋体" w:eastAsia="宋体" w:cs="宋体"/>
          <w:spacing w:val="-6"/>
          <w:sz w:val="28"/>
          <w:szCs w:val="28"/>
        </w:rPr>
        <w:t>、《江苏省水利工程预算定额》(</w:t>
      </w:r>
      <w:r>
        <w:rPr>
          <w:rFonts w:ascii="Calibri" w:hAnsi="Calibri" w:eastAsia="Calibri" w:cs="Calibri"/>
          <w:spacing w:val="-6"/>
          <w:sz w:val="28"/>
          <w:szCs w:val="28"/>
        </w:rPr>
        <w:t>2010</w:t>
      </w:r>
      <w:r>
        <w:rPr>
          <w:rFonts w:ascii="宋体" w:hAnsi="宋体" w:eastAsia="宋体" w:cs="宋体"/>
          <w:spacing w:val="-6"/>
          <w:sz w:val="28"/>
          <w:szCs w:val="28"/>
        </w:rPr>
        <w:t>年版)；</w:t>
      </w:r>
    </w:p>
    <w:p w14:paraId="6532B017">
      <w:pPr>
        <w:keepNext w:val="0"/>
        <w:keepLines w:val="0"/>
        <w:pageBreakBefore w:val="0"/>
        <w:widowControl/>
        <w:tabs>
          <w:tab w:val="left" w:pos="172"/>
        </w:tabs>
        <w:kinsoku w:val="0"/>
        <w:wordWrap/>
        <w:overflowPunct/>
        <w:topLinePunct w:val="0"/>
        <w:autoSpaceDE w:val="0"/>
        <w:autoSpaceDN w:val="0"/>
        <w:bidi w:val="0"/>
        <w:adjustRightInd w:val="0"/>
        <w:snapToGrid w:val="0"/>
        <w:spacing w:line="360" w:lineRule="auto"/>
        <w:ind w:left="20" w:right="72" w:firstLine="540" w:firstLineChars="200"/>
        <w:textAlignment w:val="baseline"/>
        <w:rPr>
          <w:rFonts w:ascii="宋体" w:hAnsi="宋体" w:eastAsia="宋体" w:cs="宋体"/>
          <w:spacing w:val="-4"/>
          <w:sz w:val="28"/>
          <w:szCs w:val="28"/>
        </w:rPr>
      </w:pPr>
      <w:r>
        <w:rPr>
          <w:rFonts w:ascii="Calibri" w:hAnsi="Calibri" w:eastAsia="Calibri" w:cs="Calibri"/>
          <w:spacing w:val="-5"/>
          <w:sz w:val="28"/>
          <w:szCs w:val="28"/>
        </w:rPr>
        <w:t>4</w:t>
      </w:r>
      <w:r>
        <w:rPr>
          <w:rFonts w:ascii="宋体" w:hAnsi="宋体" w:eastAsia="宋体" w:cs="宋体"/>
          <w:spacing w:val="-5"/>
          <w:sz w:val="28"/>
          <w:szCs w:val="28"/>
        </w:rPr>
        <w:t>、《江苏省水利工程施工机械台时费定额》(</w:t>
      </w:r>
      <w:r>
        <w:rPr>
          <w:rFonts w:ascii="Calibri" w:hAnsi="Calibri" w:eastAsia="Calibri" w:cs="Calibri"/>
          <w:spacing w:val="-5"/>
          <w:sz w:val="28"/>
          <w:szCs w:val="28"/>
        </w:rPr>
        <w:t>2019</w:t>
      </w:r>
      <w:r>
        <w:rPr>
          <w:rFonts w:ascii="宋体" w:hAnsi="宋体" w:eastAsia="宋体" w:cs="宋体"/>
          <w:spacing w:val="-5"/>
          <w:sz w:val="28"/>
          <w:szCs w:val="28"/>
        </w:rPr>
        <w:t>年版)</w:t>
      </w:r>
      <w:r>
        <w:rPr>
          <w:rFonts w:ascii="宋体" w:hAnsi="宋体" w:eastAsia="宋体" w:cs="宋体"/>
          <w:spacing w:val="-4"/>
          <w:sz w:val="28"/>
          <w:szCs w:val="28"/>
        </w:rPr>
        <w:t>；</w:t>
      </w:r>
    </w:p>
    <w:p w14:paraId="589983A0">
      <w:pPr>
        <w:keepNext w:val="0"/>
        <w:keepLines w:val="0"/>
        <w:pageBreakBefore w:val="0"/>
        <w:widowControl/>
        <w:tabs>
          <w:tab w:val="left" w:pos="172"/>
        </w:tabs>
        <w:kinsoku w:val="0"/>
        <w:wordWrap/>
        <w:overflowPunct/>
        <w:topLinePunct w:val="0"/>
        <w:autoSpaceDE w:val="0"/>
        <w:autoSpaceDN w:val="0"/>
        <w:bidi w:val="0"/>
        <w:adjustRightInd w:val="0"/>
        <w:snapToGrid w:val="0"/>
        <w:spacing w:line="360" w:lineRule="auto"/>
        <w:ind w:left="20" w:right="72" w:firstLine="552" w:firstLineChars="200"/>
        <w:textAlignment w:val="baseline"/>
        <w:rPr>
          <w:rFonts w:ascii="宋体" w:hAnsi="宋体" w:eastAsia="宋体" w:cs="宋体"/>
          <w:spacing w:val="2"/>
          <w:sz w:val="28"/>
          <w:szCs w:val="28"/>
        </w:rPr>
      </w:pPr>
      <w:r>
        <w:rPr>
          <w:rFonts w:ascii="Calibri" w:hAnsi="Calibri" w:eastAsia="Calibri" w:cs="Calibri"/>
          <w:spacing w:val="-2"/>
          <w:sz w:val="28"/>
          <w:szCs w:val="28"/>
        </w:rPr>
        <w:t>5</w:t>
      </w:r>
      <w:r>
        <w:rPr>
          <w:rFonts w:ascii="宋体" w:hAnsi="宋体" w:eastAsia="宋体" w:cs="宋体"/>
          <w:spacing w:val="-2"/>
          <w:sz w:val="28"/>
          <w:szCs w:val="28"/>
        </w:rPr>
        <w:t>、《江</w:t>
      </w:r>
      <w:r>
        <w:rPr>
          <w:rFonts w:ascii="宋体" w:hAnsi="宋体" w:eastAsia="宋体" w:cs="宋体"/>
          <w:spacing w:val="-1"/>
          <w:sz w:val="28"/>
          <w:szCs w:val="28"/>
        </w:rPr>
        <w:t>苏省水利工程预算定额(建筑工程、安装工程动态基价表》</w:t>
      </w:r>
      <w:r>
        <w:rPr>
          <w:rFonts w:ascii="宋体" w:hAnsi="宋体" w:eastAsia="宋体" w:cs="宋体"/>
          <w:spacing w:val="2"/>
          <w:sz w:val="28"/>
          <w:szCs w:val="28"/>
        </w:rPr>
        <w:t>(</w:t>
      </w:r>
      <w:r>
        <w:rPr>
          <w:rFonts w:ascii="Calibri" w:hAnsi="Calibri" w:eastAsia="Calibri" w:cs="Calibri"/>
          <w:spacing w:val="2"/>
          <w:sz w:val="28"/>
          <w:szCs w:val="28"/>
        </w:rPr>
        <w:t>2019</w:t>
      </w:r>
      <w:r>
        <w:rPr>
          <w:rFonts w:ascii="宋体" w:hAnsi="宋体" w:eastAsia="宋体" w:cs="宋体"/>
          <w:spacing w:val="2"/>
          <w:sz w:val="28"/>
          <w:szCs w:val="28"/>
        </w:rPr>
        <w:t>年版)；</w:t>
      </w:r>
    </w:p>
    <w:p w14:paraId="4D353C9A">
      <w:pPr>
        <w:keepNext w:val="0"/>
        <w:keepLines w:val="0"/>
        <w:pageBreakBefore w:val="0"/>
        <w:widowControl/>
        <w:tabs>
          <w:tab w:val="left" w:pos="172"/>
        </w:tabs>
        <w:kinsoku w:val="0"/>
        <w:wordWrap/>
        <w:overflowPunct/>
        <w:topLinePunct w:val="0"/>
        <w:autoSpaceDE w:val="0"/>
        <w:autoSpaceDN w:val="0"/>
        <w:bidi w:val="0"/>
        <w:adjustRightInd w:val="0"/>
        <w:snapToGrid w:val="0"/>
        <w:spacing w:line="360" w:lineRule="auto"/>
        <w:ind w:left="20" w:right="72" w:firstLine="556" w:firstLineChars="200"/>
        <w:textAlignment w:val="baseline"/>
        <w:rPr>
          <w:rFonts w:ascii="宋体" w:hAnsi="宋体" w:eastAsia="宋体" w:cs="宋体"/>
          <w:spacing w:val="2"/>
          <w:sz w:val="28"/>
          <w:szCs w:val="28"/>
        </w:rPr>
      </w:pPr>
      <w:r>
        <w:rPr>
          <w:rFonts w:ascii="Calibri" w:hAnsi="Calibri" w:eastAsia="Calibri" w:cs="Calibri"/>
          <w:spacing w:val="-1"/>
          <w:sz w:val="28"/>
          <w:szCs w:val="28"/>
        </w:rPr>
        <w:t>6</w:t>
      </w:r>
      <w:r>
        <w:rPr>
          <w:rFonts w:ascii="宋体" w:hAnsi="宋体" w:eastAsia="宋体" w:cs="宋体"/>
          <w:spacing w:val="-1"/>
          <w:sz w:val="28"/>
          <w:szCs w:val="28"/>
        </w:rPr>
        <w:t>、关于发布江苏省水利工程人工预算工时单价标准的通</w:t>
      </w:r>
      <w:r>
        <w:rPr>
          <w:rFonts w:ascii="宋体" w:hAnsi="宋体" w:eastAsia="宋体" w:cs="宋体"/>
          <w:sz w:val="28"/>
          <w:szCs w:val="28"/>
        </w:rPr>
        <w:t>知(苏水基</w:t>
      </w:r>
      <w:r>
        <w:rPr>
          <w:rFonts w:ascii="Calibri" w:hAnsi="Calibri" w:eastAsia="Calibri" w:cs="Calibri"/>
          <w:spacing w:val="4"/>
          <w:sz w:val="28"/>
          <w:szCs w:val="28"/>
        </w:rPr>
        <w:t>[20</w:t>
      </w:r>
      <w:r>
        <w:rPr>
          <w:rFonts w:ascii="Calibri" w:hAnsi="Calibri" w:eastAsia="Calibri" w:cs="Calibri"/>
          <w:spacing w:val="2"/>
          <w:sz w:val="28"/>
          <w:szCs w:val="28"/>
        </w:rPr>
        <w:t>15]32</w:t>
      </w:r>
      <w:r>
        <w:rPr>
          <w:rFonts w:ascii="宋体" w:hAnsi="宋体" w:eastAsia="宋体" w:cs="宋体"/>
          <w:spacing w:val="2"/>
          <w:sz w:val="28"/>
          <w:szCs w:val="28"/>
        </w:rPr>
        <w:t>号文)；</w:t>
      </w:r>
    </w:p>
    <w:p w14:paraId="1F8697BB">
      <w:pPr>
        <w:keepNext w:val="0"/>
        <w:keepLines w:val="0"/>
        <w:pageBreakBefore w:val="0"/>
        <w:widowControl/>
        <w:tabs>
          <w:tab w:val="left" w:pos="172"/>
        </w:tabs>
        <w:kinsoku w:val="0"/>
        <w:wordWrap/>
        <w:overflowPunct/>
        <w:topLinePunct w:val="0"/>
        <w:autoSpaceDE w:val="0"/>
        <w:autoSpaceDN w:val="0"/>
        <w:bidi w:val="0"/>
        <w:adjustRightInd w:val="0"/>
        <w:snapToGrid w:val="0"/>
        <w:spacing w:line="360" w:lineRule="auto"/>
        <w:ind w:left="20" w:right="72" w:firstLine="544" w:firstLineChars="200"/>
        <w:textAlignment w:val="baseline"/>
        <w:rPr>
          <w:rFonts w:ascii="宋体" w:hAnsi="宋体" w:eastAsia="宋体" w:cs="宋体"/>
          <w:sz w:val="28"/>
          <w:szCs w:val="28"/>
        </w:rPr>
      </w:pPr>
      <w:r>
        <w:rPr>
          <w:rFonts w:ascii="Calibri" w:hAnsi="Calibri" w:eastAsia="Calibri" w:cs="Calibri"/>
          <w:spacing w:val="-4"/>
          <w:sz w:val="28"/>
          <w:szCs w:val="28"/>
        </w:rPr>
        <w:t>7</w:t>
      </w:r>
      <w:r>
        <w:rPr>
          <w:rFonts w:ascii="宋体" w:hAnsi="宋体" w:eastAsia="宋体" w:cs="宋体"/>
          <w:spacing w:val="-4"/>
          <w:sz w:val="28"/>
          <w:szCs w:val="28"/>
        </w:rPr>
        <w:t>、省</w:t>
      </w:r>
      <w:r>
        <w:rPr>
          <w:rFonts w:ascii="宋体" w:hAnsi="宋体" w:eastAsia="宋体" w:cs="宋体"/>
          <w:spacing w:val="-3"/>
          <w:sz w:val="28"/>
          <w:szCs w:val="28"/>
        </w:rPr>
        <w:t>水</w:t>
      </w:r>
      <w:r>
        <w:rPr>
          <w:rFonts w:ascii="宋体" w:hAnsi="宋体" w:eastAsia="宋体" w:cs="宋体"/>
          <w:spacing w:val="-2"/>
          <w:sz w:val="28"/>
          <w:szCs w:val="28"/>
        </w:rPr>
        <w:t>利厅关于印发《江苏省水利建设工程安全文明措施费管理办</w:t>
      </w:r>
      <w:r>
        <w:rPr>
          <w:rFonts w:ascii="宋体" w:hAnsi="宋体" w:eastAsia="宋体" w:cs="宋体"/>
          <w:spacing w:val="-12"/>
          <w:sz w:val="28"/>
          <w:szCs w:val="28"/>
        </w:rPr>
        <w:t>法的通知</w:t>
      </w:r>
      <w:r>
        <w:rPr>
          <w:rFonts w:ascii="宋体" w:hAnsi="宋体" w:eastAsia="宋体" w:cs="宋体"/>
          <w:spacing w:val="-6"/>
          <w:sz w:val="28"/>
          <w:szCs w:val="28"/>
        </w:rPr>
        <w:t>》(苏水规〔2017〕2号文)；《江苏省水利建设工程安全文明措施费分解</w:t>
      </w:r>
      <w:r>
        <w:rPr>
          <w:rFonts w:ascii="宋体" w:hAnsi="宋体" w:eastAsia="宋体" w:cs="宋体"/>
          <w:spacing w:val="-3"/>
          <w:sz w:val="28"/>
          <w:szCs w:val="28"/>
        </w:rPr>
        <w:t>表》(苏水安</w:t>
      </w:r>
      <w:r>
        <w:rPr>
          <w:rFonts w:ascii="Calibri" w:hAnsi="Calibri" w:eastAsia="Calibri" w:cs="Calibri"/>
          <w:spacing w:val="-3"/>
          <w:sz w:val="28"/>
          <w:szCs w:val="28"/>
        </w:rPr>
        <w:t>[2017]3</w:t>
      </w:r>
      <w:r>
        <w:rPr>
          <w:rFonts w:ascii="宋体" w:hAnsi="宋体" w:eastAsia="宋体" w:cs="宋体"/>
          <w:spacing w:val="-3"/>
          <w:sz w:val="28"/>
          <w:szCs w:val="28"/>
        </w:rPr>
        <w:t>号文)；</w:t>
      </w:r>
    </w:p>
    <w:p w14:paraId="68B9799F">
      <w:pPr>
        <w:keepNext w:val="0"/>
        <w:keepLines w:val="0"/>
        <w:pageBreakBefore w:val="0"/>
        <w:widowControl/>
        <w:tabs>
          <w:tab w:val="left" w:pos="172"/>
        </w:tabs>
        <w:kinsoku w:val="0"/>
        <w:wordWrap/>
        <w:overflowPunct/>
        <w:topLinePunct w:val="0"/>
        <w:autoSpaceDE w:val="0"/>
        <w:autoSpaceDN w:val="0"/>
        <w:bidi w:val="0"/>
        <w:adjustRightInd w:val="0"/>
        <w:snapToGrid w:val="0"/>
        <w:spacing w:line="360" w:lineRule="auto"/>
        <w:ind w:left="20" w:right="72" w:firstLine="536" w:firstLineChars="200"/>
        <w:textAlignment w:val="baseline"/>
        <w:rPr>
          <w:rFonts w:ascii="宋体" w:hAnsi="宋体" w:eastAsia="宋体" w:cs="宋体"/>
          <w:sz w:val="28"/>
          <w:szCs w:val="28"/>
        </w:rPr>
      </w:pPr>
      <w:r>
        <w:rPr>
          <w:rFonts w:ascii="Calibri" w:hAnsi="Calibri" w:eastAsia="Calibri" w:cs="Calibri"/>
          <w:spacing w:val="-6"/>
          <w:sz w:val="28"/>
          <w:szCs w:val="28"/>
        </w:rPr>
        <w:t>8</w:t>
      </w:r>
      <w:r>
        <w:rPr>
          <w:rFonts w:ascii="宋体" w:hAnsi="宋体" w:eastAsia="宋体" w:cs="宋体"/>
          <w:spacing w:val="-6"/>
          <w:sz w:val="28"/>
          <w:szCs w:val="28"/>
        </w:rPr>
        <w:t>、关</w:t>
      </w:r>
      <w:r>
        <w:rPr>
          <w:rFonts w:ascii="宋体" w:hAnsi="宋体" w:eastAsia="宋体" w:cs="宋体"/>
          <w:spacing w:val="-4"/>
          <w:sz w:val="28"/>
          <w:szCs w:val="28"/>
        </w:rPr>
        <w:t>于</w:t>
      </w:r>
      <w:r>
        <w:rPr>
          <w:rFonts w:ascii="宋体" w:hAnsi="宋体" w:eastAsia="宋体" w:cs="宋体"/>
          <w:spacing w:val="-3"/>
          <w:sz w:val="28"/>
          <w:szCs w:val="28"/>
        </w:rPr>
        <w:t>调整建设工程计价增值税税率的通知(苏建函价〔</w:t>
      </w:r>
      <w:r>
        <w:rPr>
          <w:rFonts w:ascii="Calibri" w:hAnsi="Calibri" w:eastAsia="Calibri" w:cs="Calibri"/>
          <w:spacing w:val="-3"/>
          <w:sz w:val="28"/>
          <w:szCs w:val="28"/>
        </w:rPr>
        <w:t>2019</w:t>
      </w:r>
      <w:r>
        <w:rPr>
          <w:rFonts w:ascii="宋体" w:hAnsi="宋体" w:eastAsia="宋体" w:cs="宋体"/>
          <w:spacing w:val="-3"/>
          <w:sz w:val="28"/>
          <w:szCs w:val="28"/>
        </w:rPr>
        <w:t>〕</w:t>
      </w:r>
      <w:r>
        <w:rPr>
          <w:rFonts w:ascii="Calibri" w:hAnsi="Calibri" w:eastAsia="Calibri" w:cs="Calibri"/>
          <w:spacing w:val="-3"/>
          <w:sz w:val="28"/>
          <w:szCs w:val="28"/>
        </w:rPr>
        <w:t>178</w:t>
      </w:r>
      <w:r>
        <w:rPr>
          <w:rFonts w:ascii="宋体" w:hAnsi="宋体" w:eastAsia="宋体" w:cs="宋体"/>
          <w:spacing w:val="-2"/>
          <w:sz w:val="28"/>
          <w:szCs w:val="28"/>
        </w:rPr>
        <w:t>号文</w:t>
      </w:r>
      <w:r>
        <w:rPr>
          <w:rFonts w:ascii="宋体" w:hAnsi="宋体" w:eastAsia="宋体" w:cs="宋体"/>
          <w:spacing w:val="-1"/>
          <w:sz w:val="28"/>
          <w:szCs w:val="28"/>
        </w:rPr>
        <w:t>)；</w:t>
      </w:r>
    </w:p>
    <w:p w14:paraId="7769BA94">
      <w:pPr>
        <w:keepNext w:val="0"/>
        <w:keepLines w:val="0"/>
        <w:pageBreakBefore w:val="0"/>
        <w:widowControl/>
        <w:kinsoku w:val="0"/>
        <w:wordWrap/>
        <w:overflowPunct/>
        <w:topLinePunct w:val="0"/>
        <w:autoSpaceDE w:val="0"/>
        <w:autoSpaceDN w:val="0"/>
        <w:bidi w:val="0"/>
        <w:adjustRightInd w:val="0"/>
        <w:snapToGrid w:val="0"/>
        <w:spacing w:line="360" w:lineRule="auto"/>
        <w:ind w:left="25" w:firstLine="536" w:firstLineChars="200"/>
        <w:textAlignment w:val="baseline"/>
        <w:rPr>
          <w:rFonts w:ascii="宋体" w:hAnsi="宋体" w:eastAsia="宋体" w:cs="宋体"/>
          <w:sz w:val="28"/>
          <w:szCs w:val="28"/>
        </w:rPr>
      </w:pPr>
      <w:r>
        <w:rPr>
          <w:rFonts w:ascii="Calibri" w:hAnsi="Calibri" w:eastAsia="Calibri" w:cs="Calibri"/>
          <w:spacing w:val="-6"/>
          <w:sz w:val="28"/>
          <w:szCs w:val="28"/>
        </w:rPr>
        <w:t>9</w:t>
      </w:r>
      <w:r>
        <w:rPr>
          <w:rFonts w:ascii="宋体" w:hAnsi="宋体" w:eastAsia="宋体" w:cs="宋体"/>
          <w:spacing w:val="-6"/>
          <w:sz w:val="28"/>
          <w:szCs w:val="28"/>
        </w:rPr>
        <w:t>、正</w:t>
      </w:r>
      <w:r>
        <w:rPr>
          <w:rFonts w:ascii="宋体" w:hAnsi="宋体" w:eastAsia="宋体" w:cs="宋体"/>
          <w:spacing w:val="-5"/>
          <w:sz w:val="28"/>
          <w:szCs w:val="28"/>
        </w:rPr>
        <w:t>常</w:t>
      </w:r>
      <w:r>
        <w:rPr>
          <w:rFonts w:ascii="宋体" w:hAnsi="宋体" w:eastAsia="宋体" w:cs="宋体"/>
          <w:spacing w:val="-3"/>
          <w:sz w:val="28"/>
          <w:szCs w:val="28"/>
        </w:rPr>
        <w:t>施工条件下考虑的施工组织设计；</w:t>
      </w:r>
    </w:p>
    <w:p w14:paraId="6528C2B9">
      <w:pPr>
        <w:keepNext w:val="0"/>
        <w:keepLines w:val="0"/>
        <w:pageBreakBefore w:val="0"/>
        <w:widowControl/>
        <w:kinsoku w:val="0"/>
        <w:wordWrap/>
        <w:overflowPunct/>
        <w:topLinePunct w:val="0"/>
        <w:autoSpaceDE w:val="0"/>
        <w:autoSpaceDN w:val="0"/>
        <w:bidi w:val="0"/>
        <w:adjustRightInd w:val="0"/>
        <w:snapToGrid w:val="0"/>
        <w:spacing w:line="360" w:lineRule="auto"/>
        <w:ind w:left="37" w:firstLine="544" w:firstLineChars="200"/>
        <w:textAlignment w:val="baseline"/>
        <w:rPr>
          <w:rFonts w:ascii="宋体" w:hAnsi="宋体" w:eastAsia="宋体" w:cs="宋体"/>
          <w:sz w:val="28"/>
          <w:szCs w:val="28"/>
        </w:rPr>
      </w:pPr>
      <w:r>
        <w:rPr>
          <w:rFonts w:ascii="Calibri" w:hAnsi="Calibri" w:eastAsia="Calibri" w:cs="Calibri"/>
          <w:spacing w:val="-4"/>
          <w:sz w:val="28"/>
          <w:szCs w:val="28"/>
        </w:rPr>
        <w:t>10</w:t>
      </w:r>
      <w:r>
        <w:rPr>
          <w:rFonts w:ascii="宋体" w:hAnsi="宋体" w:eastAsia="宋体" w:cs="宋体"/>
          <w:spacing w:val="-4"/>
          <w:sz w:val="28"/>
          <w:szCs w:val="28"/>
        </w:rPr>
        <w:t>、其他相关法律法规及工程造价咨询依据</w:t>
      </w:r>
      <w:r>
        <w:rPr>
          <w:rFonts w:ascii="宋体" w:hAnsi="宋体" w:eastAsia="宋体" w:cs="宋体"/>
          <w:spacing w:val="-2"/>
          <w:sz w:val="28"/>
          <w:szCs w:val="28"/>
        </w:rPr>
        <w:t>。</w:t>
      </w:r>
    </w:p>
    <w:p w14:paraId="5773D058">
      <w:pPr>
        <w:keepNext w:val="0"/>
        <w:keepLines w:val="0"/>
        <w:pageBreakBefore w:val="0"/>
        <w:widowControl/>
        <w:kinsoku w:val="0"/>
        <w:wordWrap/>
        <w:overflowPunct/>
        <w:topLinePunct w:val="0"/>
        <w:autoSpaceDE w:val="0"/>
        <w:autoSpaceDN w:val="0"/>
        <w:bidi w:val="0"/>
        <w:adjustRightInd w:val="0"/>
        <w:snapToGrid w:val="0"/>
        <w:spacing w:line="360" w:lineRule="auto"/>
        <w:ind w:left="25" w:firstLine="556" w:firstLineChars="200"/>
        <w:textAlignment w:val="baseline"/>
        <w:rPr>
          <w:rFonts w:ascii="宋体" w:hAnsi="宋体" w:eastAsia="宋体" w:cs="宋体"/>
          <w:sz w:val="28"/>
          <w:szCs w:val="28"/>
        </w:rPr>
      </w:pPr>
      <w:r>
        <w:rPr>
          <w:rFonts w:ascii="宋体" w:hAnsi="宋体" w:eastAsia="宋体" w:cs="宋体"/>
          <w:spacing w:val="-1"/>
          <w:sz w:val="28"/>
          <w:szCs w:val="28"/>
          <w14:textOutline w14:w="5103" w14:cap="flat" w14:cmpd="sng">
            <w14:solidFill>
              <w14:srgbClr w14:val="000000"/>
            </w14:solidFill>
            <w14:prstDash w14:val="solid"/>
            <w14:miter w14:val="0"/>
          </w14:textOutline>
        </w:rPr>
        <w:t>三、其他</w:t>
      </w:r>
      <w:r>
        <w:rPr>
          <w:rFonts w:ascii="宋体" w:hAnsi="宋体" w:eastAsia="宋体" w:cs="宋体"/>
          <w:sz w:val="28"/>
          <w:szCs w:val="28"/>
          <w14:textOutline w14:w="5103" w14:cap="flat" w14:cmpd="sng">
            <w14:solidFill>
              <w14:srgbClr w14:val="000000"/>
            </w14:solidFill>
            <w14:prstDash w14:val="solid"/>
            <w14:miter w14:val="0"/>
          </w14:textOutline>
        </w:rPr>
        <w:t>说明</w:t>
      </w:r>
    </w:p>
    <w:p w14:paraId="16C38012">
      <w:pPr>
        <w:keepNext w:val="0"/>
        <w:keepLines w:val="0"/>
        <w:pageBreakBefore w:val="0"/>
        <w:widowControl/>
        <w:kinsoku w:val="0"/>
        <w:wordWrap/>
        <w:overflowPunct/>
        <w:topLinePunct w:val="0"/>
        <w:autoSpaceDE w:val="0"/>
        <w:autoSpaceDN w:val="0"/>
        <w:bidi w:val="0"/>
        <w:adjustRightInd w:val="0"/>
        <w:snapToGrid w:val="0"/>
        <w:spacing w:line="360" w:lineRule="auto"/>
        <w:ind w:left="22" w:firstLine="532" w:firstLineChars="200"/>
        <w:textAlignment w:val="baseline"/>
        <w:rPr>
          <w:rFonts w:ascii="宋体" w:hAnsi="宋体" w:eastAsia="宋体" w:cs="宋体"/>
          <w:spacing w:val="-6"/>
          <w:sz w:val="28"/>
          <w:szCs w:val="28"/>
        </w:rPr>
      </w:pPr>
      <w:r>
        <w:rPr>
          <w:rFonts w:ascii="Calibri" w:hAnsi="Calibri" w:eastAsia="Calibri" w:cs="Calibri"/>
          <w:spacing w:val="-7"/>
          <w:sz w:val="28"/>
          <w:szCs w:val="28"/>
        </w:rPr>
        <w:t>1</w:t>
      </w:r>
      <w:r>
        <w:rPr>
          <w:rFonts w:ascii="宋体" w:hAnsi="宋体" w:eastAsia="宋体" w:cs="宋体"/>
          <w:spacing w:val="-6"/>
          <w:sz w:val="28"/>
          <w:szCs w:val="28"/>
        </w:rPr>
        <w:t>、安全文明施工费为不可竞争费，统一按清单备注对应的金额编列；</w:t>
      </w:r>
    </w:p>
    <w:p w14:paraId="3A95C36A">
      <w:pPr>
        <w:keepNext w:val="0"/>
        <w:keepLines w:val="0"/>
        <w:pageBreakBefore w:val="0"/>
        <w:widowControl/>
        <w:kinsoku w:val="0"/>
        <w:wordWrap/>
        <w:overflowPunct/>
        <w:topLinePunct w:val="0"/>
        <w:autoSpaceDE w:val="0"/>
        <w:autoSpaceDN w:val="0"/>
        <w:bidi w:val="0"/>
        <w:adjustRightInd w:val="0"/>
        <w:snapToGrid w:val="0"/>
        <w:spacing w:line="360" w:lineRule="auto"/>
        <w:ind w:left="22" w:firstLine="544" w:firstLineChars="200"/>
        <w:textAlignment w:val="baseline"/>
        <w:rPr>
          <w:rFonts w:ascii="宋体" w:hAnsi="宋体" w:eastAsia="宋体" w:cs="宋体"/>
          <w:sz w:val="28"/>
          <w:szCs w:val="28"/>
        </w:rPr>
      </w:pPr>
      <w:r>
        <w:rPr>
          <w:rFonts w:ascii="Calibri" w:hAnsi="Calibri" w:eastAsia="Calibri" w:cs="Calibri"/>
          <w:spacing w:val="-4"/>
          <w:sz w:val="28"/>
          <w:szCs w:val="28"/>
        </w:rPr>
        <w:t>2</w:t>
      </w:r>
      <w:r>
        <w:rPr>
          <w:rFonts w:ascii="宋体" w:hAnsi="宋体" w:eastAsia="宋体" w:cs="宋体"/>
          <w:spacing w:val="-4"/>
          <w:sz w:val="28"/>
          <w:szCs w:val="28"/>
        </w:rPr>
        <w:t>、建筑安装工程一切险</w:t>
      </w:r>
      <w:r>
        <w:rPr>
          <w:rFonts w:ascii="宋体" w:hAnsi="宋体" w:eastAsia="宋体" w:cs="宋体"/>
          <w:spacing w:val="-3"/>
          <w:sz w:val="28"/>
          <w:szCs w:val="28"/>
        </w:rPr>
        <w:t>、</w:t>
      </w:r>
      <w:r>
        <w:rPr>
          <w:rFonts w:ascii="宋体" w:hAnsi="宋体" w:eastAsia="宋体" w:cs="宋体"/>
          <w:spacing w:val="-2"/>
          <w:sz w:val="28"/>
          <w:szCs w:val="28"/>
        </w:rPr>
        <w:t>第三者责任险(保额不低于</w:t>
      </w:r>
      <w:r>
        <w:rPr>
          <w:rFonts w:ascii="Calibri" w:hAnsi="Calibri" w:eastAsia="Calibri" w:cs="Calibri"/>
          <w:spacing w:val="-2"/>
          <w:sz w:val="28"/>
          <w:szCs w:val="28"/>
        </w:rPr>
        <w:t>200</w:t>
      </w:r>
      <w:r>
        <w:rPr>
          <w:rFonts w:ascii="宋体" w:hAnsi="宋体" w:eastAsia="宋体" w:cs="宋体"/>
          <w:spacing w:val="-2"/>
          <w:sz w:val="28"/>
          <w:szCs w:val="28"/>
        </w:rPr>
        <w:t>万元)投</w:t>
      </w:r>
      <w:r>
        <w:rPr>
          <w:rFonts w:ascii="宋体" w:hAnsi="宋体" w:eastAsia="宋体" w:cs="宋体"/>
          <w:spacing w:val="-6"/>
          <w:sz w:val="28"/>
          <w:szCs w:val="28"/>
        </w:rPr>
        <w:t>标单位综</w:t>
      </w:r>
      <w:r>
        <w:rPr>
          <w:rFonts w:ascii="宋体" w:hAnsi="宋体" w:eastAsia="宋体" w:cs="宋体"/>
          <w:spacing w:val="-4"/>
          <w:sz w:val="28"/>
          <w:szCs w:val="28"/>
        </w:rPr>
        <w:t>合</w:t>
      </w:r>
      <w:r>
        <w:rPr>
          <w:rFonts w:ascii="宋体" w:hAnsi="宋体" w:eastAsia="宋体" w:cs="宋体"/>
          <w:spacing w:val="-3"/>
          <w:sz w:val="28"/>
          <w:szCs w:val="28"/>
        </w:rPr>
        <w:t>考虑，自主报价；工伤保险费为不可竞争费，统一按清单</w:t>
      </w:r>
      <w:r>
        <w:rPr>
          <w:rFonts w:ascii="宋体" w:hAnsi="宋体" w:eastAsia="宋体" w:cs="宋体"/>
          <w:spacing w:val="-1"/>
          <w:sz w:val="28"/>
          <w:szCs w:val="28"/>
        </w:rPr>
        <w:t>备注对应的金额编列；所有保险费最终以保险凭证及发票按实支付，但不得超过投标</w:t>
      </w:r>
      <w:r>
        <w:rPr>
          <w:rFonts w:ascii="宋体" w:hAnsi="宋体" w:eastAsia="宋体" w:cs="宋体"/>
          <w:sz w:val="28"/>
          <w:szCs w:val="28"/>
        </w:rPr>
        <w:t>价；</w:t>
      </w:r>
    </w:p>
    <w:p w14:paraId="34ECD98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56" w:firstLineChars="200"/>
        <w:textAlignment w:val="baseline"/>
        <w:rPr>
          <w:rFonts w:ascii="宋体" w:hAnsi="宋体" w:eastAsia="宋体" w:cs="宋体"/>
          <w:spacing w:val="-6"/>
          <w:sz w:val="28"/>
          <w:szCs w:val="28"/>
        </w:rPr>
      </w:pPr>
      <w:r>
        <w:rPr>
          <w:rFonts w:ascii="Calibri" w:hAnsi="Calibri" w:eastAsia="Calibri" w:cs="Calibri"/>
          <w:spacing w:val="-1"/>
          <w:sz w:val="28"/>
          <w:szCs w:val="28"/>
        </w:rPr>
        <w:t>3</w:t>
      </w:r>
      <w:r>
        <w:rPr>
          <w:rFonts w:ascii="宋体" w:hAnsi="宋体" w:eastAsia="宋体" w:cs="宋体"/>
          <w:spacing w:val="-1"/>
          <w:sz w:val="28"/>
          <w:szCs w:val="28"/>
        </w:rPr>
        <w:t>、环保及水利保护措施、临时工程、交通工程</w:t>
      </w:r>
      <w:r>
        <w:rPr>
          <w:rFonts w:ascii="宋体" w:hAnsi="宋体" w:eastAsia="宋体" w:cs="宋体"/>
          <w:sz w:val="28"/>
          <w:szCs w:val="28"/>
        </w:rPr>
        <w:t>在符合相关规范、标</w:t>
      </w:r>
      <w:r>
        <w:rPr>
          <w:rFonts w:ascii="宋体" w:hAnsi="宋体" w:eastAsia="宋体" w:cs="宋体"/>
          <w:spacing w:val="-12"/>
          <w:sz w:val="28"/>
          <w:szCs w:val="28"/>
        </w:rPr>
        <w:t>准</w:t>
      </w:r>
      <w:r>
        <w:rPr>
          <w:rFonts w:ascii="宋体" w:hAnsi="宋体" w:eastAsia="宋体" w:cs="宋体"/>
          <w:spacing w:val="-9"/>
          <w:sz w:val="28"/>
          <w:szCs w:val="28"/>
        </w:rPr>
        <w:t>前</w:t>
      </w:r>
      <w:r>
        <w:rPr>
          <w:rFonts w:ascii="宋体" w:hAnsi="宋体" w:eastAsia="宋体" w:cs="宋体"/>
          <w:spacing w:val="-6"/>
          <w:sz w:val="28"/>
          <w:szCs w:val="28"/>
        </w:rPr>
        <w:t>提下投标单位综合考虑，自主报价，总价包干；</w:t>
      </w:r>
    </w:p>
    <w:p w14:paraId="4867712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48" w:firstLineChars="200"/>
        <w:textAlignment w:val="baseline"/>
        <w:rPr>
          <w:rFonts w:ascii="宋体" w:hAnsi="宋体" w:eastAsia="宋体" w:cs="宋体"/>
          <w:spacing w:val="-3"/>
          <w:sz w:val="28"/>
          <w:szCs w:val="28"/>
        </w:rPr>
      </w:pPr>
      <w:r>
        <w:rPr>
          <w:rFonts w:ascii="宋体" w:hAnsi="宋体" w:eastAsia="宋体" w:cs="宋体"/>
          <w:spacing w:val="-3"/>
          <w:sz w:val="28"/>
          <w:szCs w:val="28"/>
        </w:rPr>
        <w:t>4、施工企业进退场及大型机械进出场费按项编列，投标单位综合考虑，自主报价，总价包干；</w:t>
      </w:r>
    </w:p>
    <w:p w14:paraId="0368A388">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48" w:firstLineChars="200"/>
        <w:textAlignment w:val="baseline"/>
        <w:rPr>
          <w:rFonts w:ascii="宋体" w:hAnsi="宋体" w:eastAsia="宋体" w:cs="宋体"/>
          <w:spacing w:val="-3"/>
          <w:sz w:val="28"/>
          <w:szCs w:val="28"/>
        </w:rPr>
      </w:pPr>
      <w:r>
        <w:rPr>
          <w:rFonts w:ascii="宋体" w:hAnsi="宋体" w:eastAsia="宋体" w:cs="宋体"/>
          <w:spacing w:val="-3"/>
          <w:sz w:val="28"/>
          <w:szCs w:val="28"/>
        </w:rPr>
        <w:t>5、施工围堰筑、拆在相关构建筑物中分别按项编列，投标单位综合考虑，自主报价，总价包干；</w:t>
      </w:r>
    </w:p>
    <w:p w14:paraId="3BFC6710">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firstLine="548" w:firstLineChars="200"/>
        <w:textAlignment w:val="baseline"/>
        <w:rPr>
          <w:rFonts w:ascii="宋体" w:hAnsi="宋体" w:eastAsia="宋体" w:cs="宋体"/>
          <w:spacing w:val="-3"/>
          <w:sz w:val="28"/>
          <w:szCs w:val="28"/>
        </w:rPr>
      </w:pPr>
      <w:r>
        <w:rPr>
          <w:rFonts w:ascii="宋体" w:hAnsi="宋体" w:eastAsia="宋体" w:cs="宋体"/>
          <w:spacing w:val="-3"/>
          <w:sz w:val="28"/>
          <w:szCs w:val="28"/>
        </w:rPr>
        <w:t>施工降排水在相关构建筑物中分别按项编列，投标单位综合考虑，自主报价，总价包干；</w:t>
      </w:r>
    </w:p>
    <w:p w14:paraId="394ECEB0">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60" w:lineRule="auto"/>
        <w:ind w:left="0" w:firstLine="548" w:firstLineChars="200"/>
        <w:textAlignment w:val="baseline"/>
        <w:rPr>
          <w:rFonts w:ascii="宋体" w:hAnsi="宋体" w:eastAsia="宋体" w:cs="宋体"/>
          <w:spacing w:val="-3"/>
          <w:sz w:val="28"/>
          <w:szCs w:val="28"/>
        </w:rPr>
      </w:pPr>
      <w:r>
        <w:rPr>
          <w:rFonts w:ascii="宋体" w:hAnsi="宋体" w:eastAsia="宋体" w:cs="宋体"/>
          <w:spacing w:val="-3"/>
          <w:sz w:val="28"/>
          <w:szCs w:val="28"/>
        </w:rPr>
        <w:t>水利工程以外借用定额人工费执行苏建函价〔2025〕66号文；材料价格按照《</w:t>
      </w:r>
      <w:r>
        <w:rPr>
          <w:rFonts w:hint="eastAsia" w:ascii="宋体" w:hAnsi="宋体" w:eastAsia="宋体" w:cs="宋体"/>
          <w:spacing w:val="-3"/>
          <w:sz w:val="28"/>
          <w:szCs w:val="28"/>
          <w:lang w:val="en-US" w:eastAsia="zh-CN"/>
        </w:rPr>
        <w:t>镇江</w:t>
      </w:r>
      <w:r>
        <w:rPr>
          <w:rFonts w:ascii="宋体" w:hAnsi="宋体" w:eastAsia="宋体" w:cs="宋体"/>
          <w:spacing w:val="-3"/>
          <w:sz w:val="28"/>
          <w:szCs w:val="28"/>
        </w:rPr>
        <w:t>工程造价管理》2025年第</w:t>
      </w:r>
      <w:r>
        <w:rPr>
          <w:rFonts w:hint="eastAsia" w:ascii="宋体" w:hAnsi="宋体" w:eastAsia="宋体" w:cs="宋体"/>
          <w:spacing w:val="-3"/>
          <w:sz w:val="28"/>
          <w:szCs w:val="28"/>
          <w:lang w:val="en-US" w:eastAsia="zh-CN"/>
        </w:rPr>
        <w:t>7</w:t>
      </w:r>
      <w:r>
        <w:rPr>
          <w:rFonts w:ascii="宋体" w:hAnsi="宋体" w:eastAsia="宋体" w:cs="宋体"/>
          <w:spacing w:val="-3"/>
          <w:sz w:val="28"/>
          <w:szCs w:val="28"/>
        </w:rPr>
        <w:t>期指导价；</w:t>
      </w:r>
    </w:p>
    <w:p w14:paraId="75E1130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48" w:firstLineChars="200"/>
        <w:textAlignment w:val="baseline"/>
        <w:rPr>
          <w:rFonts w:ascii="宋体" w:hAnsi="宋体" w:eastAsia="宋体" w:cs="宋体"/>
          <w:spacing w:val="-3"/>
          <w:sz w:val="28"/>
          <w:szCs w:val="28"/>
        </w:rPr>
      </w:pPr>
      <w:r>
        <w:rPr>
          <w:rFonts w:ascii="宋体" w:hAnsi="宋体" w:eastAsia="宋体" w:cs="宋体"/>
          <w:spacing w:val="-3"/>
          <w:sz w:val="28"/>
          <w:szCs w:val="28"/>
        </w:rPr>
        <w:t>8、本工程无预留金。</w:t>
      </w:r>
    </w:p>
    <w:sectPr>
      <w:pgSz w:w="11906" w:h="16839"/>
      <w:pgMar w:top="1431" w:right="1723" w:bottom="1134"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DB479D"/>
    <w:multiLevelType w:val="singleLevel"/>
    <w:tmpl w:val="A9DB479D"/>
    <w:lvl w:ilvl="0" w:tentative="0">
      <w:start w:val="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cyODhiNDhmOGJiNWJmZjU4Njg1YmI0NTBmYjM3YWYifQ=="/>
  </w:docVars>
  <w:rsids>
    <w:rsidRoot w:val="00000000"/>
    <w:rsid w:val="0BCB434E"/>
    <w:rsid w:val="55EB43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1171</Words>
  <Characters>1294</Characters>
  <TotalTime>34</TotalTime>
  <ScaleCrop>false</ScaleCrop>
  <LinksUpToDate>false</LinksUpToDate>
  <CharactersWithSpaces>1351</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2025-07-28T13:16:00Z</dcterms:created>
  <dc:creator>DELL</dc:creator>
  <cp:lastModifiedBy>王灏</cp:lastModifiedBy>
  <dcterms:modified xsi:type="dcterms:W3CDTF">2025-10-21T13:37:34Z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2025-09-08T09:35:57Z</vt:filetime>
  </property>
  <property fmtid="{D5CDD505-2E9C-101B-9397-08002B2CF9AE}" pid="4" name="KSOProductBuildVer">
    <vt:lpwstr>2052-12.1.0.23125</vt:lpwstr>
  </property>
  <property fmtid="{D5CDD505-2E9C-101B-9397-08002B2CF9AE}" pid="5" name="ICV">
    <vt:lpwstr>2F635567692E4314A82D30DCA736EC86</vt:lpwstr>
  </property>
  <property fmtid="{D5CDD505-2E9C-101B-9397-08002B2CF9AE}" pid="6" name="KSOTemplateDocerSaveRecord">
    <vt:lpwstr>eyJoZGlkIjoiMzEwNTM5NzYwMDRjMzkwZTVkZjY2ODkwMGIxNGU0OTUiLCJ1c2VySWQiOiI0NDE2OTI4MTEifQ==</vt:lpwstr>
  </property>
</Properties>
</file>