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5A56">
      <w:pPr>
        <w:jc w:val="center"/>
        <w:rPr>
          <w:rFonts w:hint="eastAsia" w:ascii="宋体" w:hAnsi="宋体" w:cs="宋体"/>
          <w:b/>
          <w:spacing w:val="20"/>
          <w:sz w:val="44"/>
        </w:rPr>
      </w:pPr>
    </w:p>
    <w:p w14:paraId="20236AF6">
      <w:pPr>
        <w:jc w:val="center"/>
        <w:rPr>
          <w:rFonts w:hint="eastAsia" w:ascii="宋体" w:hAnsi="宋体" w:cs="宋体"/>
          <w:b/>
          <w:spacing w:val="20"/>
          <w:sz w:val="36"/>
          <w:szCs w:val="36"/>
        </w:rPr>
      </w:pPr>
      <w:r>
        <w:rPr>
          <w:rFonts w:hint="eastAsia" w:ascii="宋体" w:hAnsi="宋体" w:cs="宋体"/>
          <w:b/>
          <w:spacing w:val="20"/>
          <w:sz w:val="44"/>
          <w:szCs w:val="44"/>
        </w:rPr>
        <w:t>启东市行政中心保安服务项目</w:t>
      </w:r>
    </w:p>
    <w:p w14:paraId="09CB316B">
      <w:pPr>
        <w:jc w:val="center"/>
        <w:rPr>
          <w:rFonts w:hint="eastAsia" w:ascii="宋体" w:hAnsi="宋体" w:cs="宋体"/>
          <w:b/>
          <w:sz w:val="100"/>
          <w:szCs w:val="100"/>
        </w:rPr>
      </w:pPr>
      <w:r>
        <w:rPr>
          <w:rFonts w:hint="eastAsia" w:ascii="宋体" w:hAnsi="宋体" w:cs="宋体"/>
          <w:b/>
          <w:sz w:val="100"/>
          <w:szCs w:val="100"/>
        </w:rPr>
        <w:t>政府采购磋商文件</w:t>
      </w:r>
    </w:p>
    <w:p w14:paraId="53338560">
      <w:pPr>
        <w:keepNext/>
        <w:spacing w:line="500" w:lineRule="exact"/>
        <w:jc w:val="center"/>
        <w:outlineLvl w:val="5"/>
        <w:rPr>
          <w:rFonts w:hint="eastAsia" w:ascii="宋体" w:hAnsi="宋体" w:cs="宋体"/>
          <w:b/>
          <w:sz w:val="44"/>
          <w:szCs w:val="20"/>
        </w:rPr>
      </w:pPr>
    </w:p>
    <w:p w14:paraId="7A9093DB">
      <w:pPr>
        <w:keepNext/>
        <w:spacing w:line="500" w:lineRule="exact"/>
        <w:ind w:firstLine="964" w:firstLineChars="300"/>
        <w:outlineLvl w:val="5"/>
        <w:rPr>
          <w:rFonts w:hint="eastAsia" w:ascii="宋体" w:hAnsi="宋体" w:cs="宋体"/>
          <w:b/>
          <w:sz w:val="32"/>
          <w:szCs w:val="32"/>
          <w:highlight w:val="none"/>
        </w:rPr>
      </w:pPr>
      <w:r>
        <w:rPr>
          <w:rFonts w:hint="eastAsia" w:ascii="宋体" w:hAnsi="宋体" w:cs="宋体"/>
          <w:b/>
          <w:sz w:val="32"/>
          <w:szCs w:val="32"/>
          <w:highlight w:val="none"/>
        </w:rPr>
        <w:t>采购文件编号：JSZC-320681-SHXP-C2025-0025</w:t>
      </w:r>
    </w:p>
    <w:p w14:paraId="17852C8D">
      <w:pPr>
        <w:spacing w:line="500" w:lineRule="exact"/>
        <w:jc w:val="center"/>
        <w:rPr>
          <w:rFonts w:hint="eastAsia" w:ascii="宋体" w:hAnsi="宋体" w:cs="宋体"/>
          <w:b/>
          <w:sz w:val="36"/>
        </w:rPr>
      </w:pPr>
    </w:p>
    <w:p w14:paraId="6B0AD797">
      <w:pPr>
        <w:pStyle w:val="210"/>
        <w:rPr>
          <w:rFonts w:hint="eastAsia" w:ascii="宋体" w:hAnsi="宋体" w:cs="宋体"/>
        </w:rPr>
      </w:pPr>
    </w:p>
    <w:p w14:paraId="19FDA8CE">
      <w:pPr>
        <w:pStyle w:val="210"/>
        <w:rPr>
          <w:rFonts w:hint="eastAsia" w:ascii="宋体" w:hAnsi="宋体" w:cs="宋体"/>
        </w:rPr>
      </w:pPr>
    </w:p>
    <w:p w14:paraId="33419E82">
      <w:pPr>
        <w:rPr>
          <w:rFonts w:hint="eastAsia" w:ascii="宋体" w:hAnsi="宋体" w:cs="宋体"/>
        </w:rPr>
      </w:pPr>
    </w:p>
    <w:p w14:paraId="776AB97D">
      <w:pPr>
        <w:pStyle w:val="2"/>
        <w:rPr>
          <w:rFonts w:hint="eastAsia" w:ascii="宋体" w:hAnsi="宋体" w:eastAsia="宋体" w:cs="宋体"/>
        </w:rPr>
      </w:pPr>
    </w:p>
    <w:p w14:paraId="545AEF90">
      <w:pPr>
        <w:rPr>
          <w:rFonts w:hint="eastAsia" w:ascii="宋体" w:hAnsi="宋体" w:cs="宋体"/>
        </w:rPr>
      </w:pPr>
    </w:p>
    <w:p w14:paraId="3FA54A98">
      <w:pPr>
        <w:pStyle w:val="2"/>
        <w:rPr>
          <w:rFonts w:hint="eastAsia" w:ascii="宋体" w:hAnsi="宋体" w:eastAsia="宋体" w:cs="宋体"/>
        </w:rPr>
      </w:pPr>
    </w:p>
    <w:p w14:paraId="432B768B">
      <w:pPr>
        <w:spacing w:line="500" w:lineRule="exact"/>
        <w:jc w:val="center"/>
        <w:rPr>
          <w:rFonts w:hint="eastAsia" w:ascii="宋体" w:hAnsi="宋体" w:cs="宋体"/>
          <w:b/>
          <w:sz w:val="36"/>
        </w:rPr>
      </w:pPr>
    </w:p>
    <w:p w14:paraId="756F9DB7">
      <w:pPr>
        <w:spacing w:line="500" w:lineRule="exact"/>
        <w:jc w:val="center"/>
        <w:rPr>
          <w:rFonts w:hint="eastAsia" w:ascii="宋体" w:hAnsi="宋体" w:cs="宋体"/>
          <w:b/>
          <w:sz w:val="36"/>
        </w:rPr>
      </w:pPr>
    </w:p>
    <w:p w14:paraId="560272E9">
      <w:pPr>
        <w:spacing w:line="500" w:lineRule="exact"/>
        <w:rPr>
          <w:rFonts w:hint="eastAsia" w:ascii="宋体" w:hAnsi="宋体" w:cs="宋体"/>
        </w:rPr>
      </w:pPr>
    </w:p>
    <w:p w14:paraId="36FF312F">
      <w:pPr>
        <w:spacing w:line="500" w:lineRule="exact"/>
        <w:jc w:val="center"/>
        <w:rPr>
          <w:rFonts w:hint="eastAsia" w:ascii="宋体" w:hAnsi="宋体" w:cs="宋体"/>
          <w:sz w:val="32"/>
        </w:rPr>
      </w:pPr>
    </w:p>
    <w:p w14:paraId="770E980F">
      <w:pPr>
        <w:spacing w:line="500" w:lineRule="exact"/>
        <w:jc w:val="center"/>
        <w:rPr>
          <w:rFonts w:hint="eastAsia" w:ascii="宋体" w:hAnsi="宋体" w:cs="宋体"/>
          <w:sz w:val="32"/>
        </w:rPr>
      </w:pPr>
    </w:p>
    <w:p w14:paraId="05EC7C4D">
      <w:pPr>
        <w:spacing w:line="500" w:lineRule="exact"/>
        <w:jc w:val="center"/>
        <w:rPr>
          <w:rFonts w:hint="eastAsia" w:ascii="宋体" w:hAnsi="宋体" w:cs="宋体"/>
          <w:sz w:val="32"/>
        </w:rPr>
      </w:pPr>
    </w:p>
    <w:p w14:paraId="5C694B65">
      <w:pPr>
        <w:pStyle w:val="210"/>
        <w:rPr>
          <w:rFonts w:hint="eastAsia" w:ascii="宋体" w:hAnsi="宋体" w:cs="宋体"/>
        </w:rPr>
      </w:pPr>
    </w:p>
    <w:p w14:paraId="4E7E4F16">
      <w:pPr>
        <w:rPr>
          <w:rFonts w:hint="eastAsia" w:ascii="宋体" w:hAnsi="宋体" w:cs="宋体"/>
        </w:rPr>
      </w:pPr>
    </w:p>
    <w:p w14:paraId="5EACE053">
      <w:pPr>
        <w:spacing w:before="120" w:after="120" w:line="500" w:lineRule="exact"/>
        <w:ind w:left="-2" w:right="120"/>
        <w:jc w:val="center"/>
        <w:rPr>
          <w:rFonts w:hint="eastAsia" w:ascii="宋体" w:hAnsi="宋体" w:cs="宋体"/>
          <w:b/>
          <w:spacing w:val="20"/>
          <w:sz w:val="44"/>
        </w:rPr>
      </w:pPr>
      <w:r>
        <w:rPr>
          <w:rFonts w:hint="eastAsia" w:ascii="宋体" w:hAnsi="宋体" w:cs="宋体"/>
          <w:b/>
          <w:spacing w:val="20"/>
          <w:sz w:val="44"/>
        </w:rPr>
        <w:t>启东市机关事务服务中心</w:t>
      </w:r>
    </w:p>
    <w:p w14:paraId="2926A81F">
      <w:pPr>
        <w:spacing w:before="120" w:after="120" w:line="500" w:lineRule="exact"/>
        <w:ind w:left="-2" w:right="120"/>
        <w:jc w:val="center"/>
        <w:rPr>
          <w:rFonts w:hint="eastAsia" w:ascii="宋体" w:hAnsi="宋体" w:cs="宋体"/>
          <w:b/>
          <w:bCs/>
          <w:sz w:val="32"/>
        </w:rPr>
      </w:pPr>
      <w:r>
        <w:rPr>
          <w:rFonts w:hint="eastAsia" w:ascii="宋体" w:hAnsi="宋体" w:cs="宋体"/>
          <w:b/>
          <w:bCs/>
          <w:sz w:val="32"/>
        </w:rPr>
        <w:t>2025年</w:t>
      </w:r>
      <w:r>
        <w:rPr>
          <w:rFonts w:hint="eastAsia" w:ascii="宋体" w:hAnsi="宋体" w:cs="宋体"/>
          <w:b/>
          <w:bCs/>
          <w:sz w:val="32"/>
          <w:lang w:val="en-US" w:eastAsia="zh-CN"/>
        </w:rPr>
        <w:t>11</w:t>
      </w:r>
      <w:r>
        <w:rPr>
          <w:rFonts w:hint="eastAsia" w:ascii="宋体" w:hAnsi="宋体" w:cs="宋体"/>
          <w:b/>
          <w:bCs/>
          <w:sz w:val="32"/>
        </w:rPr>
        <w:t>月</w:t>
      </w:r>
      <w:r>
        <w:rPr>
          <w:rFonts w:hint="eastAsia" w:ascii="宋体" w:hAnsi="宋体" w:cs="宋体"/>
          <w:b/>
          <w:bCs/>
          <w:sz w:val="32"/>
          <w:lang w:val="en-US" w:eastAsia="zh-CN"/>
        </w:rPr>
        <w:t>27</w:t>
      </w:r>
      <w:r>
        <w:rPr>
          <w:rFonts w:hint="eastAsia" w:ascii="宋体" w:hAnsi="宋体" w:cs="宋体"/>
          <w:b/>
          <w:bCs/>
          <w:sz w:val="32"/>
        </w:rPr>
        <w:t>日</w:t>
      </w:r>
    </w:p>
    <w:p w14:paraId="4B0C6A2E">
      <w:pPr>
        <w:pStyle w:val="210"/>
        <w:rPr>
          <w:rFonts w:hint="eastAsia" w:ascii="宋体" w:hAnsi="宋体" w:cs="宋体"/>
        </w:rPr>
      </w:pPr>
    </w:p>
    <w:p w14:paraId="3652340A">
      <w:pPr>
        <w:spacing w:line="500" w:lineRule="exact"/>
        <w:ind w:left="-158"/>
        <w:rPr>
          <w:rFonts w:hint="eastAsia" w:ascii="宋体" w:hAnsi="宋体" w:cs="宋体"/>
          <w:b/>
          <w:sz w:val="26"/>
          <w:szCs w:val="28"/>
          <w:u w:val="single"/>
        </w:rPr>
      </w:pPr>
      <w:r>
        <w:rPr>
          <w:rFonts w:hint="eastAsia" w:ascii="宋体" w:hAnsi="宋体" w:cs="宋体"/>
          <w:b/>
          <w:sz w:val="26"/>
          <w:szCs w:val="28"/>
          <w:u w:val="single"/>
        </w:rPr>
        <w:t xml:space="preserve">                                                                    </w:t>
      </w:r>
    </w:p>
    <w:p w14:paraId="0AA3287F">
      <w:pPr>
        <w:ind w:left="-158"/>
        <w:jc w:val="left"/>
        <w:rPr>
          <w:rFonts w:hint="eastAsia" w:ascii="宋体" w:hAnsi="宋体" w:cs="宋体"/>
          <w:sz w:val="32"/>
          <w:szCs w:val="32"/>
        </w:rPr>
      </w:pPr>
      <w:r>
        <w:rPr>
          <w:rFonts w:hint="eastAsia" w:ascii="宋体" w:hAnsi="宋体" w:cs="宋体"/>
          <w:b/>
          <w:sz w:val="32"/>
          <w:szCs w:val="32"/>
        </w:rPr>
        <w:t>地址:</w:t>
      </w:r>
      <w:r>
        <w:rPr>
          <w:rFonts w:hint="eastAsia" w:ascii="宋体" w:hAnsi="宋体" w:cs="宋体"/>
          <w:sz w:val="32"/>
          <w:szCs w:val="32"/>
        </w:rPr>
        <w:t xml:space="preserve"> 启东市汇龙镇世纪大道1288号           </w:t>
      </w:r>
    </w:p>
    <w:p w14:paraId="305540D7">
      <w:pPr>
        <w:ind w:left="-158"/>
        <w:jc w:val="left"/>
        <w:rPr>
          <w:rFonts w:hint="eastAsia" w:ascii="宋体" w:hAnsi="宋体" w:cs="宋体"/>
          <w:sz w:val="32"/>
          <w:szCs w:val="32"/>
        </w:rPr>
      </w:pPr>
      <w:r>
        <w:rPr>
          <w:rFonts w:hint="eastAsia" w:ascii="宋体" w:hAnsi="宋体" w:cs="宋体"/>
          <w:b/>
          <w:sz w:val="32"/>
          <w:szCs w:val="32"/>
        </w:rPr>
        <w:t>邮政编码：</w:t>
      </w:r>
      <w:r>
        <w:rPr>
          <w:rFonts w:hint="eastAsia" w:ascii="宋体" w:hAnsi="宋体" w:cs="宋体"/>
          <w:sz w:val="32"/>
          <w:szCs w:val="32"/>
        </w:rPr>
        <w:t xml:space="preserve">226200        </w:t>
      </w:r>
    </w:p>
    <w:p w14:paraId="51A5547E">
      <w:pPr>
        <w:ind w:left="-158" w:right="-601"/>
        <w:rPr>
          <w:rFonts w:hint="eastAsia" w:ascii="宋体" w:hAnsi="宋体" w:cs="宋体"/>
          <w:b/>
          <w:sz w:val="32"/>
          <w:szCs w:val="32"/>
        </w:rPr>
      </w:pPr>
      <w:r>
        <w:rPr>
          <w:rFonts w:hint="eastAsia" w:ascii="宋体" w:hAnsi="宋体" w:cs="宋体"/>
          <w:b/>
          <w:sz w:val="32"/>
          <w:szCs w:val="32"/>
        </w:rPr>
        <w:t>江苏政府采购网</w:t>
      </w:r>
    </w:p>
    <w:p w14:paraId="4EA73E30">
      <w:pPr>
        <w:spacing w:line="500" w:lineRule="exact"/>
        <w:ind w:right="-601"/>
        <w:rPr>
          <w:rFonts w:hint="eastAsia" w:ascii="宋体" w:hAnsi="宋体" w:cs="宋体"/>
          <w:sz w:val="32"/>
          <w:szCs w:val="32"/>
        </w:rPr>
      </w:pPr>
    </w:p>
    <w:p w14:paraId="01099E2B">
      <w:pPr>
        <w:spacing w:line="360" w:lineRule="auto"/>
        <w:jc w:val="center"/>
        <w:rPr>
          <w:rFonts w:hint="eastAsia" w:ascii="宋体" w:hAnsi="宋体" w:cs="宋体"/>
          <w:sz w:val="44"/>
          <w:szCs w:val="44"/>
          <w:lang w:val="zh-CN"/>
        </w:rPr>
      </w:pPr>
    </w:p>
    <w:p w14:paraId="69058C38">
      <w:pPr>
        <w:spacing w:line="360" w:lineRule="auto"/>
        <w:jc w:val="center"/>
        <w:rPr>
          <w:rFonts w:hint="eastAsia" w:ascii="宋体" w:hAnsi="宋体" w:cs="宋体"/>
          <w:sz w:val="44"/>
          <w:szCs w:val="44"/>
          <w:lang w:val="zh-CN"/>
        </w:rPr>
      </w:pPr>
      <w:r>
        <w:rPr>
          <w:rFonts w:hint="eastAsia" w:ascii="宋体" w:hAnsi="宋体" w:cs="宋体"/>
          <w:sz w:val="44"/>
          <w:szCs w:val="44"/>
          <w:lang w:val="zh-CN"/>
        </w:rPr>
        <w:t>目 录</w:t>
      </w:r>
    </w:p>
    <w:p w14:paraId="14E12DD1">
      <w:pPr>
        <w:spacing w:line="360" w:lineRule="auto"/>
        <w:ind w:firstLine="556"/>
        <w:rPr>
          <w:rFonts w:hint="eastAsia" w:ascii="宋体" w:hAnsi="宋体" w:cs="宋体"/>
          <w:sz w:val="32"/>
          <w:szCs w:val="32"/>
        </w:rPr>
      </w:pPr>
    </w:p>
    <w:p w14:paraId="1DA77854">
      <w:pPr>
        <w:spacing w:line="360" w:lineRule="auto"/>
        <w:ind w:firstLine="556"/>
        <w:rPr>
          <w:rFonts w:hint="eastAsia" w:ascii="宋体" w:hAnsi="宋体" w:cs="宋体"/>
          <w:sz w:val="32"/>
          <w:szCs w:val="32"/>
        </w:rPr>
      </w:pPr>
      <w:r>
        <w:rPr>
          <w:rFonts w:hint="eastAsia" w:ascii="宋体" w:hAnsi="宋体" w:cs="宋体"/>
          <w:sz w:val="32"/>
          <w:szCs w:val="32"/>
        </w:rPr>
        <w:t>第一部分  竞争性磋商公告</w:t>
      </w:r>
    </w:p>
    <w:p w14:paraId="3CBFFA58">
      <w:pPr>
        <w:spacing w:line="360" w:lineRule="auto"/>
        <w:ind w:firstLine="556"/>
        <w:rPr>
          <w:rFonts w:hint="eastAsia" w:ascii="宋体" w:hAnsi="宋体" w:cs="宋体"/>
          <w:sz w:val="32"/>
          <w:szCs w:val="32"/>
        </w:rPr>
      </w:pPr>
      <w:r>
        <w:rPr>
          <w:rFonts w:hint="eastAsia" w:ascii="宋体" w:hAnsi="宋体" w:cs="宋体"/>
          <w:sz w:val="32"/>
          <w:szCs w:val="32"/>
        </w:rPr>
        <w:t>第二部分  磋商须知</w:t>
      </w:r>
    </w:p>
    <w:p w14:paraId="2BF3D4EA">
      <w:pPr>
        <w:spacing w:line="360" w:lineRule="auto"/>
        <w:ind w:firstLine="537"/>
        <w:rPr>
          <w:rFonts w:hint="eastAsia" w:ascii="宋体" w:hAnsi="宋体" w:cs="宋体"/>
          <w:sz w:val="32"/>
          <w:szCs w:val="32"/>
        </w:rPr>
      </w:pPr>
      <w:r>
        <w:rPr>
          <w:rFonts w:hint="eastAsia" w:ascii="宋体" w:hAnsi="宋体" w:cs="宋体"/>
          <w:sz w:val="32"/>
          <w:szCs w:val="32"/>
        </w:rPr>
        <w:t>第三部分  项目需求</w:t>
      </w:r>
    </w:p>
    <w:p w14:paraId="443BF1C5">
      <w:pPr>
        <w:spacing w:line="360" w:lineRule="auto"/>
        <w:ind w:firstLine="537"/>
        <w:rPr>
          <w:rFonts w:hint="eastAsia" w:ascii="宋体" w:hAnsi="宋体" w:cs="宋体"/>
          <w:sz w:val="32"/>
          <w:szCs w:val="32"/>
        </w:rPr>
      </w:pPr>
      <w:r>
        <w:rPr>
          <w:rFonts w:hint="eastAsia" w:ascii="宋体" w:hAnsi="宋体" w:cs="宋体"/>
          <w:sz w:val="32"/>
          <w:szCs w:val="32"/>
        </w:rPr>
        <w:t>第四部分  评审方法和评审标准</w:t>
      </w:r>
    </w:p>
    <w:p w14:paraId="4AB6E776">
      <w:pPr>
        <w:spacing w:line="360" w:lineRule="auto"/>
        <w:ind w:firstLine="556"/>
        <w:rPr>
          <w:rFonts w:hint="eastAsia" w:ascii="宋体" w:hAnsi="宋体" w:cs="宋体"/>
          <w:sz w:val="32"/>
          <w:szCs w:val="32"/>
        </w:rPr>
      </w:pPr>
      <w:r>
        <w:rPr>
          <w:rFonts w:hint="eastAsia" w:ascii="宋体" w:hAnsi="宋体" w:cs="宋体"/>
          <w:sz w:val="32"/>
          <w:szCs w:val="32"/>
        </w:rPr>
        <w:t>第五部分  响应文件格式</w:t>
      </w:r>
    </w:p>
    <w:p w14:paraId="65DA6BFD">
      <w:pPr>
        <w:tabs>
          <w:tab w:val="left" w:pos="7740"/>
        </w:tabs>
        <w:spacing w:line="500" w:lineRule="exact"/>
        <w:rPr>
          <w:rFonts w:hint="eastAsia" w:ascii="宋体" w:hAnsi="宋体" w:cs="宋体"/>
          <w:bCs/>
          <w:sz w:val="32"/>
          <w:szCs w:val="32"/>
        </w:rPr>
      </w:pPr>
    </w:p>
    <w:p w14:paraId="076DA5C0">
      <w:pPr>
        <w:tabs>
          <w:tab w:val="left" w:pos="7740"/>
        </w:tabs>
        <w:spacing w:line="500" w:lineRule="exact"/>
        <w:rPr>
          <w:rFonts w:hint="eastAsia" w:ascii="宋体" w:hAnsi="宋体" w:cs="宋体"/>
          <w:bCs/>
          <w:sz w:val="32"/>
          <w:szCs w:val="32"/>
        </w:rPr>
      </w:pPr>
    </w:p>
    <w:p w14:paraId="147C6C40">
      <w:pPr>
        <w:spacing w:line="500" w:lineRule="exact"/>
        <w:jc w:val="center"/>
        <w:rPr>
          <w:rFonts w:hint="eastAsia" w:ascii="宋体" w:hAnsi="宋体" w:cs="宋体"/>
          <w:b/>
          <w:bCs/>
          <w:sz w:val="36"/>
          <w:szCs w:val="36"/>
          <w:lang w:val="zh-CN"/>
        </w:rPr>
      </w:pPr>
    </w:p>
    <w:p w14:paraId="0451A141">
      <w:pPr>
        <w:spacing w:line="500" w:lineRule="exact"/>
        <w:rPr>
          <w:rFonts w:hint="eastAsia" w:ascii="宋体" w:hAnsi="宋体" w:cs="宋体"/>
          <w:b/>
          <w:bCs/>
          <w:sz w:val="36"/>
          <w:szCs w:val="36"/>
          <w:lang w:val="zh-CN"/>
        </w:rPr>
      </w:pPr>
    </w:p>
    <w:p w14:paraId="4AA3F176">
      <w:pPr>
        <w:spacing w:line="500" w:lineRule="exact"/>
        <w:jc w:val="center"/>
        <w:rPr>
          <w:rFonts w:hint="eastAsia" w:ascii="宋体" w:hAnsi="宋体" w:cs="宋体"/>
          <w:b/>
          <w:bCs/>
          <w:sz w:val="36"/>
          <w:szCs w:val="36"/>
          <w:lang w:val="zh-CN"/>
        </w:rPr>
      </w:pPr>
    </w:p>
    <w:p w14:paraId="0E731436">
      <w:pPr>
        <w:spacing w:line="500" w:lineRule="exact"/>
        <w:jc w:val="center"/>
        <w:rPr>
          <w:rFonts w:hint="eastAsia" w:ascii="宋体" w:hAnsi="宋体" w:cs="宋体"/>
          <w:b/>
          <w:bCs/>
          <w:sz w:val="36"/>
          <w:szCs w:val="36"/>
          <w:lang w:val="zh-CN"/>
        </w:rPr>
      </w:pPr>
    </w:p>
    <w:p w14:paraId="6FDB1502">
      <w:pPr>
        <w:spacing w:line="500" w:lineRule="exact"/>
        <w:jc w:val="center"/>
        <w:rPr>
          <w:rFonts w:hint="eastAsia" w:ascii="宋体" w:hAnsi="宋体" w:cs="宋体"/>
          <w:b/>
          <w:bCs/>
          <w:sz w:val="36"/>
          <w:szCs w:val="36"/>
          <w:lang w:val="zh-CN"/>
        </w:rPr>
      </w:pPr>
    </w:p>
    <w:p w14:paraId="42C1F32D">
      <w:pPr>
        <w:spacing w:line="500" w:lineRule="exact"/>
        <w:jc w:val="center"/>
        <w:rPr>
          <w:rFonts w:hint="eastAsia" w:ascii="宋体" w:hAnsi="宋体" w:cs="宋体"/>
          <w:b/>
          <w:bCs/>
          <w:sz w:val="36"/>
          <w:szCs w:val="36"/>
          <w:lang w:val="zh-CN"/>
        </w:rPr>
      </w:pPr>
    </w:p>
    <w:p w14:paraId="259ACC28">
      <w:pPr>
        <w:spacing w:line="500" w:lineRule="exact"/>
        <w:jc w:val="center"/>
        <w:rPr>
          <w:rFonts w:hint="eastAsia" w:ascii="宋体" w:hAnsi="宋体" w:cs="宋体"/>
          <w:b/>
          <w:bCs/>
          <w:sz w:val="36"/>
          <w:szCs w:val="36"/>
          <w:lang w:val="zh-CN"/>
        </w:rPr>
      </w:pPr>
    </w:p>
    <w:p w14:paraId="3E96E6F5">
      <w:pPr>
        <w:spacing w:line="500" w:lineRule="exact"/>
        <w:jc w:val="center"/>
        <w:rPr>
          <w:rFonts w:hint="eastAsia" w:ascii="宋体" w:hAnsi="宋体" w:cs="宋体"/>
          <w:b/>
          <w:bCs/>
          <w:sz w:val="36"/>
          <w:szCs w:val="36"/>
          <w:lang w:val="zh-CN"/>
        </w:rPr>
      </w:pPr>
    </w:p>
    <w:p w14:paraId="3E272955">
      <w:pPr>
        <w:spacing w:line="500" w:lineRule="exact"/>
        <w:jc w:val="center"/>
        <w:rPr>
          <w:rFonts w:hint="eastAsia" w:ascii="宋体" w:hAnsi="宋体" w:cs="宋体"/>
          <w:b/>
          <w:bCs/>
          <w:sz w:val="36"/>
          <w:szCs w:val="36"/>
          <w:lang w:val="zh-CN"/>
        </w:rPr>
      </w:pPr>
    </w:p>
    <w:p w14:paraId="7F698408">
      <w:pPr>
        <w:pStyle w:val="210"/>
        <w:rPr>
          <w:rFonts w:hint="eastAsia" w:ascii="宋体" w:hAnsi="宋体" w:cs="宋体"/>
          <w:b/>
          <w:bCs/>
          <w:sz w:val="36"/>
          <w:szCs w:val="36"/>
          <w:lang w:val="zh-CN"/>
        </w:rPr>
      </w:pPr>
    </w:p>
    <w:p w14:paraId="0DFB252A">
      <w:pPr>
        <w:rPr>
          <w:rFonts w:hint="eastAsia" w:ascii="宋体" w:hAnsi="宋体" w:cs="宋体"/>
          <w:lang w:val="zh-CN"/>
        </w:rPr>
      </w:pPr>
    </w:p>
    <w:p w14:paraId="76CD7247">
      <w:pPr>
        <w:spacing w:line="500" w:lineRule="exact"/>
        <w:jc w:val="center"/>
        <w:rPr>
          <w:rFonts w:hint="eastAsia" w:ascii="宋体" w:hAnsi="宋体" w:cs="宋体"/>
          <w:b/>
          <w:bCs/>
          <w:sz w:val="36"/>
          <w:szCs w:val="36"/>
          <w:lang w:val="zh-CN"/>
        </w:rPr>
      </w:pPr>
    </w:p>
    <w:p w14:paraId="42A60C92">
      <w:pPr>
        <w:spacing w:line="500" w:lineRule="exact"/>
        <w:jc w:val="center"/>
        <w:rPr>
          <w:rFonts w:hint="eastAsia" w:ascii="宋体" w:hAnsi="宋体" w:cs="宋体"/>
          <w:b/>
          <w:bCs/>
          <w:sz w:val="36"/>
          <w:szCs w:val="36"/>
          <w:lang w:val="zh-CN"/>
        </w:rPr>
      </w:pPr>
    </w:p>
    <w:p w14:paraId="773D23C3">
      <w:pPr>
        <w:pStyle w:val="210"/>
        <w:rPr>
          <w:rFonts w:hint="eastAsia" w:ascii="宋体" w:hAnsi="宋体" w:cs="宋体"/>
          <w:lang w:val="zh-CN"/>
        </w:rPr>
      </w:pPr>
    </w:p>
    <w:p w14:paraId="7F91F12A">
      <w:pPr>
        <w:spacing w:line="500" w:lineRule="exact"/>
        <w:jc w:val="center"/>
        <w:outlineLvl w:val="0"/>
        <w:rPr>
          <w:rFonts w:hint="eastAsia" w:ascii="宋体" w:hAnsi="宋体" w:cs="宋体"/>
          <w:sz w:val="36"/>
          <w:szCs w:val="36"/>
          <w:lang w:val="zh-CN"/>
        </w:rPr>
        <w:sectPr>
          <w:headerReference r:id="rId3" w:type="default"/>
          <w:footerReference r:id="rId5" w:type="default"/>
          <w:headerReference r:id="rId4" w:type="even"/>
          <w:footerReference r:id="rId6" w:type="even"/>
          <w:pgSz w:w="11907" w:h="16839"/>
          <w:pgMar w:top="1440" w:right="1800" w:bottom="1440" w:left="1800" w:header="720" w:footer="737" w:gutter="0"/>
          <w:cols w:space="1701" w:num="1"/>
          <w:docGrid w:linePitch="360" w:charSpace="0"/>
        </w:sectPr>
      </w:pPr>
    </w:p>
    <w:p w14:paraId="1CDDC5E1">
      <w:pPr>
        <w:spacing w:line="500" w:lineRule="exact"/>
        <w:jc w:val="center"/>
        <w:outlineLvl w:val="0"/>
        <w:rPr>
          <w:rFonts w:hint="eastAsia" w:ascii="宋体" w:hAnsi="宋体" w:cs="宋体"/>
          <w:sz w:val="36"/>
          <w:szCs w:val="36"/>
        </w:rPr>
      </w:pPr>
      <w:r>
        <w:rPr>
          <w:rFonts w:hint="eastAsia" w:ascii="宋体" w:hAnsi="宋体" w:cs="宋体"/>
          <w:sz w:val="36"/>
          <w:szCs w:val="36"/>
          <w:lang w:val="zh-CN"/>
        </w:rPr>
        <w:t>第一部分  竞争性磋商公告</w:t>
      </w:r>
    </w:p>
    <w:p w14:paraId="02FD18B1">
      <w:pPr>
        <w:spacing w:line="460" w:lineRule="exact"/>
        <w:ind w:firstLine="536"/>
        <w:rPr>
          <w:rFonts w:hint="eastAsia" w:ascii="宋体" w:hAnsi="宋体" w:cs="宋体"/>
          <w:sz w:val="28"/>
          <w:szCs w:val="28"/>
        </w:rPr>
      </w:pPr>
      <w:r>
        <w:rPr>
          <w:rFonts w:hint="eastAsia" w:ascii="宋体" w:hAnsi="宋体" w:cs="宋体"/>
          <w:sz w:val="28"/>
          <w:szCs w:val="28"/>
        </w:rPr>
        <w:t>受启东市机关事务服务中心的委托，就启东市行政中心保安服务项目进行竞争性磋商采购，欢迎符合条件的供应商参加磋商。</w:t>
      </w:r>
    </w:p>
    <w:p w14:paraId="42A8EA82">
      <w:pPr>
        <w:widowControl/>
        <w:shd w:val="clear" w:color="auto" w:fill="FFFFFF"/>
        <w:spacing w:line="460" w:lineRule="exact"/>
        <w:ind w:firstLine="505"/>
        <w:rPr>
          <w:rFonts w:hint="eastAsia" w:ascii="宋体" w:hAnsi="宋体" w:cs="宋体"/>
          <w:b/>
          <w:spacing w:val="7"/>
          <w:sz w:val="28"/>
          <w:szCs w:val="28"/>
        </w:rPr>
      </w:pPr>
      <w:r>
        <w:rPr>
          <w:rFonts w:hint="eastAsia" w:ascii="宋体" w:hAnsi="宋体" w:cs="宋体"/>
          <w:b/>
          <w:spacing w:val="7"/>
          <w:sz w:val="28"/>
          <w:szCs w:val="28"/>
        </w:rPr>
        <w:t>项目概况</w:t>
      </w:r>
    </w:p>
    <w:p w14:paraId="65395D83">
      <w:pPr>
        <w:pBdr>
          <w:top w:val="single" w:color="000000" w:sz="4" w:space="1"/>
          <w:left w:val="single" w:color="000000" w:sz="4" w:space="1"/>
          <w:bottom w:val="single" w:color="000000" w:sz="4" w:space="1"/>
          <w:right w:val="single" w:color="000000" w:sz="4" w:space="4"/>
        </w:pBdr>
        <w:spacing w:line="500" w:lineRule="exact"/>
        <w:ind w:firstLine="560"/>
        <w:rPr>
          <w:rFonts w:hint="eastAsia" w:ascii="宋体" w:hAnsi="宋体" w:cs="宋体"/>
          <w:sz w:val="28"/>
          <w:szCs w:val="28"/>
        </w:rPr>
      </w:pPr>
      <w:r>
        <w:rPr>
          <w:rFonts w:hint="eastAsia" w:ascii="宋体" w:hAnsi="宋体" w:cs="宋体"/>
          <w:sz w:val="28"/>
          <w:szCs w:val="28"/>
        </w:rPr>
        <w:t>项目概况</w:t>
      </w:r>
    </w:p>
    <w:p w14:paraId="64C544BA">
      <w:pPr>
        <w:pBdr>
          <w:top w:val="single" w:color="000000" w:sz="4" w:space="1"/>
          <w:left w:val="single" w:color="000000" w:sz="4" w:space="1"/>
          <w:bottom w:val="single" w:color="000000" w:sz="4" w:space="1"/>
          <w:right w:val="single" w:color="000000" w:sz="4" w:space="4"/>
        </w:pBdr>
        <w:spacing w:line="500" w:lineRule="exact"/>
        <w:ind w:firstLine="560"/>
        <w:rPr>
          <w:rFonts w:hint="eastAsia" w:ascii="宋体" w:hAnsi="宋体" w:cs="宋体"/>
          <w:sz w:val="28"/>
          <w:szCs w:val="28"/>
          <w:highlight w:val="none"/>
        </w:rPr>
      </w:pPr>
      <w:r>
        <w:rPr>
          <w:rFonts w:hint="eastAsia" w:ascii="宋体" w:hAnsi="宋体" w:cs="宋体"/>
          <w:spacing w:val="-6"/>
          <w:sz w:val="28"/>
          <w:szCs w:val="28"/>
        </w:rPr>
        <w:t>启东市行政中心保安服务项目</w:t>
      </w:r>
      <w:r>
        <w:rPr>
          <w:rFonts w:hint="eastAsia" w:ascii="宋体" w:hAnsi="宋体" w:cs="宋体"/>
          <w:sz w:val="28"/>
          <w:szCs w:val="28"/>
        </w:rPr>
        <w:t>的潜在供应商应在江苏政府采购网获取采购文件，并于2025年</w:t>
      </w:r>
      <w:r>
        <w:rPr>
          <w:rFonts w:hint="eastAsia" w:ascii="宋体" w:hAnsi="宋体" w:cs="宋体"/>
          <w:sz w:val="28"/>
          <w:szCs w:val="28"/>
          <w:lang w:val="en-US" w:eastAsia="zh-CN"/>
        </w:rPr>
        <w:t>1</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09</w:t>
      </w:r>
      <w:r>
        <w:rPr>
          <w:rFonts w:hint="eastAsia" w:ascii="宋体" w:hAnsi="宋体" w:cs="宋体"/>
          <w:sz w:val="28"/>
          <w:szCs w:val="28"/>
          <w:highlight w:val="none"/>
        </w:rPr>
        <w:t>日09点00分（北京时间）前提交响应文件。</w:t>
      </w:r>
    </w:p>
    <w:p w14:paraId="7EEA811D">
      <w:pPr>
        <w:widowControl/>
        <w:shd w:val="clear" w:color="auto" w:fill="FFFFFF"/>
        <w:spacing w:line="460" w:lineRule="exact"/>
        <w:ind w:firstLine="577"/>
        <w:rPr>
          <w:rFonts w:hint="eastAsia" w:ascii="宋体" w:hAnsi="宋体" w:cs="宋体"/>
          <w:b/>
          <w:spacing w:val="7"/>
          <w:sz w:val="28"/>
          <w:szCs w:val="28"/>
          <w:highlight w:val="none"/>
        </w:rPr>
      </w:pPr>
      <w:r>
        <w:rPr>
          <w:rFonts w:hint="eastAsia" w:ascii="宋体" w:hAnsi="宋体" w:cs="宋体"/>
          <w:b/>
          <w:spacing w:val="7"/>
          <w:sz w:val="28"/>
          <w:szCs w:val="28"/>
          <w:highlight w:val="none"/>
        </w:rPr>
        <w:t>一、项目基本情况</w:t>
      </w:r>
    </w:p>
    <w:p w14:paraId="056824CF">
      <w:pPr>
        <w:spacing w:line="460" w:lineRule="exact"/>
        <w:ind w:firstLine="560"/>
        <w:rPr>
          <w:rFonts w:hint="eastAsia" w:ascii="宋体" w:hAnsi="宋体" w:cs="宋体"/>
          <w:sz w:val="28"/>
          <w:szCs w:val="28"/>
          <w:highlight w:val="none"/>
        </w:rPr>
      </w:pPr>
      <w:r>
        <w:rPr>
          <w:rFonts w:hint="eastAsia" w:ascii="宋体" w:hAnsi="宋体" w:cs="宋体"/>
          <w:sz w:val="28"/>
          <w:szCs w:val="28"/>
          <w:highlight w:val="none"/>
        </w:rPr>
        <w:t>项目编号：JSZC-320681-SHXP-C2025-0025</w:t>
      </w:r>
    </w:p>
    <w:p w14:paraId="0758C2A3">
      <w:pPr>
        <w:spacing w:line="460" w:lineRule="exact"/>
        <w:ind w:firstLine="560"/>
        <w:rPr>
          <w:rFonts w:hint="eastAsia" w:ascii="宋体" w:hAnsi="宋体" w:cs="宋体"/>
          <w:sz w:val="28"/>
          <w:szCs w:val="28"/>
        </w:rPr>
      </w:pPr>
      <w:r>
        <w:rPr>
          <w:rFonts w:hint="eastAsia" w:ascii="宋体" w:hAnsi="宋体" w:cs="宋体"/>
          <w:sz w:val="28"/>
          <w:szCs w:val="28"/>
        </w:rPr>
        <w:t>项目名称：启东市行政中心保安服务项目</w:t>
      </w:r>
    </w:p>
    <w:p w14:paraId="732FABD9">
      <w:pPr>
        <w:spacing w:line="460" w:lineRule="exact"/>
        <w:ind w:firstLine="560"/>
        <w:rPr>
          <w:rFonts w:hint="eastAsia" w:ascii="宋体" w:hAnsi="宋体" w:cs="宋体"/>
          <w:sz w:val="28"/>
          <w:szCs w:val="28"/>
        </w:rPr>
      </w:pPr>
      <w:r>
        <w:rPr>
          <w:rFonts w:hint="eastAsia" w:ascii="宋体" w:hAnsi="宋体" w:cs="宋体"/>
          <w:sz w:val="28"/>
          <w:szCs w:val="28"/>
        </w:rPr>
        <w:t>项目类型：服务</w:t>
      </w:r>
    </w:p>
    <w:p w14:paraId="06E08C5C">
      <w:pPr>
        <w:spacing w:line="460" w:lineRule="exact"/>
        <w:ind w:firstLine="560"/>
        <w:rPr>
          <w:rFonts w:hint="default" w:ascii="宋体" w:hAnsi="宋体" w:eastAsia="宋体" w:cs="宋体"/>
          <w:sz w:val="28"/>
          <w:szCs w:val="28"/>
          <w:lang w:val="en-US" w:eastAsia="zh-CN"/>
        </w:rPr>
      </w:pPr>
      <w:r>
        <w:rPr>
          <w:rFonts w:hint="eastAsia" w:ascii="宋体" w:hAnsi="宋体" w:cs="宋体"/>
          <w:sz w:val="28"/>
          <w:szCs w:val="28"/>
        </w:rPr>
        <w:t>所属行业：</w:t>
      </w:r>
      <w:r>
        <w:rPr>
          <w:rFonts w:hint="eastAsia" w:ascii="宋体" w:hAnsi="宋体" w:cs="宋体"/>
          <w:sz w:val="28"/>
          <w:szCs w:val="28"/>
          <w:highlight w:val="none"/>
          <w:lang w:val="en-US" w:eastAsia="zh-CN"/>
        </w:rPr>
        <w:t>租赁和商务服务业</w:t>
      </w:r>
      <w:bookmarkStart w:id="91" w:name="_GoBack"/>
      <w:bookmarkEnd w:id="91"/>
    </w:p>
    <w:p w14:paraId="6F7567E1">
      <w:pPr>
        <w:spacing w:line="460" w:lineRule="exact"/>
        <w:ind w:firstLine="560"/>
        <w:rPr>
          <w:rFonts w:hint="eastAsia" w:ascii="宋体" w:hAnsi="宋体" w:cs="宋体"/>
          <w:sz w:val="28"/>
          <w:szCs w:val="28"/>
          <w:highlight w:val="none"/>
        </w:rPr>
      </w:pPr>
      <w:r>
        <w:rPr>
          <w:rFonts w:hint="eastAsia" w:ascii="宋体" w:hAnsi="宋体" w:cs="宋体"/>
          <w:sz w:val="28"/>
          <w:szCs w:val="28"/>
        </w:rPr>
        <w:t>预算金额：</w:t>
      </w:r>
      <w:r>
        <w:rPr>
          <w:rFonts w:hint="eastAsia" w:ascii="宋体" w:hAnsi="宋体" w:cs="宋体"/>
          <w:sz w:val="28"/>
          <w:szCs w:val="28"/>
          <w:highlight w:val="none"/>
        </w:rPr>
        <w:t>人民币361.8</w:t>
      </w:r>
      <w:r>
        <w:rPr>
          <w:rFonts w:hint="eastAsia" w:ascii="宋体" w:hAnsi="宋体" w:cs="宋体"/>
          <w:sz w:val="28"/>
          <w:szCs w:val="28"/>
          <w:highlight w:val="none"/>
          <w:lang w:val="en-US" w:eastAsia="zh-CN"/>
        </w:rPr>
        <w:t>0</w:t>
      </w:r>
      <w:r>
        <w:rPr>
          <w:rFonts w:hint="eastAsia" w:ascii="宋体" w:hAnsi="宋体" w:cs="宋体"/>
          <w:sz w:val="28"/>
          <w:szCs w:val="28"/>
          <w:highlight w:val="none"/>
        </w:rPr>
        <w:t>万元</w:t>
      </w:r>
    </w:p>
    <w:p w14:paraId="0EABAF57">
      <w:pPr>
        <w:spacing w:line="460" w:lineRule="exact"/>
        <w:ind w:firstLine="560"/>
        <w:rPr>
          <w:rFonts w:hint="eastAsia" w:ascii="宋体" w:hAnsi="宋体" w:cs="宋体"/>
          <w:sz w:val="28"/>
          <w:szCs w:val="28"/>
          <w:highlight w:val="none"/>
        </w:rPr>
      </w:pPr>
      <w:r>
        <w:rPr>
          <w:rFonts w:hint="eastAsia" w:ascii="宋体" w:hAnsi="宋体" w:cs="宋体"/>
          <w:sz w:val="28"/>
          <w:szCs w:val="28"/>
          <w:highlight w:val="none"/>
        </w:rPr>
        <w:t>最高限价：</w:t>
      </w:r>
      <w:bookmarkStart w:id="0" w:name="OLE_LINK1"/>
      <w:r>
        <w:rPr>
          <w:rFonts w:hint="eastAsia" w:ascii="宋体" w:hAnsi="宋体" w:cs="宋体"/>
          <w:sz w:val="28"/>
          <w:szCs w:val="28"/>
          <w:highlight w:val="none"/>
        </w:rPr>
        <w:t>人民币357.78万元</w:t>
      </w:r>
    </w:p>
    <w:bookmarkEnd w:id="0"/>
    <w:p w14:paraId="7435E1BD">
      <w:pPr>
        <w:spacing w:line="460" w:lineRule="exact"/>
        <w:ind w:firstLine="560"/>
        <w:rPr>
          <w:rFonts w:hint="eastAsia" w:ascii="宋体" w:hAnsi="宋体" w:cs="宋体"/>
          <w:sz w:val="28"/>
          <w:szCs w:val="28"/>
        </w:rPr>
      </w:pPr>
      <w:r>
        <w:rPr>
          <w:rFonts w:hint="eastAsia" w:ascii="宋体" w:hAnsi="宋体" w:cs="宋体"/>
          <w:sz w:val="28"/>
          <w:szCs w:val="28"/>
        </w:rPr>
        <w:t>采购需求：详见磋商文件，请仔细研究。</w:t>
      </w:r>
    </w:p>
    <w:p w14:paraId="52221063">
      <w:pPr>
        <w:spacing w:line="460" w:lineRule="exact"/>
        <w:ind w:firstLine="560"/>
        <w:rPr>
          <w:rFonts w:hint="eastAsia" w:ascii="宋体" w:hAnsi="宋体" w:eastAsia="宋体" w:cs="宋体"/>
          <w:sz w:val="28"/>
          <w:szCs w:val="28"/>
          <w:lang w:eastAsia="zh-CN"/>
        </w:rPr>
      </w:pPr>
      <w:r>
        <w:rPr>
          <w:rFonts w:hint="eastAsia" w:ascii="宋体" w:hAnsi="宋体" w:cs="宋体"/>
          <w:sz w:val="28"/>
          <w:szCs w:val="28"/>
        </w:rPr>
        <w:t>合同履行期限：（详见磋商文件第三部分</w:t>
      </w:r>
      <w:r>
        <w:rPr>
          <w:rFonts w:hint="eastAsia" w:ascii="宋体" w:hAnsi="宋体" w:cs="宋体"/>
          <w:sz w:val="28"/>
          <w:szCs w:val="28"/>
          <w:lang w:eastAsia="zh-CN"/>
        </w:rPr>
        <w:t>）</w:t>
      </w:r>
    </w:p>
    <w:p w14:paraId="7FDB8233">
      <w:pPr>
        <w:spacing w:line="460" w:lineRule="exact"/>
        <w:ind w:firstLine="560"/>
        <w:rPr>
          <w:rFonts w:hint="eastAsia" w:ascii="宋体" w:hAnsi="宋体" w:cs="宋体"/>
          <w:sz w:val="28"/>
          <w:szCs w:val="28"/>
        </w:rPr>
      </w:pPr>
      <w:r>
        <w:rPr>
          <w:rFonts w:hint="eastAsia" w:ascii="宋体" w:hAnsi="宋体" w:cs="宋体"/>
          <w:sz w:val="28"/>
          <w:szCs w:val="28"/>
        </w:rPr>
        <w:t>本项目不接受联合体投标；</w:t>
      </w:r>
    </w:p>
    <w:p w14:paraId="231ECF5F">
      <w:pPr>
        <w:spacing w:line="460" w:lineRule="exact"/>
        <w:ind w:firstLine="560"/>
        <w:rPr>
          <w:rFonts w:hint="eastAsia" w:ascii="宋体" w:hAnsi="宋体" w:cs="宋体"/>
          <w:sz w:val="28"/>
          <w:szCs w:val="28"/>
        </w:rPr>
      </w:pPr>
      <w:r>
        <w:rPr>
          <w:rFonts w:hint="eastAsia" w:ascii="宋体" w:hAnsi="宋体" w:cs="宋体"/>
          <w:sz w:val="28"/>
          <w:szCs w:val="28"/>
        </w:rPr>
        <w:t>本项目不接受分包。</w:t>
      </w:r>
    </w:p>
    <w:p w14:paraId="70063844">
      <w:pPr>
        <w:spacing w:line="460" w:lineRule="exact"/>
        <w:ind w:firstLine="560"/>
        <w:rPr>
          <w:rFonts w:hint="eastAsia" w:ascii="宋体" w:hAnsi="宋体" w:cs="宋体"/>
          <w:b/>
          <w:sz w:val="28"/>
          <w:szCs w:val="28"/>
        </w:rPr>
      </w:pPr>
      <w:r>
        <w:rPr>
          <w:rFonts w:hint="eastAsia" w:ascii="宋体" w:hAnsi="宋体" w:cs="宋体"/>
          <w:b/>
          <w:sz w:val="28"/>
          <w:szCs w:val="28"/>
        </w:rPr>
        <w:t>二、供应商的资格要求：</w:t>
      </w:r>
    </w:p>
    <w:p w14:paraId="39A970DB">
      <w:pPr>
        <w:spacing w:line="460" w:lineRule="exact"/>
        <w:ind w:firstLine="560"/>
        <w:rPr>
          <w:rFonts w:hint="eastAsia" w:ascii="宋体" w:hAnsi="宋体" w:cs="宋体"/>
          <w:sz w:val="28"/>
          <w:szCs w:val="28"/>
        </w:rPr>
      </w:pPr>
      <w:r>
        <w:rPr>
          <w:rFonts w:hint="eastAsia" w:ascii="宋体" w:hAnsi="宋体" w:cs="宋体"/>
          <w:sz w:val="28"/>
          <w:szCs w:val="28"/>
        </w:rPr>
        <w:t>1.满足《中华人民共和国政府采购法》第二十二条规定。</w:t>
      </w:r>
    </w:p>
    <w:p w14:paraId="345B479E">
      <w:pPr>
        <w:spacing w:line="460" w:lineRule="exact"/>
        <w:ind w:firstLine="560"/>
        <w:rPr>
          <w:rFonts w:hint="eastAsia" w:ascii="宋体" w:hAnsi="宋体" w:cs="宋体"/>
          <w:sz w:val="28"/>
          <w:szCs w:val="28"/>
        </w:rPr>
      </w:pPr>
      <w:r>
        <w:rPr>
          <w:rFonts w:hint="eastAsia" w:ascii="宋体" w:hAnsi="宋体" w:cs="宋体"/>
          <w:sz w:val="28"/>
          <w:szCs w:val="28"/>
        </w:rPr>
        <w:t>2.落实政府采购政策需满足的资格要求：本项目属于专门面向中小企业采购的项目,货物类项目的货物生产企业或者服务类项目的服务提供商应为中小微企业、监狱和戒毒企业、残疾人福利性单位。并按照采购文件要求提供《中小企业声明函》、《残疾人福利性单位声明函》或监狱和戒毒企业证明材料。</w:t>
      </w:r>
    </w:p>
    <w:p w14:paraId="2CD74BDF">
      <w:pPr>
        <w:spacing w:line="460" w:lineRule="exact"/>
        <w:ind w:firstLine="560"/>
        <w:rPr>
          <w:rFonts w:hint="eastAsia" w:ascii="宋体" w:hAnsi="宋体" w:cs="宋体"/>
          <w:sz w:val="28"/>
          <w:szCs w:val="28"/>
        </w:rPr>
      </w:pPr>
      <w:r>
        <w:rPr>
          <w:rFonts w:hint="eastAsia" w:ascii="宋体" w:hAnsi="宋体" w:cs="宋体"/>
          <w:sz w:val="28"/>
          <w:szCs w:val="28"/>
        </w:rPr>
        <w:t>3.本项目的特定资格要求：</w:t>
      </w:r>
    </w:p>
    <w:p w14:paraId="5A866AD3">
      <w:pPr>
        <w:spacing w:line="460" w:lineRule="exact"/>
        <w:ind w:firstLine="560"/>
        <w:rPr>
          <w:rFonts w:hint="eastAsia" w:ascii="宋体" w:hAnsi="宋体" w:cs="宋体"/>
          <w:sz w:val="28"/>
          <w:szCs w:val="28"/>
        </w:rPr>
      </w:pPr>
      <w:r>
        <w:rPr>
          <w:rFonts w:hint="eastAsia" w:ascii="宋体" w:hAnsi="宋体" w:cs="宋体"/>
          <w:sz w:val="28"/>
          <w:szCs w:val="28"/>
        </w:rPr>
        <w:t>（1）投标人必须具有合法有效的营业执照；</w:t>
      </w:r>
    </w:p>
    <w:p w14:paraId="71BCFF0F">
      <w:pPr>
        <w:spacing w:line="460" w:lineRule="exact"/>
        <w:ind w:firstLine="560"/>
        <w:rPr>
          <w:rFonts w:hint="eastAsia" w:ascii="宋体" w:hAnsi="宋体" w:cs="宋体"/>
          <w:sz w:val="28"/>
          <w:szCs w:val="28"/>
        </w:rPr>
      </w:pPr>
      <w:r>
        <w:rPr>
          <w:rFonts w:hint="eastAsia" w:ascii="宋体" w:hAnsi="宋体" w:cs="宋体"/>
          <w:sz w:val="28"/>
          <w:szCs w:val="28"/>
        </w:rPr>
        <w:t>（2）投标人须具备有效的《保安服务许可证》（必须含武装守护）；</w:t>
      </w:r>
    </w:p>
    <w:p w14:paraId="7A91DD8E">
      <w:pPr>
        <w:spacing w:line="460" w:lineRule="exact"/>
        <w:ind w:firstLine="560"/>
        <w:rPr>
          <w:rFonts w:hint="eastAsia" w:ascii="宋体" w:hAnsi="宋体" w:cs="宋体"/>
          <w:sz w:val="28"/>
          <w:szCs w:val="28"/>
        </w:rPr>
      </w:pPr>
      <w:r>
        <w:rPr>
          <w:rFonts w:hint="eastAsia" w:ascii="宋体" w:hAnsi="宋体" w:cs="宋体"/>
          <w:sz w:val="28"/>
          <w:szCs w:val="28"/>
        </w:rPr>
        <w:t>（3）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48ED7B35">
      <w:pPr>
        <w:spacing w:line="460" w:lineRule="exact"/>
        <w:ind w:firstLine="560"/>
        <w:rPr>
          <w:rFonts w:hint="eastAsia" w:ascii="宋体" w:hAnsi="宋体" w:cs="宋体"/>
          <w:sz w:val="28"/>
          <w:szCs w:val="28"/>
        </w:rPr>
      </w:pPr>
      <w:r>
        <w:rPr>
          <w:rFonts w:hint="eastAsia" w:ascii="宋体" w:hAnsi="宋体" w:cs="宋体"/>
          <w:sz w:val="28"/>
          <w:szCs w:val="28"/>
        </w:rPr>
        <w:t>（4）本项目不接受联合体投标。</w:t>
      </w:r>
    </w:p>
    <w:p w14:paraId="599C8C60">
      <w:pPr>
        <w:spacing w:line="460" w:lineRule="exact"/>
        <w:ind w:firstLine="560"/>
        <w:rPr>
          <w:rFonts w:hint="eastAsia" w:ascii="宋体" w:hAnsi="宋体" w:cs="宋体"/>
          <w:b/>
          <w:sz w:val="28"/>
          <w:szCs w:val="28"/>
        </w:rPr>
      </w:pPr>
      <w:r>
        <w:rPr>
          <w:rFonts w:hint="eastAsia" w:ascii="宋体" w:hAnsi="宋体" w:cs="宋体"/>
          <w:b/>
          <w:sz w:val="28"/>
          <w:szCs w:val="28"/>
        </w:rPr>
        <w:t>三、获取采购文件</w:t>
      </w:r>
    </w:p>
    <w:p w14:paraId="65C21CD5">
      <w:pPr>
        <w:spacing w:line="460" w:lineRule="exact"/>
        <w:ind w:firstLine="560"/>
        <w:rPr>
          <w:rFonts w:hint="eastAsia" w:ascii="宋体" w:hAnsi="宋体" w:cs="宋体"/>
          <w:sz w:val="28"/>
          <w:szCs w:val="28"/>
        </w:rPr>
      </w:pPr>
      <w:r>
        <w:rPr>
          <w:rFonts w:hint="eastAsia" w:ascii="宋体" w:hAnsi="宋体" w:cs="宋体"/>
          <w:sz w:val="28"/>
          <w:szCs w:val="28"/>
        </w:rPr>
        <w:t>时间：自本公告发布之日起至2025年</w:t>
      </w:r>
      <w:r>
        <w:rPr>
          <w:rFonts w:hint="eastAsia" w:ascii="宋体" w:hAnsi="宋体" w:cs="宋体"/>
          <w:sz w:val="28"/>
          <w:szCs w:val="28"/>
          <w:lang w:val="en-US" w:eastAsia="zh-CN"/>
        </w:rPr>
        <w:t>1</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09</w:t>
      </w:r>
      <w:r>
        <w:rPr>
          <w:rFonts w:hint="eastAsia" w:ascii="宋体" w:hAnsi="宋体" w:cs="宋体"/>
          <w:sz w:val="28"/>
          <w:szCs w:val="28"/>
          <w:highlight w:val="none"/>
        </w:rPr>
        <w:t>日</w:t>
      </w:r>
    </w:p>
    <w:p w14:paraId="62D90F0A">
      <w:pPr>
        <w:spacing w:line="460" w:lineRule="exact"/>
        <w:ind w:firstLine="560"/>
        <w:rPr>
          <w:rFonts w:hint="eastAsia" w:ascii="宋体" w:hAnsi="宋体" w:cs="宋体"/>
          <w:sz w:val="28"/>
          <w:szCs w:val="28"/>
        </w:rPr>
      </w:pPr>
      <w:r>
        <w:rPr>
          <w:rFonts w:hint="eastAsia" w:ascii="宋体" w:hAnsi="宋体" w:cs="宋体"/>
          <w:sz w:val="28"/>
          <w:szCs w:val="28"/>
        </w:rPr>
        <w:t>地点：江苏政府采购网（网上注册登记成功后系统内免费下载）</w:t>
      </w:r>
    </w:p>
    <w:p w14:paraId="3C22CF8B">
      <w:pPr>
        <w:spacing w:line="460" w:lineRule="exact"/>
        <w:ind w:firstLine="560"/>
        <w:rPr>
          <w:rFonts w:hint="eastAsia" w:ascii="宋体" w:hAnsi="宋体" w:cs="宋体"/>
          <w:sz w:val="28"/>
          <w:szCs w:val="28"/>
        </w:rPr>
      </w:pPr>
      <w:r>
        <w:rPr>
          <w:rFonts w:hint="eastAsia" w:ascii="宋体" w:hAnsi="宋体" w:cs="宋体"/>
          <w:sz w:val="28"/>
          <w:szCs w:val="28"/>
        </w:rPr>
        <w:t>方式：本项目采用网上注册登记方式。</w:t>
      </w:r>
    </w:p>
    <w:p w14:paraId="1E80EA54">
      <w:pPr>
        <w:spacing w:line="460" w:lineRule="exact"/>
        <w:ind w:firstLine="560" w:firstLineChars="200"/>
        <w:rPr>
          <w:rFonts w:hint="eastAsia" w:ascii="宋体" w:hAnsi="宋体" w:cs="宋体"/>
          <w:sz w:val="28"/>
          <w:szCs w:val="28"/>
        </w:rPr>
      </w:pPr>
      <w:r>
        <w:rPr>
          <w:rFonts w:hint="eastAsia" w:ascii="宋体" w:hAnsi="宋体" w:cs="宋体"/>
          <w:sz w:val="28"/>
          <w:szCs w:val="28"/>
        </w:rPr>
        <w:t>1．潜在供应商访问电子招标响应交易平台的网络地址和方法：“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资料下载中《江苏省政府采购管理交易系统（苏采云）供应商操作指南》。</w:t>
      </w:r>
    </w:p>
    <w:p w14:paraId="52AA6265">
      <w:pPr>
        <w:spacing w:line="460" w:lineRule="exact"/>
        <w:ind w:firstLine="560" w:firstLineChars="200"/>
        <w:rPr>
          <w:rFonts w:hint="eastAsia" w:ascii="宋体" w:hAnsi="宋体" w:cs="宋体"/>
          <w:sz w:val="28"/>
          <w:szCs w:val="28"/>
        </w:rPr>
      </w:pPr>
      <w:r>
        <w:rPr>
          <w:rFonts w:hint="eastAsia" w:ascii="宋体" w:hAnsi="宋体" w:cs="宋体"/>
          <w:sz w:val="28"/>
          <w:szCs w:val="28"/>
        </w:rPr>
        <w:t>2．潜在供应商访问“苏采云”系统的网络地址和方法：“苏采云”系统的网址：http://jszfcg.jsczt.cn/。</w:t>
      </w:r>
    </w:p>
    <w:p w14:paraId="6D8D9A46">
      <w:pPr>
        <w:spacing w:line="460" w:lineRule="exact"/>
        <w:ind w:firstLine="560" w:firstLineChars="200"/>
        <w:rPr>
          <w:rFonts w:hint="eastAsia" w:ascii="宋体" w:hAnsi="宋体" w:cs="宋体"/>
          <w:sz w:val="28"/>
          <w:szCs w:val="28"/>
        </w:rPr>
      </w:pPr>
      <w:r>
        <w:rPr>
          <w:rFonts w:hint="eastAsia" w:ascii="宋体" w:hAnsi="宋体" w:cs="宋体"/>
          <w:sz w:val="28"/>
          <w:szCs w:val="28"/>
        </w:rPr>
        <w:t>3．“CA数字证书”的获取：供应商需办理CA锁，“苏采云”系统目前仅支持政务CA、方正签章，省内各地区办理的用于“苏采云”平台的政务CA、方正签章全省通用。“CA数字证书”的办理方法详见江苏政府采购网—苏采云—供应商进入—CA办理指南中《江苏省政府采购数字证书（供应商）数字证书CA及电子签章办理指南》。</w:t>
      </w:r>
    </w:p>
    <w:p w14:paraId="6C646A9C">
      <w:pPr>
        <w:spacing w:line="460" w:lineRule="exact"/>
        <w:ind w:firstLine="560" w:firstLineChars="200"/>
        <w:rPr>
          <w:rFonts w:hint="eastAsia" w:ascii="宋体" w:hAnsi="宋体" w:cs="宋体"/>
          <w:sz w:val="28"/>
          <w:szCs w:val="28"/>
        </w:rPr>
      </w:pPr>
      <w:r>
        <w:rPr>
          <w:rFonts w:hint="eastAsia" w:ascii="宋体" w:hAnsi="宋体" w:cs="宋体"/>
          <w:sz w:val="28"/>
          <w:szCs w:val="28"/>
        </w:rPr>
        <w:t>4．采购文件（后缀名为“.kedt”）、供应商操作指南及政府采购客户端工具可通过“苏采云”系统--已报名项目--报名详情页面内相应链接进行下载。</w:t>
      </w:r>
    </w:p>
    <w:p w14:paraId="635AD430">
      <w:pPr>
        <w:spacing w:line="460" w:lineRule="exact"/>
        <w:ind w:firstLine="560" w:firstLineChars="200"/>
        <w:rPr>
          <w:rFonts w:hint="eastAsia" w:ascii="宋体" w:hAnsi="宋体" w:cs="宋体"/>
          <w:sz w:val="28"/>
          <w:szCs w:val="28"/>
        </w:rPr>
      </w:pPr>
      <w:r>
        <w:rPr>
          <w:rFonts w:hint="eastAsia" w:ascii="宋体" w:hAnsi="宋体" w:cs="宋体"/>
          <w:sz w:val="28"/>
          <w:szCs w:val="28"/>
        </w:rPr>
        <w:t>5．招标代理机构（采购代理机构）将数据电文形式的采购文件加载至“苏采云”系统，供潜在供应商下载或者查阅。</w:t>
      </w:r>
    </w:p>
    <w:p w14:paraId="2E8B1679">
      <w:pPr>
        <w:spacing w:line="460" w:lineRule="exact"/>
        <w:ind w:firstLine="560" w:firstLineChars="200"/>
        <w:rPr>
          <w:rFonts w:hint="eastAsia" w:ascii="宋体" w:hAnsi="宋体" w:cs="宋体"/>
          <w:sz w:val="28"/>
          <w:szCs w:val="28"/>
        </w:rPr>
      </w:pPr>
      <w:r>
        <w:rPr>
          <w:rFonts w:hint="eastAsia" w:ascii="宋体" w:hAnsi="宋体" w:cs="宋体"/>
          <w:sz w:val="28"/>
          <w:szCs w:val="28"/>
        </w:rPr>
        <w:t>6．请潜在响应单位提前安装相应的控件（详见《江苏省政府采购管理交易系统（苏采云）供应商操作指南》）并使用谷歌浏览器登录“苏采云”系统参与不见面开评标。</w:t>
      </w:r>
    </w:p>
    <w:p w14:paraId="28E9DC0D">
      <w:pPr>
        <w:spacing w:line="460" w:lineRule="exact"/>
        <w:ind w:firstLine="560"/>
        <w:rPr>
          <w:rFonts w:hint="eastAsia" w:ascii="宋体" w:hAnsi="宋体" w:cs="宋体"/>
          <w:sz w:val="28"/>
          <w:szCs w:val="28"/>
        </w:rPr>
      </w:pPr>
      <w:r>
        <w:rPr>
          <w:rFonts w:hint="eastAsia" w:ascii="宋体" w:hAnsi="宋体" w:cs="宋体"/>
          <w:b/>
          <w:sz w:val="28"/>
          <w:szCs w:val="28"/>
        </w:rPr>
        <w:t>注：如潜在供应商未按上述要求操作，将自行承担所产生的风险。</w:t>
      </w:r>
    </w:p>
    <w:p w14:paraId="2EABAC20">
      <w:pPr>
        <w:spacing w:line="460" w:lineRule="exact"/>
        <w:ind w:firstLine="560"/>
        <w:rPr>
          <w:rFonts w:hint="eastAsia" w:ascii="宋体" w:hAnsi="宋体" w:cs="宋体"/>
          <w:b/>
          <w:sz w:val="28"/>
          <w:szCs w:val="28"/>
        </w:rPr>
      </w:pPr>
      <w:r>
        <w:rPr>
          <w:rFonts w:hint="eastAsia" w:ascii="宋体" w:hAnsi="宋体" w:cs="宋体"/>
          <w:b/>
          <w:sz w:val="28"/>
          <w:szCs w:val="28"/>
        </w:rPr>
        <w:t>四、提交响应文件截止时间、磋商时间和地点</w:t>
      </w:r>
    </w:p>
    <w:p w14:paraId="0AF71375">
      <w:pPr>
        <w:spacing w:line="460" w:lineRule="exact"/>
        <w:ind w:firstLine="560"/>
        <w:rPr>
          <w:rFonts w:hint="eastAsia" w:ascii="宋体" w:hAnsi="宋体" w:cs="宋体"/>
          <w:sz w:val="28"/>
          <w:szCs w:val="28"/>
        </w:rPr>
      </w:pPr>
      <w:r>
        <w:rPr>
          <w:rFonts w:hint="eastAsia" w:ascii="宋体" w:hAnsi="宋体" w:cs="宋体"/>
          <w:sz w:val="28"/>
          <w:szCs w:val="28"/>
        </w:rPr>
        <w:t>1.2025年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09</w:t>
      </w:r>
      <w:r>
        <w:rPr>
          <w:rFonts w:hint="eastAsia" w:ascii="宋体" w:hAnsi="宋体" w:cs="宋体"/>
          <w:sz w:val="28"/>
          <w:szCs w:val="28"/>
          <w:highlight w:val="none"/>
        </w:rPr>
        <w:t>日9点</w:t>
      </w:r>
      <w:r>
        <w:rPr>
          <w:rFonts w:hint="eastAsia" w:ascii="宋体" w:hAnsi="宋体" w:cs="宋体"/>
          <w:sz w:val="28"/>
          <w:szCs w:val="28"/>
        </w:rPr>
        <w:t>00分（北京时间）</w:t>
      </w:r>
    </w:p>
    <w:p w14:paraId="43B21C16">
      <w:pPr>
        <w:spacing w:line="460" w:lineRule="exact"/>
        <w:ind w:firstLine="560"/>
        <w:rPr>
          <w:rFonts w:hint="eastAsia" w:ascii="宋体" w:hAnsi="宋体" w:cs="宋体"/>
          <w:sz w:val="28"/>
          <w:szCs w:val="28"/>
        </w:rPr>
      </w:pPr>
      <w:r>
        <w:rPr>
          <w:rFonts w:hint="eastAsia" w:ascii="宋体" w:hAnsi="宋体" w:cs="宋体"/>
          <w:sz w:val="28"/>
          <w:szCs w:val="28"/>
        </w:rPr>
        <w:t>逾时，交易系统将拒绝接受上传响应文件电子文档。</w:t>
      </w:r>
    </w:p>
    <w:p w14:paraId="22EC54C1">
      <w:pPr>
        <w:spacing w:line="460" w:lineRule="exact"/>
        <w:ind w:firstLine="560"/>
        <w:rPr>
          <w:rFonts w:hint="eastAsia" w:ascii="宋体" w:hAnsi="宋体" w:cs="宋体"/>
          <w:sz w:val="28"/>
          <w:szCs w:val="28"/>
        </w:rPr>
      </w:pPr>
      <w:r>
        <w:rPr>
          <w:rFonts w:hint="eastAsia" w:ascii="宋体" w:hAnsi="宋体" w:cs="宋体"/>
          <w:sz w:val="28"/>
          <w:szCs w:val="28"/>
        </w:rPr>
        <w:t>注：各供应商请关注开标大厅交流区，在开标结束后，请勿离开开标大厅，待资格审查完毕，项目发起方或其代理单位发出报价指令后须在20分钟内完成系统报价。</w:t>
      </w:r>
    </w:p>
    <w:p w14:paraId="5F7C4501">
      <w:pPr>
        <w:spacing w:line="460" w:lineRule="exact"/>
        <w:ind w:firstLine="560"/>
        <w:rPr>
          <w:rFonts w:hint="eastAsia" w:ascii="宋体" w:hAnsi="宋体" w:cs="宋体"/>
          <w:sz w:val="28"/>
          <w:szCs w:val="28"/>
        </w:rPr>
      </w:pPr>
      <w:r>
        <w:rPr>
          <w:rFonts w:hint="eastAsia" w:ascii="宋体" w:hAnsi="宋体" w:cs="宋体"/>
          <w:sz w:val="28"/>
          <w:szCs w:val="28"/>
        </w:rPr>
        <w:t>2．线上开标地点：“苏采云”系统（网址：http://jszfcg.jsczt.cn/）“开标大厅”。</w:t>
      </w:r>
    </w:p>
    <w:p w14:paraId="3D702FD9">
      <w:pPr>
        <w:spacing w:line="460" w:lineRule="exact"/>
        <w:ind w:firstLine="560"/>
        <w:rPr>
          <w:rFonts w:hint="eastAsia" w:ascii="宋体" w:hAnsi="宋体" w:cs="宋体"/>
          <w:i/>
          <w:sz w:val="28"/>
          <w:szCs w:val="28"/>
        </w:rPr>
      </w:pPr>
      <w:r>
        <w:rPr>
          <w:rFonts w:hint="eastAsia" w:ascii="宋体" w:hAnsi="宋体" w:cs="宋体"/>
          <w:sz w:val="28"/>
          <w:szCs w:val="28"/>
        </w:rPr>
        <w:t>3．响应文件的解密：开标当天各供应商及时登录不见面开标大厅，响应文件递交截止时间后，采购人将在系统内公布响应供应商名单，然后通过开标会议区发出响应文件解密的指令，响应供应商在开标室按规定时间自行实施远程解密，响应供应商解密限定在开标后30分钟之内完成。因响应供应商网络与电源不稳定、未按操作手册要求配置软硬件、解密锁发生故障或用错、故意不在要求时限内完成解密等自身原因，导致响应文件在规定时间内未能解密、解密失败或解密超时，视为响应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13E874AC">
      <w:pPr>
        <w:spacing w:line="460" w:lineRule="exact"/>
        <w:ind w:firstLine="560"/>
        <w:rPr>
          <w:rFonts w:hint="eastAsia" w:ascii="宋体" w:hAnsi="宋体" w:cs="宋体"/>
          <w:b/>
          <w:sz w:val="28"/>
          <w:szCs w:val="28"/>
        </w:rPr>
      </w:pPr>
      <w:r>
        <w:rPr>
          <w:rFonts w:hint="eastAsia" w:ascii="宋体" w:hAnsi="宋体" w:cs="宋体"/>
          <w:b/>
          <w:sz w:val="28"/>
          <w:szCs w:val="28"/>
        </w:rPr>
        <w:t>五、公告期限</w:t>
      </w:r>
    </w:p>
    <w:p w14:paraId="57D09FFB">
      <w:pPr>
        <w:spacing w:line="460" w:lineRule="exact"/>
        <w:ind w:firstLine="560"/>
        <w:rPr>
          <w:rFonts w:hint="eastAsia" w:ascii="宋体" w:hAnsi="宋体" w:cs="宋体"/>
          <w:sz w:val="28"/>
          <w:szCs w:val="28"/>
        </w:rPr>
      </w:pPr>
      <w:r>
        <w:rPr>
          <w:rFonts w:hint="eastAsia" w:ascii="宋体" w:hAnsi="宋体" w:cs="宋体"/>
          <w:sz w:val="28"/>
          <w:szCs w:val="28"/>
        </w:rPr>
        <w:t>自本公告发布之日起3个工作日。</w:t>
      </w:r>
    </w:p>
    <w:p w14:paraId="7996548B">
      <w:pPr>
        <w:spacing w:line="460" w:lineRule="exact"/>
        <w:ind w:firstLine="560"/>
        <w:rPr>
          <w:rFonts w:hint="eastAsia" w:ascii="宋体" w:hAnsi="宋体" w:cs="宋体"/>
          <w:b/>
          <w:sz w:val="28"/>
          <w:szCs w:val="28"/>
        </w:rPr>
      </w:pPr>
      <w:r>
        <w:rPr>
          <w:rFonts w:hint="eastAsia" w:ascii="宋体" w:hAnsi="宋体" w:cs="宋体"/>
          <w:b/>
          <w:sz w:val="28"/>
          <w:szCs w:val="28"/>
        </w:rPr>
        <w:t>六、其他补充事宜</w:t>
      </w:r>
    </w:p>
    <w:p w14:paraId="17365C13">
      <w:pPr>
        <w:spacing w:line="460" w:lineRule="exact"/>
        <w:ind w:firstLine="560"/>
        <w:rPr>
          <w:rFonts w:hint="eastAsia" w:ascii="宋体" w:hAnsi="宋体" w:cs="宋体"/>
          <w:sz w:val="28"/>
          <w:szCs w:val="28"/>
        </w:rPr>
      </w:pPr>
      <w:r>
        <w:rPr>
          <w:rFonts w:hint="eastAsia" w:ascii="宋体" w:hAnsi="宋体" w:cs="宋体"/>
          <w:sz w:val="28"/>
          <w:szCs w:val="28"/>
        </w:rPr>
        <w:t>1、投标保证金：免收</w:t>
      </w:r>
    </w:p>
    <w:p w14:paraId="1B76F6E2">
      <w:pPr>
        <w:spacing w:line="460" w:lineRule="exact"/>
        <w:ind w:firstLine="560"/>
        <w:rPr>
          <w:rFonts w:hint="eastAsia" w:ascii="宋体" w:hAnsi="宋体" w:cs="宋体"/>
          <w:sz w:val="28"/>
          <w:szCs w:val="28"/>
        </w:rPr>
      </w:pPr>
      <w:r>
        <w:rPr>
          <w:rFonts w:hint="eastAsia" w:ascii="宋体" w:hAnsi="宋体" w:cs="宋体"/>
          <w:sz w:val="28"/>
          <w:szCs w:val="28"/>
        </w:rPr>
        <w:t>2、项目磋商活动模式：不见面远程磋商模式，供应商在各自地点通过苏采云系统参加磋商活动。</w:t>
      </w:r>
    </w:p>
    <w:p w14:paraId="3DE9F57F">
      <w:pPr>
        <w:spacing w:line="460" w:lineRule="exact"/>
        <w:ind w:firstLine="560"/>
        <w:rPr>
          <w:rFonts w:hint="eastAsia" w:ascii="宋体" w:hAnsi="宋体" w:cs="宋体"/>
          <w:sz w:val="28"/>
          <w:szCs w:val="28"/>
        </w:rPr>
      </w:pPr>
      <w:r>
        <w:rPr>
          <w:rFonts w:hint="eastAsia" w:ascii="宋体" w:hAnsi="宋体" w:cs="宋体"/>
          <w:sz w:val="28"/>
          <w:szCs w:val="28"/>
        </w:rPr>
        <w:t>3、项目演示、样品、答辩等：无。</w:t>
      </w:r>
    </w:p>
    <w:p w14:paraId="537BE838">
      <w:pPr>
        <w:spacing w:line="460" w:lineRule="exact"/>
        <w:ind w:firstLine="560"/>
        <w:rPr>
          <w:rFonts w:hint="eastAsia" w:ascii="宋体" w:hAnsi="宋体" w:cs="宋体"/>
          <w:sz w:val="28"/>
          <w:szCs w:val="28"/>
        </w:rPr>
      </w:pPr>
      <w:r>
        <w:rPr>
          <w:rFonts w:hint="eastAsia" w:ascii="宋体" w:hAnsi="宋体" w:cs="宋体"/>
          <w:sz w:val="28"/>
          <w:szCs w:val="28"/>
        </w:rPr>
        <w:t xml:space="preserve">4、对项目需求部分（供应商资格要求、项目需求、商务技术评分标准）的询问、质疑请向采购人提出，由采购人负责答复；对项目磋商文件其他部分的询问请向磋商文件制作人或项目磋商经办人提出；对在“电子交易平台”操作阶段的询问请向交易系统软件维护人员提出。  </w:t>
      </w:r>
    </w:p>
    <w:p w14:paraId="53889970">
      <w:pPr>
        <w:spacing w:line="460" w:lineRule="exact"/>
        <w:ind w:firstLine="420"/>
        <w:rPr>
          <w:rFonts w:hint="eastAsia" w:ascii="宋体" w:hAnsi="宋体" w:cs="宋体"/>
          <w:sz w:val="28"/>
          <w:szCs w:val="28"/>
        </w:rPr>
      </w:pPr>
      <w:r>
        <w:rPr>
          <w:rFonts w:hint="eastAsia" w:ascii="宋体" w:hAnsi="宋体" w:cs="宋体"/>
          <w:sz w:val="28"/>
          <w:szCs w:val="28"/>
        </w:rPr>
        <w:t xml:space="preserve"> 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A734983">
      <w:pPr>
        <w:widowControl/>
        <w:shd w:val="clear" w:color="auto" w:fill="FFFFFF"/>
        <w:spacing w:line="460" w:lineRule="exact"/>
        <w:ind w:firstLine="574"/>
        <w:rPr>
          <w:rFonts w:hint="eastAsia" w:ascii="宋体" w:hAnsi="宋体" w:cs="宋体"/>
          <w:b/>
          <w:color w:val="333333"/>
          <w:spacing w:val="7"/>
          <w:sz w:val="28"/>
          <w:szCs w:val="28"/>
        </w:rPr>
      </w:pPr>
      <w:r>
        <w:rPr>
          <w:rFonts w:hint="eastAsia" w:ascii="宋体" w:hAnsi="宋体" w:cs="宋体"/>
          <w:b/>
          <w:color w:val="333333"/>
          <w:spacing w:val="7"/>
          <w:sz w:val="28"/>
          <w:szCs w:val="28"/>
        </w:rPr>
        <w:t>八、凡对本次采购提出询问，请按以下方式联系。</w:t>
      </w:r>
    </w:p>
    <w:p w14:paraId="73D7E8AC">
      <w:pPr>
        <w:spacing w:line="460" w:lineRule="exact"/>
        <w:ind w:firstLine="560" w:firstLineChars="200"/>
        <w:rPr>
          <w:rFonts w:hint="eastAsia" w:ascii="宋体" w:hAnsi="宋体" w:cs="宋体"/>
          <w:sz w:val="28"/>
          <w:szCs w:val="28"/>
        </w:rPr>
      </w:pPr>
      <w:r>
        <w:rPr>
          <w:rFonts w:hint="eastAsia" w:ascii="宋体" w:hAnsi="宋体" w:cs="宋体"/>
          <w:sz w:val="28"/>
          <w:szCs w:val="28"/>
        </w:rPr>
        <w:t>1.采购人信息</w:t>
      </w:r>
    </w:p>
    <w:p w14:paraId="3D0616A1">
      <w:pPr>
        <w:spacing w:line="460" w:lineRule="exact"/>
        <w:ind w:firstLine="1120"/>
        <w:rPr>
          <w:rFonts w:hint="eastAsia" w:ascii="宋体" w:hAnsi="宋体" w:cs="宋体"/>
          <w:sz w:val="28"/>
          <w:szCs w:val="28"/>
        </w:rPr>
      </w:pPr>
      <w:r>
        <w:rPr>
          <w:rFonts w:hint="eastAsia" w:ascii="宋体" w:hAnsi="宋体" w:cs="宋体"/>
          <w:sz w:val="28"/>
          <w:szCs w:val="28"/>
        </w:rPr>
        <w:t>名  称：启东市机关事务服务中心　　　　　　　　　　　　</w:t>
      </w:r>
    </w:p>
    <w:p w14:paraId="2D9EF9FA">
      <w:pPr>
        <w:spacing w:line="460" w:lineRule="exact"/>
        <w:ind w:firstLine="1120"/>
        <w:rPr>
          <w:rFonts w:hint="eastAsia" w:ascii="宋体" w:hAnsi="宋体" w:cs="宋体"/>
          <w:spacing w:val="-6"/>
          <w:sz w:val="28"/>
          <w:szCs w:val="28"/>
        </w:rPr>
      </w:pPr>
      <w:r>
        <w:rPr>
          <w:rFonts w:hint="eastAsia" w:ascii="宋体" w:hAnsi="宋体" w:cs="宋体"/>
          <w:sz w:val="28"/>
          <w:szCs w:val="28"/>
        </w:rPr>
        <w:t>地  址：启东市汇龙镇世纪大道1288号</w:t>
      </w:r>
      <w:r>
        <w:rPr>
          <w:rFonts w:hint="eastAsia" w:ascii="宋体" w:hAnsi="宋体" w:cs="宋体"/>
          <w:sz w:val="32"/>
          <w:szCs w:val="32"/>
        </w:rPr>
        <w:t xml:space="preserve"> </w:t>
      </w:r>
    </w:p>
    <w:p w14:paraId="46E8BD58">
      <w:pPr>
        <w:spacing w:line="460" w:lineRule="exact"/>
        <w:ind w:firstLine="1120" w:firstLineChars="400"/>
        <w:rPr>
          <w:rFonts w:hint="eastAsia" w:ascii="宋体" w:hAnsi="宋体" w:cs="宋体"/>
          <w:sz w:val="28"/>
          <w:szCs w:val="28"/>
        </w:rPr>
      </w:pPr>
      <w:r>
        <w:rPr>
          <w:rFonts w:hint="eastAsia" w:ascii="宋体" w:hAnsi="宋体" w:cs="宋体"/>
          <w:sz w:val="28"/>
          <w:szCs w:val="28"/>
        </w:rPr>
        <w:t>联系人：杨佳怡</w:t>
      </w:r>
    </w:p>
    <w:p w14:paraId="69B4A46B">
      <w:pPr>
        <w:spacing w:line="460" w:lineRule="exact"/>
        <w:ind w:firstLine="1120" w:firstLineChars="400"/>
        <w:rPr>
          <w:rFonts w:hint="eastAsia" w:ascii="宋体" w:hAnsi="宋体" w:cs="宋体"/>
          <w:sz w:val="28"/>
          <w:szCs w:val="28"/>
        </w:rPr>
      </w:pPr>
      <w:r>
        <w:rPr>
          <w:rFonts w:hint="eastAsia" w:ascii="宋体" w:hAnsi="宋体" w:cs="宋体"/>
          <w:sz w:val="28"/>
          <w:szCs w:val="28"/>
        </w:rPr>
        <w:t>联系方式：0513-83312389</w:t>
      </w:r>
    </w:p>
    <w:p w14:paraId="521499B3">
      <w:pPr>
        <w:spacing w:line="460" w:lineRule="exact"/>
        <w:ind w:firstLine="560" w:firstLineChars="200"/>
        <w:rPr>
          <w:rFonts w:hint="eastAsia" w:ascii="宋体" w:hAnsi="宋体" w:cs="宋体"/>
          <w:sz w:val="28"/>
          <w:szCs w:val="28"/>
        </w:rPr>
      </w:pPr>
      <w:r>
        <w:rPr>
          <w:rFonts w:hint="eastAsia" w:ascii="宋体" w:hAnsi="宋体" w:cs="宋体"/>
          <w:sz w:val="28"/>
          <w:szCs w:val="28"/>
        </w:rPr>
        <w:t>2、采购代理机构</w:t>
      </w:r>
    </w:p>
    <w:p w14:paraId="7B595964">
      <w:pPr>
        <w:spacing w:line="460" w:lineRule="exact"/>
        <w:ind w:firstLine="1120"/>
        <w:rPr>
          <w:rFonts w:hint="eastAsia" w:ascii="宋体" w:hAnsi="宋体" w:cs="宋体"/>
          <w:sz w:val="28"/>
          <w:szCs w:val="28"/>
        </w:rPr>
      </w:pPr>
      <w:r>
        <w:rPr>
          <w:rFonts w:hint="eastAsia" w:ascii="宋体" w:hAnsi="宋体" w:cs="宋体"/>
          <w:sz w:val="28"/>
          <w:szCs w:val="28"/>
        </w:rPr>
        <w:t>名  称：上海祥浦建设工程监理咨询有限责任公司</w:t>
      </w:r>
    </w:p>
    <w:p w14:paraId="2DC74AB7">
      <w:pPr>
        <w:spacing w:line="460" w:lineRule="exact"/>
        <w:ind w:firstLine="1120"/>
        <w:rPr>
          <w:rFonts w:hint="eastAsia" w:ascii="宋体" w:hAnsi="宋体" w:cs="宋体"/>
          <w:sz w:val="28"/>
          <w:szCs w:val="28"/>
        </w:rPr>
      </w:pPr>
      <w:r>
        <w:rPr>
          <w:rFonts w:hint="eastAsia" w:ascii="宋体" w:hAnsi="宋体" w:cs="宋体"/>
          <w:sz w:val="28"/>
          <w:szCs w:val="28"/>
        </w:rPr>
        <w:t>地  址：启东市汇龙镇江海中路579号建都大厦2#3F</w:t>
      </w:r>
    </w:p>
    <w:p w14:paraId="518A0BD9">
      <w:pPr>
        <w:spacing w:line="460" w:lineRule="exact"/>
        <w:ind w:firstLine="1120"/>
        <w:rPr>
          <w:rFonts w:hint="eastAsia" w:ascii="宋体" w:hAnsi="宋体" w:cs="宋体"/>
          <w:sz w:val="28"/>
          <w:szCs w:val="28"/>
        </w:rPr>
      </w:pPr>
      <w:r>
        <w:rPr>
          <w:rFonts w:hint="eastAsia" w:ascii="宋体" w:hAnsi="宋体" w:cs="宋体"/>
          <w:sz w:val="28"/>
          <w:szCs w:val="28"/>
        </w:rPr>
        <w:t>联系人：俞女士</w:t>
      </w:r>
    </w:p>
    <w:p w14:paraId="37F5549B">
      <w:pPr>
        <w:spacing w:line="460" w:lineRule="exact"/>
        <w:ind w:firstLine="1120"/>
        <w:rPr>
          <w:rFonts w:hint="eastAsia" w:ascii="宋体" w:hAnsi="宋体" w:cs="宋体"/>
          <w:sz w:val="28"/>
          <w:szCs w:val="28"/>
        </w:rPr>
      </w:pPr>
      <w:r>
        <w:rPr>
          <w:rFonts w:hint="eastAsia" w:ascii="宋体" w:hAnsi="宋体" w:cs="宋体"/>
          <w:sz w:val="28"/>
          <w:szCs w:val="28"/>
        </w:rPr>
        <w:t>联系方式：0513-83721688</w:t>
      </w:r>
    </w:p>
    <w:p w14:paraId="59BB90CE">
      <w:pPr>
        <w:spacing w:line="460" w:lineRule="exact"/>
        <w:ind w:firstLine="560" w:firstLineChars="200"/>
        <w:rPr>
          <w:rFonts w:hint="eastAsia" w:ascii="宋体" w:hAnsi="宋体" w:cs="宋体"/>
          <w:sz w:val="28"/>
          <w:szCs w:val="28"/>
        </w:rPr>
      </w:pPr>
      <w:r>
        <w:rPr>
          <w:rFonts w:hint="eastAsia" w:ascii="宋体" w:hAnsi="宋体" w:cs="宋体"/>
          <w:sz w:val="28"/>
          <w:szCs w:val="28"/>
        </w:rPr>
        <w:t>3、项目联系方式</w:t>
      </w:r>
    </w:p>
    <w:p w14:paraId="0BAF0827">
      <w:pPr>
        <w:spacing w:line="460" w:lineRule="exact"/>
        <w:ind w:firstLine="1120"/>
        <w:rPr>
          <w:rFonts w:hint="eastAsia" w:ascii="宋体" w:hAnsi="宋体" w:cs="宋体"/>
          <w:sz w:val="28"/>
          <w:szCs w:val="28"/>
        </w:rPr>
      </w:pPr>
      <w:r>
        <w:rPr>
          <w:rFonts w:hint="eastAsia" w:ascii="宋体" w:hAnsi="宋体" w:cs="宋体"/>
          <w:sz w:val="28"/>
          <w:szCs w:val="28"/>
        </w:rPr>
        <w:t>磋商文件制作人：0513-83721688</w:t>
      </w:r>
    </w:p>
    <w:p w14:paraId="54D8876D">
      <w:pPr>
        <w:spacing w:line="460" w:lineRule="exact"/>
        <w:ind w:firstLine="1120"/>
        <w:rPr>
          <w:rFonts w:hint="eastAsia" w:ascii="宋体" w:hAnsi="宋体" w:cs="宋体"/>
          <w:sz w:val="28"/>
          <w:szCs w:val="28"/>
        </w:rPr>
      </w:pPr>
      <w:r>
        <w:rPr>
          <w:rFonts w:hint="eastAsia" w:ascii="宋体" w:hAnsi="宋体" w:cs="宋体"/>
          <w:sz w:val="28"/>
          <w:szCs w:val="28"/>
        </w:rPr>
        <w:t>项目磋商经办人：0513-83721688</w:t>
      </w:r>
    </w:p>
    <w:p w14:paraId="11D03079">
      <w:pPr>
        <w:spacing w:line="460" w:lineRule="exact"/>
        <w:ind w:firstLine="1120"/>
        <w:rPr>
          <w:rFonts w:hint="eastAsia" w:ascii="宋体" w:hAnsi="宋体" w:cs="宋体"/>
          <w:b/>
          <w:sz w:val="28"/>
          <w:szCs w:val="28"/>
        </w:rPr>
      </w:pPr>
      <w:r>
        <w:rPr>
          <w:rFonts w:hint="eastAsia" w:ascii="宋体" w:hAnsi="宋体" w:cs="宋体"/>
          <w:sz w:val="28"/>
          <w:szCs w:val="28"/>
        </w:rPr>
        <w:t>交易系统软件维护人员：0519-86722801、0519-86722806。</w:t>
      </w:r>
    </w:p>
    <w:p w14:paraId="7AE05D8E">
      <w:pPr>
        <w:spacing w:line="500" w:lineRule="exact"/>
        <w:rPr>
          <w:rFonts w:hint="eastAsia" w:ascii="宋体" w:hAnsi="宋体" w:cs="宋体"/>
          <w:bCs/>
          <w:sz w:val="28"/>
          <w:szCs w:val="28"/>
        </w:rPr>
      </w:pPr>
    </w:p>
    <w:p w14:paraId="0C721B5B">
      <w:pPr>
        <w:spacing w:line="500" w:lineRule="exact"/>
        <w:jc w:val="center"/>
        <w:rPr>
          <w:rFonts w:hint="eastAsia" w:ascii="宋体" w:hAnsi="宋体" w:cs="宋体"/>
          <w:sz w:val="36"/>
          <w:szCs w:val="36"/>
          <w:lang w:val="zh-CN"/>
        </w:rPr>
      </w:pPr>
    </w:p>
    <w:p w14:paraId="109034D3">
      <w:pPr>
        <w:rPr>
          <w:rFonts w:hint="eastAsia" w:ascii="宋体" w:hAnsi="宋体" w:cs="宋体"/>
          <w:sz w:val="36"/>
          <w:szCs w:val="36"/>
          <w:lang w:val="zh-CN"/>
        </w:rPr>
      </w:pPr>
      <w:r>
        <w:rPr>
          <w:rFonts w:hint="eastAsia" w:ascii="宋体" w:hAnsi="宋体" w:cs="宋体"/>
          <w:sz w:val="36"/>
          <w:szCs w:val="36"/>
          <w:lang w:val="zh-CN"/>
        </w:rPr>
        <w:br w:type="page"/>
      </w:r>
    </w:p>
    <w:p w14:paraId="07473010">
      <w:pPr>
        <w:spacing w:line="500" w:lineRule="exact"/>
        <w:jc w:val="center"/>
        <w:rPr>
          <w:rFonts w:hint="eastAsia" w:ascii="宋体" w:hAnsi="宋体" w:cs="宋体"/>
          <w:sz w:val="36"/>
          <w:szCs w:val="36"/>
          <w:lang w:val="zh-CN"/>
        </w:rPr>
      </w:pPr>
      <w:r>
        <w:rPr>
          <w:rFonts w:hint="eastAsia" w:ascii="宋体" w:hAnsi="宋体" w:cs="宋体"/>
          <w:sz w:val="36"/>
          <w:szCs w:val="36"/>
          <w:lang w:val="zh-CN"/>
        </w:rPr>
        <w:t>第二部分 磋商须知</w:t>
      </w:r>
    </w:p>
    <w:p w14:paraId="510B8C23">
      <w:pPr>
        <w:keepNext/>
        <w:keepLines/>
        <w:spacing w:line="500" w:lineRule="exact"/>
        <w:outlineLvl w:val="2"/>
        <w:rPr>
          <w:rFonts w:hint="eastAsia" w:ascii="宋体" w:hAnsi="宋体" w:cs="宋体"/>
          <w:b/>
          <w:bCs/>
          <w:sz w:val="28"/>
          <w:szCs w:val="28"/>
        </w:rPr>
      </w:pPr>
      <w:bookmarkStart w:id="1" w:name="_Toc20823275"/>
      <w:bookmarkStart w:id="2" w:name="_Toc120614214"/>
      <w:bookmarkStart w:id="3" w:name="_Toc513029203"/>
      <w:bookmarkStart w:id="4" w:name="_Toc16938519"/>
      <w:r>
        <w:rPr>
          <w:rFonts w:hint="eastAsia" w:ascii="宋体" w:hAnsi="宋体" w:cs="宋体"/>
          <w:b/>
          <w:bCs/>
          <w:sz w:val="28"/>
          <w:szCs w:val="28"/>
        </w:rPr>
        <w:t>（一）总则</w:t>
      </w:r>
      <w:bookmarkEnd w:id="1"/>
      <w:bookmarkEnd w:id="2"/>
      <w:bookmarkEnd w:id="3"/>
      <w:bookmarkEnd w:id="4"/>
    </w:p>
    <w:p w14:paraId="430BE8A4">
      <w:pPr>
        <w:keepNext/>
        <w:spacing w:line="500" w:lineRule="exact"/>
        <w:outlineLvl w:val="3"/>
        <w:rPr>
          <w:rFonts w:hint="eastAsia" w:ascii="宋体" w:hAnsi="宋体" w:cs="宋体"/>
          <w:b/>
          <w:bCs/>
          <w:sz w:val="28"/>
          <w:szCs w:val="28"/>
        </w:rPr>
      </w:pPr>
      <w:bookmarkStart w:id="5" w:name="_Hlt16619475"/>
      <w:bookmarkEnd w:id="5"/>
      <w:bookmarkStart w:id="6" w:name="_Toc458694821"/>
      <w:bookmarkStart w:id="7" w:name="_Toc513029204"/>
      <w:bookmarkStart w:id="8" w:name="_Toc16938520"/>
      <w:bookmarkStart w:id="9" w:name="_Toc20823276"/>
      <w:r>
        <w:rPr>
          <w:rFonts w:hint="eastAsia" w:ascii="宋体" w:hAnsi="宋体" w:cs="宋体"/>
          <w:sz w:val="28"/>
          <w:szCs w:val="28"/>
        </w:rPr>
        <w:t>1</w:t>
      </w:r>
      <w:bookmarkEnd w:id="6"/>
      <w:r>
        <w:rPr>
          <w:rFonts w:hint="eastAsia" w:ascii="宋体" w:hAnsi="宋体" w:cs="宋体"/>
          <w:sz w:val="28"/>
          <w:szCs w:val="28"/>
        </w:rPr>
        <w:t>.采购方式</w:t>
      </w:r>
      <w:bookmarkEnd w:id="7"/>
      <w:bookmarkEnd w:id="8"/>
      <w:bookmarkEnd w:id="9"/>
    </w:p>
    <w:p w14:paraId="3AE8B1D2">
      <w:pPr>
        <w:spacing w:line="500" w:lineRule="exact"/>
        <w:ind w:firstLine="560"/>
        <w:rPr>
          <w:rFonts w:hint="eastAsia" w:ascii="宋体" w:hAnsi="宋体" w:cs="宋体"/>
          <w:sz w:val="28"/>
          <w:szCs w:val="28"/>
        </w:rPr>
      </w:pPr>
      <w:r>
        <w:rPr>
          <w:rFonts w:hint="eastAsia" w:ascii="宋体" w:hAnsi="宋体" w:cs="宋体"/>
          <w:sz w:val="28"/>
          <w:szCs w:val="28"/>
        </w:rPr>
        <w:t>1.1 本次采取竞争性磋商方式，本磋商文件仅适用于磋商公告中所述项目。</w:t>
      </w:r>
    </w:p>
    <w:p w14:paraId="0BFAA1C1">
      <w:pPr>
        <w:keepNext/>
        <w:spacing w:line="500" w:lineRule="exact"/>
        <w:outlineLvl w:val="3"/>
        <w:rPr>
          <w:rFonts w:hint="eastAsia" w:ascii="宋体" w:hAnsi="宋体" w:cs="宋体"/>
          <w:b/>
          <w:bCs/>
          <w:sz w:val="28"/>
          <w:szCs w:val="28"/>
        </w:rPr>
      </w:pPr>
      <w:bookmarkStart w:id="10" w:name="_Toc16938521"/>
      <w:bookmarkStart w:id="11" w:name="_Toc513029205"/>
      <w:bookmarkStart w:id="12" w:name="_Toc20823277"/>
      <w:r>
        <w:rPr>
          <w:rFonts w:hint="eastAsia" w:ascii="宋体" w:hAnsi="宋体" w:cs="宋体"/>
          <w:sz w:val="28"/>
          <w:szCs w:val="28"/>
        </w:rPr>
        <w:t>2.合格的</w:t>
      </w:r>
      <w:bookmarkEnd w:id="10"/>
      <w:bookmarkEnd w:id="11"/>
      <w:bookmarkEnd w:id="12"/>
      <w:r>
        <w:rPr>
          <w:rFonts w:hint="eastAsia" w:ascii="宋体" w:hAnsi="宋体" w:cs="宋体"/>
          <w:sz w:val="28"/>
          <w:szCs w:val="28"/>
        </w:rPr>
        <w:t>供应商</w:t>
      </w:r>
    </w:p>
    <w:p w14:paraId="291C2223">
      <w:pPr>
        <w:spacing w:line="500" w:lineRule="exact"/>
        <w:ind w:firstLine="560"/>
        <w:rPr>
          <w:rFonts w:hint="eastAsia" w:ascii="宋体" w:hAnsi="宋体" w:cs="宋体"/>
          <w:sz w:val="28"/>
          <w:szCs w:val="28"/>
        </w:rPr>
      </w:pPr>
      <w:r>
        <w:rPr>
          <w:rFonts w:hint="eastAsia" w:ascii="宋体" w:hAnsi="宋体" w:cs="宋体"/>
          <w:sz w:val="28"/>
          <w:szCs w:val="28"/>
        </w:rPr>
        <w:t>2.1满足磋商公告中供应商的资格要求的规定。</w:t>
      </w:r>
    </w:p>
    <w:p w14:paraId="375654F5">
      <w:pPr>
        <w:spacing w:line="500" w:lineRule="exact"/>
        <w:ind w:firstLine="560"/>
        <w:rPr>
          <w:rFonts w:hint="eastAsia" w:ascii="宋体" w:hAnsi="宋体" w:cs="宋体"/>
          <w:sz w:val="28"/>
          <w:szCs w:val="28"/>
        </w:rPr>
      </w:pPr>
      <w:r>
        <w:rPr>
          <w:rFonts w:hint="eastAsia" w:ascii="宋体" w:hAnsi="宋体" w:cs="宋体"/>
          <w:sz w:val="28"/>
          <w:szCs w:val="28"/>
        </w:rPr>
        <w:t>2.2 满足本文件实质性条款的规定。</w:t>
      </w:r>
    </w:p>
    <w:p w14:paraId="06061658">
      <w:pPr>
        <w:keepNext/>
        <w:spacing w:line="500" w:lineRule="exact"/>
        <w:outlineLvl w:val="3"/>
        <w:rPr>
          <w:rFonts w:hint="eastAsia" w:ascii="宋体" w:hAnsi="宋体" w:cs="宋体"/>
          <w:b/>
          <w:bCs/>
          <w:sz w:val="28"/>
          <w:szCs w:val="28"/>
        </w:rPr>
      </w:pPr>
      <w:bookmarkStart w:id="13" w:name="_Toc513029206"/>
      <w:bookmarkStart w:id="14" w:name="_Toc20823278"/>
      <w:bookmarkStart w:id="15" w:name="_Toc16938522"/>
      <w:r>
        <w:rPr>
          <w:rFonts w:hint="eastAsia" w:ascii="宋体" w:hAnsi="宋体" w:cs="宋体"/>
          <w:sz w:val="28"/>
          <w:szCs w:val="28"/>
        </w:rPr>
        <w:t>3.适用法律</w:t>
      </w:r>
      <w:bookmarkEnd w:id="13"/>
      <w:bookmarkEnd w:id="14"/>
      <w:bookmarkEnd w:id="15"/>
    </w:p>
    <w:p w14:paraId="3293F18E">
      <w:pPr>
        <w:spacing w:line="500" w:lineRule="exact"/>
        <w:ind w:firstLine="490"/>
        <w:rPr>
          <w:rFonts w:hint="eastAsia" w:ascii="宋体" w:hAnsi="宋体" w:cs="宋体"/>
          <w:sz w:val="28"/>
          <w:szCs w:val="28"/>
        </w:rPr>
      </w:pPr>
      <w:r>
        <w:rPr>
          <w:rFonts w:hint="eastAsia" w:ascii="宋体" w:hAnsi="宋体" w:cs="宋体"/>
          <w:sz w:val="28"/>
          <w:szCs w:val="28"/>
        </w:rPr>
        <w:t>3.1 本次采购及由此产生的合同受中华人民共和国有关的法律法规制约和保护。</w:t>
      </w:r>
    </w:p>
    <w:p w14:paraId="70A6A847">
      <w:pPr>
        <w:keepNext/>
        <w:spacing w:line="500" w:lineRule="exact"/>
        <w:outlineLvl w:val="3"/>
        <w:rPr>
          <w:rFonts w:hint="eastAsia" w:ascii="宋体" w:hAnsi="宋体" w:cs="宋体"/>
          <w:b/>
          <w:bCs/>
          <w:sz w:val="28"/>
          <w:szCs w:val="28"/>
        </w:rPr>
      </w:pPr>
      <w:bookmarkStart w:id="16" w:name="_Toc16938523"/>
      <w:bookmarkStart w:id="17" w:name="_Toc20823279"/>
      <w:bookmarkStart w:id="18" w:name="_Toc462564067"/>
      <w:bookmarkStart w:id="19" w:name="_Toc513029207"/>
      <w:r>
        <w:rPr>
          <w:rFonts w:hint="eastAsia" w:ascii="宋体" w:hAnsi="宋体" w:cs="宋体"/>
          <w:sz w:val="28"/>
          <w:szCs w:val="28"/>
        </w:rPr>
        <w:t>4.磋商费用</w:t>
      </w:r>
      <w:bookmarkEnd w:id="16"/>
      <w:bookmarkEnd w:id="17"/>
      <w:bookmarkEnd w:id="18"/>
      <w:bookmarkEnd w:id="19"/>
    </w:p>
    <w:p w14:paraId="4492A7E0">
      <w:pPr>
        <w:spacing w:line="500" w:lineRule="exact"/>
        <w:ind w:firstLine="560"/>
        <w:rPr>
          <w:rFonts w:hint="eastAsia" w:ascii="宋体" w:hAnsi="宋体" w:cs="宋体"/>
          <w:sz w:val="28"/>
          <w:szCs w:val="28"/>
        </w:rPr>
      </w:pPr>
      <w:r>
        <w:rPr>
          <w:rFonts w:hint="eastAsia" w:ascii="宋体" w:hAnsi="宋体" w:cs="宋体"/>
          <w:bCs/>
          <w:sz w:val="28"/>
          <w:szCs w:val="28"/>
        </w:rPr>
        <w:t>4.1</w:t>
      </w:r>
      <w:r>
        <w:rPr>
          <w:rFonts w:hint="eastAsia" w:ascii="宋体" w:hAnsi="宋体" w:cs="宋体"/>
          <w:sz w:val="28"/>
          <w:szCs w:val="28"/>
        </w:rPr>
        <w:t xml:space="preserve"> 供应商应自行承担所有与参加磋商有关的费用，无论磋商过程中的做法和结果如何，采购人在任何情况下均无义务和责任承担这些费用。</w:t>
      </w:r>
    </w:p>
    <w:p w14:paraId="493F0E6C">
      <w:pPr>
        <w:spacing w:line="500" w:lineRule="exact"/>
        <w:ind w:firstLine="560"/>
        <w:rPr>
          <w:rFonts w:hint="eastAsia" w:ascii="宋体" w:hAnsi="宋体" w:cs="宋体"/>
          <w:sz w:val="28"/>
          <w:szCs w:val="28"/>
        </w:rPr>
      </w:pPr>
      <w:r>
        <w:rPr>
          <w:rFonts w:hint="eastAsia" w:ascii="宋体" w:hAnsi="宋体" w:cs="宋体"/>
          <w:sz w:val="28"/>
          <w:szCs w:val="28"/>
        </w:rPr>
        <w:t>4.2本次磋商采购人不收取标书工本费。</w:t>
      </w:r>
    </w:p>
    <w:p w14:paraId="13191B1B">
      <w:pPr>
        <w:keepNext/>
        <w:spacing w:line="500" w:lineRule="exact"/>
        <w:outlineLvl w:val="3"/>
        <w:rPr>
          <w:rFonts w:hint="eastAsia" w:ascii="宋体" w:hAnsi="宋体" w:cs="宋体"/>
          <w:b/>
          <w:bCs/>
          <w:sz w:val="28"/>
          <w:szCs w:val="28"/>
        </w:rPr>
      </w:pPr>
      <w:r>
        <w:rPr>
          <w:rFonts w:hint="eastAsia" w:ascii="宋体" w:hAnsi="宋体" w:cs="宋体"/>
          <w:sz w:val="28"/>
          <w:szCs w:val="28"/>
        </w:rPr>
        <w:t>5.磋商文件的约束力</w:t>
      </w:r>
    </w:p>
    <w:p w14:paraId="4531946E">
      <w:pPr>
        <w:spacing w:line="500" w:lineRule="exact"/>
        <w:ind w:firstLine="560"/>
        <w:rPr>
          <w:rFonts w:hint="eastAsia" w:ascii="宋体" w:hAnsi="宋体" w:cs="宋体"/>
          <w:sz w:val="28"/>
          <w:szCs w:val="28"/>
        </w:rPr>
      </w:pPr>
      <w:r>
        <w:rPr>
          <w:rFonts w:hint="eastAsia" w:ascii="宋体" w:hAnsi="宋体" w:cs="宋体"/>
          <w:bCs/>
          <w:sz w:val="28"/>
          <w:szCs w:val="28"/>
        </w:rPr>
        <w:t>5.1</w:t>
      </w:r>
      <w:r>
        <w:rPr>
          <w:rFonts w:hint="eastAsia" w:ascii="宋体" w:hAnsi="宋体" w:cs="宋体"/>
          <w:sz w:val="28"/>
          <w:szCs w:val="28"/>
        </w:rPr>
        <w:t xml:space="preserve"> 供应商一旦参加本项目采购活动，即被认为接受了本磋商文件的规定和约束。</w:t>
      </w:r>
    </w:p>
    <w:p w14:paraId="1A180D97">
      <w:pPr>
        <w:keepNext/>
        <w:spacing w:line="500" w:lineRule="exact"/>
        <w:outlineLvl w:val="3"/>
        <w:rPr>
          <w:rFonts w:hint="eastAsia" w:ascii="宋体" w:hAnsi="宋体" w:cs="宋体"/>
          <w:sz w:val="28"/>
          <w:szCs w:val="28"/>
        </w:rPr>
      </w:pPr>
      <w:r>
        <w:rPr>
          <w:rFonts w:hint="eastAsia" w:ascii="宋体" w:hAnsi="宋体" w:cs="宋体"/>
          <w:sz w:val="28"/>
          <w:szCs w:val="28"/>
        </w:rPr>
        <w:t>6.磋商文件的解释</w:t>
      </w:r>
    </w:p>
    <w:p w14:paraId="27CE143A">
      <w:pPr>
        <w:spacing w:line="500" w:lineRule="exact"/>
        <w:ind w:firstLine="560"/>
        <w:rPr>
          <w:rFonts w:hint="eastAsia" w:ascii="宋体" w:hAnsi="宋体" w:cs="宋体"/>
          <w:color w:val="FF0000"/>
          <w:sz w:val="28"/>
          <w:szCs w:val="28"/>
        </w:rPr>
      </w:pPr>
      <w:r>
        <w:rPr>
          <w:rFonts w:hint="eastAsia" w:ascii="宋体" w:hAnsi="宋体" w:cs="宋体"/>
          <w:bCs/>
          <w:sz w:val="28"/>
          <w:szCs w:val="28"/>
        </w:rPr>
        <w:t>6.1</w:t>
      </w:r>
      <w:r>
        <w:rPr>
          <w:rFonts w:hint="eastAsia" w:ascii="宋体" w:hAnsi="宋体" w:cs="宋体"/>
          <w:sz w:val="28"/>
          <w:szCs w:val="28"/>
        </w:rPr>
        <w:t>磋商文件需求部分（供应商资格要求、项目需求、商务技术评分标准）由采购人解释，其他部分由采购代理机构解释。</w:t>
      </w:r>
    </w:p>
    <w:p w14:paraId="27EABBA8">
      <w:pPr>
        <w:keepNext/>
        <w:keepLines/>
        <w:spacing w:line="500" w:lineRule="exact"/>
        <w:outlineLvl w:val="2"/>
        <w:rPr>
          <w:rFonts w:hint="eastAsia" w:ascii="宋体" w:hAnsi="宋体" w:cs="宋体"/>
          <w:b/>
          <w:bCs/>
          <w:sz w:val="28"/>
          <w:szCs w:val="28"/>
        </w:rPr>
      </w:pPr>
      <w:bookmarkStart w:id="20" w:name="_Toc513029209"/>
      <w:bookmarkStart w:id="21" w:name="_Toc120614215"/>
      <w:bookmarkStart w:id="22" w:name="_Toc16938525"/>
      <w:bookmarkStart w:id="23" w:name="_Toc20823281"/>
      <w:r>
        <w:rPr>
          <w:rFonts w:hint="eastAsia" w:ascii="宋体" w:hAnsi="宋体" w:cs="宋体"/>
          <w:b/>
          <w:bCs/>
          <w:sz w:val="28"/>
          <w:szCs w:val="28"/>
        </w:rPr>
        <w:t>（二）磋商文件</w:t>
      </w:r>
      <w:bookmarkEnd w:id="20"/>
      <w:bookmarkEnd w:id="21"/>
      <w:bookmarkEnd w:id="22"/>
      <w:bookmarkEnd w:id="23"/>
    </w:p>
    <w:p w14:paraId="732DD38D">
      <w:pPr>
        <w:keepNext/>
        <w:spacing w:line="500" w:lineRule="exact"/>
        <w:outlineLvl w:val="3"/>
        <w:rPr>
          <w:rFonts w:hint="eastAsia" w:ascii="宋体" w:hAnsi="宋体" w:cs="宋体"/>
          <w:b/>
          <w:bCs/>
          <w:sz w:val="28"/>
          <w:szCs w:val="28"/>
        </w:rPr>
      </w:pPr>
      <w:bookmarkStart w:id="24" w:name="_Toc20823282"/>
      <w:bookmarkStart w:id="25" w:name="_Toc513029210"/>
      <w:bookmarkStart w:id="26" w:name="_Toc16938526"/>
      <w:r>
        <w:rPr>
          <w:rFonts w:hint="eastAsia" w:ascii="宋体" w:hAnsi="宋体" w:cs="宋体"/>
          <w:sz w:val="28"/>
          <w:szCs w:val="28"/>
        </w:rPr>
        <w:t>1.磋商文件构成</w:t>
      </w:r>
      <w:bookmarkEnd w:id="24"/>
      <w:bookmarkEnd w:id="25"/>
      <w:bookmarkEnd w:id="26"/>
    </w:p>
    <w:p w14:paraId="4019B8EA">
      <w:pPr>
        <w:spacing w:line="500" w:lineRule="exact"/>
        <w:ind w:firstLine="560"/>
        <w:rPr>
          <w:rFonts w:hint="eastAsia" w:ascii="宋体" w:hAnsi="宋体" w:cs="宋体"/>
          <w:sz w:val="28"/>
          <w:szCs w:val="28"/>
        </w:rPr>
      </w:pPr>
      <w:r>
        <w:rPr>
          <w:rFonts w:hint="eastAsia" w:ascii="宋体" w:hAnsi="宋体" w:cs="宋体"/>
          <w:bCs/>
          <w:sz w:val="28"/>
          <w:szCs w:val="28"/>
        </w:rPr>
        <w:t>1.1</w:t>
      </w:r>
      <w:r>
        <w:rPr>
          <w:rFonts w:hint="eastAsia" w:ascii="宋体" w:hAnsi="宋体" w:cs="宋体"/>
          <w:sz w:val="28"/>
          <w:szCs w:val="28"/>
        </w:rPr>
        <w:t xml:space="preserve"> 磋商文件由以下部分组成：</w:t>
      </w:r>
    </w:p>
    <w:p w14:paraId="35D7CA0A">
      <w:pPr>
        <w:spacing w:line="500" w:lineRule="exact"/>
        <w:ind w:firstLine="420"/>
        <w:rPr>
          <w:rFonts w:hint="eastAsia" w:ascii="宋体" w:hAnsi="宋体" w:cs="宋体"/>
          <w:sz w:val="28"/>
          <w:szCs w:val="28"/>
        </w:rPr>
      </w:pPr>
      <w:r>
        <w:rPr>
          <w:rFonts w:hint="eastAsia" w:ascii="宋体" w:hAnsi="宋体" w:cs="宋体"/>
          <w:sz w:val="28"/>
          <w:szCs w:val="28"/>
        </w:rPr>
        <w:t>（1）采购邀请</w:t>
      </w:r>
    </w:p>
    <w:p w14:paraId="326EC417">
      <w:pPr>
        <w:spacing w:line="500" w:lineRule="exact"/>
        <w:ind w:firstLine="420"/>
        <w:rPr>
          <w:rFonts w:hint="eastAsia" w:ascii="宋体" w:hAnsi="宋体" w:cs="宋体"/>
          <w:sz w:val="28"/>
          <w:szCs w:val="28"/>
        </w:rPr>
      </w:pPr>
      <w:r>
        <w:rPr>
          <w:rFonts w:hint="eastAsia" w:ascii="宋体" w:hAnsi="宋体" w:cs="宋体"/>
          <w:sz w:val="28"/>
          <w:szCs w:val="28"/>
        </w:rPr>
        <w:t>（2）磋商须知</w:t>
      </w:r>
    </w:p>
    <w:p w14:paraId="5E6573C1">
      <w:pPr>
        <w:spacing w:line="500" w:lineRule="exact"/>
        <w:ind w:firstLine="420"/>
        <w:rPr>
          <w:rFonts w:hint="eastAsia" w:ascii="宋体" w:hAnsi="宋体" w:cs="宋体"/>
          <w:sz w:val="28"/>
          <w:szCs w:val="28"/>
        </w:rPr>
      </w:pPr>
      <w:r>
        <w:rPr>
          <w:rFonts w:hint="eastAsia" w:ascii="宋体" w:hAnsi="宋体" w:cs="宋体"/>
          <w:sz w:val="28"/>
          <w:szCs w:val="28"/>
        </w:rPr>
        <w:t>（3）项目需求</w:t>
      </w:r>
    </w:p>
    <w:p w14:paraId="7516A54D">
      <w:pPr>
        <w:spacing w:line="500" w:lineRule="exact"/>
        <w:ind w:firstLine="420"/>
        <w:rPr>
          <w:rFonts w:hint="eastAsia" w:ascii="宋体" w:hAnsi="宋体" w:cs="宋体"/>
          <w:sz w:val="28"/>
          <w:szCs w:val="28"/>
        </w:rPr>
      </w:pPr>
      <w:r>
        <w:rPr>
          <w:rFonts w:hint="eastAsia" w:ascii="宋体" w:hAnsi="宋体" w:cs="宋体"/>
          <w:sz w:val="28"/>
          <w:szCs w:val="28"/>
        </w:rPr>
        <w:t>（4）评审方法和评审标准</w:t>
      </w:r>
    </w:p>
    <w:p w14:paraId="00D07449">
      <w:pPr>
        <w:spacing w:line="500" w:lineRule="exact"/>
        <w:ind w:firstLine="420"/>
        <w:rPr>
          <w:rFonts w:hint="eastAsia" w:ascii="宋体" w:hAnsi="宋体" w:cs="宋体"/>
          <w:sz w:val="28"/>
          <w:szCs w:val="28"/>
        </w:rPr>
      </w:pPr>
      <w:r>
        <w:rPr>
          <w:rFonts w:hint="eastAsia" w:ascii="宋体" w:hAnsi="宋体" w:cs="宋体"/>
          <w:sz w:val="28"/>
          <w:szCs w:val="28"/>
        </w:rPr>
        <w:t>（5）响应文件格式</w:t>
      </w:r>
    </w:p>
    <w:p w14:paraId="5809CAFE">
      <w:pPr>
        <w:spacing w:line="500" w:lineRule="exact"/>
        <w:ind w:firstLine="420"/>
        <w:rPr>
          <w:rFonts w:hint="eastAsia" w:ascii="宋体" w:hAnsi="宋体" w:cs="宋体"/>
          <w:sz w:val="28"/>
          <w:szCs w:val="28"/>
        </w:rPr>
      </w:pPr>
      <w:r>
        <w:rPr>
          <w:rFonts w:hint="eastAsia" w:ascii="宋体" w:hAnsi="宋体" w:cs="宋体"/>
          <w:sz w:val="28"/>
          <w:szCs w:val="28"/>
        </w:rPr>
        <w:t>（6）附件</w:t>
      </w:r>
    </w:p>
    <w:p w14:paraId="0ABD4E24">
      <w:pPr>
        <w:spacing w:line="500" w:lineRule="exact"/>
        <w:ind w:firstLine="560"/>
        <w:rPr>
          <w:rFonts w:hint="eastAsia" w:ascii="宋体" w:hAnsi="宋体" w:cs="宋体"/>
          <w:sz w:val="28"/>
          <w:szCs w:val="28"/>
        </w:rPr>
      </w:pPr>
      <w:r>
        <w:rPr>
          <w:rFonts w:hint="eastAsia" w:ascii="宋体" w:hAnsi="宋体" w:cs="宋体"/>
          <w:sz w:val="28"/>
          <w:szCs w:val="28"/>
        </w:rPr>
        <w:t>请仔细检查磋商文件是否齐全，如有缺漏请立即与采购代理机构联系解决。</w:t>
      </w:r>
    </w:p>
    <w:p w14:paraId="1B6B6E2F">
      <w:pPr>
        <w:spacing w:line="500" w:lineRule="exact"/>
        <w:ind w:firstLine="560"/>
        <w:rPr>
          <w:rFonts w:hint="eastAsia" w:ascii="宋体" w:hAnsi="宋体" w:cs="宋体"/>
          <w:sz w:val="28"/>
          <w:szCs w:val="28"/>
        </w:rPr>
      </w:pPr>
      <w:r>
        <w:rPr>
          <w:rFonts w:hint="eastAsia" w:ascii="宋体" w:hAnsi="宋体" w:cs="宋体"/>
          <w:bCs/>
          <w:sz w:val="28"/>
          <w:szCs w:val="28"/>
        </w:rPr>
        <w:t>1.2</w:t>
      </w:r>
      <w:r>
        <w:rPr>
          <w:rFonts w:hint="eastAsia" w:ascii="宋体" w:hAnsi="宋体" w:cs="宋体"/>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36EAFE9">
      <w:pPr>
        <w:keepNext/>
        <w:spacing w:line="500" w:lineRule="exact"/>
        <w:outlineLvl w:val="3"/>
        <w:rPr>
          <w:rFonts w:hint="eastAsia" w:ascii="宋体" w:hAnsi="宋体" w:cs="宋体"/>
          <w:b/>
          <w:bCs/>
          <w:sz w:val="28"/>
          <w:szCs w:val="28"/>
        </w:rPr>
      </w:pPr>
      <w:bookmarkStart w:id="27" w:name="_Toc16938527"/>
      <w:bookmarkStart w:id="28" w:name="_Toc462564070"/>
      <w:bookmarkStart w:id="29" w:name="_Toc20823283"/>
      <w:bookmarkStart w:id="30" w:name="_Toc513029211"/>
      <w:r>
        <w:rPr>
          <w:rFonts w:hint="eastAsia" w:ascii="宋体" w:hAnsi="宋体" w:cs="宋体"/>
          <w:sz w:val="28"/>
          <w:szCs w:val="28"/>
        </w:rPr>
        <w:t>2.磋商文件的澄清</w:t>
      </w:r>
      <w:bookmarkEnd w:id="27"/>
      <w:bookmarkEnd w:id="28"/>
      <w:bookmarkEnd w:id="29"/>
      <w:bookmarkEnd w:id="30"/>
    </w:p>
    <w:p w14:paraId="485F1EEA">
      <w:pPr>
        <w:spacing w:line="500" w:lineRule="exact"/>
        <w:ind w:firstLine="560"/>
        <w:rPr>
          <w:rFonts w:hint="eastAsia" w:ascii="宋体" w:hAnsi="宋体" w:cs="宋体"/>
          <w:sz w:val="28"/>
          <w:szCs w:val="28"/>
        </w:rPr>
      </w:pPr>
      <w:r>
        <w:rPr>
          <w:rFonts w:hint="eastAsia" w:ascii="宋体" w:hAnsi="宋体" w:cs="宋体"/>
          <w:bCs/>
          <w:sz w:val="28"/>
          <w:szCs w:val="28"/>
        </w:rPr>
        <w:t>2.1</w:t>
      </w:r>
      <w:r>
        <w:rPr>
          <w:rFonts w:hint="eastAsia" w:ascii="宋体" w:hAnsi="宋体" w:cs="宋体"/>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0431C35D">
      <w:pPr>
        <w:spacing w:line="500" w:lineRule="exact"/>
        <w:ind w:firstLine="560"/>
        <w:rPr>
          <w:rFonts w:hint="eastAsia" w:ascii="宋体" w:hAnsi="宋体" w:cs="宋体"/>
          <w:sz w:val="28"/>
          <w:szCs w:val="28"/>
        </w:rPr>
      </w:pPr>
      <w:r>
        <w:rPr>
          <w:rFonts w:hint="eastAsia" w:ascii="宋体" w:hAnsi="宋体" w:cs="宋体"/>
          <w:sz w:val="28"/>
          <w:szCs w:val="28"/>
        </w:rPr>
        <w:t>2.2采购人视情组织答疑会</w:t>
      </w:r>
    </w:p>
    <w:p w14:paraId="04207DC9">
      <w:pPr>
        <w:keepNext/>
        <w:spacing w:line="500" w:lineRule="exact"/>
        <w:outlineLvl w:val="3"/>
        <w:rPr>
          <w:rFonts w:hint="eastAsia" w:ascii="宋体" w:hAnsi="宋体" w:cs="宋体"/>
          <w:b/>
          <w:bCs/>
          <w:sz w:val="28"/>
          <w:szCs w:val="28"/>
        </w:rPr>
      </w:pPr>
      <w:bookmarkStart w:id="31" w:name="_Toc513029212"/>
      <w:bookmarkStart w:id="32" w:name="_Toc16938528"/>
      <w:bookmarkStart w:id="33" w:name="_Toc20823284"/>
      <w:bookmarkStart w:id="34" w:name="_Toc462564071"/>
      <w:r>
        <w:rPr>
          <w:rFonts w:hint="eastAsia" w:ascii="宋体" w:hAnsi="宋体" w:cs="宋体"/>
          <w:sz w:val="28"/>
          <w:szCs w:val="28"/>
        </w:rPr>
        <w:t>3.磋商文件的修改</w:t>
      </w:r>
      <w:bookmarkEnd w:id="31"/>
      <w:bookmarkEnd w:id="32"/>
      <w:bookmarkEnd w:id="33"/>
      <w:bookmarkEnd w:id="34"/>
    </w:p>
    <w:p w14:paraId="6D8647EE">
      <w:pPr>
        <w:spacing w:line="500" w:lineRule="exact"/>
        <w:ind w:firstLine="560"/>
        <w:rPr>
          <w:rFonts w:hint="eastAsia" w:ascii="宋体" w:hAnsi="宋体" w:cs="宋体"/>
          <w:sz w:val="28"/>
          <w:szCs w:val="28"/>
        </w:rPr>
      </w:pPr>
      <w:r>
        <w:rPr>
          <w:rFonts w:hint="eastAsia" w:ascii="宋体" w:hAnsi="宋体" w:cs="宋体"/>
          <w:bCs/>
          <w:sz w:val="28"/>
          <w:szCs w:val="28"/>
        </w:rPr>
        <w:t>3.1</w:t>
      </w:r>
      <w:r>
        <w:rPr>
          <w:rFonts w:hint="eastAsia" w:ascii="宋体" w:hAnsi="宋体" w:cs="宋体"/>
          <w:sz w:val="28"/>
          <w:szCs w:val="28"/>
        </w:rPr>
        <w:t xml:space="preserve"> 在响应文件提交截止时间前，采购人、采购代理机构可以对磋商文件进行修改。</w:t>
      </w:r>
    </w:p>
    <w:p w14:paraId="53827357">
      <w:pPr>
        <w:spacing w:line="500" w:lineRule="exact"/>
        <w:ind w:firstLine="560"/>
        <w:rPr>
          <w:rFonts w:hint="eastAsia" w:ascii="宋体" w:hAnsi="宋体" w:cs="宋体"/>
          <w:sz w:val="28"/>
          <w:szCs w:val="28"/>
        </w:rPr>
      </w:pPr>
      <w:r>
        <w:rPr>
          <w:rFonts w:hint="eastAsia" w:ascii="宋体" w:hAnsi="宋体" w:cs="宋体"/>
          <w:bCs/>
          <w:sz w:val="28"/>
          <w:szCs w:val="28"/>
        </w:rPr>
        <w:t xml:space="preserve">3.2 </w:t>
      </w:r>
      <w:r>
        <w:rPr>
          <w:rFonts w:hint="eastAsia" w:ascii="宋体" w:hAnsi="宋体" w:cs="宋体"/>
          <w:sz w:val="28"/>
          <w:szCs w:val="28"/>
        </w:rPr>
        <w:t>采购人、采购代理机构有权按照法定的要求推迟响应文件提交截止日期和磋商日期。</w:t>
      </w:r>
    </w:p>
    <w:p w14:paraId="4E8FB070">
      <w:pPr>
        <w:spacing w:line="500" w:lineRule="exact"/>
        <w:ind w:firstLine="560"/>
        <w:rPr>
          <w:rFonts w:hint="eastAsia" w:ascii="宋体" w:hAnsi="宋体" w:cs="宋体"/>
          <w:sz w:val="28"/>
          <w:szCs w:val="28"/>
        </w:rPr>
      </w:pPr>
      <w:r>
        <w:rPr>
          <w:rFonts w:hint="eastAsia" w:ascii="宋体" w:hAnsi="宋体" w:cs="宋体"/>
          <w:bCs/>
          <w:sz w:val="28"/>
          <w:szCs w:val="28"/>
        </w:rPr>
        <w:t xml:space="preserve">3.3 </w:t>
      </w:r>
      <w:r>
        <w:rPr>
          <w:rFonts w:hint="eastAsia" w:ascii="宋体" w:hAnsi="宋体" w:cs="宋体"/>
          <w:sz w:val="28"/>
          <w:szCs w:val="28"/>
        </w:rPr>
        <w:t>磋商文件的修改将在江苏政府采购网公布，补充文件将作为磋商文件的组成部分，并对供应商具有约束力。</w:t>
      </w:r>
    </w:p>
    <w:p w14:paraId="79709EBD">
      <w:pPr>
        <w:keepNext/>
        <w:keepLines/>
        <w:spacing w:line="500" w:lineRule="exact"/>
        <w:outlineLvl w:val="2"/>
        <w:rPr>
          <w:rFonts w:hint="eastAsia" w:ascii="宋体" w:hAnsi="宋体" w:cs="宋体"/>
          <w:b/>
          <w:bCs/>
          <w:sz w:val="28"/>
          <w:szCs w:val="28"/>
        </w:rPr>
      </w:pPr>
      <w:bookmarkStart w:id="35" w:name="_Toc120614216"/>
      <w:bookmarkStart w:id="36" w:name="_Toc16938529"/>
      <w:bookmarkStart w:id="37" w:name="_Toc513029213"/>
      <w:bookmarkStart w:id="38" w:name="_Toc462564072"/>
      <w:bookmarkStart w:id="39" w:name="_Toc20823285"/>
      <w:r>
        <w:rPr>
          <w:rFonts w:hint="eastAsia" w:ascii="宋体" w:hAnsi="宋体" w:cs="宋体"/>
          <w:b/>
          <w:bCs/>
          <w:sz w:val="28"/>
          <w:szCs w:val="28"/>
        </w:rPr>
        <w:t>（三）响应文件的编制</w:t>
      </w:r>
      <w:bookmarkEnd w:id="35"/>
      <w:bookmarkEnd w:id="36"/>
      <w:bookmarkEnd w:id="37"/>
      <w:bookmarkEnd w:id="38"/>
      <w:bookmarkEnd w:id="39"/>
    </w:p>
    <w:p w14:paraId="7086A1A2">
      <w:pPr>
        <w:keepNext/>
        <w:spacing w:line="500" w:lineRule="exact"/>
        <w:outlineLvl w:val="3"/>
        <w:rPr>
          <w:rFonts w:hint="eastAsia" w:ascii="宋体" w:hAnsi="宋体" w:cs="宋体"/>
          <w:bCs/>
          <w:sz w:val="28"/>
          <w:szCs w:val="28"/>
        </w:rPr>
      </w:pPr>
      <w:bookmarkStart w:id="40" w:name="_Toc20823286"/>
      <w:bookmarkStart w:id="41" w:name="_Toc462564073"/>
      <w:bookmarkStart w:id="42" w:name="_Toc513029214"/>
      <w:bookmarkStart w:id="43" w:name="_Toc16938530"/>
      <w:r>
        <w:rPr>
          <w:rFonts w:hint="eastAsia" w:ascii="宋体" w:hAnsi="宋体" w:cs="宋体"/>
          <w:sz w:val="28"/>
          <w:szCs w:val="28"/>
        </w:rPr>
        <w:t>1.响应文件的语言及度量衡单位</w:t>
      </w:r>
      <w:bookmarkEnd w:id="40"/>
      <w:bookmarkEnd w:id="41"/>
      <w:bookmarkEnd w:id="42"/>
      <w:bookmarkEnd w:id="43"/>
    </w:p>
    <w:p w14:paraId="77F3B01F">
      <w:pPr>
        <w:spacing w:line="500" w:lineRule="exact"/>
        <w:ind w:firstLine="560"/>
        <w:rPr>
          <w:rFonts w:hint="eastAsia" w:ascii="宋体" w:hAnsi="宋体" w:cs="宋体"/>
          <w:sz w:val="28"/>
          <w:szCs w:val="28"/>
        </w:rPr>
      </w:pPr>
      <w:r>
        <w:rPr>
          <w:rFonts w:hint="eastAsia" w:ascii="宋体" w:hAnsi="宋体" w:cs="宋体"/>
          <w:bCs/>
          <w:sz w:val="28"/>
          <w:szCs w:val="28"/>
        </w:rPr>
        <w:t>1.1</w:t>
      </w:r>
      <w:r>
        <w:rPr>
          <w:rFonts w:hint="eastAsia" w:ascii="宋体" w:hAnsi="宋体" w:cs="宋体"/>
          <w:sz w:val="28"/>
          <w:szCs w:val="28"/>
        </w:rPr>
        <w:t>供应商提交的响应文件以及供应商与采购人及采购代理机构就有关磋商的所有来往通知、函件和文件均应使用</w:t>
      </w:r>
      <w:r>
        <w:rPr>
          <w:rFonts w:hint="eastAsia" w:ascii="宋体" w:hAnsi="宋体" w:cs="宋体"/>
          <w:bCs/>
          <w:sz w:val="28"/>
          <w:szCs w:val="28"/>
        </w:rPr>
        <w:t>简体中文</w:t>
      </w:r>
      <w:r>
        <w:rPr>
          <w:rFonts w:hint="eastAsia" w:ascii="宋体" w:hAnsi="宋体" w:cs="宋体"/>
          <w:sz w:val="28"/>
          <w:szCs w:val="28"/>
        </w:rPr>
        <w:t>。</w:t>
      </w:r>
    </w:p>
    <w:p w14:paraId="5AB8813B">
      <w:pPr>
        <w:spacing w:line="500" w:lineRule="exact"/>
        <w:ind w:firstLine="560"/>
        <w:rPr>
          <w:rFonts w:hint="eastAsia" w:ascii="宋体" w:hAnsi="宋体" w:cs="宋体"/>
          <w:sz w:val="28"/>
          <w:szCs w:val="28"/>
        </w:rPr>
      </w:pPr>
      <w:r>
        <w:rPr>
          <w:rFonts w:hint="eastAsia" w:ascii="宋体" w:hAnsi="宋体" w:cs="宋体"/>
          <w:bCs/>
          <w:sz w:val="28"/>
          <w:szCs w:val="28"/>
        </w:rPr>
        <w:t>1.2</w:t>
      </w:r>
      <w:r>
        <w:rPr>
          <w:rFonts w:hint="eastAsia" w:ascii="宋体" w:hAnsi="宋体" w:cs="宋体"/>
          <w:sz w:val="28"/>
          <w:szCs w:val="28"/>
        </w:rPr>
        <w:t xml:space="preserve"> 除技术性能另有规定外，响应文件所使用的度量衡单位，均须采用国家法定计量单位。</w:t>
      </w:r>
    </w:p>
    <w:p w14:paraId="7342AAE4">
      <w:pPr>
        <w:keepNext/>
        <w:spacing w:line="500" w:lineRule="exact"/>
        <w:outlineLvl w:val="3"/>
        <w:rPr>
          <w:rFonts w:hint="eastAsia" w:ascii="宋体" w:hAnsi="宋体" w:cs="宋体"/>
          <w:b/>
          <w:bCs/>
          <w:sz w:val="28"/>
          <w:szCs w:val="28"/>
        </w:rPr>
      </w:pPr>
      <w:bookmarkStart w:id="44" w:name="_Toc462564074"/>
      <w:bookmarkStart w:id="45" w:name="_Toc20823287"/>
      <w:bookmarkStart w:id="46" w:name="_Toc513029215"/>
      <w:bookmarkStart w:id="47" w:name="_Toc16938531"/>
      <w:r>
        <w:rPr>
          <w:rFonts w:hint="eastAsia" w:ascii="宋体" w:hAnsi="宋体" w:cs="宋体"/>
          <w:sz w:val="28"/>
          <w:szCs w:val="28"/>
        </w:rPr>
        <w:t>2.响应文件构成</w:t>
      </w:r>
      <w:bookmarkEnd w:id="44"/>
      <w:bookmarkEnd w:id="45"/>
      <w:bookmarkEnd w:id="46"/>
      <w:bookmarkEnd w:id="47"/>
    </w:p>
    <w:p w14:paraId="5FA2F3B3">
      <w:pPr>
        <w:spacing w:line="500" w:lineRule="exact"/>
        <w:ind w:firstLine="560"/>
        <w:rPr>
          <w:rFonts w:hint="eastAsia" w:ascii="宋体" w:hAnsi="宋体" w:cs="宋体"/>
          <w:sz w:val="28"/>
          <w:szCs w:val="28"/>
        </w:rPr>
      </w:pPr>
      <w:r>
        <w:rPr>
          <w:rFonts w:hint="eastAsia" w:ascii="宋体" w:hAnsi="宋体" w:cs="宋体"/>
          <w:bCs/>
          <w:sz w:val="28"/>
          <w:szCs w:val="28"/>
        </w:rPr>
        <w:t>2.1</w:t>
      </w:r>
      <w:r>
        <w:rPr>
          <w:rFonts w:hint="eastAsia" w:ascii="宋体" w:hAnsi="宋体" w:cs="宋体"/>
          <w:sz w:val="28"/>
          <w:szCs w:val="28"/>
        </w:rPr>
        <w:t xml:space="preserve"> 供应商编写的响应文件应包括资格证明文件、符合性证明文件、磋商响应函、磋商报价表、分项报价明细表、商务部分正负偏离表、技术部分正负偏离表、其他证明文件等部分。供应商按“第五部分 响应文件格式”要求编写响应文件。</w:t>
      </w:r>
    </w:p>
    <w:p w14:paraId="096BF212">
      <w:pPr>
        <w:spacing w:line="500" w:lineRule="exact"/>
        <w:ind w:firstLine="560"/>
        <w:rPr>
          <w:rFonts w:hint="eastAsia" w:ascii="宋体" w:hAnsi="宋体" w:cs="宋体"/>
          <w:sz w:val="28"/>
          <w:szCs w:val="28"/>
        </w:rPr>
      </w:pPr>
      <w:r>
        <w:rPr>
          <w:rFonts w:hint="eastAsia" w:ascii="宋体" w:hAnsi="宋体" w:cs="宋体"/>
          <w:sz w:val="28"/>
          <w:szCs w:val="28"/>
        </w:rPr>
        <w:t>2.2 如标书制作工具中格式和内容与“江苏政府采购网”发布的磋商文件不一致，请以“江苏政府采购网”发布的磋商文件为准。</w:t>
      </w:r>
    </w:p>
    <w:p w14:paraId="0D32606D">
      <w:pPr>
        <w:keepNext/>
        <w:spacing w:line="500" w:lineRule="exact"/>
        <w:outlineLvl w:val="3"/>
        <w:rPr>
          <w:rFonts w:hint="eastAsia" w:ascii="宋体" w:hAnsi="宋体" w:cs="宋体"/>
          <w:b/>
          <w:bCs/>
          <w:sz w:val="28"/>
          <w:szCs w:val="28"/>
        </w:rPr>
      </w:pPr>
      <w:bookmarkStart w:id="48" w:name="_Hlt26668975"/>
      <w:bookmarkEnd w:id="48"/>
      <w:bookmarkStart w:id="49" w:name="_Hlt26670360"/>
      <w:bookmarkEnd w:id="49"/>
      <w:bookmarkStart w:id="50" w:name="_Hlt26954838"/>
      <w:bookmarkEnd w:id="50"/>
      <w:bookmarkStart w:id="51" w:name="_Toc49090511"/>
      <w:bookmarkStart w:id="52" w:name="_Toc14577360"/>
      <w:r>
        <w:rPr>
          <w:rFonts w:hint="eastAsia" w:ascii="宋体" w:hAnsi="宋体" w:cs="宋体"/>
          <w:sz w:val="28"/>
          <w:szCs w:val="28"/>
        </w:rPr>
        <w:t>3.</w:t>
      </w:r>
      <w:bookmarkEnd w:id="51"/>
      <w:bookmarkEnd w:id="52"/>
      <w:r>
        <w:rPr>
          <w:rFonts w:hint="eastAsia" w:ascii="宋体" w:hAnsi="宋体" w:cs="宋体"/>
          <w:sz w:val="28"/>
          <w:szCs w:val="28"/>
        </w:rPr>
        <w:t>磋商响应有效期</w:t>
      </w:r>
    </w:p>
    <w:p w14:paraId="60A9FECD">
      <w:pPr>
        <w:spacing w:line="500" w:lineRule="exact"/>
        <w:ind w:firstLine="560"/>
        <w:rPr>
          <w:rFonts w:hint="eastAsia" w:ascii="宋体" w:hAnsi="宋体" w:cs="宋体"/>
          <w:bCs/>
          <w:sz w:val="28"/>
          <w:szCs w:val="28"/>
        </w:rPr>
      </w:pPr>
      <w:r>
        <w:rPr>
          <w:rFonts w:hint="eastAsia" w:ascii="宋体" w:hAnsi="宋体" w:cs="宋体"/>
          <w:bCs/>
          <w:sz w:val="28"/>
          <w:szCs w:val="28"/>
        </w:rPr>
        <w:t>3.1磋商响应有效期为采购人规定的响应文件</w:t>
      </w:r>
      <w:r>
        <w:rPr>
          <w:rFonts w:hint="eastAsia" w:ascii="宋体" w:hAnsi="宋体" w:cs="宋体"/>
          <w:sz w:val="28"/>
          <w:szCs w:val="28"/>
        </w:rPr>
        <w:t>提交</w:t>
      </w:r>
      <w:r>
        <w:rPr>
          <w:rFonts w:hint="eastAsia" w:ascii="宋体" w:hAnsi="宋体" w:cs="宋体"/>
          <w:bCs/>
          <w:sz w:val="28"/>
          <w:szCs w:val="28"/>
        </w:rPr>
        <w:t>截止时间后</w:t>
      </w:r>
      <w:r>
        <w:rPr>
          <w:rFonts w:hint="eastAsia" w:ascii="宋体" w:hAnsi="宋体" w:cs="宋体"/>
          <w:b/>
          <w:sz w:val="28"/>
          <w:szCs w:val="28"/>
          <w:u w:val="single"/>
        </w:rPr>
        <w:t>六十（60）天</w:t>
      </w:r>
      <w:r>
        <w:rPr>
          <w:rFonts w:hint="eastAsia" w:ascii="宋体" w:hAnsi="宋体" w:cs="宋体"/>
          <w:bCs/>
          <w:sz w:val="28"/>
          <w:szCs w:val="28"/>
        </w:rPr>
        <w:t>。磋商响应有效期比规定短的将被视为非实质性响应而予以拒绝。</w:t>
      </w:r>
    </w:p>
    <w:p w14:paraId="74A0EA11">
      <w:pPr>
        <w:keepNext/>
        <w:spacing w:line="500" w:lineRule="exact"/>
        <w:outlineLvl w:val="3"/>
        <w:rPr>
          <w:rFonts w:hint="eastAsia" w:ascii="宋体" w:hAnsi="宋体" w:cs="宋体"/>
          <w:b/>
          <w:bCs/>
          <w:sz w:val="28"/>
          <w:szCs w:val="28"/>
        </w:rPr>
      </w:pPr>
      <w:r>
        <w:rPr>
          <w:rFonts w:hint="eastAsia" w:ascii="宋体" w:hAnsi="宋体" w:cs="宋体"/>
          <w:sz w:val="28"/>
          <w:szCs w:val="28"/>
        </w:rPr>
        <w:t>4. 磋商响应有效期的延长</w:t>
      </w:r>
    </w:p>
    <w:p w14:paraId="5C408815">
      <w:pPr>
        <w:spacing w:line="500" w:lineRule="exact"/>
        <w:ind w:firstLine="560"/>
        <w:rPr>
          <w:rFonts w:hint="eastAsia" w:ascii="宋体" w:hAnsi="宋体" w:cs="宋体"/>
          <w:bCs/>
          <w:sz w:val="28"/>
          <w:szCs w:val="28"/>
        </w:rPr>
      </w:pPr>
      <w:r>
        <w:rPr>
          <w:rFonts w:hint="eastAsia" w:ascii="宋体" w:hAnsi="宋体" w:cs="宋体"/>
          <w:bCs/>
          <w:sz w:val="28"/>
          <w:szCs w:val="28"/>
        </w:rPr>
        <w:t>4.1在特殊情况下，采购人于原磋商响应有效期满之前，可向磋商供应商提出延长磋商响应有效期的要求。这种要求与答复均应采用书面形式。供应商可以拒绝</w:t>
      </w:r>
      <w:r>
        <w:rPr>
          <w:rFonts w:hint="eastAsia" w:ascii="宋体" w:hAnsi="宋体" w:cs="宋体"/>
          <w:sz w:val="28"/>
          <w:szCs w:val="28"/>
        </w:rPr>
        <w:t>采购人</w:t>
      </w:r>
      <w:r>
        <w:rPr>
          <w:rFonts w:hint="eastAsia" w:ascii="宋体" w:hAnsi="宋体" w:cs="宋体"/>
          <w:bCs/>
          <w:sz w:val="28"/>
          <w:szCs w:val="28"/>
        </w:rPr>
        <w:t>的这一要求而放弃磋商响应，同意延长磋商响应有效期的供应商既不能要求也不允许修改其响应文件。</w:t>
      </w:r>
      <w:r>
        <w:rPr>
          <w:rFonts w:hint="eastAsia" w:ascii="宋体" w:hAnsi="宋体" w:cs="宋体"/>
          <w:sz w:val="28"/>
          <w:szCs w:val="28"/>
        </w:rPr>
        <w:t>受磋商响应有效期约束的所有权利与义务均延长至新的有效期</w:t>
      </w:r>
      <w:r>
        <w:rPr>
          <w:rFonts w:hint="eastAsia" w:ascii="宋体" w:hAnsi="宋体" w:cs="宋体"/>
          <w:bCs/>
          <w:sz w:val="28"/>
          <w:szCs w:val="28"/>
        </w:rPr>
        <w:t>。</w:t>
      </w:r>
    </w:p>
    <w:p w14:paraId="32B17BD9">
      <w:pPr>
        <w:keepNext/>
        <w:keepLines/>
        <w:spacing w:line="500" w:lineRule="exact"/>
        <w:outlineLvl w:val="2"/>
        <w:rPr>
          <w:rFonts w:hint="eastAsia" w:ascii="宋体" w:hAnsi="宋体" w:cs="宋体"/>
          <w:b/>
          <w:bCs/>
          <w:sz w:val="28"/>
          <w:szCs w:val="28"/>
        </w:rPr>
      </w:pPr>
      <w:bookmarkStart w:id="53" w:name="_Hlt26954739"/>
      <w:bookmarkEnd w:id="53"/>
      <w:bookmarkStart w:id="54" w:name="_Hlt26954852"/>
      <w:bookmarkEnd w:id="54"/>
      <w:bookmarkStart w:id="55" w:name="_Toc513029224"/>
      <w:bookmarkStart w:id="56" w:name="_Toc16938540"/>
      <w:bookmarkStart w:id="57" w:name="_Toc20823296"/>
      <w:bookmarkStart w:id="58" w:name="_Toc120614217"/>
      <w:r>
        <w:rPr>
          <w:rFonts w:hint="eastAsia" w:ascii="宋体" w:hAnsi="宋体" w:cs="宋体"/>
          <w:b/>
          <w:bCs/>
          <w:sz w:val="28"/>
          <w:szCs w:val="28"/>
        </w:rPr>
        <w:t>（四）响应文件的提交</w:t>
      </w:r>
      <w:bookmarkEnd w:id="55"/>
      <w:bookmarkEnd w:id="56"/>
      <w:bookmarkEnd w:id="57"/>
      <w:bookmarkEnd w:id="58"/>
    </w:p>
    <w:p w14:paraId="5DE91516">
      <w:pPr>
        <w:keepNext/>
        <w:spacing w:line="500" w:lineRule="exact"/>
        <w:outlineLvl w:val="3"/>
        <w:rPr>
          <w:rFonts w:hint="eastAsia" w:ascii="宋体" w:hAnsi="宋体" w:cs="宋体"/>
          <w:b/>
          <w:bCs/>
          <w:sz w:val="28"/>
          <w:szCs w:val="28"/>
        </w:rPr>
      </w:pPr>
      <w:bookmarkStart w:id="59" w:name="_Toc20823297"/>
      <w:bookmarkStart w:id="60" w:name="_Toc462564084"/>
      <w:bookmarkStart w:id="61" w:name="_Toc16938541"/>
      <w:bookmarkStart w:id="62" w:name="_Toc513029225"/>
      <w:r>
        <w:rPr>
          <w:rFonts w:hint="eastAsia" w:ascii="宋体" w:hAnsi="宋体" w:cs="宋体"/>
          <w:sz w:val="28"/>
          <w:szCs w:val="28"/>
        </w:rPr>
        <w:t>1.响应文件</w:t>
      </w:r>
      <w:bookmarkEnd w:id="59"/>
      <w:bookmarkEnd w:id="60"/>
      <w:bookmarkEnd w:id="61"/>
      <w:bookmarkEnd w:id="62"/>
      <w:r>
        <w:rPr>
          <w:rFonts w:hint="eastAsia" w:ascii="宋体" w:hAnsi="宋体" w:cs="宋体"/>
          <w:sz w:val="28"/>
          <w:szCs w:val="28"/>
        </w:rPr>
        <w:t>的提交</w:t>
      </w:r>
    </w:p>
    <w:p w14:paraId="51DAE45A">
      <w:pPr>
        <w:spacing w:line="500" w:lineRule="exact"/>
        <w:ind w:firstLine="556"/>
        <w:rPr>
          <w:rFonts w:hint="eastAsia" w:ascii="宋体" w:hAnsi="宋体" w:cs="宋体"/>
          <w:bCs/>
          <w:sz w:val="28"/>
          <w:szCs w:val="28"/>
        </w:rPr>
      </w:pPr>
      <w:r>
        <w:rPr>
          <w:rFonts w:hint="eastAsia" w:ascii="宋体" w:hAnsi="宋体" w:cs="宋体"/>
          <w:bCs/>
          <w:sz w:val="28"/>
          <w:szCs w:val="28"/>
        </w:rPr>
        <w:t>1.1供应商应当按照江苏政府采购网—资料下载中《江苏省政府采购管理交易系统（苏采云）供应商操作手册》规定，在</w:t>
      </w:r>
      <w:r>
        <w:rPr>
          <w:rFonts w:hint="eastAsia" w:ascii="宋体" w:hAnsi="宋体" w:cs="宋体"/>
          <w:sz w:val="28"/>
          <w:szCs w:val="28"/>
        </w:rPr>
        <w:t>响应文件提交</w:t>
      </w:r>
      <w:r>
        <w:rPr>
          <w:rFonts w:hint="eastAsia" w:ascii="宋体" w:hAnsi="宋体" w:cs="宋体"/>
          <w:bCs/>
          <w:sz w:val="28"/>
          <w:szCs w:val="28"/>
        </w:rPr>
        <w:t>截止时间前制作并上传电子响应文件。</w:t>
      </w:r>
      <w:bookmarkStart w:id="63" w:name="_Toc20823298"/>
      <w:bookmarkStart w:id="64" w:name="_Toc513029226"/>
      <w:bookmarkStart w:id="65" w:name="_Toc16938542"/>
    </w:p>
    <w:p w14:paraId="55773818">
      <w:pPr>
        <w:spacing w:line="500" w:lineRule="exact"/>
        <w:rPr>
          <w:rFonts w:hint="eastAsia" w:ascii="宋体" w:hAnsi="宋体" w:cs="宋体"/>
          <w:b/>
          <w:sz w:val="28"/>
          <w:szCs w:val="28"/>
        </w:rPr>
      </w:pPr>
      <w:r>
        <w:rPr>
          <w:rFonts w:hint="eastAsia" w:ascii="宋体" w:hAnsi="宋体" w:cs="宋体"/>
          <w:sz w:val="28"/>
          <w:szCs w:val="28"/>
        </w:rPr>
        <w:t>2.响应文件截止日期</w:t>
      </w:r>
      <w:bookmarkEnd w:id="63"/>
      <w:bookmarkEnd w:id="64"/>
      <w:bookmarkEnd w:id="65"/>
    </w:p>
    <w:p w14:paraId="59AFE408">
      <w:pPr>
        <w:spacing w:line="500" w:lineRule="exact"/>
        <w:ind w:firstLine="560"/>
        <w:rPr>
          <w:rFonts w:hint="eastAsia" w:ascii="宋体" w:hAnsi="宋体" w:cs="宋体"/>
          <w:bCs/>
          <w:sz w:val="28"/>
          <w:szCs w:val="28"/>
        </w:rPr>
      </w:pPr>
      <w:r>
        <w:rPr>
          <w:rFonts w:hint="eastAsia" w:ascii="宋体" w:hAnsi="宋体" w:cs="宋体"/>
          <w:bCs/>
          <w:sz w:val="28"/>
          <w:szCs w:val="28"/>
        </w:rPr>
        <w:t>2.1 供应商上传电子响应文件的时间不得迟于磋商公告中规定的响应文件提交截止时间。</w:t>
      </w:r>
    </w:p>
    <w:p w14:paraId="4BCBF5A6">
      <w:pPr>
        <w:spacing w:line="500" w:lineRule="exact"/>
        <w:ind w:firstLine="560"/>
        <w:rPr>
          <w:rFonts w:hint="eastAsia" w:ascii="宋体" w:hAnsi="宋体" w:cs="宋体"/>
          <w:bCs/>
          <w:sz w:val="28"/>
          <w:szCs w:val="28"/>
        </w:rPr>
      </w:pPr>
      <w:r>
        <w:rPr>
          <w:rFonts w:hint="eastAsia" w:ascii="宋体" w:hAnsi="宋体" w:cs="宋体"/>
          <w:bCs/>
          <w:sz w:val="28"/>
          <w:szCs w:val="28"/>
        </w:rPr>
        <w:t>供应商应充分考虑到网络环境、网络带宽等风险因素，如因供应商自身原因造成的电子响应文件上传不成功由供应商自行承担全部责任。</w:t>
      </w:r>
    </w:p>
    <w:p w14:paraId="6A9BCCF9">
      <w:pPr>
        <w:spacing w:line="500" w:lineRule="exact"/>
        <w:ind w:firstLine="560"/>
        <w:rPr>
          <w:rFonts w:hint="eastAsia" w:ascii="宋体" w:hAnsi="宋体" w:cs="宋体"/>
          <w:bCs/>
          <w:sz w:val="28"/>
          <w:szCs w:val="28"/>
        </w:rPr>
      </w:pPr>
      <w:r>
        <w:rPr>
          <w:rFonts w:hint="eastAsia" w:ascii="宋体" w:hAnsi="宋体" w:cs="宋体"/>
          <w:sz w:val="28"/>
          <w:szCs w:val="28"/>
        </w:rPr>
        <w:t>2.2</w:t>
      </w:r>
      <w:r>
        <w:rPr>
          <w:rFonts w:hint="eastAsia" w:ascii="宋体" w:hAnsi="宋体" w:cs="宋体"/>
          <w:bCs/>
          <w:sz w:val="28"/>
          <w:szCs w:val="28"/>
        </w:rPr>
        <w:t xml:space="preserve"> 采购人可以按照规定，通过修改响应文件酌情延长响应文件提交截止日期，在此情况下，供应商的所有权利和义务以及供应商受制的截止日期均应以延长后新的截止日期为准。</w:t>
      </w:r>
    </w:p>
    <w:p w14:paraId="76136D55">
      <w:pPr>
        <w:keepNext/>
        <w:spacing w:line="500" w:lineRule="exact"/>
        <w:outlineLvl w:val="3"/>
        <w:rPr>
          <w:rFonts w:hint="eastAsia" w:ascii="宋体" w:hAnsi="宋体" w:cs="宋体"/>
          <w:b/>
          <w:bCs/>
          <w:sz w:val="28"/>
          <w:szCs w:val="28"/>
        </w:rPr>
      </w:pPr>
      <w:bookmarkStart w:id="66" w:name="_Toc16938543"/>
      <w:bookmarkStart w:id="67" w:name="_Toc20823299"/>
      <w:bookmarkStart w:id="68" w:name="_Toc513029227"/>
      <w:r>
        <w:rPr>
          <w:rFonts w:hint="eastAsia" w:ascii="宋体" w:hAnsi="宋体" w:cs="宋体"/>
          <w:sz w:val="28"/>
          <w:szCs w:val="28"/>
        </w:rPr>
        <w:t>3.响应文件</w:t>
      </w:r>
      <w:bookmarkEnd w:id="66"/>
      <w:bookmarkEnd w:id="67"/>
      <w:bookmarkEnd w:id="68"/>
      <w:r>
        <w:rPr>
          <w:rFonts w:hint="eastAsia" w:ascii="宋体" w:hAnsi="宋体" w:cs="宋体"/>
          <w:sz w:val="28"/>
          <w:szCs w:val="28"/>
        </w:rPr>
        <w:t>的拒收</w:t>
      </w:r>
    </w:p>
    <w:p w14:paraId="62563FE7">
      <w:pPr>
        <w:spacing w:line="500" w:lineRule="exact"/>
        <w:ind w:firstLine="560"/>
        <w:rPr>
          <w:rFonts w:hint="eastAsia" w:ascii="宋体" w:hAnsi="宋体" w:cs="宋体"/>
          <w:bCs/>
          <w:sz w:val="28"/>
          <w:szCs w:val="28"/>
        </w:rPr>
      </w:pPr>
      <w:r>
        <w:rPr>
          <w:rFonts w:hint="eastAsia" w:ascii="宋体" w:hAnsi="宋体" w:cs="宋体"/>
          <w:bCs/>
          <w:sz w:val="28"/>
          <w:szCs w:val="28"/>
        </w:rPr>
        <w:t>3.1 采购人拒绝接收在其规定的响应文件提交截止时间后上传的任何响应文件。</w:t>
      </w:r>
    </w:p>
    <w:p w14:paraId="21DE5BA9">
      <w:pPr>
        <w:keepNext/>
        <w:spacing w:line="500" w:lineRule="exact"/>
        <w:outlineLvl w:val="3"/>
        <w:rPr>
          <w:rFonts w:hint="eastAsia" w:ascii="宋体" w:hAnsi="宋体" w:cs="宋体"/>
          <w:b/>
          <w:bCs/>
          <w:sz w:val="28"/>
          <w:szCs w:val="28"/>
        </w:rPr>
      </w:pPr>
      <w:bookmarkStart w:id="69" w:name="_Toc513029228"/>
      <w:bookmarkStart w:id="70" w:name="_Toc16938544"/>
      <w:bookmarkStart w:id="71" w:name="_Toc20823300"/>
      <w:r>
        <w:rPr>
          <w:rFonts w:hint="eastAsia" w:ascii="宋体" w:hAnsi="宋体" w:cs="宋体"/>
          <w:sz w:val="28"/>
          <w:szCs w:val="28"/>
        </w:rPr>
        <w:t>4. 响应文件的撤回和修改</w:t>
      </w:r>
      <w:bookmarkEnd w:id="69"/>
      <w:bookmarkEnd w:id="70"/>
      <w:bookmarkEnd w:id="71"/>
    </w:p>
    <w:p w14:paraId="6A6F1498">
      <w:pPr>
        <w:spacing w:line="500" w:lineRule="exact"/>
        <w:ind w:firstLine="560"/>
        <w:rPr>
          <w:rFonts w:hint="eastAsia" w:ascii="宋体" w:hAnsi="宋体" w:cs="宋体"/>
          <w:sz w:val="28"/>
          <w:szCs w:val="28"/>
        </w:rPr>
      </w:pPr>
      <w:r>
        <w:rPr>
          <w:rFonts w:hint="eastAsia" w:ascii="宋体" w:hAnsi="宋体" w:cs="宋体"/>
          <w:sz w:val="28"/>
          <w:szCs w:val="28"/>
        </w:rPr>
        <w:t>4.1 响应文件的撤回</w:t>
      </w:r>
    </w:p>
    <w:p w14:paraId="4275FFE2">
      <w:pPr>
        <w:spacing w:line="500" w:lineRule="exact"/>
        <w:ind w:firstLine="560"/>
        <w:rPr>
          <w:rFonts w:hint="eastAsia" w:ascii="宋体" w:hAnsi="宋体" w:cs="宋体"/>
          <w:sz w:val="28"/>
          <w:szCs w:val="28"/>
        </w:rPr>
      </w:pPr>
      <w:r>
        <w:rPr>
          <w:rFonts w:hint="eastAsia" w:ascii="宋体" w:hAnsi="宋体" w:cs="宋体"/>
          <w:sz w:val="28"/>
          <w:szCs w:val="28"/>
        </w:rPr>
        <w:t>4.1.1 电子响应文件的撤回</w:t>
      </w:r>
    </w:p>
    <w:p w14:paraId="43E653D3">
      <w:pPr>
        <w:spacing w:line="500" w:lineRule="exact"/>
        <w:ind w:firstLine="560"/>
        <w:rPr>
          <w:rFonts w:hint="eastAsia" w:ascii="宋体" w:hAnsi="宋体" w:cs="宋体"/>
          <w:sz w:val="28"/>
          <w:szCs w:val="28"/>
        </w:rPr>
      </w:pPr>
      <w:r>
        <w:rPr>
          <w:rFonts w:hint="eastAsia" w:ascii="宋体" w:hAnsi="宋体" w:cs="宋体"/>
          <w:sz w:val="28"/>
          <w:szCs w:val="28"/>
        </w:rPr>
        <w:t>供应商可在响应文件提交截止时间前，撤回其电子响应文件，具体操作方法见《江苏省政府采购管理交易系统（苏采云）供应商操作手册》。</w:t>
      </w:r>
    </w:p>
    <w:p w14:paraId="762A8D81">
      <w:pPr>
        <w:spacing w:line="500" w:lineRule="exact"/>
        <w:ind w:firstLine="560"/>
        <w:rPr>
          <w:rFonts w:hint="eastAsia" w:ascii="宋体" w:hAnsi="宋体" w:cs="宋体"/>
          <w:sz w:val="28"/>
          <w:szCs w:val="28"/>
        </w:rPr>
      </w:pPr>
      <w:r>
        <w:rPr>
          <w:rFonts w:hint="eastAsia" w:ascii="宋体" w:hAnsi="宋体" w:cs="宋体"/>
          <w:sz w:val="28"/>
          <w:szCs w:val="28"/>
        </w:rPr>
        <w:t>4.1.2 供应商撤回电子响应文件，则认为其不再参与本项目磋商活动。</w:t>
      </w:r>
    </w:p>
    <w:p w14:paraId="5983957B">
      <w:pPr>
        <w:spacing w:line="500" w:lineRule="exact"/>
        <w:ind w:firstLine="560"/>
        <w:rPr>
          <w:rFonts w:hint="eastAsia" w:ascii="宋体" w:hAnsi="宋体" w:cs="宋体"/>
          <w:sz w:val="28"/>
          <w:szCs w:val="28"/>
        </w:rPr>
      </w:pPr>
      <w:r>
        <w:rPr>
          <w:rFonts w:hint="eastAsia" w:ascii="宋体" w:hAnsi="宋体" w:cs="宋体"/>
          <w:sz w:val="28"/>
          <w:szCs w:val="28"/>
        </w:rPr>
        <w:t>4.2 响应文件的修改</w:t>
      </w:r>
    </w:p>
    <w:p w14:paraId="280A8732">
      <w:pPr>
        <w:spacing w:line="500" w:lineRule="exact"/>
        <w:ind w:firstLine="555"/>
        <w:rPr>
          <w:rFonts w:hint="eastAsia" w:ascii="宋体" w:hAnsi="宋体" w:cs="宋体"/>
          <w:bCs/>
          <w:sz w:val="28"/>
          <w:szCs w:val="28"/>
        </w:rPr>
      </w:pPr>
      <w:r>
        <w:rPr>
          <w:rFonts w:hint="eastAsia" w:ascii="宋体" w:hAnsi="宋体" w:cs="宋体"/>
          <w:bCs/>
          <w:sz w:val="28"/>
          <w:szCs w:val="28"/>
        </w:rPr>
        <w:t>供应商可在响应文件提交截止时间前，对其电子响应文件进行修改，</w:t>
      </w:r>
      <w:r>
        <w:rPr>
          <w:rFonts w:hint="eastAsia" w:ascii="宋体" w:hAnsi="宋体" w:cs="宋体"/>
          <w:sz w:val="28"/>
          <w:szCs w:val="28"/>
        </w:rPr>
        <w:t>具体操作方法见《江苏省政府采购管理交易系统（苏采云）供应商操作手册》</w:t>
      </w:r>
      <w:r>
        <w:rPr>
          <w:rFonts w:hint="eastAsia" w:ascii="宋体" w:hAnsi="宋体" w:cs="宋体"/>
          <w:bCs/>
          <w:sz w:val="28"/>
          <w:szCs w:val="28"/>
        </w:rPr>
        <w:t>。</w:t>
      </w:r>
    </w:p>
    <w:p w14:paraId="36F15824">
      <w:pPr>
        <w:spacing w:line="500" w:lineRule="exact"/>
        <w:ind w:firstLine="555"/>
        <w:rPr>
          <w:rFonts w:hint="eastAsia" w:ascii="宋体" w:hAnsi="宋体" w:cs="宋体"/>
          <w:bCs/>
          <w:sz w:val="28"/>
          <w:szCs w:val="28"/>
        </w:rPr>
      </w:pPr>
      <w:r>
        <w:rPr>
          <w:rFonts w:hint="eastAsia" w:ascii="宋体" w:hAnsi="宋体" w:cs="宋体"/>
          <w:sz w:val="28"/>
          <w:szCs w:val="28"/>
        </w:rPr>
        <w:t>4.3</w:t>
      </w:r>
      <w:r>
        <w:rPr>
          <w:rFonts w:hint="eastAsia" w:ascii="宋体" w:hAnsi="宋体" w:cs="宋体"/>
          <w:bCs/>
          <w:sz w:val="28"/>
          <w:szCs w:val="28"/>
        </w:rPr>
        <w:t xml:space="preserve"> 在响应文件提交截止时间之后，供应商不得对其电子响应文件作任何修改。</w:t>
      </w:r>
    </w:p>
    <w:p w14:paraId="63CF21C9">
      <w:pPr>
        <w:spacing w:line="500" w:lineRule="exact"/>
        <w:ind w:firstLine="555"/>
        <w:rPr>
          <w:rFonts w:hint="eastAsia" w:ascii="宋体" w:hAnsi="宋体" w:cs="宋体"/>
          <w:bCs/>
          <w:sz w:val="28"/>
          <w:szCs w:val="28"/>
        </w:rPr>
      </w:pPr>
      <w:r>
        <w:rPr>
          <w:rFonts w:hint="eastAsia" w:ascii="宋体" w:hAnsi="宋体" w:cs="宋体"/>
          <w:sz w:val="28"/>
          <w:szCs w:val="28"/>
        </w:rPr>
        <w:t>4.4</w:t>
      </w:r>
      <w:r>
        <w:rPr>
          <w:rFonts w:hint="eastAsia" w:ascii="宋体" w:hAnsi="宋体" w:cs="宋体"/>
          <w:bCs/>
          <w:sz w:val="28"/>
          <w:szCs w:val="28"/>
        </w:rPr>
        <w:t xml:space="preserve"> 在响应文件截止时间至响应文件中规定的磋商响应有效期满之间的这段时间内，供应商不得撤回其响应文件。</w:t>
      </w:r>
    </w:p>
    <w:p w14:paraId="1C500B84">
      <w:pPr>
        <w:spacing w:line="500" w:lineRule="exact"/>
        <w:rPr>
          <w:rFonts w:hint="eastAsia" w:ascii="宋体" w:hAnsi="宋体" w:cs="宋体"/>
          <w:b/>
          <w:bCs/>
          <w:sz w:val="28"/>
          <w:szCs w:val="28"/>
        </w:rPr>
      </w:pPr>
      <w:bookmarkStart w:id="72" w:name="_Toc16938545"/>
      <w:bookmarkStart w:id="73" w:name="_Toc20823301"/>
      <w:bookmarkStart w:id="74" w:name="_Toc120614218"/>
      <w:bookmarkStart w:id="75" w:name="_Toc513029229"/>
      <w:r>
        <w:rPr>
          <w:rFonts w:hint="eastAsia" w:ascii="宋体" w:hAnsi="宋体" w:cs="宋体"/>
          <w:b/>
          <w:bCs/>
          <w:sz w:val="28"/>
          <w:szCs w:val="28"/>
        </w:rPr>
        <w:t>（五）</w:t>
      </w:r>
      <w:bookmarkEnd w:id="72"/>
      <w:bookmarkEnd w:id="73"/>
      <w:bookmarkEnd w:id="74"/>
      <w:bookmarkEnd w:id="75"/>
      <w:bookmarkStart w:id="76" w:name="_Toc513029230"/>
      <w:bookmarkStart w:id="77" w:name="_Toc20823302"/>
      <w:bookmarkStart w:id="78" w:name="_Toc16938546"/>
      <w:r>
        <w:rPr>
          <w:rFonts w:hint="eastAsia" w:ascii="宋体" w:hAnsi="宋体" w:cs="宋体"/>
          <w:b/>
          <w:bCs/>
          <w:sz w:val="28"/>
          <w:szCs w:val="28"/>
        </w:rPr>
        <w:t>磋商与评审</w:t>
      </w:r>
    </w:p>
    <w:p w14:paraId="45D68538">
      <w:pPr>
        <w:spacing w:line="500" w:lineRule="exact"/>
        <w:ind w:firstLine="420"/>
        <w:rPr>
          <w:rFonts w:hint="eastAsia" w:ascii="宋体" w:hAnsi="宋体" w:cs="宋体"/>
          <w:bCs/>
          <w:sz w:val="28"/>
          <w:szCs w:val="28"/>
        </w:rPr>
      </w:pPr>
      <w:r>
        <w:rPr>
          <w:rFonts w:hint="eastAsia" w:ascii="宋体" w:hAnsi="宋体" w:cs="宋体"/>
          <w:bCs/>
          <w:sz w:val="28"/>
          <w:szCs w:val="28"/>
        </w:rPr>
        <w:t>1.磋商仪式</w:t>
      </w:r>
    </w:p>
    <w:p w14:paraId="51C18D02">
      <w:pPr>
        <w:spacing w:line="500" w:lineRule="exact"/>
        <w:ind w:firstLine="420"/>
        <w:rPr>
          <w:rFonts w:hint="eastAsia" w:ascii="宋体" w:hAnsi="宋体" w:cs="宋体"/>
          <w:bCs/>
          <w:sz w:val="28"/>
          <w:szCs w:val="28"/>
        </w:rPr>
      </w:pPr>
      <w:r>
        <w:rPr>
          <w:rFonts w:hint="eastAsia" w:ascii="宋体" w:hAnsi="宋体" w:cs="宋体"/>
          <w:bCs/>
          <w:sz w:val="28"/>
          <w:szCs w:val="28"/>
        </w:rPr>
        <w:t>1.1</w:t>
      </w:r>
      <w:r>
        <w:rPr>
          <w:rFonts w:hint="eastAsia" w:ascii="宋体" w:hAnsi="宋体" w:cs="宋体"/>
          <w:sz w:val="28"/>
          <w:szCs w:val="28"/>
        </w:rPr>
        <w:t>采购人或采购代理机构</w:t>
      </w:r>
      <w:r>
        <w:rPr>
          <w:rFonts w:hint="eastAsia" w:ascii="宋体" w:hAnsi="宋体" w:cs="宋体"/>
          <w:bCs/>
          <w:sz w:val="28"/>
          <w:szCs w:val="28"/>
        </w:rPr>
        <w:t>将在磋商公告中规定的时间和地点组织磋商开始仪式。</w:t>
      </w:r>
    </w:p>
    <w:p w14:paraId="094B7380">
      <w:pPr>
        <w:spacing w:line="500" w:lineRule="exact"/>
        <w:ind w:firstLine="556"/>
        <w:rPr>
          <w:rFonts w:hint="eastAsia" w:ascii="宋体" w:hAnsi="宋体" w:cs="宋体"/>
          <w:b/>
          <w:sz w:val="28"/>
          <w:szCs w:val="28"/>
        </w:rPr>
      </w:pPr>
      <w:r>
        <w:rPr>
          <w:rFonts w:hint="eastAsia" w:ascii="宋体" w:hAnsi="宋体" w:cs="宋体"/>
          <w:bCs/>
          <w:sz w:val="28"/>
          <w:szCs w:val="28"/>
        </w:rPr>
        <w:t>1.2 磋商活动的文件解密工作</w:t>
      </w:r>
      <w:r>
        <w:rPr>
          <w:rFonts w:hint="eastAsia" w:ascii="宋体" w:hAnsi="宋体" w:cs="宋体"/>
          <w:sz w:val="28"/>
          <w:szCs w:val="28"/>
        </w:rPr>
        <w:t>由采购人或采购代理机构组织，在苏采云系统中进行磋商。</w:t>
      </w:r>
    </w:p>
    <w:p w14:paraId="2E9AACF3">
      <w:pPr>
        <w:spacing w:line="500" w:lineRule="exact"/>
        <w:ind w:firstLine="560"/>
        <w:rPr>
          <w:rFonts w:hint="eastAsia" w:ascii="宋体" w:hAnsi="宋体" w:cs="宋体"/>
          <w:sz w:val="28"/>
          <w:szCs w:val="28"/>
        </w:rPr>
      </w:pPr>
      <w:r>
        <w:rPr>
          <w:rFonts w:hint="eastAsia" w:ascii="宋体" w:hAnsi="宋体" w:cs="宋体"/>
          <w:bCs/>
          <w:sz w:val="28"/>
          <w:szCs w:val="28"/>
        </w:rPr>
        <w:t>1.3供应商在磋商过程中涉及到的磋商文件解密等工作，按照《</w:t>
      </w:r>
      <w:r>
        <w:rPr>
          <w:rFonts w:hint="eastAsia" w:ascii="宋体" w:hAnsi="宋体" w:cs="宋体"/>
          <w:sz w:val="28"/>
          <w:szCs w:val="28"/>
        </w:rPr>
        <w:t>江苏省政府采购管理交易系统（苏采云）供应商操作手册</w:t>
      </w:r>
      <w:r>
        <w:rPr>
          <w:rFonts w:hint="eastAsia" w:ascii="宋体" w:hAnsi="宋体" w:cs="宋体"/>
          <w:bCs/>
          <w:sz w:val="28"/>
          <w:szCs w:val="28"/>
        </w:rPr>
        <w:t>》执行。</w:t>
      </w:r>
    </w:p>
    <w:p w14:paraId="7EE9A9A2">
      <w:pPr>
        <w:spacing w:line="500" w:lineRule="exact"/>
        <w:ind w:firstLine="560"/>
        <w:rPr>
          <w:rFonts w:hint="eastAsia" w:ascii="宋体" w:hAnsi="宋体" w:cs="宋体"/>
          <w:sz w:val="28"/>
          <w:szCs w:val="28"/>
        </w:rPr>
      </w:pPr>
      <w:r>
        <w:rPr>
          <w:rFonts w:hint="eastAsia" w:ascii="宋体" w:hAnsi="宋体" w:cs="宋体"/>
          <w:sz w:val="28"/>
          <w:szCs w:val="28"/>
        </w:rPr>
        <w:t>2.磋商小组</w:t>
      </w:r>
    </w:p>
    <w:p w14:paraId="651DB75E">
      <w:pPr>
        <w:spacing w:line="500" w:lineRule="exact"/>
        <w:ind w:firstLine="560"/>
        <w:rPr>
          <w:rFonts w:hint="eastAsia" w:ascii="宋体" w:hAnsi="宋体" w:cs="宋体"/>
          <w:sz w:val="28"/>
          <w:szCs w:val="28"/>
        </w:rPr>
      </w:pPr>
      <w:r>
        <w:rPr>
          <w:rFonts w:hint="eastAsia" w:ascii="宋体" w:hAnsi="宋体" w:cs="宋体"/>
          <w:sz w:val="28"/>
          <w:szCs w:val="28"/>
        </w:rPr>
        <w:t>2.1磋商开始仪式结束后，采购人或采购代理机构将组织磋商小组进行评审。</w:t>
      </w:r>
    </w:p>
    <w:p w14:paraId="40107361">
      <w:pPr>
        <w:spacing w:line="500" w:lineRule="exact"/>
        <w:ind w:firstLine="560"/>
        <w:rPr>
          <w:rFonts w:hint="eastAsia" w:ascii="宋体" w:hAnsi="宋体" w:cs="宋体"/>
          <w:sz w:val="28"/>
          <w:szCs w:val="28"/>
        </w:rPr>
      </w:pPr>
      <w:r>
        <w:rPr>
          <w:rFonts w:hint="eastAsia" w:ascii="宋体" w:hAnsi="宋体" w:cs="宋体"/>
          <w:sz w:val="28"/>
          <w:szCs w:val="28"/>
        </w:rPr>
        <w:t>2.2磋商小组由采购人代表和评审专家共3人以上单数组成，其中评审专家人数不得少于磋商小组成员总数的2/3。采购人不得以评审专家身份参加本部门或本单位采购项目的评审。代理机构人员不得参加本机构代理的采购项目的评审。</w:t>
      </w:r>
    </w:p>
    <w:p w14:paraId="52272F19">
      <w:pPr>
        <w:spacing w:line="500" w:lineRule="exact"/>
        <w:ind w:firstLine="560"/>
        <w:rPr>
          <w:rFonts w:hint="eastAsia" w:ascii="宋体" w:hAnsi="宋体" w:cs="宋体"/>
          <w:sz w:val="28"/>
          <w:szCs w:val="28"/>
        </w:rPr>
      </w:pPr>
      <w:r>
        <w:rPr>
          <w:rFonts w:hint="eastAsia" w:ascii="宋体" w:hAnsi="宋体" w:cs="宋体"/>
          <w:sz w:val="28"/>
          <w:szCs w:val="28"/>
        </w:rPr>
        <w:t>2.3超过公开招标限额标准的项目，磋商小组应当由5人以上单数组成。</w:t>
      </w:r>
    </w:p>
    <w:p w14:paraId="4446AA46">
      <w:pPr>
        <w:spacing w:line="500" w:lineRule="exact"/>
        <w:ind w:firstLine="560"/>
        <w:rPr>
          <w:rFonts w:hint="eastAsia" w:ascii="宋体" w:hAnsi="宋体" w:cs="宋体"/>
          <w:sz w:val="28"/>
          <w:szCs w:val="28"/>
        </w:rPr>
      </w:pPr>
      <w:r>
        <w:rPr>
          <w:rFonts w:hint="eastAsia" w:ascii="宋体" w:hAnsi="宋体" w:cs="宋体"/>
          <w:sz w:val="28"/>
          <w:szCs w:val="28"/>
        </w:rPr>
        <w:t>2.4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65FF1140">
      <w:pPr>
        <w:spacing w:line="500" w:lineRule="exact"/>
        <w:ind w:firstLine="560"/>
        <w:rPr>
          <w:rFonts w:hint="eastAsia" w:ascii="宋体" w:hAnsi="宋体" w:cs="宋体"/>
          <w:sz w:val="28"/>
          <w:szCs w:val="28"/>
        </w:rPr>
      </w:pPr>
      <w:r>
        <w:rPr>
          <w:rFonts w:hint="eastAsia" w:ascii="宋体" w:hAnsi="宋体" w:cs="宋体"/>
          <w:sz w:val="28"/>
          <w:szCs w:val="28"/>
        </w:rPr>
        <w:t>2.5磋商小组独立工作，负责评审所有响应文件并确定成交候选人。</w:t>
      </w:r>
    </w:p>
    <w:p w14:paraId="0545AB94">
      <w:pPr>
        <w:spacing w:line="500" w:lineRule="exact"/>
        <w:ind w:firstLine="560"/>
        <w:rPr>
          <w:rFonts w:hint="eastAsia" w:ascii="宋体" w:hAnsi="宋体" w:cs="宋体"/>
          <w:sz w:val="28"/>
          <w:szCs w:val="28"/>
        </w:rPr>
      </w:pPr>
      <w:r>
        <w:rPr>
          <w:rFonts w:hint="eastAsia" w:ascii="宋体" w:hAnsi="宋体" w:cs="宋体"/>
          <w:sz w:val="28"/>
          <w:szCs w:val="28"/>
        </w:rPr>
        <w:t>3. 磋商评审过程的保密与公正</w:t>
      </w:r>
    </w:p>
    <w:p w14:paraId="5CD412BF">
      <w:pPr>
        <w:tabs>
          <w:tab w:val="left" w:pos="900"/>
        </w:tabs>
        <w:spacing w:line="500" w:lineRule="exact"/>
        <w:ind w:firstLine="557"/>
        <w:rPr>
          <w:rFonts w:hint="eastAsia" w:ascii="宋体" w:hAnsi="宋体" w:cs="宋体"/>
          <w:sz w:val="28"/>
          <w:szCs w:val="28"/>
        </w:rPr>
      </w:pPr>
      <w:r>
        <w:rPr>
          <w:rFonts w:hint="eastAsia" w:ascii="宋体" w:hAnsi="宋体" w:cs="宋体"/>
          <w:sz w:val="28"/>
          <w:szCs w:val="28"/>
        </w:rPr>
        <w:t>3.1磋商小组、采购人和采购代理机构工作人员、相关监督人员等与评审工作有关的人员，对评审情况以及在评审过程中获悉的国家秘密、商业秘密负有保密责任。</w:t>
      </w:r>
    </w:p>
    <w:p w14:paraId="4EE01C40">
      <w:pPr>
        <w:tabs>
          <w:tab w:val="left" w:pos="900"/>
        </w:tabs>
        <w:spacing w:line="500" w:lineRule="exact"/>
        <w:ind w:firstLine="557"/>
        <w:rPr>
          <w:rFonts w:hint="eastAsia" w:ascii="宋体" w:hAnsi="宋体" w:cs="宋体"/>
          <w:sz w:val="28"/>
          <w:szCs w:val="28"/>
        </w:rPr>
      </w:pPr>
      <w:r>
        <w:rPr>
          <w:rFonts w:hint="eastAsia" w:ascii="宋体" w:hAnsi="宋体" w:cs="宋体"/>
          <w:sz w:val="28"/>
          <w:szCs w:val="28"/>
        </w:rPr>
        <w:t>3.2在磋商评审过程中，磋商供应商不得以任何行为影响磋商评审过程，否则其响应文件将被作为无效响应文件。</w:t>
      </w:r>
    </w:p>
    <w:p w14:paraId="06A8AE8D">
      <w:pPr>
        <w:tabs>
          <w:tab w:val="left" w:pos="900"/>
        </w:tabs>
        <w:spacing w:line="500" w:lineRule="exact"/>
        <w:ind w:firstLine="557"/>
        <w:rPr>
          <w:rFonts w:hint="eastAsia" w:ascii="宋体" w:hAnsi="宋体" w:cs="宋体"/>
          <w:sz w:val="28"/>
          <w:szCs w:val="28"/>
        </w:rPr>
      </w:pPr>
      <w:r>
        <w:rPr>
          <w:rFonts w:hint="eastAsia" w:ascii="宋体" w:hAnsi="宋体" w:cs="宋体"/>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03D0EE6">
      <w:pPr>
        <w:tabs>
          <w:tab w:val="left" w:pos="900"/>
        </w:tabs>
        <w:spacing w:line="500" w:lineRule="exact"/>
        <w:ind w:firstLine="557"/>
        <w:rPr>
          <w:rFonts w:hint="eastAsia" w:ascii="宋体" w:hAnsi="宋体" w:cs="宋体"/>
          <w:bCs/>
          <w:sz w:val="28"/>
          <w:szCs w:val="28"/>
        </w:rPr>
      </w:pPr>
      <w:r>
        <w:rPr>
          <w:rFonts w:hint="eastAsia" w:ascii="宋体" w:hAnsi="宋体" w:cs="宋体"/>
          <w:sz w:val="28"/>
          <w:szCs w:val="28"/>
        </w:rPr>
        <w:t>3.4</w:t>
      </w:r>
      <w:r>
        <w:rPr>
          <w:rFonts w:hint="eastAsia" w:ascii="宋体" w:hAnsi="宋体" w:cs="宋体"/>
          <w:bCs/>
          <w:sz w:val="28"/>
          <w:szCs w:val="28"/>
        </w:rPr>
        <w:t>评审开始后，直至向成交供应商授予合同时止，凡是与审查、澄清、评价和比较响应的有关资料以及授标建议等，采购人、磋商小组、</w:t>
      </w:r>
      <w:r>
        <w:rPr>
          <w:rFonts w:hint="eastAsia" w:ascii="宋体" w:hAnsi="宋体" w:cs="宋体"/>
          <w:sz w:val="28"/>
          <w:szCs w:val="28"/>
        </w:rPr>
        <w:t>采购代理机构</w:t>
      </w:r>
      <w:r>
        <w:rPr>
          <w:rFonts w:hint="eastAsia" w:ascii="宋体" w:hAnsi="宋体" w:cs="宋体"/>
          <w:bCs/>
          <w:sz w:val="28"/>
          <w:szCs w:val="28"/>
        </w:rPr>
        <w:t>均不得向供应商或与评标无关的其他人员透露。</w:t>
      </w:r>
    </w:p>
    <w:p w14:paraId="11713F76">
      <w:pPr>
        <w:spacing w:line="500" w:lineRule="exact"/>
        <w:ind w:firstLine="560"/>
        <w:rPr>
          <w:rFonts w:hint="eastAsia" w:ascii="宋体" w:hAnsi="宋体" w:cs="宋体"/>
          <w:sz w:val="28"/>
          <w:szCs w:val="28"/>
        </w:rPr>
      </w:pPr>
      <w:r>
        <w:rPr>
          <w:rFonts w:hint="eastAsia" w:ascii="宋体" w:hAnsi="宋体" w:cs="宋体"/>
          <w:sz w:val="28"/>
          <w:szCs w:val="28"/>
        </w:rPr>
        <w:t>3.5在评审期间，采购人或采购代理机构将设专门人员与供应商联系。</w:t>
      </w:r>
    </w:p>
    <w:p w14:paraId="409C444B">
      <w:pPr>
        <w:spacing w:line="500" w:lineRule="exact"/>
        <w:ind w:firstLine="560"/>
        <w:rPr>
          <w:rFonts w:hint="eastAsia" w:ascii="宋体" w:hAnsi="宋体" w:cs="宋体"/>
          <w:sz w:val="28"/>
          <w:szCs w:val="28"/>
        </w:rPr>
      </w:pPr>
      <w:r>
        <w:rPr>
          <w:rFonts w:hint="eastAsia" w:ascii="宋体" w:hAnsi="宋体" w:cs="宋体"/>
          <w:sz w:val="28"/>
          <w:szCs w:val="28"/>
        </w:rPr>
        <w:t>3.6采购人或采购代理机构和评审小组不向未成交的供应商解释未成交原因，也不公布评审过程中的相关细节。</w:t>
      </w:r>
    </w:p>
    <w:p w14:paraId="45F4D473">
      <w:pPr>
        <w:tabs>
          <w:tab w:val="left" w:pos="900"/>
        </w:tabs>
        <w:spacing w:line="500" w:lineRule="exact"/>
        <w:ind w:firstLine="557"/>
        <w:rPr>
          <w:rFonts w:hint="eastAsia" w:ascii="宋体" w:hAnsi="宋体" w:cs="宋体"/>
          <w:sz w:val="28"/>
          <w:szCs w:val="28"/>
        </w:rPr>
      </w:pPr>
      <w:r>
        <w:rPr>
          <w:rFonts w:hint="eastAsia" w:ascii="宋体" w:hAnsi="宋体" w:cs="宋体"/>
          <w:sz w:val="28"/>
          <w:szCs w:val="28"/>
        </w:rPr>
        <w:t>4、评审过程的澄清</w:t>
      </w:r>
    </w:p>
    <w:p w14:paraId="5C872C7F">
      <w:pPr>
        <w:spacing w:line="500" w:lineRule="exact"/>
        <w:ind w:firstLine="560"/>
        <w:rPr>
          <w:rFonts w:hint="eastAsia" w:ascii="宋体" w:hAnsi="宋体" w:cs="宋体"/>
          <w:sz w:val="28"/>
          <w:szCs w:val="28"/>
        </w:rPr>
      </w:pPr>
      <w:r>
        <w:rPr>
          <w:rFonts w:hint="eastAsia" w:ascii="宋体" w:hAnsi="宋体" w:cs="宋体"/>
          <w:sz w:val="28"/>
          <w:szCs w:val="28"/>
        </w:rPr>
        <w:t>4.1评审期间，为有助于对响应文件的审查、评价和比较，磋商小组有权以电子函件形式要求响应人对其响应文件进行澄清，但并非对每个供应商都作澄清要求。</w:t>
      </w:r>
    </w:p>
    <w:p w14:paraId="48C2F37B">
      <w:pPr>
        <w:spacing w:line="500" w:lineRule="exact"/>
        <w:ind w:firstLine="560"/>
        <w:rPr>
          <w:rFonts w:hint="eastAsia" w:ascii="宋体" w:hAnsi="宋体" w:cs="宋体"/>
          <w:sz w:val="28"/>
          <w:szCs w:val="28"/>
        </w:rPr>
      </w:pPr>
      <w:r>
        <w:rPr>
          <w:rFonts w:hint="eastAsia" w:ascii="宋体" w:hAnsi="宋体" w:cs="宋体"/>
          <w:sz w:val="28"/>
          <w:szCs w:val="28"/>
        </w:rPr>
        <w:t>4.2接到磋商小组澄清要求的供应商应派人按磋商小组规定的时间和格式在苏采云系统中做出澄清，澄清的内容作为响应文件的补充部分，但实质性的内容不得做任何更改。具体操作方式见</w:t>
      </w:r>
      <w:r>
        <w:rPr>
          <w:rFonts w:hint="eastAsia" w:ascii="宋体" w:hAnsi="宋体" w:cs="宋体"/>
          <w:bCs/>
          <w:sz w:val="28"/>
          <w:szCs w:val="28"/>
        </w:rPr>
        <w:t>《</w:t>
      </w:r>
      <w:r>
        <w:rPr>
          <w:rFonts w:hint="eastAsia" w:ascii="宋体" w:hAnsi="宋体" w:cs="宋体"/>
          <w:sz w:val="28"/>
          <w:szCs w:val="28"/>
        </w:rPr>
        <w:t>江苏省政府采购管理交易系统（苏采云）供应商操作手册</w:t>
      </w:r>
      <w:r>
        <w:rPr>
          <w:rFonts w:hint="eastAsia" w:ascii="宋体" w:hAnsi="宋体" w:cs="宋体"/>
          <w:bCs/>
          <w:sz w:val="28"/>
          <w:szCs w:val="28"/>
        </w:rPr>
        <w:t>》</w:t>
      </w:r>
      <w:r>
        <w:rPr>
          <w:rFonts w:hint="eastAsia" w:ascii="宋体" w:hAnsi="宋体" w:cs="宋体"/>
          <w:sz w:val="28"/>
          <w:szCs w:val="28"/>
        </w:rPr>
        <w:t>。</w:t>
      </w:r>
    </w:p>
    <w:p w14:paraId="7A038C5F">
      <w:pPr>
        <w:spacing w:line="500" w:lineRule="exact"/>
        <w:ind w:firstLine="560"/>
        <w:rPr>
          <w:rFonts w:hint="eastAsia" w:ascii="宋体" w:hAnsi="宋体" w:cs="宋体"/>
          <w:bCs/>
          <w:sz w:val="28"/>
          <w:szCs w:val="28"/>
        </w:rPr>
      </w:pPr>
      <w:r>
        <w:rPr>
          <w:rFonts w:hint="eastAsia" w:ascii="宋体" w:hAnsi="宋体" w:cs="宋体"/>
          <w:sz w:val="28"/>
          <w:szCs w:val="28"/>
        </w:rPr>
        <w:t>4.3 接到磋商小组澄清要求的供应商如未按规定做出澄清，其风</w:t>
      </w:r>
      <w:r>
        <w:rPr>
          <w:rFonts w:hint="eastAsia" w:ascii="宋体" w:hAnsi="宋体" w:cs="宋体"/>
          <w:bCs/>
          <w:sz w:val="28"/>
          <w:szCs w:val="28"/>
        </w:rPr>
        <w:t>险由供应商自行承担。</w:t>
      </w:r>
    </w:p>
    <w:p w14:paraId="752D1EC8">
      <w:pPr>
        <w:spacing w:line="500" w:lineRule="exact"/>
        <w:ind w:firstLine="560"/>
        <w:rPr>
          <w:rFonts w:hint="eastAsia" w:ascii="宋体" w:hAnsi="宋体" w:cs="宋体"/>
          <w:bCs/>
          <w:sz w:val="28"/>
          <w:szCs w:val="28"/>
        </w:rPr>
      </w:pPr>
      <w:r>
        <w:rPr>
          <w:rFonts w:hint="eastAsia" w:ascii="宋体" w:hAnsi="宋体" w:cs="宋体"/>
          <w:bCs/>
          <w:sz w:val="28"/>
          <w:szCs w:val="28"/>
        </w:rPr>
        <w:t>5.对响应文件的初审</w:t>
      </w:r>
    </w:p>
    <w:p w14:paraId="5F02CBAD">
      <w:pPr>
        <w:spacing w:line="500" w:lineRule="exact"/>
        <w:ind w:firstLine="560"/>
        <w:rPr>
          <w:rFonts w:hint="eastAsia" w:ascii="宋体" w:hAnsi="宋体" w:cs="宋体"/>
          <w:bCs/>
          <w:sz w:val="28"/>
          <w:szCs w:val="28"/>
        </w:rPr>
      </w:pPr>
      <w:r>
        <w:rPr>
          <w:rFonts w:hint="eastAsia" w:ascii="宋体" w:hAnsi="宋体" w:cs="宋体"/>
          <w:bCs/>
          <w:sz w:val="28"/>
          <w:szCs w:val="28"/>
        </w:rPr>
        <w:t>5.1响应文件初审分为资格性审查和符合性审查。</w:t>
      </w:r>
    </w:p>
    <w:p w14:paraId="094C90C8">
      <w:pPr>
        <w:spacing w:line="500" w:lineRule="exact"/>
        <w:ind w:firstLine="560"/>
        <w:rPr>
          <w:rFonts w:hint="eastAsia" w:ascii="宋体" w:hAnsi="宋体" w:cs="宋体"/>
          <w:bCs/>
          <w:sz w:val="28"/>
          <w:szCs w:val="28"/>
        </w:rPr>
      </w:pPr>
      <w:r>
        <w:rPr>
          <w:rFonts w:hint="eastAsia" w:ascii="宋体" w:hAnsi="宋体" w:cs="宋体"/>
          <w:bCs/>
          <w:sz w:val="28"/>
          <w:szCs w:val="28"/>
        </w:rPr>
        <w:t>5.1.1资格性检查：依据法律法规和磋商文件的规定，由磋商小组对响应文件中的资格审查证明材料进行审查，以确定供应商是否具备参加磋商的资格。</w:t>
      </w:r>
    </w:p>
    <w:p w14:paraId="595AEF78">
      <w:pPr>
        <w:spacing w:line="500" w:lineRule="exact"/>
        <w:ind w:firstLine="560"/>
        <w:rPr>
          <w:rFonts w:hint="eastAsia" w:ascii="宋体" w:hAnsi="宋体" w:cs="宋体"/>
          <w:bCs/>
          <w:sz w:val="28"/>
          <w:szCs w:val="28"/>
        </w:rPr>
      </w:pPr>
      <w:r>
        <w:rPr>
          <w:rFonts w:hint="eastAsia" w:ascii="宋体" w:hAnsi="宋体" w:cs="宋体"/>
          <w:bCs/>
          <w:sz w:val="28"/>
          <w:szCs w:val="28"/>
        </w:rPr>
        <w:t>磋商小组在进行资格性审查的同时，将在“信用中国”网站查询供应商的信用记录，以确定供应商是否具备参加磋商的资格，查询结果留存并归档。</w:t>
      </w:r>
    </w:p>
    <w:p w14:paraId="10A1ABE2">
      <w:pPr>
        <w:spacing w:line="500" w:lineRule="exact"/>
        <w:ind w:firstLine="560"/>
        <w:rPr>
          <w:rFonts w:hint="eastAsia" w:ascii="宋体" w:hAnsi="宋体" w:cs="宋体"/>
          <w:bCs/>
          <w:sz w:val="28"/>
          <w:szCs w:val="28"/>
        </w:rPr>
      </w:pPr>
      <w:r>
        <w:rPr>
          <w:rFonts w:hint="eastAsia" w:ascii="宋体" w:hAnsi="宋体" w:cs="宋体"/>
          <w:bCs/>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254BB60D">
      <w:pPr>
        <w:spacing w:line="500" w:lineRule="exact"/>
        <w:ind w:firstLine="560"/>
        <w:rPr>
          <w:rFonts w:hint="eastAsia" w:ascii="宋体" w:hAnsi="宋体" w:cs="宋体"/>
          <w:bCs/>
          <w:sz w:val="28"/>
          <w:szCs w:val="28"/>
        </w:rPr>
      </w:pPr>
      <w:r>
        <w:rPr>
          <w:rFonts w:hint="eastAsia" w:ascii="宋体" w:hAnsi="宋体" w:cs="宋体"/>
          <w:bCs/>
          <w:sz w:val="28"/>
          <w:szCs w:val="28"/>
        </w:rPr>
        <w:t>5.1.2符合性审查：依据磋商文件的规定，由磋商小组从响应文件的有效性、完整性和对磋商文件的响应程度进行审查，以确定是否对磋商文件的实质性要求作出响应。</w:t>
      </w:r>
    </w:p>
    <w:p w14:paraId="6493C5FF">
      <w:pPr>
        <w:spacing w:line="500" w:lineRule="exact"/>
        <w:ind w:firstLine="560"/>
        <w:rPr>
          <w:rFonts w:hint="eastAsia" w:ascii="宋体" w:hAnsi="宋体" w:cs="宋体"/>
          <w:bCs/>
          <w:sz w:val="28"/>
          <w:szCs w:val="28"/>
        </w:rPr>
      </w:pPr>
      <w:r>
        <w:rPr>
          <w:rFonts w:hint="eastAsia" w:ascii="宋体" w:hAnsi="宋体" w:cs="宋体"/>
          <w:bCs/>
          <w:sz w:val="28"/>
          <w:szCs w:val="28"/>
        </w:rPr>
        <w:t>5.1.3未通过资格审查或符合性审查的供应商，</w:t>
      </w:r>
      <w:r>
        <w:rPr>
          <w:rFonts w:hint="eastAsia" w:ascii="宋体" w:hAnsi="宋体" w:cs="宋体"/>
          <w:sz w:val="28"/>
          <w:szCs w:val="28"/>
        </w:rPr>
        <w:t>采购人或采购代理机构</w:t>
      </w:r>
      <w:r>
        <w:rPr>
          <w:rFonts w:hint="eastAsia" w:ascii="宋体" w:hAnsi="宋体" w:cs="宋体"/>
          <w:bCs/>
          <w:sz w:val="28"/>
          <w:szCs w:val="28"/>
        </w:rPr>
        <w:t>将在</w:t>
      </w:r>
      <w:r>
        <w:rPr>
          <w:rFonts w:hint="eastAsia" w:ascii="宋体" w:hAnsi="宋体" w:cs="宋体"/>
          <w:sz w:val="28"/>
          <w:szCs w:val="28"/>
        </w:rPr>
        <w:t>“鸿雁不见面交易系统”</w:t>
      </w:r>
      <w:r>
        <w:rPr>
          <w:rFonts w:hint="eastAsia" w:ascii="宋体" w:hAnsi="宋体" w:cs="宋体"/>
          <w:bCs/>
          <w:sz w:val="28"/>
          <w:szCs w:val="28"/>
        </w:rPr>
        <w:t>中告知未通过资格审查或符合性审查的原因，评审结束后，</w:t>
      </w:r>
      <w:r>
        <w:rPr>
          <w:rFonts w:hint="eastAsia" w:ascii="宋体" w:hAnsi="宋体" w:cs="宋体"/>
          <w:sz w:val="28"/>
          <w:szCs w:val="28"/>
        </w:rPr>
        <w:t>采购人或采购代理机构</w:t>
      </w:r>
      <w:r>
        <w:rPr>
          <w:rFonts w:hint="eastAsia" w:ascii="宋体" w:hAnsi="宋体" w:cs="宋体"/>
          <w:bCs/>
          <w:sz w:val="28"/>
          <w:szCs w:val="28"/>
        </w:rPr>
        <w:t>将不再告知未通过资格审查或符合性审查的原因。</w:t>
      </w:r>
    </w:p>
    <w:p w14:paraId="141FA719">
      <w:pPr>
        <w:tabs>
          <w:tab w:val="left" w:pos="900"/>
        </w:tabs>
        <w:spacing w:line="500" w:lineRule="exact"/>
        <w:ind w:firstLine="557"/>
        <w:rPr>
          <w:rFonts w:hint="eastAsia" w:ascii="宋体" w:hAnsi="宋体" w:cs="宋体"/>
          <w:bCs/>
          <w:sz w:val="28"/>
          <w:szCs w:val="28"/>
        </w:rPr>
      </w:pPr>
      <w:r>
        <w:rPr>
          <w:rFonts w:hint="eastAsia" w:ascii="宋体" w:hAnsi="宋体" w:cs="宋体"/>
          <w:bCs/>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1D5A2D4C">
      <w:pPr>
        <w:tabs>
          <w:tab w:val="left" w:pos="900"/>
        </w:tabs>
        <w:spacing w:line="500" w:lineRule="exact"/>
        <w:ind w:firstLine="557"/>
        <w:rPr>
          <w:rFonts w:hint="eastAsia" w:ascii="宋体" w:hAnsi="宋体" w:cs="宋体"/>
          <w:bCs/>
          <w:sz w:val="28"/>
          <w:szCs w:val="28"/>
        </w:rPr>
      </w:pPr>
      <w:r>
        <w:rPr>
          <w:rFonts w:hint="eastAsia" w:ascii="宋体" w:hAnsi="宋体" w:cs="宋体"/>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27886D77">
      <w:pPr>
        <w:tabs>
          <w:tab w:val="left" w:pos="900"/>
        </w:tabs>
        <w:spacing w:line="500" w:lineRule="exact"/>
        <w:ind w:firstLine="557"/>
        <w:rPr>
          <w:rFonts w:hint="eastAsia" w:ascii="宋体" w:hAnsi="宋体" w:cs="宋体"/>
          <w:bCs/>
          <w:sz w:val="28"/>
          <w:szCs w:val="28"/>
        </w:rPr>
      </w:pPr>
      <w:r>
        <w:rPr>
          <w:rFonts w:hint="eastAsia" w:ascii="宋体" w:hAnsi="宋体" w:cs="宋体"/>
          <w:bCs/>
          <w:sz w:val="28"/>
          <w:szCs w:val="28"/>
        </w:rPr>
        <w:t>5.3如果响应文件实质上没有响应磋商文件的要求，磋商小组将予以拒绝，供应商不得通过修改或撤销不合要求的偏离或保留而使其响应文件成为实质性响应的文件。</w:t>
      </w:r>
    </w:p>
    <w:p w14:paraId="37DC3231">
      <w:pPr>
        <w:spacing w:line="500" w:lineRule="exact"/>
        <w:ind w:firstLine="560"/>
        <w:rPr>
          <w:rFonts w:hint="eastAsia" w:ascii="宋体" w:hAnsi="宋体" w:cs="宋体"/>
          <w:bCs/>
          <w:sz w:val="28"/>
          <w:szCs w:val="28"/>
        </w:rPr>
      </w:pPr>
      <w:r>
        <w:rPr>
          <w:rFonts w:hint="eastAsia" w:ascii="宋体" w:hAnsi="宋体" w:cs="宋体"/>
          <w:sz w:val="28"/>
          <w:szCs w:val="28"/>
        </w:rPr>
        <w:t>5.4</w:t>
      </w:r>
      <w:r>
        <w:rPr>
          <w:rFonts w:hint="eastAsia" w:ascii="宋体" w:hAnsi="宋体" w:cs="宋体"/>
          <w:bCs/>
          <w:sz w:val="28"/>
          <w:szCs w:val="28"/>
        </w:rPr>
        <w:t>磋商小组将对确定为实质性响应的文件进行进一步审核，看其是否有计算上或累加上的算术错误，修正错误的原则如下：</w:t>
      </w:r>
    </w:p>
    <w:p w14:paraId="157E51FA">
      <w:pPr>
        <w:spacing w:line="500" w:lineRule="exact"/>
        <w:ind w:firstLine="560"/>
        <w:rPr>
          <w:rFonts w:hint="eastAsia" w:ascii="宋体" w:hAnsi="宋体" w:cs="宋体"/>
          <w:bCs/>
          <w:sz w:val="28"/>
          <w:szCs w:val="28"/>
        </w:rPr>
      </w:pPr>
      <w:r>
        <w:rPr>
          <w:rFonts w:hint="eastAsia" w:ascii="宋体" w:hAnsi="宋体" w:cs="宋体"/>
          <w:bCs/>
          <w:sz w:val="28"/>
          <w:szCs w:val="28"/>
        </w:rPr>
        <w:t>（1）响应文件中</w:t>
      </w:r>
      <w:r>
        <w:rPr>
          <w:rFonts w:hint="eastAsia" w:ascii="宋体" w:hAnsi="宋体" w:cs="宋体"/>
          <w:sz w:val="28"/>
          <w:szCs w:val="28"/>
        </w:rPr>
        <w:t>磋商报价表</w:t>
      </w:r>
      <w:r>
        <w:rPr>
          <w:rFonts w:hint="eastAsia" w:ascii="宋体" w:hAnsi="宋体" w:cs="宋体"/>
          <w:bCs/>
          <w:sz w:val="28"/>
          <w:szCs w:val="28"/>
        </w:rPr>
        <w:t>内容与响应文件中相应内容不一致的，以磋商报价</w:t>
      </w:r>
      <w:r>
        <w:rPr>
          <w:rFonts w:hint="eastAsia" w:ascii="宋体" w:hAnsi="宋体" w:cs="宋体"/>
          <w:sz w:val="28"/>
          <w:szCs w:val="28"/>
        </w:rPr>
        <w:t>表</w:t>
      </w:r>
      <w:r>
        <w:rPr>
          <w:rFonts w:hint="eastAsia" w:ascii="宋体" w:hAnsi="宋体" w:cs="宋体"/>
          <w:bCs/>
          <w:sz w:val="28"/>
          <w:szCs w:val="28"/>
        </w:rPr>
        <w:t>为准。</w:t>
      </w:r>
    </w:p>
    <w:p w14:paraId="2A1BA4EF">
      <w:pPr>
        <w:spacing w:line="500" w:lineRule="exact"/>
        <w:ind w:firstLine="560"/>
        <w:rPr>
          <w:rFonts w:hint="eastAsia" w:ascii="宋体" w:hAnsi="宋体" w:cs="宋体"/>
          <w:bCs/>
          <w:sz w:val="28"/>
          <w:szCs w:val="28"/>
        </w:rPr>
      </w:pPr>
      <w:r>
        <w:rPr>
          <w:rFonts w:hint="eastAsia" w:ascii="宋体" w:hAnsi="宋体" w:cs="宋体"/>
          <w:bCs/>
          <w:sz w:val="28"/>
          <w:szCs w:val="28"/>
        </w:rPr>
        <w:t>（2）大写金额和小写金额不一致的，以大写金额为准。</w:t>
      </w:r>
    </w:p>
    <w:p w14:paraId="019338BF">
      <w:pPr>
        <w:spacing w:line="500" w:lineRule="exact"/>
        <w:ind w:firstLine="560"/>
        <w:rPr>
          <w:rFonts w:hint="eastAsia" w:ascii="宋体" w:hAnsi="宋体" w:cs="宋体"/>
          <w:bCs/>
          <w:sz w:val="28"/>
          <w:szCs w:val="28"/>
        </w:rPr>
      </w:pPr>
      <w:r>
        <w:rPr>
          <w:rFonts w:hint="eastAsia" w:ascii="宋体" w:hAnsi="宋体" w:cs="宋体"/>
          <w:bCs/>
          <w:sz w:val="28"/>
          <w:szCs w:val="28"/>
        </w:rPr>
        <w:t>（3）单价金额小数点或者百分比有明显错位的，以磋商报价</w:t>
      </w:r>
      <w:r>
        <w:rPr>
          <w:rFonts w:hint="eastAsia" w:ascii="宋体" w:hAnsi="宋体" w:cs="宋体"/>
          <w:sz w:val="28"/>
          <w:szCs w:val="28"/>
        </w:rPr>
        <w:t>表</w:t>
      </w:r>
      <w:r>
        <w:rPr>
          <w:rFonts w:hint="eastAsia" w:ascii="宋体" w:hAnsi="宋体" w:cs="宋体"/>
          <w:bCs/>
          <w:sz w:val="28"/>
          <w:szCs w:val="28"/>
        </w:rPr>
        <w:t>的总价为准，并修改单价。</w:t>
      </w:r>
    </w:p>
    <w:p w14:paraId="07F4BBA6">
      <w:pPr>
        <w:spacing w:line="500" w:lineRule="exact"/>
        <w:ind w:firstLine="560"/>
        <w:rPr>
          <w:rFonts w:hint="eastAsia" w:ascii="宋体" w:hAnsi="宋体" w:cs="宋体"/>
          <w:bCs/>
          <w:sz w:val="28"/>
          <w:szCs w:val="28"/>
        </w:rPr>
      </w:pPr>
      <w:r>
        <w:rPr>
          <w:rFonts w:hint="eastAsia" w:ascii="宋体" w:hAnsi="宋体" w:cs="宋体"/>
          <w:bCs/>
          <w:sz w:val="28"/>
          <w:szCs w:val="28"/>
        </w:rPr>
        <w:t>（4）总价金额与按单价汇总金额不一致的，以单价金额计算结果为准。</w:t>
      </w:r>
    </w:p>
    <w:p w14:paraId="52CF94FD">
      <w:pPr>
        <w:spacing w:line="500" w:lineRule="exact"/>
        <w:ind w:firstLine="560"/>
        <w:rPr>
          <w:rFonts w:hint="eastAsia" w:ascii="宋体" w:hAnsi="宋体" w:cs="宋体"/>
          <w:bCs/>
          <w:sz w:val="28"/>
          <w:szCs w:val="28"/>
        </w:rPr>
      </w:pPr>
      <w:r>
        <w:rPr>
          <w:rFonts w:hint="eastAsia" w:ascii="宋体" w:hAnsi="宋体" w:cs="宋体"/>
          <w:bCs/>
          <w:sz w:val="28"/>
          <w:szCs w:val="28"/>
        </w:rPr>
        <w:t>同时出现两种以上错误的，按照前款规定的顺序修正。</w:t>
      </w:r>
    </w:p>
    <w:p w14:paraId="00939068">
      <w:pPr>
        <w:spacing w:line="500" w:lineRule="exact"/>
        <w:ind w:firstLine="560"/>
        <w:rPr>
          <w:rFonts w:hint="eastAsia" w:ascii="宋体" w:hAnsi="宋体" w:cs="宋体"/>
          <w:bCs/>
          <w:sz w:val="28"/>
          <w:szCs w:val="28"/>
        </w:rPr>
      </w:pPr>
      <w:r>
        <w:rPr>
          <w:rFonts w:hint="eastAsia" w:ascii="宋体" w:hAnsi="宋体" w:cs="宋体"/>
          <w:sz w:val="28"/>
          <w:szCs w:val="28"/>
        </w:rPr>
        <w:t>5</w:t>
      </w:r>
      <w:r>
        <w:rPr>
          <w:rFonts w:hint="eastAsia" w:ascii="宋体" w:hAnsi="宋体" w:cs="宋体"/>
          <w:bCs/>
          <w:sz w:val="28"/>
          <w:szCs w:val="28"/>
        </w:rPr>
        <w:t>.5磋商小组将按上述修正错误的方法调整响应文件中的报价，并通过苏彩云系统告知供应商，调整后的价格应对供应商具有约束力。如果供应商不接受修正后的价格，则其磋商活动将被拒绝。</w:t>
      </w:r>
    </w:p>
    <w:p w14:paraId="3817A386">
      <w:pPr>
        <w:spacing w:line="500" w:lineRule="exact"/>
        <w:ind w:firstLine="560"/>
        <w:rPr>
          <w:rFonts w:hint="eastAsia" w:ascii="宋体" w:hAnsi="宋体" w:cs="宋体"/>
          <w:bCs/>
          <w:sz w:val="28"/>
          <w:szCs w:val="28"/>
        </w:rPr>
      </w:pPr>
      <w:r>
        <w:rPr>
          <w:rFonts w:hint="eastAsia" w:ascii="宋体" w:hAnsi="宋体" w:cs="宋体"/>
          <w:bCs/>
          <w:sz w:val="28"/>
          <w:szCs w:val="28"/>
        </w:rPr>
        <w:t>5.6磋商小组将允许修正响应文件中不构成重大偏离的、微小的、非正规的、不一致的或不规则的地方，但这些修改不能影响任何供应商相应的名次排列。</w:t>
      </w:r>
    </w:p>
    <w:p w14:paraId="7DE918EE">
      <w:pPr>
        <w:spacing w:line="500" w:lineRule="exact"/>
        <w:ind w:firstLine="560"/>
        <w:rPr>
          <w:rFonts w:hint="eastAsia" w:ascii="宋体" w:hAnsi="宋体" w:cs="宋体"/>
          <w:sz w:val="28"/>
          <w:szCs w:val="28"/>
        </w:rPr>
      </w:pPr>
      <w:r>
        <w:rPr>
          <w:rFonts w:hint="eastAsia" w:ascii="宋体" w:hAnsi="宋体" w:cs="宋体"/>
          <w:bCs/>
          <w:sz w:val="28"/>
          <w:szCs w:val="28"/>
        </w:rPr>
        <w:t>5.7</w:t>
      </w:r>
      <w:r>
        <w:rPr>
          <w:rFonts w:hint="eastAsia" w:ascii="宋体" w:hAnsi="宋体" w:cs="宋体"/>
          <w:sz w:val="28"/>
          <w:szCs w:val="28"/>
        </w:rPr>
        <w:t>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14:paraId="726E522D">
      <w:pPr>
        <w:spacing w:line="500" w:lineRule="exact"/>
        <w:ind w:firstLine="560"/>
        <w:rPr>
          <w:rFonts w:hint="eastAsia" w:ascii="宋体" w:hAnsi="宋体" w:cs="宋体"/>
          <w:bCs/>
          <w:sz w:val="28"/>
          <w:szCs w:val="28"/>
        </w:rPr>
      </w:pPr>
      <w:r>
        <w:rPr>
          <w:rFonts w:hint="eastAsia" w:ascii="宋体" w:hAnsi="宋体" w:cs="宋体"/>
          <w:bCs/>
          <w:sz w:val="28"/>
          <w:szCs w:val="28"/>
        </w:rPr>
        <w:t>非单一产品采购项目，磋商文件中将载明其中的核心产品。多家供应商提供的核心产品品牌相同的，按前款规定处理。</w:t>
      </w:r>
    </w:p>
    <w:p w14:paraId="0D5381F6">
      <w:pPr>
        <w:spacing w:line="500" w:lineRule="exact"/>
        <w:ind w:firstLine="560"/>
        <w:rPr>
          <w:rFonts w:hint="eastAsia" w:ascii="宋体" w:hAnsi="宋体" w:cs="宋体"/>
          <w:bCs/>
          <w:sz w:val="28"/>
          <w:szCs w:val="28"/>
        </w:rPr>
      </w:pPr>
      <w:r>
        <w:rPr>
          <w:rFonts w:hint="eastAsia" w:ascii="宋体" w:hAnsi="宋体" w:cs="宋体"/>
          <w:sz w:val="28"/>
          <w:szCs w:val="28"/>
        </w:rPr>
        <w:t>5.8 供应商在评审全过程中应保持通讯畅通，并安排专人与采购人（或采购代理机构）及磋商小组联系。</w:t>
      </w:r>
    </w:p>
    <w:p w14:paraId="57AD6659">
      <w:pPr>
        <w:tabs>
          <w:tab w:val="left" w:pos="6555"/>
          <w:tab w:val="right" w:pos="8306"/>
        </w:tabs>
        <w:spacing w:line="500" w:lineRule="exact"/>
        <w:ind w:firstLine="560"/>
        <w:rPr>
          <w:rFonts w:hint="eastAsia" w:ascii="宋体" w:hAnsi="宋体" w:cs="宋体"/>
          <w:bCs/>
          <w:sz w:val="28"/>
          <w:szCs w:val="28"/>
        </w:rPr>
      </w:pPr>
      <w:r>
        <w:rPr>
          <w:rFonts w:hint="eastAsia" w:ascii="宋体" w:hAnsi="宋体" w:cs="宋体"/>
          <w:bCs/>
          <w:sz w:val="28"/>
          <w:szCs w:val="28"/>
        </w:rPr>
        <w:t>6. 被认定为未实质性响应磋商文件的响应文件的情形。</w:t>
      </w:r>
    </w:p>
    <w:p w14:paraId="323C5613">
      <w:pPr>
        <w:tabs>
          <w:tab w:val="left" w:pos="6555"/>
          <w:tab w:val="right" w:pos="8306"/>
        </w:tabs>
        <w:spacing w:line="500" w:lineRule="exact"/>
        <w:ind w:firstLine="560"/>
        <w:rPr>
          <w:rFonts w:hint="eastAsia" w:ascii="宋体" w:hAnsi="宋体" w:cs="宋体"/>
          <w:b/>
          <w:sz w:val="28"/>
          <w:szCs w:val="28"/>
        </w:rPr>
      </w:pPr>
      <w:r>
        <w:rPr>
          <w:rFonts w:hint="eastAsia" w:ascii="宋体" w:hAnsi="宋体" w:cs="宋体"/>
          <w:bCs/>
          <w:sz w:val="28"/>
          <w:szCs w:val="28"/>
        </w:rPr>
        <w:t>6.1出现下列情形之一的，作无效响应处理。</w:t>
      </w:r>
      <w:r>
        <w:rPr>
          <w:rFonts w:hint="eastAsia" w:ascii="宋体" w:hAnsi="宋体" w:cs="宋体"/>
          <w:bCs/>
          <w:sz w:val="28"/>
          <w:szCs w:val="28"/>
        </w:rPr>
        <w:tab/>
      </w:r>
      <w:r>
        <w:rPr>
          <w:rFonts w:hint="eastAsia" w:ascii="宋体" w:hAnsi="宋体" w:cs="宋体"/>
          <w:b/>
          <w:sz w:val="28"/>
          <w:szCs w:val="28"/>
        </w:rPr>
        <w:tab/>
      </w:r>
    </w:p>
    <w:p w14:paraId="4FBEE667">
      <w:pPr>
        <w:spacing w:line="500" w:lineRule="exact"/>
        <w:ind w:firstLine="570"/>
        <w:rPr>
          <w:rFonts w:hint="eastAsia" w:ascii="宋体" w:hAnsi="宋体" w:cs="宋体"/>
          <w:bCs/>
          <w:sz w:val="28"/>
          <w:szCs w:val="28"/>
        </w:rPr>
      </w:pPr>
      <w:r>
        <w:rPr>
          <w:rFonts w:hint="eastAsia" w:ascii="宋体" w:hAnsi="宋体" w:cs="宋体"/>
          <w:bCs/>
          <w:sz w:val="28"/>
          <w:szCs w:val="28"/>
        </w:rPr>
        <w:t>6.1.1供应商在苏采云系统规定的时间内未成功解密电子响应文件的。</w:t>
      </w:r>
    </w:p>
    <w:p w14:paraId="6999CC8A">
      <w:pPr>
        <w:spacing w:line="500" w:lineRule="exact"/>
        <w:ind w:firstLine="570"/>
        <w:rPr>
          <w:rFonts w:hint="eastAsia" w:ascii="宋体" w:hAnsi="宋体" w:cs="宋体"/>
          <w:bCs/>
          <w:sz w:val="28"/>
          <w:szCs w:val="28"/>
        </w:rPr>
      </w:pPr>
      <w:r>
        <w:rPr>
          <w:rFonts w:hint="eastAsia" w:ascii="宋体" w:hAnsi="宋体" w:cs="宋体"/>
          <w:bCs/>
          <w:sz w:val="28"/>
          <w:szCs w:val="28"/>
        </w:rPr>
        <w:t>6.1.2未完整上传响应文件电子文档的,或上传的文件打不开的。</w:t>
      </w:r>
    </w:p>
    <w:p w14:paraId="4C48C324">
      <w:pPr>
        <w:spacing w:line="500" w:lineRule="exact"/>
        <w:ind w:left="559"/>
        <w:rPr>
          <w:rFonts w:hint="eastAsia" w:ascii="宋体" w:hAnsi="宋体" w:cs="宋体"/>
          <w:bCs/>
          <w:sz w:val="28"/>
          <w:szCs w:val="28"/>
        </w:rPr>
      </w:pPr>
      <w:r>
        <w:rPr>
          <w:rFonts w:hint="eastAsia" w:ascii="宋体" w:hAnsi="宋体" w:cs="宋体"/>
          <w:bCs/>
          <w:sz w:val="28"/>
          <w:szCs w:val="28"/>
        </w:rPr>
        <w:t xml:space="preserve">6.1.3同一供应商提交两个（含两个）以上不同的响应报价的。6.1.4不具备磋商文件中规定的资格要求的。 </w:t>
      </w:r>
    </w:p>
    <w:p w14:paraId="1E732355">
      <w:pPr>
        <w:spacing w:line="500" w:lineRule="exact"/>
        <w:ind w:firstLine="570"/>
        <w:rPr>
          <w:rFonts w:hint="eastAsia" w:ascii="宋体" w:hAnsi="宋体" w:cs="宋体"/>
          <w:bCs/>
          <w:sz w:val="28"/>
          <w:szCs w:val="28"/>
        </w:rPr>
      </w:pPr>
      <w:r>
        <w:rPr>
          <w:rFonts w:hint="eastAsia" w:ascii="宋体" w:hAnsi="宋体" w:cs="宋体"/>
          <w:bCs/>
          <w:sz w:val="28"/>
          <w:szCs w:val="28"/>
        </w:rPr>
        <w:t xml:space="preserve">6.1.5响应报价超过了采购预算或最高限价（总价限价或分项限价）的。 </w:t>
      </w:r>
    </w:p>
    <w:p w14:paraId="421F32E5">
      <w:pPr>
        <w:spacing w:line="500" w:lineRule="exact"/>
        <w:ind w:firstLine="570"/>
        <w:rPr>
          <w:rFonts w:hint="eastAsia" w:ascii="宋体" w:hAnsi="宋体" w:cs="宋体"/>
          <w:bCs/>
          <w:sz w:val="28"/>
          <w:szCs w:val="28"/>
        </w:rPr>
      </w:pPr>
      <w:r>
        <w:rPr>
          <w:rFonts w:hint="eastAsia" w:ascii="宋体" w:hAnsi="宋体" w:cs="宋体"/>
          <w:bCs/>
          <w:sz w:val="28"/>
          <w:szCs w:val="28"/>
        </w:rPr>
        <w:t>6.1.6未通过符合性检查的。</w:t>
      </w:r>
    </w:p>
    <w:p w14:paraId="41F04BD1">
      <w:pPr>
        <w:spacing w:line="500" w:lineRule="exact"/>
        <w:ind w:firstLine="570"/>
        <w:rPr>
          <w:rFonts w:hint="eastAsia" w:ascii="宋体" w:hAnsi="宋体" w:cs="宋体"/>
          <w:bCs/>
          <w:sz w:val="28"/>
          <w:szCs w:val="28"/>
        </w:rPr>
      </w:pPr>
      <w:r>
        <w:rPr>
          <w:rFonts w:hint="eastAsia" w:ascii="宋体" w:hAnsi="宋体" w:cs="宋体"/>
          <w:bCs/>
          <w:sz w:val="28"/>
          <w:szCs w:val="28"/>
        </w:rPr>
        <w:t>6.1.7不符合法律、法规和磋商文件中规定的其他实质性要求的。</w:t>
      </w:r>
    </w:p>
    <w:p w14:paraId="3A99557C">
      <w:pPr>
        <w:spacing w:line="500" w:lineRule="exact"/>
        <w:ind w:firstLine="560"/>
        <w:rPr>
          <w:rFonts w:hint="eastAsia" w:ascii="宋体" w:hAnsi="宋体" w:cs="宋体"/>
          <w:bCs/>
          <w:sz w:val="28"/>
          <w:szCs w:val="28"/>
        </w:rPr>
      </w:pPr>
      <w:r>
        <w:rPr>
          <w:rFonts w:hint="eastAsia" w:ascii="宋体" w:hAnsi="宋体" w:cs="宋体"/>
          <w:bCs/>
          <w:sz w:val="28"/>
          <w:szCs w:val="28"/>
        </w:rPr>
        <w:t>6.1.8供应商被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2771579B">
      <w:pPr>
        <w:spacing w:line="500" w:lineRule="exact"/>
        <w:ind w:firstLine="560"/>
        <w:rPr>
          <w:rFonts w:hint="eastAsia" w:ascii="宋体" w:hAnsi="宋体" w:cs="宋体"/>
          <w:bCs/>
          <w:sz w:val="28"/>
          <w:szCs w:val="28"/>
        </w:rPr>
      </w:pPr>
      <w:r>
        <w:rPr>
          <w:rFonts w:hint="eastAsia" w:ascii="宋体" w:hAnsi="宋体" w:cs="宋体"/>
          <w:bCs/>
          <w:sz w:val="28"/>
          <w:szCs w:val="28"/>
        </w:rPr>
        <w:t>6.1.9 响应文件含有采购人不能接受的附加条件的。</w:t>
      </w:r>
    </w:p>
    <w:p w14:paraId="423A9BD1">
      <w:pPr>
        <w:spacing w:line="500" w:lineRule="exact"/>
        <w:ind w:firstLine="560"/>
        <w:rPr>
          <w:rFonts w:hint="eastAsia" w:ascii="宋体" w:hAnsi="宋体" w:cs="宋体"/>
          <w:bCs/>
          <w:sz w:val="28"/>
          <w:szCs w:val="28"/>
        </w:rPr>
      </w:pPr>
      <w:r>
        <w:rPr>
          <w:rFonts w:hint="eastAsia" w:ascii="宋体" w:hAnsi="宋体" w:cs="宋体"/>
          <w:bCs/>
          <w:sz w:val="28"/>
          <w:szCs w:val="28"/>
        </w:rPr>
        <w:t>6.1.10异常低价投标（响应）审查的情形和具体要求：</w:t>
      </w:r>
    </w:p>
    <w:p w14:paraId="5D7877D7">
      <w:pPr>
        <w:spacing w:line="500" w:lineRule="exact"/>
        <w:ind w:firstLine="560"/>
        <w:rPr>
          <w:rFonts w:hint="eastAsia" w:ascii="宋体" w:hAnsi="宋体" w:cs="宋体"/>
          <w:bCs/>
          <w:sz w:val="28"/>
          <w:szCs w:val="28"/>
        </w:rPr>
      </w:pPr>
      <w:r>
        <w:rPr>
          <w:rFonts w:hint="eastAsia" w:ascii="宋体" w:hAnsi="宋体" w:cs="宋体"/>
          <w:bCs/>
          <w:sz w:val="28"/>
          <w:szCs w:val="28"/>
        </w:rPr>
        <w:t>（一）评审过程中出现下列情形之一的，磋商小组应当启动异常低价投标（响应）审查程序：</w:t>
      </w:r>
    </w:p>
    <w:p w14:paraId="719A67EA">
      <w:pPr>
        <w:spacing w:line="500" w:lineRule="exact"/>
        <w:ind w:firstLine="560"/>
        <w:rPr>
          <w:rFonts w:hint="eastAsia" w:ascii="宋体" w:hAnsi="宋体" w:cs="宋体"/>
          <w:bCs/>
          <w:sz w:val="28"/>
          <w:szCs w:val="28"/>
        </w:rPr>
      </w:pPr>
      <w:r>
        <w:rPr>
          <w:rFonts w:hint="eastAsia" w:ascii="宋体" w:hAnsi="宋体" w:cs="宋体"/>
          <w:bCs/>
          <w:sz w:val="28"/>
          <w:szCs w:val="28"/>
        </w:rPr>
        <w:t>1．投标（响应）报价低于采购项目预算50% 的，即投标（响应）报价&lt;采购项目预算×50% ；</w:t>
      </w:r>
    </w:p>
    <w:p w14:paraId="4B918307">
      <w:pPr>
        <w:spacing w:line="500" w:lineRule="exact"/>
        <w:ind w:firstLine="560"/>
        <w:rPr>
          <w:rFonts w:hint="eastAsia" w:ascii="宋体" w:hAnsi="宋体" w:cs="宋体"/>
          <w:bCs/>
          <w:sz w:val="28"/>
          <w:szCs w:val="28"/>
        </w:rPr>
      </w:pPr>
      <w:r>
        <w:rPr>
          <w:rFonts w:hint="eastAsia" w:ascii="宋体" w:hAnsi="宋体" w:cs="宋体"/>
          <w:bCs/>
          <w:sz w:val="28"/>
          <w:szCs w:val="28"/>
        </w:rPr>
        <w:t>2．投标（响应）报价低于采购项目最高总限价45% 的，即投标（响应）报价&lt;采购项目最高总限价×45% ；</w:t>
      </w:r>
    </w:p>
    <w:p w14:paraId="285C89AC">
      <w:pPr>
        <w:spacing w:line="500" w:lineRule="exact"/>
        <w:ind w:firstLine="560"/>
        <w:rPr>
          <w:rFonts w:hint="eastAsia" w:ascii="宋体" w:hAnsi="宋体" w:cs="宋体"/>
          <w:bCs/>
          <w:sz w:val="28"/>
          <w:szCs w:val="28"/>
        </w:rPr>
      </w:pPr>
      <w:r>
        <w:rPr>
          <w:rFonts w:hint="eastAsia" w:ascii="宋体" w:hAnsi="宋体" w:cs="宋体"/>
          <w:bCs/>
          <w:sz w:val="28"/>
          <w:szCs w:val="28"/>
        </w:rPr>
        <w:t>3．磋商小组认定的供应商报价过低、有可能影响产品质量或者不能诚信履约的其他情形。</w:t>
      </w:r>
    </w:p>
    <w:p w14:paraId="011A5511">
      <w:pPr>
        <w:spacing w:line="500" w:lineRule="exact"/>
        <w:ind w:firstLine="560"/>
        <w:rPr>
          <w:rFonts w:hint="eastAsia" w:ascii="宋体" w:hAnsi="宋体" w:cs="宋体"/>
          <w:bCs/>
          <w:sz w:val="28"/>
          <w:szCs w:val="28"/>
        </w:rPr>
      </w:pPr>
      <w:r>
        <w:rPr>
          <w:rFonts w:hint="eastAsia" w:ascii="宋体" w:hAnsi="宋体" w:cs="宋体"/>
          <w:bCs/>
          <w:sz w:val="28"/>
          <w:szCs w:val="28"/>
        </w:rPr>
        <w:t>（二）启动异常低价投标（响应）审查后，磋商小组应当要求相关供应商在合理的时间内通过“苏采云”系统，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p w14:paraId="6A3E2EE3">
      <w:pPr>
        <w:spacing w:line="500" w:lineRule="exact"/>
        <w:ind w:firstLine="560"/>
        <w:rPr>
          <w:rFonts w:hint="eastAsia" w:ascii="宋体" w:hAnsi="宋体" w:cs="宋体"/>
          <w:bCs/>
          <w:sz w:val="28"/>
          <w:szCs w:val="28"/>
        </w:rPr>
      </w:pPr>
      <w:r>
        <w:rPr>
          <w:rFonts w:hint="eastAsia" w:ascii="宋体" w:hAnsi="宋体" w:cs="宋体"/>
          <w:bCs/>
          <w:sz w:val="28"/>
          <w:szCs w:val="28"/>
        </w:rPr>
        <w:t>6.1.11本项目采购产品被财政部、国家发展和改革委员会、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14:paraId="6E999FC4">
      <w:pPr>
        <w:spacing w:line="500" w:lineRule="exact"/>
        <w:ind w:firstLine="560"/>
        <w:rPr>
          <w:rFonts w:hint="eastAsia" w:ascii="宋体" w:hAnsi="宋体" w:cs="宋体"/>
          <w:bCs/>
          <w:sz w:val="28"/>
          <w:szCs w:val="28"/>
        </w:rPr>
      </w:pPr>
      <w:r>
        <w:rPr>
          <w:rFonts w:hint="eastAsia" w:ascii="宋体" w:hAnsi="宋体" w:cs="宋体"/>
          <w:bCs/>
          <w:sz w:val="28"/>
          <w:szCs w:val="28"/>
        </w:rPr>
        <w:t>6.1.12响应文件未按照采购文件要求加盖电子签章。</w:t>
      </w:r>
    </w:p>
    <w:p w14:paraId="16931DB0">
      <w:pPr>
        <w:spacing w:line="500" w:lineRule="exact"/>
        <w:ind w:firstLine="560"/>
        <w:rPr>
          <w:rFonts w:hint="eastAsia" w:ascii="宋体" w:hAnsi="宋体" w:cs="宋体"/>
          <w:bCs/>
          <w:sz w:val="28"/>
          <w:szCs w:val="28"/>
        </w:rPr>
      </w:pPr>
      <w:r>
        <w:rPr>
          <w:rFonts w:hint="eastAsia" w:ascii="宋体" w:hAnsi="宋体" w:cs="宋体"/>
          <w:bCs/>
          <w:sz w:val="28"/>
          <w:szCs w:val="28"/>
        </w:rPr>
        <w:t>6.1.13不同供应商的响应文件经系统查询Mac地址、标书制作工具客户端标识码一致的。（符合本条款不同的供应商不得参加本项目的后续采购事项，并移送政府采购监管部门进行处理。）</w:t>
      </w:r>
    </w:p>
    <w:p w14:paraId="24E6A99A">
      <w:pPr>
        <w:spacing w:line="500" w:lineRule="exact"/>
        <w:ind w:firstLine="560"/>
        <w:rPr>
          <w:rFonts w:hint="eastAsia" w:ascii="宋体" w:hAnsi="宋体" w:cs="宋体"/>
          <w:bCs/>
          <w:sz w:val="28"/>
          <w:szCs w:val="28"/>
        </w:rPr>
      </w:pPr>
      <w:r>
        <w:rPr>
          <w:rFonts w:hint="eastAsia" w:ascii="宋体" w:hAnsi="宋体" w:cs="宋体"/>
          <w:bCs/>
          <w:sz w:val="28"/>
          <w:szCs w:val="28"/>
        </w:rPr>
        <w:t>6.1.14投标人的商务技术部分得分相差异常悬殊，磋商小组一致认为得分畸低者有可能影响产品质量或者不能诚信履约的。</w:t>
      </w:r>
    </w:p>
    <w:p w14:paraId="4005496B">
      <w:pPr>
        <w:spacing w:line="500" w:lineRule="exact"/>
        <w:ind w:firstLine="560"/>
        <w:rPr>
          <w:rFonts w:hint="eastAsia" w:ascii="宋体" w:hAnsi="宋体" w:cs="宋体"/>
          <w:bCs/>
          <w:sz w:val="28"/>
          <w:szCs w:val="28"/>
        </w:rPr>
      </w:pPr>
      <w:r>
        <w:rPr>
          <w:rFonts w:hint="eastAsia" w:ascii="宋体" w:hAnsi="宋体" w:cs="宋体"/>
          <w:bCs/>
          <w:sz w:val="28"/>
          <w:szCs w:val="28"/>
        </w:rPr>
        <w:t>6.1.15其他法律、法规及本磋商文件规定的属无效响应的情形。</w:t>
      </w:r>
    </w:p>
    <w:p w14:paraId="25DE6ADC">
      <w:pPr>
        <w:spacing w:line="500" w:lineRule="exact"/>
        <w:ind w:firstLine="570"/>
        <w:rPr>
          <w:rFonts w:hint="eastAsia" w:ascii="宋体" w:hAnsi="宋体" w:cs="宋体"/>
          <w:bCs/>
          <w:sz w:val="28"/>
          <w:szCs w:val="28"/>
        </w:rPr>
      </w:pPr>
      <w:r>
        <w:rPr>
          <w:rFonts w:hint="eastAsia" w:ascii="宋体" w:hAnsi="宋体" w:cs="宋体"/>
          <w:bCs/>
          <w:sz w:val="28"/>
          <w:szCs w:val="28"/>
        </w:rPr>
        <w:t>6.2出现下列情形之一的，磋商失败。</w:t>
      </w:r>
    </w:p>
    <w:p w14:paraId="60B63D5B">
      <w:pPr>
        <w:spacing w:line="500" w:lineRule="exact"/>
        <w:ind w:firstLine="570"/>
        <w:rPr>
          <w:rFonts w:hint="eastAsia" w:ascii="宋体" w:hAnsi="宋体" w:cs="宋体"/>
          <w:bCs/>
          <w:sz w:val="28"/>
          <w:szCs w:val="28"/>
        </w:rPr>
      </w:pPr>
      <w:r>
        <w:rPr>
          <w:rFonts w:hint="eastAsia" w:ascii="宋体" w:hAnsi="宋体" w:cs="宋体"/>
          <w:bCs/>
          <w:sz w:val="28"/>
          <w:szCs w:val="28"/>
        </w:rPr>
        <w:t>6.2.1符合条件的供应商或者对磋商文件作实质响应的供应商不足3家的（市场竞争不充分的科研项目，以及需要扶持的科技成果转化项目可以是2家）；</w:t>
      </w:r>
    </w:p>
    <w:p w14:paraId="4A5CB82E">
      <w:pPr>
        <w:spacing w:line="500" w:lineRule="exact"/>
        <w:ind w:firstLine="555"/>
        <w:rPr>
          <w:rFonts w:hint="eastAsia" w:ascii="宋体" w:hAnsi="宋体" w:cs="宋体"/>
          <w:bCs/>
          <w:sz w:val="28"/>
          <w:szCs w:val="28"/>
        </w:rPr>
      </w:pPr>
      <w:r>
        <w:rPr>
          <w:rFonts w:hint="eastAsia" w:ascii="宋体" w:hAnsi="宋体" w:cs="宋体"/>
          <w:bCs/>
          <w:sz w:val="28"/>
          <w:szCs w:val="28"/>
        </w:rPr>
        <w:t>6.2.2出现影响采购公正的违法违规行为的；</w:t>
      </w:r>
    </w:p>
    <w:p w14:paraId="62129AAB">
      <w:pPr>
        <w:spacing w:line="500" w:lineRule="exact"/>
        <w:ind w:firstLine="555"/>
        <w:rPr>
          <w:rFonts w:hint="eastAsia" w:ascii="宋体" w:hAnsi="宋体" w:cs="宋体"/>
          <w:bCs/>
          <w:sz w:val="28"/>
          <w:szCs w:val="28"/>
        </w:rPr>
      </w:pPr>
      <w:r>
        <w:rPr>
          <w:rFonts w:hint="eastAsia" w:ascii="宋体" w:hAnsi="宋体" w:cs="宋体"/>
          <w:bCs/>
          <w:sz w:val="28"/>
          <w:szCs w:val="28"/>
        </w:rPr>
        <w:t>6.2.3因重大变故，采购任务取消的。</w:t>
      </w:r>
    </w:p>
    <w:p w14:paraId="7EC489C7">
      <w:pPr>
        <w:spacing w:line="500" w:lineRule="exact"/>
        <w:ind w:firstLine="560"/>
        <w:rPr>
          <w:rFonts w:hint="eastAsia" w:ascii="宋体" w:hAnsi="宋体" w:cs="宋体"/>
          <w:bCs/>
          <w:sz w:val="28"/>
          <w:szCs w:val="28"/>
        </w:rPr>
      </w:pPr>
      <w:r>
        <w:rPr>
          <w:rFonts w:hint="eastAsia" w:ascii="宋体" w:hAnsi="宋体" w:cs="宋体"/>
          <w:bCs/>
          <w:sz w:val="28"/>
          <w:szCs w:val="28"/>
        </w:rPr>
        <w:t>6.2.4磋商小组认定磋商文件存在歧义、重大缺陷导致评审工作无法进行。</w:t>
      </w:r>
    </w:p>
    <w:p w14:paraId="54E69A91">
      <w:pPr>
        <w:spacing w:line="500" w:lineRule="exact"/>
        <w:ind w:firstLine="560"/>
        <w:rPr>
          <w:rFonts w:hint="eastAsia" w:ascii="宋体" w:hAnsi="宋体" w:cs="宋体"/>
          <w:bCs/>
          <w:sz w:val="28"/>
          <w:szCs w:val="28"/>
        </w:rPr>
      </w:pPr>
      <w:r>
        <w:rPr>
          <w:rFonts w:hint="eastAsia" w:ascii="宋体" w:hAnsi="宋体" w:cs="宋体"/>
          <w:bCs/>
          <w:sz w:val="28"/>
          <w:szCs w:val="28"/>
        </w:rPr>
        <w:t>6.2.5 因</w:t>
      </w:r>
      <w:r>
        <w:rPr>
          <w:rFonts w:hint="eastAsia" w:ascii="宋体" w:hAnsi="宋体" w:cs="宋体"/>
          <w:sz w:val="28"/>
          <w:szCs w:val="28"/>
        </w:rPr>
        <w:t>苏采云</w:t>
      </w:r>
      <w:r>
        <w:rPr>
          <w:rFonts w:hint="eastAsia" w:ascii="宋体" w:hAnsi="宋体" w:cs="宋体"/>
          <w:bCs/>
          <w:sz w:val="28"/>
          <w:szCs w:val="28"/>
        </w:rPr>
        <w:t>系统系统故障原因造成磋商不成功的。</w:t>
      </w:r>
    </w:p>
    <w:p w14:paraId="2DC48F82">
      <w:pPr>
        <w:spacing w:line="500" w:lineRule="exact"/>
        <w:ind w:firstLine="560"/>
        <w:rPr>
          <w:rFonts w:hint="eastAsia" w:ascii="宋体" w:hAnsi="宋体" w:cs="宋体"/>
          <w:bCs/>
          <w:sz w:val="28"/>
          <w:szCs w:val="28"/>
        </w:rPr>
      </w:pPr>
      <w:r>
        <w:rPr>
          <w:rFonts w:hint="eastAsia" w:ascii="宋体" w:hAnsi="宋体" w:cs="宋体"/>
          <w:bCs/>
          <w:sz w:val="28"/>
          <w:szCs w:val="28"/>
        </w:rPr>
        <w:t>6.3 响应</w:t>
      </w:r>
      <w:r>
        <w:rPr>
          <w:rFonts w:hint="eastAsia" w:ascii="宋体" w:hAnsi="宋体" w:cs="宋体"/>
          <w:sz w:val="28"/>
          <w:szCs w:val="28"/>
        </w:rPr>
        <w:t>文件提交</w:t>
      </w:r>
      <w:r>
        <w:rPr>
          <w:rFonts w:hint="eastAsia" w:ascii="宋体" w:hAnsi="宋体" w:cs="宋体"/>
          <w:bCs/>
          <w:sz w:val="28"/>
          <w:szCs w:val="28"/>
        </w:rPr>
        <w:t>截止时间结束后参加磋商的供应商不足三家的处理：</w:t>
      </w:r>
    </w:p>
    <w:p w14:paraId="68C2381B">
      <w:pPr>
        <w:spacing w:line="500" w:lineRule="exact"/>
        <w:ind w:firstLine="560"/>
        <w:rPr>
          <w:rFonts w:hint="eastAsia" w:ascii="宋体" w:hAnsi="宋体" w:cs="宋体"/>
          <w:bCs/>
          <w:sz w:val="28"/>
          <w:szCs w:val="28"/>
        </w:rPr>
      </w:pPr>
      <w:r>
        <w:rPr>
          <w:rFonts w:hint="eastAsia" w:ascii="宋体" w:hAnsi="宋体" w:cs="宋体"/>
          <w:bCs/>
          <w:sz w:val="28"/>
          <w:szCs w:val="28"/>
        </w:rPr>
        <w:t>6.3.1如出现响应</w:t>
      </w:r>
      <w:r>
        <w:rPr>
          <w:rFonts w:hint="eastAsia" w:ascii="宋体" w:hAnsi="宋体" w:cs="宋体"/>
          <w:sz w:val="28"/>
          <w:szCs w:val="28"/>
        </w:rPr>
        <w:t>文件提交</w:t>
      </w:r>
      <w:r>
        <w:rPr>
          <w:rFonts w:hint="eastAsia" w:ascii="宋体" w:hAnsi="宋体" w:cs="宋体"/>
          <w:bCs/>
          <w:sz w:val="28"/>
          <w:szCs w:val="28"/>
        </w:rPr>
        <w:t>截止时间结束后参加磋商的供应商或者在评审期间对磋商文件做出实质响应的供应商不足三家情况，按政府采购相关规定执行。</w:t>
      </w:r>
    </w:p>
    <w:bookmarkEnd w:id="76"/>
    <w:bookmarkEnd w:id="77"/>
    <w:bookmarkEnd w:id="78"/>
    <w:p w14:paraId="7DEF4164">
      <w:pPr>
        <w:keepNext/>
        <w:keepLines/>
        <w:spacing w:line="500" w:lineRule="exact"/>
        <w:outlineLvl w:val="2"/>
        <w:rPr>
          <w:rFonts w:hint="eastAsia" w:ascii="宋体" w:hAnsi="宋体" w:cs="宋体"/>
          <w:b/>
          <w:bCs/>
          <w:sz w:val="28"/>
          <w:szCs w:val="28"/>
        </w:rPr>
      </w:pPr>
      <w:bookmarkStart w:id="79" w:name="_Toc120614219"/>
      <w:r>
        <w:rPr>
          <w:rFonts w:hint="eastAsia" w:ascii="宋体" w:hAnsi="宋体" w:cs="宋体"/>
          <w:b/>
          <w:bCs/>
          <w:sz w:val="28"/>
          <w:szCs w:val="28"/>
        </w:rPr>
        <w:t>（六）</w:t>
      </w:r>
      <w:bookmarkEnd w:id="79"/>
      <w:r>
        <w:rPr>
          <w:rFonts w:hint="eastAsia" w:ascii="宋体" w:hAnsi="宋体" w:cs="宋体"/>
          <w:b/>
          <w:bCs/>
          <w:sz w:val="28"/>
          <w:szCs w:val="28"/>
        </w:rPr>
        <w:t>成交</w:t>
      </w:r>
    </w:p>
    <w:p w14:paraId="5EAC9482">
      <w:pPr>
        <w:keepNext/>
        <w:spacing w:line="500" w:lineRule="exact"/>
        <w:ind w:firstLine="420"/>
        <w:outlineLvl w:val="3"/>
        <w:rPr>
          <w:rFonts w:hint="eastAsia" w:ascii="宋体" w:hAnsi="宋体" w:cs="宋体"/>
          <w:b/>
          <w:sz w:val="28"/>
          <w:szCs w:val="28"/>
        </w:rPr>
      </w:pPr>
      <w:bookmarkStart w:id="80" w:name="_Toc20823310"/>
      <w:bookmarkStart w:id="81" w:name="_Toc16938554"/>
      <w:r>
        <w:rPr>
          <w:rFonts w:hint="eastAsia" w:ascii="宋体" w:hAnsi="宋体" w:cs="宋体"/>
          <w:sz w:val="28"/>
          <w:szCs w:val="28"/>
        </w:rPr>
        <w:t>1.确定</w:t>
      </w:r>
      <w:bookmarkEnd w:id="80"/>
      <w:bookmarkEnd w:id="81"/>
      <w:r>
        <w:rPr>
          <w:rFonts w:hint="eastAsia" w:ascii="宋体" w:hAnsi="宋体" w:cs="宋体"/>
          <w:sz w:val="28"/>
          <w:szCs w:val="28"/>
        </w:rPr>
        <w:t>成交单位</w:t>
      </w:r>
    </w:p>
    <w:p w14:paraId="1DCA30BF">
      <w:pPr>
        <w:spacing w:line="500" w:lineRule="exact"/>
        <w:ind w:firstLine="560"/>
        <w:rPr>
          <w:rFonts w:hint="eastAsia" w:ascii="宋体" w:hAnsi="宋体" w:cs="宋体"/>
          <w:bCs/>
          <w:sz w:val="28"/>
          <w:szCs w:val="28"/>
        </w:rPr>
      </w:pPr>
      <w:r>
        <w:rPr>
          <w:rFonts w:hint="eastAsia" w:ascii="宋体" w:hAnsi="宋体" w:cs="宋体"/>
          <w:bCs/>
          <w:sz w:val="28"/>
          <w:szCs w:val="28"/>
        </w:rPr>
        <w:t xml:space="preserve">1.1成交候选供应商的选取原则和数量见磋商文件第四部分规定。 </w:t>
      </w:r>
    </w:p>
    <w:p w14:paraId="70BCC9FA">
      <w:pPr>
        <w:spacing w:line="500" w:lineRule="exact"/>
        <w:ind w:firstLine="560"/>
        <w:rPr>
          <w:rFonts w:hint="eastAsia" w:ascii="宋体" w:hAnsi="宋体" w:cs="宋体"/>
          <w:bCs/>
          <w:sz w:val="28"/>
          <w:szCs w:val="28"/>
        </w:rPr>
      </w:pPr>
      <w:r>
        <w:rPr>
          <w:rFonts w:hint="eastAsia" w:ascii="宋体" w:hAnsi="宋体" w:cs="宋体"/>
          <w:bCs/>
          <w:sz w:val="28"/>
          <w:szCs w:val="28"/>
        </w:rPr>
        <w:t>1.2采购人从评审报告提出的成交候选供应商中，按照排序由高到低的原则确定成交供应商。</w:t>
      </w:r>
    </w:p>
    <w:p w14:paraId="159D7DAD">
      <w:pPr>
        <w:spacing w:line="500" w:lineRule="exact"/>
        <w:ind w:firstLine="560"/>
        <w:rPr>
          <w:rFonts w:hint="eastAsia" w:ascii="宋体" w:hAnsi="宋体" w:cs="宋体"/>
          <w:sz w:val="28"/>
          <w:szCs w:val="28"/>
        </w:rPr>
      </w:pPr>
      <w:r>
        <w:rPr>
          <w:rFonts w:hint="eastAsia" w:ascii="宋体" w:hAnsi="宋体" w:cs="宋体"/>
          <w:bCs/>
          <w:sz w:val="28"/>
          <w:szCs w:val="28"/>
        </w:rPr>
        <w:t xml:space="preserve">1.3 </w:t>
      </w:r>
      <w:r>
        <w:rPr>
          <w:rFonts w:hint="eastAsia" w:ascii="宋体" w:hAnsi="宋体" w:cs="宋体"/>
          <w:sz w:val="28"/>
          <w:szCs w:val="28"/>
        </w:rPr>
        <w:t>采购人确定成交供应商后，采购人或采购代理机构将在江苏政府采购网发布成交结果公告，公告期限为1个工作日。</w:t>
      </w:r>
    </w:p>
    <w:p w14:paraId="55EB0115">
      <w:pPr>
        <w:spacing w:line="500" w:lineRule="exact"/>
        <w:ind w:firstLine="560"/>
        <w:rPr>
          <w:rFonts w:hint="eastAsia" w:ascii="宋体" w:hAnsi="宋体" w:cs="宋体"/>
          <w:sz w:val="28"/>
          <w:szCs w:val="28"/>
        </w:rPr>
      </w:pPr>
      <w:r>
        <w:rPr>
          <w:rFonts w:hint="eastAsia" w:ascii="宋体" w:hAnsi="宋体" w:cs="宋体"/>
          <w:sz w:val="28"/>
          <w:szCs w:val="28"/>
        </w:rPr>
        <w:t>1.4 若有充分证据证明，成交供应商出现下列情况之一的，一经查实，将被取消成交资格：</w:t>
      </w:r>
    </w:p>
    <w:p w14:paraId="3395550D">
      <w:pPr>
        <w:spacing w:line="500" w:lineRule="exact"/>
        <w:ind w:firstLine="560"/>
        <w:rPr>
          <w:rFonts w:hint="eastAsia" w:ascii="宋体" w:hAnsi="宋体" w:cs="宋体"/>
          <w:sz w:val="28"/>
          <w:szCs w:val="28"/>
        </w:rPr>
      </w:pPr>
      <w:r>
        <w:rPr>
          <w:rFonts w:hint="eastAsia" w:ascii="宋体" w:hAnsi="宋体" w:cs="宋体"/>
          <w:sz w:val="28"/>
          <w:szCs w:val="28"/>
        </w:rPr>
        <w:t>1.4.1提供虚假材料谋取成交的。</w:t>
      </w:r>
    </w:p>
    <w:p w14:paraId="02ECA613">
      <w:pPr>
        <w:spacing w:line="500" w:lineRule="exact"/>
        <w:ind w:firstLine="560"/>
        <w:rPr>
          <w:rFonts w:hint="eastAsia" w:ascii="宋体" w:hAnsi="宋体" w:cs="宋体"/>
          <w:sz w:val="28"/>
          <w:szCs w:val="28"/>
        </w:rPr>
      </w:pPr>
      <w:r>
        <w:rPr>
          <w:rFonts w:hint="eastAsia" w:ascii="宋体" w:hAnsi="宋体" w:cs="宋体"/>
          <w:sz w:val="28"/>
          <w:szCs w:val="28"/>
        </w:rPr>
        <w:t>1.4.2向采购人、采购代理机构行贿或者评审专家提供其他不正当利益的。</w:t>
      </w:r>
    </w:p>
    <w:p w14:paraId="4BABCBEB">
      <w:pPr>
        <w:spacing w:line="500" w:lineRule="exact"/>
        <w:ind w:firstLine="560"/>
        <w:rPr>
          <w:rFonts w:hint="eastAsia" w:ascii="宋体" w:hAnsi="宋体" w:cs="宋体"/>
          <w:sz w:val="28"/>
          <w:szCs w:val="28"/>
        </w:rPr>
      </w:pPr>
      <w:r>
        <w:rPr>
          <w:rFonts w:hint="eastAsia" w:ascii="宋体" w:hAnsi="宋体" w:cs="宋体"/>
          <w:sz w:val="28"/>
          <w:szCs w:val="28"/>
        </w:rPr>
        <w:t>1.4.3恶意竞争，最终总报价明显低于其自身合理成本且又无法提供证明的。</w:t>
      </w:r>
    </w:p>
    <w:p w14:paraId="18BAC5E0">
      <w:pPr>
        <w:spacing w:line="500" w:lineRule="exact"/>
        <w:ind w:firstLine="560"/>
        <w:rPr>
          <w:rFonts w:hint="eastAsia" w:ascii="宋体" w:hAnsi="宋体" w:cs="宋体"/>
          <w:sz w:val="28"/>
          <w:szCs w:val="28"/>
        </w:rPr>
      </w:pPr>
      <w:r>
        <w:rPr>
          <w:rFonts w:hint="eastAsia" w:ascii="宋体" w:hAnsi="宋体" w:cs="宋体"/>
          <w:sz w:val="28"/>
          <w:szCs w:val="28"/>
        </w:rPr>
        <w:t>1.4.4属于本文件规定的无效条件，但在评审过程中又未被磋商小组发现的。</w:t>
      </w:r>
    </w:p>
    <w:p w14:paraId="5045E223">
      <w:pPr>
        <w:spacing w:line="500" w:lineRule="exact"/>
        <w:ind w:firstLine="560"/>
        <w:rPr>
          <w:rFonts w:hint="eastAsia" w:ascii="宋体" w:hAnsi="宋体" w:cs="宋体"/>
          <w:sz w:val="28"/>
          <w:szCs w:val="28"/>
        </w:rPr>
      </w:pPr>
      <w:r>
        <w:rPr>
          <w:rFonts w:hint="eastAsia" w:ascii="宋体" w:hAnsi="宋体" w:cs="宋体"/>
          <w:sz w:val="28"/>
          <w:szCs w:val="28"/>
        </w:rPr>
        <w:t>1.4.5与采购人或者其他供应商恶意串通的。</w:t>
      </w:r>
    </w:p>
    <w:p w14:paraId="240148A9">
      <w:pPr>
        <w:spacing w:line="500" w:lineRule="exact"/>
        <w:ind w:firstLine="560"/>
        <w:rPr>
          <w:rFonts w:hint="eastAsia" w:ascii="宋体" w:hAnsi="宋体" w:cs="宋体"/>
          <w:sz w:val="28"/>
          <w:szCs w:val="28"/>
        </w:rPr>
      </w:pPr>
      <w:r>
        <w:rPr>
          <w:rFonts w:hint="eastAsia" w:ascii="宋体" w:hAnsi="宋体" w:cs="宋体"/>
          <w:sz w:val="28"/>
          <w:szCs w:val="28"/>
        </w:rPr>
        <w:t>1.4.6采取不正当手段诋毁、排挤其他供应商的。</w:t>
      </w:r>
    </w:p>
    <w:p w14:paraId="604D3D1B">
      <w:pPr>
        <w:spacing w:line="500" w:lineRule="exact"/>
        <w:ind w:firstLine="560"/>
        <w:rPr>
          <w:rFonts w:hint="eastAsia" w:ascii="宋体" w:hAnsi="宋体" w:cs="宋体"/>
          <w:sz w:val="28"/>
          <w:szCs w:val="28"/>
        </w:rPr>
      </w:pPr>
      <w:bookmarkStart w:id="82" w:name="_Toc200451960"/>
      <w:r>
        <w:rPr>
          <w:rFonts w:hint="eastAsia" w:ascii="宋体" w:hAnsi="宋体" w:cs="宋体"/>
          <w:sz w:val="28"/>
          <w:szCs w:val="28"/>
        </w:rPr>
        <w:t>1.5.有下列情形之一的，视为供应商串通参与磋商，响应无效：</w:t>
      </w:r>
    </w:p>
    <w:p w14:paraId="0E2E1A1D">
      <w:pPr>
        <w:spacing w:line="500" w:lineRule="exact"/>
        <w:ind w:firstLine="560"/>
        <w:rPr>
          <w:rFonts w:hint="eastAsia" w:ascii="宋体" w:hAnsi="宋体" w:cs="宋体"/>
          <w:sz w:val="28"/>
          <w:szCs w:val="28"/>
        </w:rPr>
      </w:pPr>
      <w:r>
        <w:rPr>
          <w:rFonts w:hint="eastAsia" w:ascii="宋体" w:hAnsi="宋体" w:cs="宋体"/>
          <w:sz w:val="28"/>
          <w:szCs w:val="28"/>
        </w:rPr>
        <w:t>1.5.1不同供应商的响应文件由同一单位或者个人编制；</w:t>
      </w:r>
    </w:p>
    <w:p w14:paraId="19AC9431">
      <w:pPr>
        <w:spacing w:line="500" w:lineRule="exact"/>
        <w:ind w:firstLine="560"/>
        <w:rPr>
          <w:rFonts w:hint="eastAsia" w:ascii="宋体" w:hAnsi="宋体" w:cs="宋体"/>
          <w:sz w:val="28"/>
          <w:szCs w:val="28"/>
        </w:rPr>
      </w:pPr>
      <w:r>
        <w:rPr>
          <w:rFonts w:hint="eastAsia" w:ascii="宋体" w:hAnsi="宋体" w:cs="宋体"/>
          <w:sz w:val="28"/>
          <w:szCs w:val="28"/>
        </w:rPr>
        <w:t>1.5.2不同供应商委托同一单位或者个人办理磋商事宜；</w:t>
      </w:r>
    </w:p>
    <w:p w14:paraId="0CBDE47C">
      <w:pPr>
        <w:spacing w:line="500" w:lineRule="exact"/>
        <w:ind w:firstLine="560"/>
        <w:rPr>
          <w:rFonts w:hint="eastAsia" w:ascii="宋体" w:hAnsi="宋体" w:cs="宋体"/>
          <w:sz w:val="28"/>
          <w:szCs w:val="28"/>
        </w:rPr>
      </w:pPr>
      <w:r>
        <w:rPr>
          <w:rFonts w:hint="eastAsia" w:ascii="宋体" w:hAnsi="宋体" w:cs="宋体"/>
          <w:sz w:val="28"/>
          <w:szCs w:val="28"/>
        </w:rPr>
        <w:t>1.5.3不同供应商的响应文件载明的项目管理成员或者联系人员为同一人；</w:t>
      </w:r>
    </w:p>
    <w:p w14:paraId="6BF323DD">
      <w:pPr>
        <w:spacing w:line="500" w:lineRule="exact"/>
        <w:ind w:firstLine="560"/>
        <w:rPr>
          <w:rFonts w:hint="eastAsia" w:ascii="宋体" w:hAnsi="宋体" w:cs="宋体"/>
          <w:sz w:val="28"/>
          <w:szCs w:val="28"/>
        </w:rPr>
      </w:pPr>
      <w:r>
        <w:rPr>
          <w:rFonts w:hint="eastAsia" w:ascii="宋体" w:hAnsi="宋体" w:cs="宋体"/>
          <w:sz w:val="28"/>
          <w:szCs w:val="28"/>
        </w:rPr>
        <w:t>1.5.4不同供应商的响应文件异常一致或者响应报价呈规律性差异。</w:t>
      </w:r>
    </w:p>
    <w:p w14:paraId="69B3C5AD">
      <w:pPr>
        <w:keepNext/>
        <w:spacing w:line="500" w:lineRule="exact"/>
        <w:ind w:firstLine="420"/>
        <w:outlineLvl w:val="3"/>
        <w:rPr>
          <w:rFonts w:hint="eastAsia" w:ascii="宋体" w:hAnsi="宋体" w:cs="宋体"/>
          <w:b/>
          <w:sz w:val="28"/>
          <w:szCs w:val="28"/>
        </w:rPr>
      </w:pPr>
      <w:r>
        <w:rPr>
          <w:rFonts w:hint="eastAsia" w:ascii="宋体" w:hAnsi="宋体" w:cs="宋体"/>
          <w:sz w:val="28"/>
          <w:szCs w:val="28"/>
        </w:rPr>
        <w:t>2.质疑处理</w:t>
      </w:r>
      <w:bookmarkEnd w:id="82"/>
    </w:p>
    <w:p w14:paraId="30B3695F">
      <w:pPr>
        <w:spacing w:line="500" w:lineRule="exact"/>
        <w:ind w:firstLine="560"/>
        <w:rPr>
          <w:rFonts w:hint="eastAsia" w:ascii="宋体" w:hAnsi="宋体" w:cs="宋体"/>
          <w:sz w:val="28"/>
          <w:szCs w:val="28"/>
        </w:rPr>
      </w:pPr>
      <w:r>
        <w:rPr>
          <w:rFonts w:hint="eastAsia" w:ascii="宋体" w:hAnsi="宋体" w:cs="宋体"/>
          <w:sz w:val="28"/>
          <w:szCs w:val="28"/>
        </w:rPr>
        <w:t>2.1 提出质疑的供应商应当是参与所质疑项目采购活动的供应商。潜在供应商依法获取其可质疑的磋商文件的，可以对磋商文件提出质疑。</w:t>
      </w:r>
    </w:p>
    <w:p w14:paraId="6DDE2E16">
      <w:pPr>
        <w:spacing w:line="500" w:lineRule="exact"/>
        <w:ind w:firstLine="560"/>
        <w:rPr>
          <w:rFonts w:hint="eastAsia" w:ascii="宋体" w:hAnsi="宋体" w:cs="宋体"/>
          <w:sz w:val="28"/>
          <w:szCs w:val="28"/>
        </w:rPr>
      </w:pPr>
      <w:r>
        <w:rPr>
          <w:rFonts w:hint="eastAsia" w:ascii="宋体" w:hAnsi="宋体" w:cs="宋体"/>
          <w:sz w:val="28"/>
          <w:szCs w:val="28"/>
        </w:rPr>
        <w:t>2.2供应商认为磋商文件、采购过程和采购结果使自己的权益受到损害的，可以在知道或应知其权益受到损害之日起七个工作日内，以书面形式向采购人或采购代理机构提出质疑。上述应知其权益受到损害之日，是指：</w:t>
      </w:r>
    </w:p>
    <w:p w14:paraId="7F9AF441">
      <w:pPr>
        <w:spacing w:line="500" w:lineRule="exact"/>
        <w:ind w:firstLine="560"/>
        <w:rPr>
          <w:rFonts w:hint="eastAsia" w:ascii="宋体" w:hAnsi="宋体" w:cs="宋体"/>
          <w:sz w:val="28"/>
          <w:szCs w:val="28"/>
        </w:rPr>
      </w:pPr>
      <w:r>
        <w:rPr>
          <w:rFonts w:hint="eastAsia" w:ascii="宋体" w:hAnsi="宋体" w:cs="宋体"/>
          <w:sz w:val="28"/>
          <w:szCs w:val="28"/>
        </w:rPr>
        <w:t>2.2.1对可以质疑的磋商文件提出质疑的，为收到磋商文件之日或者磋商文件公告期限届满之日；</w:t>
      </w:r>
    </w:p>
    <w:p w14:paraId="769961F6">
      <w:pPr>
        <w:spacing w:line="500" w:lineRule="exact"/>
        <w:ind w:firstLine="560"/>
        <w:rPr>
          <w:rFonts w:hint="eastAsia" w:ascii="宋体" w:hAnsi="宋体" w:cs="宋体"/>
          <w:sz w:val="28"/>
          <w:szCs w:val="28"/>
        </w:rPr>
      </w:pPr>
      <w:r>
        <w:rPr>
          <w:rFonts w:hint="eastAsia" w:ascii="宋体" w:hAnsi="宋体" w:cs="宋体"/>
          <w:sz w:val="28"/>
          <w:szCs w:val="28"/>
        </w:rPr>
        <w:t>2.2.2对采购过程提出质疑的，为各采购程序环节结束之日；</w:t>
      </w:r>
    </w:p>
    <w:p w14:paraId="75502069">
      <w:pPr>
        <w:spacing w:line="500" w:lineRule="exact"/>
        <w:ind w:firstLine="560"/>
        <w:rPr>
          <w:rFonts w:hint="eastAsia" w:ascii="宋体" w:hAnsi="宋体" w:cs="宋体"/>
          <w:sz w:val="28"/>
          <w:szCs w:val="28"/>
        </w:rPr>
      </w:pPr>
      <w:r>
        <w:rPr>
          <w:rFonts w:hint="eastAsia" w:ascii="宋体" w:hAnsi="宋体" w:cs="宋体"/>
          <w:sz w:val="28"/>
          <w:szCs w:val="28"/>
        </w:rPr>
        <w:t>2.2.3对成交结果提出质疑的，为成交结果公告期限届满之日。</w:t>
      </w:r>
    </w:p>
    <w:p w14:paraId="1DF85AB3">
      <w:pPr>
        <w:spacing w:line="500" w:lineRule="exact"/>
        <w:ind w:firstLine="560"/>
        <w:rPr>
          <w:rFonts w:hint="eastAsia" w:ascii="宋体" w:hAnsi="宋体" w:cs="宋体"/>
          <w:sz w:val="28"/>
          <w:szCs w:val="28"/>
        </w:rPr>
      </w:pPr>
      <w:r>
        <w:rPr>
          <w:rFonts w:hint="eastAsia" w:ascii="宋体" w:hAnsi="宋体" w:cs="宋体"/>
          <w:sz w:val="28"/>
          <w:szCs w:val="28"/>
        </w:rPr>
        <w:t>供应商应当在法定质疑期内一次性提出针对同一采购程序环节的质疑。</w:t>
      </w:r>
    </w:p>
    <w:p w14:paraId="5BBC56EC">
      <w:pPr>
        <w:spacing w:line="500" w:lineRule="exact"/>
        <w:ind w:firstLine="560"/>
        <w:rPr>
          <w:rFonts w:hint="eastAsia" w:ascii="宋体" w:hAnsi="宋体" w:cs="宋体"/>
          <w:sz w:val="28"/>
          <w:szCs w:val="28"/>
        </w:rPr>
      </w:pPr>
      <w:r>
        <w:rPr>
          <w:rFonts w:hint="eastAsia" w:ascii="宋体" w:hAnsi="宋体" w:cs="宋体"/>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635F8A07">
      <w:pPr>
        <w:spacing w:line="500" w:lineRule="exact"/>
        <w:ind w:firstLine="560"/>
        <w:rPr>
          <w:rFonts w:hint="eastAsia" w:ascii="宋体" w:hAnsi="宋体" w:cs="宋体"/>
          <w:b/>
          <w:sz w:val="28"/>
          <w:szCs w:val="28"/>
        </w:rPr>
      </w:pPr>
      <w:r>
        <w:rPr>
          <w:rFonts w:hint="eastAsia" w:ascii="宋体" w:hAnsi="宋体" w:cs="宋体"/>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代理机构负责答复。</w:t>
      </w:r>
    </w:p>
    <w:p w14:paraId="633F16C4">
      <w:pPr>
        <w:spacing w:line="500" w:lineRule="exact"/>
        <w:ind w:firstLine="560"/>
        <w:rPr>
          <w:rFonts w:hint="eastAsia" w:ascii="宋体" w:hAnsi="宋体" w:cs="宋体"/>
          <w:sz w:val="28"/>
          <w:szCs w:val="28"/>
        </w:rPr>
      </w:pPr>
      <w:r>
        <w:rPr>
          <w:rFonts w:hint="eastAsia" w:ascii="宋体" w:hAnsi="宋体" w:cs="宋体"/>
          <w:sz w:val="28"/>
          <w:szCs w:val="28"/>
        </w:rPr>
        <w:t>供应商于法定期限内提起质疑，向采购人或采购代理机构以书面形式提交质疑函。为进一步落实疫情防控措施，建议供应商尽量通过邮寄方式提交质疑。</w:t>
      </w:r>
    </w:p>
    <w:p w14:paraId="06595072">
      <w:pPr>
        <w:spacing w:line="500" w:lineRule="exact"/>
        <w:ind w:firstLine="560"/>
        <w:rPr>
          <w:rFonts w:hint="eastAsia" w:ascii="宋体" w:hAnsi="宋体" w:cs="宋体"/>
          <w:sz w:val="28"/>
          <w:szCs w:val="28"/>
        </w:rPr>
      </w:pPr>
      <w:r>
        <w:rPr>
          <w:rFonts w:hint="eastAsia" w:ascii="宋体" w:hAnsi="宋体" w:cs="宋体"/>
          <w:sz w:val="28"/>
          <w:szCs w:val="28"/>
        </w:rPr>
        <w:t>采购人质疑接收人及联系方式，见磋商文件第一部分。</w:t>
      </w:r>
    </w:p>
    <w:p w14:paraId="2B6FE6D4">
      <w:pPr>
        <w:spacing w:line="500" w:lineRule="exact"/>
        <w:ind w:firstLine="560"/>
        <w:rPr>
          <w:rFonts w:hint="eastAsia" w:ascii="宋体" w:hAnsi="宋体" w:cs="宋体"/>
          <w:sz w:val="28"/>
          <w:szCs w:val="28"/>
        </w:rPr>
      </w:pPr>
      <w:r>
        <w:rPr>
          <w:rFonts w:hint="eastAsia" w:ascii="宋体" w:hAnsi="宋体" w:cs="宋体"/>
          <w:sz w:val="28"/>
          <w:szCs w:val="28"/>
        </w:rPr>
        <w:t>2.5 以下情形的质疑不予受理</w:t>
      </w:r>
    </w:p>
    <w:p w14:paraId="7EF71C71">
      <w:pPr>
        <w:spacing w:line="500" w:lineRule="exact"/>
        <w:ind w:firstLine="560"/>
        <w:rPr>
          <w:rFonts w:hint="eastAsia" w:ascii="宋体" w:hAnsi="宋体" w:cs="宋体"/>
          <w:sz w:val="28"/>
          <w:szCs w:val="28"/>
        </w:rPr>
      </w:pPr>
      <w:r>
        <w:rPr>
          <w:rFonts w:hint="eastAsia" w:ascii="宋体" w:hAnsi="宋体" w:cs="宋体"/>
          <w:sz w:val="28"/>
          <w:szCs w:val="28"/>
        </w:rPr>
        <w:t>2.5.1 内容不符合《政府采购质疑和投诉办法》第十二条规定的质疑。</w:t>
      </w:r>
    </w:p>
    <w:p w14:paraId="690B1B8D">
      <w:pPr>
        <w:spacing w:line="500" w:lineRule="exact"/>
        <w:ind w:firstLine="560"/>
        <w:rPr>
          <w:rFonts w:hint="eastAsia" w:ascii="宋体" w:hAnsi="宋体" w:cs="宋体"/>
          <w:sz w:val="28"/>
          <w:szCs w:val="28"/>
        </w:rPr>
      </w:pPr>
      <w:r>
        <w:rPr>
          <w:rFonts w:hint="eastAsia" w:ascii="宋体" w:hAnsi="宋体" w:cs="宋体"/>
          <w:sz w:val="28"/>
          <w:szCs w:val="28"/>
        </w:rPr>
        <w:t>2.5.2 超出政府采购法定期限的质疑。</w:t>
      </w:r>
    </w:p>
    <w:p w14:paraId="6A2CDDD7">
      <w:pPr>
        <w:spacing w:line="500" w:lineRule="exact"/>
        <w:ind w:firstLine="560"/>
        <w:rPr>
          <w:rFonts w:hint="eastAsia" w:ascii="宋体" w:hAnsi="宋体" w:cs="宋体"/>
          <w:sz w:val="28"/>
          <w:szCs w:val="28"/>
        </w:rPr>
      </w:pPr>
      <w:r>
        <w:rPr>
          <w:rFonts w:hint="eastAsia" w:ascii="宋体" w:hAnsi="宋体" w:cs="宋体"/>
          <w:sz w:val="28"/>
          <w:szCs w:val="28"/>
        </w:rPr>
        <w:t>2.5.3 未参加磋商活动的供应商或在磋商活动中自身权益未受到损害的供应商所提出的质疑。</w:t>
      </w:r>
    </w:p>
    <w:p w14:paraId="56477757">
      <w:pPr>
        <w:spacing w:line="500" w:lineRule="exact"/>
        <w:ind w:firstLine="560"/>
        <w:rPr>
          <w:rFonts w:hint="eastAsia" w:ascii="宋体" w:hAnsi="宋体" w:cs="宋体"/>
          <w:sz w:val="28"/>
          <w:szCs w:val="28"/>
        </w:rPr>
      </w:pPr>
      <w:r>
        <w:rPr>
          <w:rFonts w:hint="eastAsia" w:ascii="宋体" w:hAnsi="宋体" w:cs="宋体"/>
          <w:sz w:val="28"/>
          <w:szCs w:val="28"/>
        </w:rPr>
        <w:t>2.5.4供应商组成联合体参加磋商，联合体中任何一方或多方未按要求签字、盖章、加盖公章的质疑。</w:t>
      </w:r>
    </w:p>
    <w:p w14:paraId="0EBA3693">
      <w:pPr>
        <w:spacing w:line="500" w:lineRule="exact"/>
        <w:ind w:firstLine="546"/>
        <w:rPr>
          <w:rFonts w:hint="eastAsia" w:ascii="宋体" w:hAnsi="宋体" w:cs="宋体"/>
          <w:sz w:val="28"/>
          <w:szCs w:val="28"/>
        </w:rPr>
      </w:pPr>
      <w:r>
        <w:rPr>
          <w:rFonts w:hint="eastAsia" w:ascii="宋体" w:hAnsi="宋体" w:cs="宋体"/>
          <w:sz w:val="28"/>
          <w:szCs w:val="28"/>
        </w:rPr>
        <w:t>2.6 供应商提出书面质疑必须有理、有据，不得捏造事实、提供虚假材料进行恶意质疑。否则，一经查实，采购人或采购代理机构有权依据政府采购的有关规定，报请政府采购监管部门对该供应商进行相应的行政处罚和记录该供应商的失信信息。</w:t>
      </w:r>
    </w:p>
    <w:p w14:paraId="18CC6372">
      <w:pPr>
        <w:keepNext/>
        <w:spacing w:line="500" w:lineRule="exact"/>
        <w:ind w:firstLine="420"/>
        <w:outlineLvl w:val="3"/>
        <w:rPr>
          <w:rFonts w:hint="eastAsia" w:ascii="宋体" w:hAnsi="宋体" w:cs="宋体"/>
          <w:b/>
          <w:sz w:val="28"/>
          <w:szCs w:val="28"/>
        </w:rPr>
      </w:pPr>
      <w:r>
        <w:rPr>
          <w:rFonts w:hint="eastAsia" w:ascii="宋体" w:hAnsi="宋体" w:cs="宋体"/>
          <w:sz w:val="28"/>
          <w:szCs w:val="28"/>
        </w:rPr>
        <w:t>3．成交通知书</w:t>
      </w:r>
    </w:p>
    <w:p w14:paraId="740FCF2C">
      <w:pPr>
        <w:spacing w:line="500" w:lineRule="exact"/>
        <w:ind w:firstLine="420"/>
        <w:rPr>
          <w:rFonts w:hint="eastAsia" w:ascii="宋体" w:hAnsi="宋体" w:cs="宋体"/>
          <w:sz w:val="28"/>
          <w:szCs w:val="28"/>
        </w:rPr>
      </w:pPr>
      <w:r>
        <w:rPr>
          <w:rFonts w:hint="eastAsia" w:ascii="宋体" w:hAnsi="宋体" w:cs="宋体"/>
          <w:sz w:val="28"/>
          <w:szCs w:val="28"/>
        </w:rPr>
        <w:t>3.l</w:t>
      </w:r>
      <w:r>
        <w:rPr>
          <w:rFonts w:hint="eastAsia" w:ascii="宋体" w:hAnsi="宋体" w:cs="宋体"/>
          <w:b/>
          <w:sz w:val="28"/>
          <w:szCs w:val="28"/>
        </w:rPr>
        <w:t xml:space="preserve"> </w:t>
      </w:r>
      <w:r>
        <w:rPr>
          <w:rFonts w:hint="eastAsia" w:ascii="宋体" w:hAnsi="宋体" w:cs="宋体"/>
          <w:sz w:val="28"/>
          <w:szCs w:val="28"/>
        </w:rPr>
        <w:t>成交结果确定后，采购人或采购代理机构将向成交供应商发出成交通知书</w:t>
      </w:r>
      <w:r>
        <w:rPr>
          <w:rFonts w:hint="eastAsia" w:ascii="宋体" w:hAnsi="宋体" w:cs="宋体"/>
          <w:bCs/>
          <w:sz w:val="28"/>
          <w:szCs w:val="28"/>
        </w:rPr>
        <w:t>（详见磋商文件第四部分）</w:t>
      </w:r>
      <w:r>
        <w:rPr>
          <w:rFonts w:hint="eastAsia" w:ascii="宋体" w:hAnsi="宋体" w:cs="宋体"/>
          <w:sz w:val="28"/>
          <w:szCs w:val="28"/>
        </w:rPr>
        <w:t>。</w:t>
      </w:r>
    </w:p>
    <w:p w14:paraId="1D8BC51F">
      <w:pPr>
        <w:spacing w:line="500" w:lineRule="exact"/>
        <w:ind w:firstLine="420"/>
        <w:rPr>
          <w:rFonts w:hint="eastAsia" w:ascii="宋体" w:hAnsi="宋体" w:cs="宋体"/>
          <w:sz w:val="28"/>
          <w:szCs w:val="28"/>
        </w:rPr>
      </w:pPr>
      <w:r>
        <w:rPr>
          <w:rFonts w:hint="eastAsia" w:ascii="宋体" w:hAnsi="宋体" w:cs="宋体"/>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1615ECBD">
      <w:pPr>
        <w:keepNext/>
        <w:keepLines/>
        <w:spacing w:line="500" w:lineRule="exact"/>
        <w:outlineLvl w:val="2"/>
        <w:rPr>
          <w:rFonts w:hint="eastAsia" w:ascii="宋体" w:hAnsi="宋体" w:cs="宋体"/>
          <w:b/>
          <w:bCs/>
          <w:sz w:val="28"/>
          <w:szCs w:val="28"/>
        </w:rPr>
      </w:pPr>
      <w:bookmarkStart w:id="83" w:name="_Toc120614220"/>
      <w:bookmarkStart w:id="84" w:name="_Toc513029236"/>
      <w:bookmarkStart w:id="85" w:name="_Toc16938552"/>
      <w:bookmarkStart w:id="86" w:name="_Toc20823308"/>
      <w:r>
        <w:rPr>
          <w:rFonts w:hint="eastAsia" w:ascii="宋体" w:hAnsi="宋体" w:cs="宋体"/>
          <w:b/>
          <w:bCs/>
          <w:sz w:val="28"/>
          <w:szCs w:val="28"/>
        </w:rPr>
        <w:t>（七）授予合同</w:t>
      </w:r>
      <w:bookmarkEnd w:id="83"/>
    </w:p>
    <w:bookmarkEnd w:id="84"/>
    <w:bookmarkEnd w:id="85"/>
    <w:bookmarkEnd w:id="86"/>
    <w:p w14:paraId="6227C428">
      <w:pPr>
        <w:keepNext/>
        <w:spacing w:line="500" w:lineRule="exact"/>
        <w:outlineLvl w:val="3"/>
        <w:rPr>
          <w:rFonts w:hint="eastAsia" w:ascii="宋体" w:hAnsi="宋体" w:cs="宋体"/>
          <w:b/>
          <w:sz w:val="28"/>
          <w:szCs w:val="28"/>
        </w:rPr>
      </w:pPr>
      <w:bookmarkStart w:id="87" w:name="_Toc20823309"/>
      <w:bookmarkStart w:id="88" w:name="_Toc16938553"/>
      <w:bookmarkStart w:id="89" w:name="_Toc513029237"/>
      <w:r>
        <w:rPr>
          <w:rFonts w:hint="eastAsia" w:ascii="宋体" w:hAnsi="宋体" w:cs="宋体"/>
          <w:sz w:val="28"/>
          <w:szCs w:val="28"/>
        </w:rPr>
        <w:t>1.签订合同</w:t>
      </w:r>
    </w:p>
    <w:p w14:paraId="2A9D26E6">
      <w:pPr>
        <w:spacing w:line="500" w:lineRule="exact"/>
        <w:ind w:firstLine="700"/>
        <w:rPr>
          <w:rFonts w:hint="eastAsia" w:ascii="宋体" w:hAnsi="宋体" w:cs="宋体"/>
          <w:sz w:val="28"/>
          <w:szCs w:val="28"/>
        </w:rPr>
      </w:pPr>
      <w:r>
        <w:rPr>
          <w:rFonts w:hint="eastAsia" w:ascii="宋体" w:hAnsi="宋体" w:cs="宋体"/>
          <w:bCs/>
          <w:sz w:val="28"/>
          <w:szCs w:val="28"/>
        </w:rPr>
        <w:t>1</w:t>
      </w:r>
      <w:r>
        <w:rPr>
          <w:rFonts w:hint="eastAsia" w:ascii="宋体" w:hAnsi="宋体" w:cs="宋体"/>
          <w:sz w:val="28"/>
          <w:szCs w:val="28"/>
        </w:rPr>
        <w:t>.l成交供应商应当在成交通知书发出之日起三十日内，按照磋商文件确定的事项与采购人签订政府采购合同。</w:t>
      </w:r>
    </w:p>
    <w:p w14:paraId="69E9FC66">
      <w:pPr>
        <w:spacing w:line="500" w:lineRule="exact"/>
        <w:ind w:firstLine="700"/>
        <w:rPr>
          <w:rFonts w:hint="eastAsia" w:ascii="宋体" w:hAnsi="宋体" w:cs="宋体"/>
          <w:sz w:val="28"/>
          <w:szCs w:val="28"/>
        </w:rPr>
      </w:pPr>
      <w:r>
        <w:rPr>
          <w:rFonts w:hint="eastAsia" w:ascii="宋体" w:hAnsi="宋体" w:cs="宋体"/>
          <w:sz w:val="28"/>
          <w:szCs w:val="28"/>
        </w:rPr>
        <w:t>1.2磋商文件、成交供应商的响应文件及磋商过程中有关澄清、承诺文件均应作为合同附件。</w:t>
      </w:r>
    </w:p>
    <w:p w14:paraId="5084D3C2">
      <w:pPr>
        <w:spacing w:line="500" w:lineRule="exact"/>
        <w:ind w:firstLine="700"/>
        <w:rPr>
          <w:rFonts w:hint="eastAsia" w:ascii="宋体" w:hAnsi="宋体" w:cs="宋体"/>
          <w:sz w:val="28"/>
          <w:szCs w:val="28"/>
        </w:rPr>
      </w:pPr>
      <w:r>
        <w:rPr>
          <w:rFonts w:hint="eastAsia" w:ascii="宋体" w:hAnsi="宋体" w:cs="宋体"/>
          <w:sz w:val="28"/>
          <w:szCs w:val="28"/>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12BC993D">
      <w:pPr>
        <w:keepNext/>
        <w:spacing w:line="500" w:lineRule="exact"/>
        <w:outlineLvl w:val="3"/>
        <w:rPr>
          <w:rFonts w:hint="eastAsia" w:ascii="宋体" w:hAnsi="宋体" w:cs="宋体"/>
          <w:b/>
          <w:sz w:val="28"/>
          <w:szCs w:val="28"/>
        </w:rPr>
      </w:pPr>
      <w:r>
        <w:rPr>
          <w:rFonts w:hint="eastAsia" w:ascii="宋体" w:hAnsi="宋体" w:cs="宋体"/>
          <w:sz w:val="28"/>
          <w:szCs w:val="28"/>
        </w:rPr>
        <w:t>2.货物和服务的追加、减少和添购。</w:t>
      </w:r>
    </w:p>
    <w:p w14:paraId="684F71E1">
      <w:pPr>
        <w:spacing w:line="500" w:lineRule="exact"/>
        <w:ind w:firstLine="560"/>
        <w:rPr>
          <w:rFonts w:hint="eastAsia" w:ascii="宋体" w:hAnsi="宋体" w:cs="宋体"/>
          <w:sz w:val="28"/>
          <w:szCs w:val="28"/>
        </w:rPr>
      </w:pPr>
      <w:r>
        <w:rPr>
          <w:rFonts w:hint="eastAsia" w:ascii="宋体" w:hAnsi="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4AD0B1D5">
      <w:pPr>
        <w:spacing w:line="500" w:lineRule="exact"/>
        <w:ind w:firstLine="560"/>
        <w:rPr>
          <w:rFonts w:hint="eastAsia" w:ascii="宋体" w:hAnsi="宋体" w:cs="宋体"/>
          <w:sz w:val="28"/>
          <w:szCs w:val="28"/>
        </w:rPr>
      </w:pPr>
      <w:r>
        <w:rPr>
          <w:rFonts w:hint="eastAsia" w:ascii="宋体" w:hAnsi="宋体" w:cs="宋体"/>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14:paraId="43432433">
      <w:pPr>
        <w:pStyle w:val="198"/>
        <w:spacing w:line="500" w:lineRule="exact"/>
        <w:jc w:val="both"/>
        <w:rPr>
          <w:rFonts w:hint="eastAsia" w:ascii="宋体" w:hAnsi="宋体" w:eastAsia="宋体" w:cs="宋体"/>
          <w:b/>
          <w:sz w:val="28"/>
          <w:szCs w:val="28"/>
        </w:rPr>
      </w:pPr>
      <w:r>
        <w:rPr>
          <w:rFonts w:hint="eastAsia" w:ascii="宋体" w:hAnsi="宋体" w:eastAsia="宋体" w:cs="宋体"/>
          <w:sz w:val="28"/>
          <w:szCs w:val="28"/>
        </w:rPr>
        <w:t>3.合同信用融资扶持政策</w:t>
      </w:r>
    </w:p>
    <w:p w14:paraId="3BBC789A">
      <w:pPr>
        <w:spacing w:line="500" w:lineRule="exact"/>
        <w:ind w:firstLine="560"/>
        <w:rPr>
          <w:rFonts w:hint="eastAsia" w:ascii="宋体" w:hAnsi="宋体" w:cs="宋体"/>
          <w:bCs/>
          <w:sz w:val="36"/>
          <w:szCs w:val="36"/>
        </w:rPr>
      </w:pPr>
      <w:r>
        <w:rPr>
          <w:rFonts w:hint="eastAsia" w:ascii="宋体" w:hAnsi="宋体" w:cs="宋体"/>
          <w:sz w:val="28"/>
          <w:szCs w:val="28"/>
        </w:rPr>
        <w:t>根据《关于转发江苏省财政厅、中国人民银行南京分行&lt;关于深入推进政府采购线上合同信用融资工作的通知&gt;的通知》（通财购〔2021〕41号），对政府采购中标（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成交）供应商如需获得合同信用融资支持，可凭政府采购合同办理“政采贷”融资贷款，详情请见江苏政府采购网“政采贷”专栏。</w:t>
      </w:r>
      <w:bookmarkEnd w:id="87"/>
      <w:bookmarkEnd w:id="88"/>
      <w:bookmarkEnd w:id="89"/>
    </w:p>
    <w:p w14:paraId="486B875C">
      <w:pPr>
        <w:rPr>
          <w:rFonts w:hint="eastAsia" w:ascii="宋体" w:hAnsi="宋体" w:cs="宋体"/>
          <w:sz w:val="36"/>
          <w:szCs w:val="36"/>
        </w:rPr>
      </w:pPr>
      <w:r>
        <w:rPr>
          <w:rFonts w:hint="eastAsia" w:ascii="宋体" w:hAnsi="宋体" w:cs="宋体"/>
          <w:sz w:val="36"/>
          <w:szCs w:val="36"/>
        </w:rPr>
        <w:br w:type="page"/>
      </w:r>
    </w:p>
    <w:p w14:paraId="6034B5FA">
      <w:pPr>
        <w:spacing w:line="500" w:lineRule="exact"/>
        <w:jc w:val="center"/>
        <w:rPr>
          <w:rFonts w:hint="eastAsia" w:ascii="宋体" w:hAnsi="宋体" w:cs="宋体"/>
          <w:bCs/>
          <w:sz w:val="36"/>
          <w:szCs w:val="36"/>
        </w:rPr>
      </w:pPr>
      <w:r>
        <w:rPr>
          <w:rFonts w:hint="eastAsia" w:ascii="宋体" w:hAnsi="宋体" w:cs="宋体"/>
          <w:bCs/>
          <w:sz w:val="36"/>
          <w:szCs w:val="36"/>
        </w:rPr>
        <w:t>第三部分  项目需求</w:t>
      </w:r>
    </w:p>
    <w:p w14:paraId="613624B0">
      <w:pPr>
        <w:spacing w:line="500" w:lineRule="exact"/>
        <w:ind w:firstLine="560"/>
        <w:rPr>
          <w:rFonts w:hint="eastAsia" w:ascii="宋体" w:hAnsi="宋体" w:cs="宋体"/>
          <w:sz w:val="28"/>
          <w:szCs w:val="28"/>
        </w:rPr>
      </w:pPr>
      <w:r>
        <w:rPr>
          <w:rFonts w:hint="eastAsia" w:ascii="宋体" w:hAnsi="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52A7137">
      <w:pPr>
        <w:spacing w:line="500" w:lineRule="exact"/>
        <w:ind w:firstLine="560"/>
        <w:rPr>
          <w:rFonts w:hint="eastAsia" w:ascii="宋体" w:hAnsi="宋体" w:cs="宋体"/>
          <w:sz w:val="28"/>
          <w:szCs w:val="28"/>
        </w:rPr>
      </w:pPr>
      <w:r>
        <w:rPr>
          <w:rFonts w:hint="eastAsia" w:ascii="宋体" w:hAnsi="宋体" w:cs="宋体"/>
          <w:sz w:val="28"/>
          <w:szCs w:val="28"/>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78463FCA">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其内容包含：</w:t>
      </w:r>
    </w:p>
    <w:p w14:paraId="3A0A2F7B">
      <w:pPr>
        <w:pStyle w:val="240"/>
        <w:snapToGrid w:val="0"/>
        <w:spacing w:line="440" w:lineRule="exact"/>
        <w:ind w:firstLine="562" w:firstLineChars="200"/>
        <w:contextualSpacing/>
        <w:outlineLvl w:val="0"/>
        <w:rPr>
          <w:rFonts w:hint="eastAsia" w:ascii="宋体" w:eastAsia="宋体" w:cs="宋体"/>
          <w:color w:val="000000" w:themeColor="text1"/>
          <w:sz w:val="28"/>
          <w14:textFill>
            <w14:solidFill>
              <w14:schemeClr w14:val="tx1"/>
            </w14:solidFill>
          </w14:textFill>
        </w:rPr>
      </w:pPr>
      <w:bookmarkStart w:id="90" w:name="_Toc526709252"/>
      <w:r>
        <w:rPr>
          <w:rFonts w:hint="eastAsia" w:ascii="宋体" w:eastAsia="宋体" w:cs="宋体"/>
          <w:b/>
          <w:bCs/>
          <w:color w:val="000000" w:themeColor="text1"/>
          <w:sz w:val="28"/>
          <w14:textFill>
            <w14:solidFill>
              <w14:schemeClr w14:val="tx1"/>
            </w14:solidFill>
          </w14:textFill>
        </w:rPr>
        <w:t>一、项目需求</w:t>
      </w:r>
    </w:p>
    <w:bookmarkEnd w:id="90"/>
    <w:p w14:paraId="33CC4858">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（一）服务范围</w:t>
      </w:r>
    </w:p>
    <w:p w14:paraId="3F001676">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rPr>
        <w:t>启东市行政中心、人武部及其</w:t>
      </w:r>
      <w:r>
        <w:rPr>
          <w:rFonts w:hint="eastAsia" w:ascii="宋体" w:eastAsia="宋体" w:cs="宋体"/>
          <w:color w:val="000000"/>
          <w:kern w:val="2"/>
          <w:sz w:val="28"/>
          <w:highlight w:val="none"/>
        </w:rPr>
        <w:t>下属单位保安服务进行采购，建筑面积约10万平方米。主要服务范围包括（但不限于）：</w:t>
      </w:r>
    </w:p>
    <w:p w14:paraId="016A7314">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1.负责管理服务范围内的安全保卫工作；</w:t>
      </w:r>
    </w:p>
    <w:p w14:paraId="6BCD814F">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2.负责管理管理服务范围内的车辆停放和治安秩序；</w:t>
      </w:r>
    </w:p>
    <w:p w14:paraId="45E692A2">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3.负责管理进出门岗人员、车辆以及对来访人员的管理；</w:t>
      </w:r>
    </w:p>
    <w:p w14:paraId="39943BA0">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4.负责按时升降国旗；</w:t>
      </w:r>
    </w:p>
    <w:p w14:paraId="06C03CC0">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5.负责对管理服务范围内各楼栋各楼层进行安全工作巡查；</w:t>
      </w:r>
    </w:p>
    <w:p w14:paraId="17E73A24">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6.负责对管理服务范围内要害部位的安全防范；</w:t>
      </w:r>
    </w:p>
    <w:p w14:paraId="1CAE26E3">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7.负责协助公安部门对突发事件及重大治安事件的处置；负责特定时间段对管理服务范围内</w:t>
      </w:r>
      <w:r>
        <w:rPr>
          <w:rFonts w:hint="eastAsia" w:ascii="宋体" w:eastAsia="宋体" w:cs="宋体"/>
          <w:color w:val="000000"/>
          <w:kern w:val="2"/>
          <w:sz w:val="28"/>
          <w:highlight w:val="none"/>
          <w:lang w:eastAsia="zh-CN"/>
        </w:rPr>
        <w:t>的</w:t>
      </w:r>
      <w:r>
        <w:rPr>
          <w:rFonts w:hint="eastAsia" w:ascii="宋体" w:eastAsia="宋体" w:cs="宋体"/>
          <w:color w:val="000000"/>
          <w:kern w:val="2"/>
          <w:sz w:val="28"/>
          <w:highlight w:val="none"/>
        </w:rPr>
        <w:t>外围进行巡逻；</w:t>
      </w:r>
    </w:p>
    <w:p w14:paraId="60168198">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8.服务期间，如业主单位需求发生变化，由双方按照采购相关规定，协商人员配备相关事宜。</w:t>
      </w:r>
    </w:p>
    <w:p w14:paraId="5A7687B9">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9.完成采购人交代的其他安保事项。</w:t>
      </w:r>
    </w:p>
    <w:p w14:paraId="1041A671">
      <w:pPr>
        <w:pStyle w:val="240"/>
        <w:snapToGrid w:val="0"/>
        <w:spacing w:line="440" w:lineRule="exact"/>
        <w:ind w:firstLine="560" w:firstLineChars="200"/>
        <w:contextualSpacing/>
        <w:rPr>
          <w:rFonts w:hint="eastAsia" w:ascii="宋体" w:eastAsia="宋体" w:cs="宋体"/>
          <w:color w:val="000000"/>
          <w:kern w:val="2"/>
          <w:sz w:val="28"/>
          <w:highlight w:val="none"/>
        </w:rPr>
      </w:pPr>
      <w:r>
        <w:rPr>
          <w:rFonts w:hint="eastAsia" w:ascii="宋体" w:eastAsia="宋体" w:cs="宋体"/>
          <w:color w:val="000000"/>
          <w:kern w:val="2"/>
          <w:sz w:val="28"/>
          <w:highlight w:val="none"/>
        </w:rPr>
        <w:t>（二）人员要求：</w:t>
      </w:r>
    </w:p>
    <w:p w14:paraId="419AF58C">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highlight w:val="none"/>
        </w:rPr>
        <w:t>成交供应商拟派团队至少包括项目主管、保安队长（一正一副）、保安人员；其中：保安人员不得少于</w:t>
      </w:r>
      <w:r>
        <w:rPr>
          <w:rFonts w:hint="eastAsia" w:ascii="宋体" w:eastAsia="宋体" w:cs="宋体"/>
          <w:color w:val="000000"/>
          <w:kern w:val="2"/>
          <w:sz w:val="28"/>
          <w:highlight w:val="none"/>
          <w:lang w:val="en-US" w:eastAsia="zh-CN"/>
        </w:rPr>
        <w:t>45</w:t>
      </w:r>
      <w:r>
        <w:rPr>
          <w:rFonts w:hint="eastAsia" w:ascii="宋体" w:eastAsia="宋体" w:cs="宋体"/>
          <w:color w:val="000000"/>
          <w:kern w:val="2"/>
          <w:sz w:val="28"/>
          <w:highlight w:val="none"/>
        </w:rPr>
        <w:t>人【其中：启东市行政中心38人（行政中心主要岗位设置如下：5个门岗、监控中心岗、主楼2楼南大门岗、主楼1楼入口门岗、外围车辆管理岗）、人武部及其下属单位7人】。所有人员均须持有公安部门颁发的保安员上岗证，年龄均以身份证为准。保安</w:t>
      </w:r>
      <w:r>
        <w:rPr>
          <w:rFonts w:hint="eastAsia" w:ascii="宋体" w:eastAsia="宋体" w:cs="宋体"/>
          <w:color w:val="000000"/>
          <w:kern w:val="2"/>
          <w:sz w:val="28"/>
        </w:rPr>
        <w:t>人员均统一着装，挂牌上岗，仪表整洁规范，做到文明服务、优质服务。</w:t>
      </w:r>
    </w:p>
    <w:p w14:paraId="70CAD40C">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1.项目主管</w:t>
      </w:r>
    </w:p>
    <w:p w14:paraId="3035C88C">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男性，数量1人，大专及以上学历， 45周岁以下，身体健康，遵守国家法津法规、思想品质好，责任心强，作风正派、品行端正，无违法犯罪记录，五官端正，体态良好，退伍军人最佳。接受过安全保卫或相关训练，熟练掌握人防、技防业务知识，能正确使用各类消防、物防、技防器械和设备（包括一键式报警和入侵式CK报警设施的使用及日常维护），熟悉项目环境，熟知治安管理有关法律法规，熟悉各类刑事、治安案件和各类灾害事故的应急预案。</w:t>
      </w:r>
    </w:p>
    <w:p w14:paraId="1A5B63D3">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2.保安队长</w:t>
      </w:r>
    </w:p>
    <w:p w14:paraId="3F115BA3">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男性，数量1人，身体健康，遵守国家法津法规、政治可靠，品行端正、无违法犯罪记录，责任心强，具备良好的职业道德和服务意识，业务能力强，接受过安全保卫相关训练，熟知治安管理有关法律法规，熟悉各类刑事、治安案件和各类灾害事故的应急预案，熟练掌握人防、技防的业务知识；熟悉项目环境，熟练使用一键式报警和入侵式CK报警设施。</w:t>
      </w:r>
    </w:p>
    <w:p w14:paraId="17F548B8">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3.保安副队长</w:t>
      </w:r>
    </w:p>
    <w:p w14:paraId="37F37FC7">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男性，数量1人，55 周岁以下，身体健康，无传染性疾病、精神性疾病等影响工作的疾病，能适应岗位工作强度和轮班制度，遵守国家法律法规、政治可靠，品行端正、无违法犯罪记录，具备良好的职业道德和服务意识，责任心强，熟练掌握人防、技防的业务知识，熟练使用一键式报警和入侵式CK报警设施。</w:t>
      </w:r>
    </w:p>
    <w:p w14:paraId="1379D355">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4.保安人员</w:t>
      </w:r>
    </w:p>
    <w:p w14:paraId="43AD15C8">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男性，55 周岁以下，身体素质良好，无传染性疾病、精神性疾病等影响工作的疾病，服从性强，能适应岗位工作强度和轮班制度，遵守国家法律法规、政治可靠，品行端正、无违法犯罪记录，具备良好的职业道德和服务意识，责任心强，熟练使用一键式报警和入侵式CK报警设施。</w:t>
      </w:r>
    </w:p>
    <w:p w14:paraId="62297272">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5.其他要求</w:t>
      </w:r>
    </w:p>
    <w:p w14:paraId="6B18629E">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（1）成交供应商进场项目团队（项目主管、保安队长、保安人员，下同）与投标文件中的项目团队须一致，未经采购人同意不得擅自更换；采购人有权要求更换不称职的项目团队成员。</w:t>
      </w:r>
    </w:p>
    <w:p w14:paraId="218C341F">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（2）成交供应商在成交后，按要求聘用具有相关证书的人员，并依法缴纳社保和签订劳动合同，人员经采购人认可后进场。</w:t>
      </w:r>
    </w:p>
    <w:p w14:paraId="1AB85252">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如因成交供应商拟派保安人员的疏忽或失职造成贵重物品被盗、毁坏或发生重大安全事故，成交供应商承担一切赔偿责任。履约期间，如若发生工作人员工伤或遇工作人员人身伤亡事故，均由成交供应商负责，与采购人无关。</w:t>
      </w:r>
    </w:p>
    <w:p w14:paraId="2C3ACB16">
      <w:pPr>
        <w:pStyle w:val="240"/>
        <w:snapToGrid w:val="0"/>
        <w:spacing w:line="440" w:lineRule="exact"/>
        <w:ind w:firstLine="560" w:firstLineChars="200"/>
        <w:contextualSpacing/>
        <w:rPr>
          <w:rFonts w:ascii="Times New Roman" w:hAnsi="Times New Roman" w:eastAsia="宋体"/>
          <w:color w:val="000000"/>
          <w:kern w:val="2"/>
          <w:sz w:val="24"/>
          <w:szCs w:val="24"/>
        </w:rPr>
      </w:pPr>
      <w:r>
        <w:rPr>
          <w:rFonts w:hint="eastAsia" w:ascii="宋体" w:eastAsia="宋体" w:cs="宋体"/>
          <w:color w:val="000000"/>
          <w:kern w:val="2"/>
          <w:sz w:val="28"/>
        </w:rPr>
        <w:t>（4）为保证服务队伍的整体素质和相对稳定性，供应商应充分考虑管理和服务人员的工资待遇。供应商要综合考虑启东劳动市场因素，对人工费用进行合理报价。供应商的人员工资待遇须符合《中华人民共和国劳动合同法》相关规定。</w:t>
      </w:r>
    </w:p>
    <w:p w14:paraId="668DE6C7">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（三）服务要求</w:t>
      </w:r>
    </w:p>
    <w:p w14:paraId="6CDB4DB0">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1.服装器械要求</w:t>
      </w:r>
    </w:p>
    <w:p w14:paraId="34403A45">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成交供应商须为每位保安人员配备保安服、橡胶棒、对讲机、执勤钢盔、防刺背心、强光手电筒等公安部门要求的执勤装备，费用含在合同价中。</w:t>
      </w:r>
    </w:p>
    <w:p w14:paraId="1F08411C">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2.安全防范要求</w:t>
      </w:r>
    </w:p>
    <w:p w14:paraId="1AB6930F">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2.1 拟派保安人员接受过安全护卫或相关训练，掌握基本安全护卫技能，熟悉服务范围内外环境，熟悉有关法律法规，能恰当的处理和应对护卫工作；品质好，作风正派，热爱安全护卫工作，无犯罪记录；</w:t>
      </w:r>
    </w:p>
    <w:p w14:paraId="69346FA7">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2.2 安全护卫人员配备对讲装置和其他必备的安全护卫工具；当班时佩戴统一标志的执勤工号，穿戴统一制服，工具佩戴规范，仪容仪表规范整齐；</w:t>
      </w:r>
    </w:p>
    <w:p w14:paraId="1BAC4544">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2.3 交接班制度完善，有工作及交接记录；</w:t>
      </w:r>
    </w:p>
    <w:p w14:paraId="3AEA1540">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2.4 制定紧急事故处理预案，至少包括:火灾、爆炸、安全疏散以及其他应急灯；</w:t>
      </w:r>
    </w:p>
    <w:p w14:paraId="413E0008">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2.5成交供应商每季度进行不少于1次的安全防范学习，增强安全防范能力。</w:t>
      </w:r>
    </w:p>
    <w:p w14:paraId="02940D33">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 xml:space="preserve">2.6 书面描述紧急事故救护组织职责，并让每位成员了解，周期性地进行反应训练；每年按消防要求组织进行疏散演习2次； </w:t>
      </w:r>
    </w:p>
    <w:p w14:paraId="04CB0C49">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2.7 有安全防范措施，涉及人身安全处，设有明显标志并有防护措施；协助有关部门维持秩序，防止不安全事件发生。</w:t>
      </w:r>
    </w:p>
    <w:p w14:paraId="7CA30D2E">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3.保安人员交接班制度</w:t>
      </w:r>
    </w:p>
    <w:p w14:paraId="163DAB8B">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3.1 准备接班的保安提前15分钟到岗，先向上一班了解岗位工作情况，以便明确工作重点和未处理情况；</w:t>
      </w:r>
    </w:p>
    <w:p w14:paraId="56EAB834">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3.2 交接班人员有特殊情况未到达前，当班人员不得离开岗位；</w:t>
      </w:r>
    </w:p>
    <w:p w14:paraId="05A99263">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3.3 交班人员须将本班工作情况详细移交给下一班，并将本班已完成和待完成工作认真记录在交接班本上，交接双方签名确认；</w:t>
      </w:r>
    </w:p>
    <w:p w14:paraId="55619E3B">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3.4 交班人员须将相关记录写清楚，并将相关记录本交给接班人员；</w:t>
      </w:r>
    </w:p>
    <w:p w14:paraId="1D00151A">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3.5 交班人员发现的情况要及时处理，不能移交给下一班的事情要继续在岗位处理完毕，接班人员应协助完成；</w:t>
      </w:r>
    </w:p>
    <w:p w14:paraId="27364DDB">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3.6 如果交班人员离开后，接班人员发现属于上一班之间的问题的，应立即报告；</w:t>
      </w:r>
    </w:p>
    <w:p w14:paraId="69558201">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3.7 接班人员要整理好门卫值班室内务，接班通知进行检查，认真填写《保安值班记录表》。</w:t>
      </w:r>
    </w:p>
    <w:p w14:paraId="10694A17">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4.交通、车辆管理</w:t>
      </w:r>
    </w:p>
    <w:p w14:paraId="324C1326">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4.1 有完善的车辆管理制度：维持交通秩序，对车库进出车辆进行管理、疏导，保证出入口环境整洁、有序、通畅；按车辆道路行驶要求设立指示牌和地标，车辆行驶有规定路线，车辆停放有序(一位一车)；对车棚车辆停放加强管理，保证整洁、有序；发现车辆未上锁及乱停乱放进行忠告或纠正，发现偷盗车辆、破坏交通设施等现象及时制止；控制各类车辆出入及危险品出入，若对进出车辆有疑问，应向驾驶员敬礼后再进行询问。</w:t>
      </w:r>
    </w:p>
    <w:p w14:paraId="2B875486">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4.2 做好地面、地下停车场机动车与非机动车进出与停放管理。</w:t>
      </w:r>
    </w:p>
    <w:p w14:paraId="01C2699B">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5.各岗位值守</w:t>
      </w:r>
    </w:p>
    <w:p w14:paraId="1A5A1961">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5.1 各岗位24小时值班看守，严禁脱岗。</w:t>
      </w:r>
    </w:p>
    <w:p w14:paraId="0D8C6F51">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5.2 立岗姿势正确，身体挺直，双手背后，两腿呈跨立状，不准稍息呈倚状或其他姿势，面带微笑行注目礼，遇领导敬礼。</w:t>
      </w:r>
    </w:p>
    <w:p w14:paraId="5F972F12">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 xml:space="preserve">5.3 交接班时按规范进行操作，对各种寄放物品进行认真交接。上岗期间必须认真热情地回答服务对象提出的各种问题。大件物品出门必须核验相关手续。 </w:t>
      </w:r>
    </w:p>
    <w:p w14:paraId="45F5ABAB">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5.4 各出入口对来访人员实行登记制度。</w:t>
      </w:r>
    </w:p>
    <w:p w14:paraId="7CC788B3">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5.5遇电梯等设备有故障时，立即通知设备部门；夜间发生重大事件或相关设备设施损坏时须立即向项目主管和采购人汇报。</w:t>
      </w:r>
    </w:p>
    <w:p w14:paraId="0DD4231B">
      <w:pPr>
        <w:pStyle w:val="240"/>
        <w:snapToGrid w:val="0"/>
        <w:spacing w:line="440" w:lineRule="exact"/>
        <w:ind w:firstLine="560" w:firstLineChars="200"/>
        <w:contextualSpacing/>
        <w:rPr>
          <w:rFonts w:hint="eastAsia" w:ascii="宋体" w:eastAsia="宋体" w:cs="宋体"/>
          <w:color w:val="000000"/>
          <w:kern w:val="2"/>
          <w:sz w:val="28"/>
        </w:rPr>
      </w:pPr>
      <w:r>
        <w:rPr>
          <w:rFonts w:hint="eastAsia" w:ascii="宋体" w:eastAsia="宋体" w:cs="宋体"/>
          <w:color w:val="000000"/>
          <w:kern w:val="2"/>
          <w:sz w:val="28"/>
        </w:rPr>
        <w:t>5.6 对进出人员、车辆进行引导、管控，确保交通有序通畅，无堵塞情况；对大门周围进行有效管理，严禁车辆乱停乱放。</w:t>
      </w:r>
    </w:p>
    <w:p w14:paraId="1E5381D3">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（四）其他要求</w:t>
      </w:r>
    </w:p>
    <w:p w14:paraId="04A84C47">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1.成交供应商派驻项目团队人员的安全责任由成交供应商自行承担，与采购人无关。</w:t>
      </w:r>
    </w:p>
    <w:p w14:paraId="4783045A">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2.日常保安所需的设备、工具等用品费用由保安公司承担。</w:t>
      </w:r>
    </w:p>
    <w:p w14:paraId="084AD241">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3.保安人员工必须统一着装，挂牌上岗，服从采购人日常临时工作安排。</w:t>
      </w:r>
    </w:p>
    <w:p w14:paraId="3970CE1F">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4.如因工作失误而造成采购人财产损失，由成交供应商负责赔偿。不可抗力的因素除外。</w:t>
      </w:r>
    </w:p>
    <w:p w14:paraId="37A0522E">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5.成交供应商必须接受采购人对保安质量、服务态度、安全等监督，若有违反相关规定和未达到保安服务标准，采购人有权根据考核结果实施处罚。</w:t>
      </w:r>
    </w:p>
    <w:p w14:paraId="1C7D7D2A">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（五）考核要求</w:t>
      </w:r>
    </w:p>
    <w:p w14:paraId="15376E8E">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采购人根据《考核细则》对成交供应商的服务情况进行季度考核，最终根据考核分数进行结算。考核总分100分，考核结果95分（含）以上的支付当季全额服务费；考核得分95以下的每分扣500元服务费；80分以下扣除当季全额服务费用的15%，且采购人有权终止合同，并且不承担任何赔偿责任。考核由采购人和成交供应商共同参与，《考核表》需经双方代表共同签字确认。</w:t>
      </w:r>
    </w:p>
    <w:p w14:paraId="0A98FD34">
      <w:pPr>
        <w:pStyle w:val="2"/>
        <w:ind w:left="63" w:right="63"/>
        <w:jc w:val="center"/>
        <w:rPr>
          <w:rStyle w:val="269"/>
          <w:rFonts w:hint="eastAsia" w:ascii="宋体" w:hAnsi="宋体" w:cs="仿宋_GB2312"/>
          <w:b/>
          <w:bCs/>
          <w:color w:val="000000"/>
        </w:rPr>
      </w:pPr>
    </w:p>
    <w:p w14:paraId="2A366F89">
      <w:pPr>
        <w:pStyle w:val="2"/>
        <w:ind w:left="63" w:right="63"/>
        <w:jc w:val="center"/>
        <w:rPr>
          <w:rStyle w:val="269"/>
          <w:rFonts w:hint="eastAsia" w:ascii="宋体" w:hAnsi="宋体" w:cs="仿宋_GB2312"/>
          <w:b/>
          <w:bCs/>
          <w:color w:val="000000"/>
          <w:sz w:val="28"/>
          <w:szCs w:val="28"/>
        </w:rPr>
      </w:pPr>
      <w:r>
        <w:rPr>
          <w:rStyle w:val="269"/>
          <w:rFonts w:hint="eastAsia" w:ascii="宋体" w:hAnsi="宋体" w:cs="仿宋_GB2312"/>
          <w:b/>
          <w:bCs/>
          <w:color w:val="000000"/>
        </w:rPr>
        <w:t>启东市行政中心保安服务项目考核表</w:t>
      </w:r>
    </w:p>
    <w:tbl>
      <w:tblPr>
        <w:tblStyle w:val="35"/>
        <w:tblW w:w="5000" w:type="pct"/>
        <w:tblInd w:w="0" w:type="dxa"/>
        <w:tblLayout w:type="autofit"/>
        <w:tblCellMar>
          <w:top w:w="0" w:type="dxa"/>
          <w:left w:w="108" w:type="dxa"/>
          <w:bottom w:w="0" w:type="dxa"/>
          <w:right w:w="108" w:type="dxa"/>
        </w:tblCellMar>
      </w:tblPr>
      <w:tblGrid>
        <w:gridCol w:w="1395"/>
        <w:gridCol w:w="2445"/>
        <w:gridCol w:w="925"/>
        <w:gridCol w:w="2750"/>
        <w:gridCol w:w="1008"/>
      </w:tblGrid>
      <w:tr w14:paraId="02CB5144">
        <w:tblPrEx>
          <w:tblCellMar>
            <w:top w:w="0" w:type="dxa"/>
            <w:left w:w="108" w:type="dxa"/>
            <w:bottom w:w="0" w:type="dxa"/>
            <w:right w:w="108" w:type="dxa"/>
          </w:tblCellMar>
        </w:tblPrEx>
        <w:trPr>
          <w:trHeight w:val="540" w:hRule="atLeast"/>
        </w:trPr>
        <w:tc>
          <w:tcPr>
            <w:tcW w:w="803" w:type="pct"/>
            <w:tcBorders>
              <w:top w:val="single" w:color="000000" w:sz="4" w:space="0"/>
              <w:left w:val="single" w:color="000000" w:sz="4" w:space="0"/>
              <w:bottom w:val="single" w:color="000000" w:sz="4" w:space="0"/>
              <w:right w:val="single" w:color="000000" w:sz="4" w:space="0"/>
            </w:tcBorders>
            <w:vAlign w:val="center"/>
          </w:tcPr>
          <w:p w14:paraId="0561A4BA">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管理服务内容</w:t>
            </w:r>
          </w:p>
        </w:tc>
        <w:tc>
          <w:tcPr>
            <w:tcW w:w="1471" w:type="pct"/>
            <w:tcBorders>
              <w:top w:val="single" w:color="000000" w:sz="4" w:space="0"/>
              <w:left w:val="single" w:color="000000" w:sz="4" w:space="0"/>
              <w:bottom w:val="single" w:color="000000" w:sz="4" w:space="0"/>
              <w:right w:val="single" w:color="000000" w:sz="4" w:space="0"/>
            </w:tcBorders>
            <w:vAlign w:val="center"/>
          </w:tcPr>
          <w:p w14:paraId="0DF931C4">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考核标准</w:t>
            </w:r>
          </w:p>
        </w:tc>
        <w:tc>
          <w:tcPr>
            <w:tcW w:w="504" w:type="pct"/>
            <w:tcBorders>
              <w:top w:val="single" w:color="000000" w:sz="4" w:space="0"/>
              <w:left w:val="single" w:color="000000" w:sz="4" w:space="0"/>
              <w:bottom w:val="single" w:color="000000" w:sz="4" w:space="0"/>
              <w:right w:val="single" w:color="000000" w:sz="4" w:space="0"/>
            </w:tcBorders>
            <w:vAlign w:val="center"/>
          </w:tcPr>
          <w:p w14:paraId="2BF6D68A">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分值</w:t>
            </w:r>
          </w:p>
        </w:tc>
        <w:tc>
          <w:tcPr>
            <w:tcW w:w="1665" w:type="pct"/>
            <w:tcBorders>
              <w:top w:val="single" w:color="000000" w:sz="4" w:space="0"/>
              <w:left w:val="single" w:color="000000" w:sz="4" w:space="0"/>
              <w:bottom w:val="single" w:color="000000" w:sz="4" w:space="0"/>
              <w:right w:val="single" w:color="000000" w:sz="4" w:space="0"/>
            </w:tcBorders>
            <w:vAlign w:val="center"/>
          </w:tcPr>
          <w:p w14:paraId="379137A9">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评分细则</w:t>
            </w:r>
          </w:p>
        </w:tc>
        <w:tc>
          <w:tcPr>
            <w:tcW w:w="556" w:type="pct"/>
            <w:tcBorders>
              <w:top w:val="single" w:color="000000" w:sz="4" w:space="0"/>
              <w:left w:val="single" w:color="000000" w:sz="4" w:space="0"/>
              <w:bottom w:val="single" w:color="000000" w:sz="4" w:space="0"/>
              <w:right w:val="single" w:color="000000" w:sz="4" w:space="0"/>
            </w:tcBorders>
            <w:vAlign w:val="center"/>
          </w:tcPr>
          <w:p w14:paraId="59112BD4">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得分</w:t>
            </w:r>
          </w:p>
        </w:tc>
      </w:tr>
      <w:tr w14:paraId="353798E3">
        <w:tblPrEx>
          <w:tblCellMar>
            <w:top w:w="0" w:type="dxa"/>
            <w:left w:w="108" w:type="dxa"/>
            <w:bottom w:w="0" w:type="dxa"/>
            <w:right w:w="108" w:type="dxa"/>
          </w:tblCellMar>
        </w:tblPrEx>
        <w:trPr>
          <w:trHeight w:val="690" w:hRule="atLeast"/>
        </w:trPr>
        <w:tc>
          <w:tcPr>
            <w:tcW w:w="803" w:type="pct"/>
            <w:vMerge w:val="restart"/>
            <w:tcBorders>
              <w:top w:val="single" w:color="000000" w:sz="4" w:space="0"/>
              <w:left w:val="single" w:color="000000" w:sz="4" w:space="0"/>
              <w:bottom w:val="nil"/>
              <w:right w:val="single" w:color="000000" w:sz="4" w:space="0"/>
            </w:tcBorders>
            <w:vAlign w:val="center"/>
          </w:tcPr>
          <w:p w14:paraId="4CF94ABC">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项目管理（50分）</w:t>
            </w:r>
          </w:p>
        </w:tc>
        <w:tc>
          <w:tcPr>
            <w:tcW w:w="1471" w:type="pct"/>
            <w:tcBorders>
              <w:top w:val="single" w:color="000000" w:sz="4" w:space="0"/>
              <w:left w:val="single" w:color="000000" w:sz="4" w:space="0"/>
              <w:bottom w:val="single" w:color="000000" w:sz="4" w:space="0"/>
              <w:right w:val="single" w:color="000000" w:sz="4" w:space="0"/>
            </w:tcBorders>
            <w:vAlign w:val="center"/>
          </w:tcPr>
          <w:p w14:paraId="12B4EE83">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每月至少组织一次全员业务工作会议</w:t>
            </w:r>
          </w:p>
        </w:tc>
        <w:tc>
          <w:tcPr>
            <w:tcW w:w="504" w:type="pct"/>
            <w:tcBorders>
              <w:top w:val="single" w:color="000000" w:sz="4" w:space="0"/>
              <w:left w:val="single" w:color="000000" w:sz="4" w:space="0"/>
              <w:bottom w:val="single" w:color="000000" w:sz="4" w:space="0"/>
              <w:right w:val="single" w:color="000000" w:sz="4" w:space="0"/>
            </w:tcBorders>
            <w:vAlign w:val="center"/>
          </w:tcPr>
          <w:p w14:paraId="422EC466">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9</w:t>
            </w:r>
          </w:p>
        </w:tc>
        <w:tc>
          <w:tcPr>
            <w:tcW w:w="1665" w:type="pct"/>
            <w:tcBorders>
              <w:top w:val="single" w:color="000000" w:sz="4" w:space="0"/>
              <w:left w:val="single" w:color="000000" w:sz="4" w:space="0"/>
              <w:bottom w:val="single" w:color="000000" w:sz="4" w:space="0"/>
              <w:right w:val="single" w:color="000000" w:sz="4" w:space="0"/>
            </w:tcBorders>
            <w:vAlign w:val="center"/>
          </w:tcPr>
          <w:p w14:paraId="1731485C">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每月未组织业务知识培训的，每次扣3分。</w:t>
            </w:r>
          </w:p>
        </w:tc>
        <w:tc>
          <w:tcPr>
            <w:tcW w:w="556" w:type="pct"/>
            <w:tcBorders>
              <w:top w:val="single" w:color="000000" w:sz="4" w:space="0"/>
              <w:left w:val="single" w:color="000000" w:sz="4" w:space="0"/>
              <w:bottom w:val="single" w:color="000000" w:sz="4" w:space="0"/>
              <w:right w:val="single" w:color="000000" w:sz="4" w:space="0"/>
            </w:tcBorders>
            <w:vAlign w:val="center"/>
          </w:tcPr>
          <w:p w14:paraId="58B1B9F4">
            <w:pPr>
              <w:jc w:val="center"/>
              <w:rPr>
                <w:rFonts w:hint="eastAsia" w:ascii="宋体" w:hAnsi="宋体" w:cs="宋体"/>
                <w:color w:val="000000"/>
                <w:sz w:val="22"/>
                <w:szCs w:val="22"/>
              </w:rPr>
            </w:pPr>
          </w:p>
        </w:tc>
      </w:tr>
      <w:tr w14:paraId="1F9A7DAB">
        <w:tblPrEx>
          <w:tblCellMar>
            <w:top w:w="0" w:type="dxa"/>
            <w:left w:w="108" w:type="dxa"/>
            <w:bottom w:w="0" w:type="dxa"/>
            <w:right w:w="108" w:type="dxa"/>
          </w:tblCellMar>
        </w:tblPrEx>
        <w:trPr>
          <w:trHeight w:val="540" w:hRule="atLeast"/>
        </w:trPr>
        <w:tc>
          <w:tcPr>
            <w:tcW w:w="803" w:type="pct"/>
            <w:vMerge w:val="continue"/>
            <w:tcBorders>
              <w:top w:val="single" w:color="000000" w:sz="4" w:space="0"/>
              <w:left w:val="single" w:color="000000" w:sz="4" w:space="0"/>
              <w:bottom w:val="nil"/>
              <w:right w:val="single" w:color="000000" w:sz="4" w:space="0"/>
            </w:tcBorders>
            <w:vAlign w:val="center"/>
          </w:tcPr>
          <w:p w14:paraId="30F10EBD">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2ACF2D12">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每季度至少组织一次应急演练</w:t>
            </w:r>
          </w:p>
        </w:tc>
        <w:tc>
          <w:tcPr>
            <w:tcW w:w="504" w:type="pct"/>
            <w:tcBorders>
              <w:top w:val="single" w:color="000000" w:sz="4" w:space="0"/>
              <w:left w:val="single" w:color="000000" w:sz="4" w:space="0"/>
              <w:bottom w:val="single" w:color="000000" w:sz="4" w:space="0"/>
              <w:right w:val="single" w:color="000000" w:sz="4" w:space="0"/>
            </w:tcBorders>
            <w:vAlign w:val="center"/>
          </w:tcPr>
          <w:p w14:paraId="6900DF28">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3</w:t>
            </w:r>
          </w:p>
        </w:tc>
        <w:tc>
          <w:tcPr>
            <w:tcW w:w="1665" w:type="pct"/>
            <w:tcBorders>
              <w:top w:val="single" w:color="000000" w:sz="4" w:space="0"/>
              <w:left w:val="single" w:color="000000" w:sz="4" w:space="0"/>
              <w:bottom w:val="single" w:color="000000" w:sz="4" w:space="0"/>
              <w:right w:val="single" w:color="000000" w:sz="4" w:space="0"/>
            </w:tcBorders>
            <w:vAlign w:val="center"/>
          </w:tcPr>
          <w:p w14:paraId="617DF6A4">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每季度未组织应急演练的，扣3分。</w:t>
            </w:r>
          </w:p>
        </w:tc>
        <w:tc>
          <w:tcPr>
            <w:tcW w:w="556" w:type="pct"/>
            <w:tcBorders>
              <w:top w:val="single" w:color="000000" w:sz="4" w:space="0"/>
              <w:left w:val="single" w:color="000000" w:sz="4" w:space="0"/>
              <w:bottom w:val="single" w:color="000000" w:sz="4" w:space="0"/>
              <w:right w:val="single" w:color="000000" w:sz="4" w:space="0"/>
            </w:tcBorders>
            <w:vAlign w:val="center"/>
          </w:tcPr>
          <w:p w14:paraId="386BEE1C">
            <w:pPr>
              <w:jc w:val="center"/>
              <w:rPr>
                <w:rFonts w:hint="eastAsia" w:ascii="宋体" w:hAnsi="宋体" w:cs="宋体"/>
                <w:color w:val="000000"/>
                <w:sz w:val="22"/>
                <w:szCs w:val="22"/>
              </w:rPr>
            </w:pPr>
          </w:p>
        </w:tc>
      </w:tr>
      <w:tr w14:paraId="5867A194">
        <w:tblPrEx>
          <w:tblCellMar>
            <w:top w:w="0" w:type="dxa"/>
            <w:left w:w="108" w:type="dxa"/>
            <w:bottom w:w="0" w:type="dxa"/>
            <w:right w:w="108" w:type="dxa"/>
          </w:tblCellMar>
        </w:tblPrEx>
        <w:trPr>
          <w:trHeight w:val="540" w:hRule="atLeast"/>
        </w:trPr>
        <w:tc>
          <w:tcPr>
            <w:tcW w:w="803" w:type="pct"/>
            <w:vMerge w:val="continue"/>
            <w:tcBorders>
              <w:top w:val="single" w:color="000000" w:sz="4" w:space="0"/>
              <w:left w:val="single" w:color="000000" w:sz="4" w:space="0"/>
              <w:bottom w:val="nil"/>
              <w:right w:val="single" w:color="000000" w:sz="4" w:space="0"/>
            </w:tcBorders>
            <w:vAlign w:val="center"/>
          </w:tcPr>
          <w:p w14:paraId="04D3C644">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4B69DA92">
            <w:pPr>
              <w:jc w:val="lef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每季度至少组织一次安全防范学习</w:t>
            </w:r>
          </w:p>
        </w:tc>
        <w:tc>
          <w:tcPr>
            <w:tcW w:w="504" w:type="pct"/>
            <w:tcBorders>
              <w:top w:val="single" w:color="000000" w:sz="4" w:space="0"/>
              <w:left w:val="single" w:color="000000" w:sz="4" w:space="0"/>
              <w:bottom w:val="single" w:color="000000" w:sz="4" w:space="0"/>
              <w:right w:val="single" w:color="000000" w:sz="4" w:space="0"/>
            </w:tcBorders>
            <w:vAlign w:val="center"/>
          </w:tcPr>
          <w:p w14:paraId="36F2F1E6">
            <w:pPr>
              <w:jc w:val="cente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2</w:t>
            </w:r>
          </w:p>
        </w:tc>
        <w:tc>
          <w:tcPr>
            <w:tcW w:w="1665" w:type="pct"/>
            <w:tcBorders>
              <w:top w:val="single" w:color="000000" w:sz="4" w:space="0"/>
              <w:left w:val="single" w:color="000000" w:sz="4" w:space="0"/>
              <w:bottom w:val="single" w:color="000000" w:sz="4" w:space="0"/>
              <w:right w:val="single" w:color="000000" w:sz="4" w:space="0"/>
            </w:tcBorders>
            <w:vAlign w:val="center"/>
          </w:tcPr>
          <w:p w14:paraId="2136DCBF">
            <w:pPr>
              <w:jc w:val="lef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每季度未组织安全防范学习的，扣2分。</w:t>
            </w:r>
          </w:p>
        </w:tc>
        <w:tc>
          <w:tcPr>
            <w:tcW w:w="556" w:type="pct"/>
            <w:tcBorders>
              <w:top w:val="single" w:color="000000" w:sz="4" w:space="0"/>
              <w:left w:val="single" w:color="000000" w:sz="4" w:space="0"/>
              <w:bottom w:val="single" w:color="000000" w:sz="4" w:space="0"/>
              <w:right w:val="single" w:color="000000" w:sz="4" w:space="0"/>
            </w:tcBorders>
            <w:vAlign w:val="center"/>
          </w:tcPr>
          <w:p w14:paraId="50BF5D35">
            <w:pPr>
              <w:jc w:val="center"/>
              <w:rPr>
                <w:rFonts w:hint="eastAsia" w:ascii="宋体" w:hAnsi="宋体" w:cs="宋体"/>
                <w:color w:val="000000"/>
                <w:sz w:val="22"/>
                <w:szCs w:val="22"/>
              </w:rPr>
            </w:pPr>
          </w:p>
        </w:tc>
      </w:tr>
      <w:tr w14:paraId="1155FA57">
        <w:tblPrEx>
          <w:tblCellMar>
            <w:top w:w="0" w:type="dxa"/>
            <w:left w:w="108" w:type="dxa"/>
            <w:bottom w:w="0" w:type="dxa"/>
            <w:right w:w="108" w:type="dxa"/>
          </w:tblCellMar>
        </w:tblPrEx>
        <w:trPr>
          <w:trHeight w:val="750" w:hRule="atLeast"/>
        </w:trPr>
        <w:tc>
          <w:tcPr>
            <w:tcW w:w="803" w:type="pct"/>
            <w:vMerge w:val="continue"/>
            <w:tcBorders>
              <w:top w:val="single" w:color="000000" w:sz="4" w:space="0"/>
              <w:left w:val="single" w:color="000000" w:sz="4" w:space="0"/>
              <w:bottom w:val="nil"/>
              <w:right w:val="single" w:color="000000" w:sz="4" w:space="0"/>
            </w:tcBorders>
            <w:vAlign w:val="center"/>
          </w:tcPr>
          <w:p w14:paraId="1AAE971D">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36E8000A">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人员配备符合要求，保安员经过培训并持证上岗，且不得擅自更换人员</w:t>
            </w:r>
          </w:p>
        </w:tc>
        <w:tc>
          <w:tcPr>
            <w:tcW w:w="504" w:type="pct"/>
            <w:tcBorders>
              <w:top w:val="single" w:color="000000" w:sz="4" w:space="0"/>
              <w:left w:val="single" w:color="000000" w:sz="4" w:space="0"/>
              <w:bottom w:val="single" w:color="000000" w:sz="4" w:space="0"/>
              <w:right w:val="single" w:color="000000" w:sz="4" w:space="0"/>
            </w:tcBorders>
            <w:vAlign w:val="center"/>
          </w:tcPr>
          <w:p w14:paraId="7D564490">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15</w:t>
            </w:r>
          </w:p>
        </w:tc>
        <w:tc>
          <w:tcPr>
            <w:tcW w:w="1665" w:type="pct"/>
            <w:tcBorders>
              <w:top w:val="single" w:color="000000" w:sz="4" w:space="0"/>
              <w:left w:val="single" w:color="000000" w:sz="4" w:space="0"/>
              <w:bottom w:val="single" w:color="000000" w:sz="4" w:space="0"/>
              <w:right w:val="single" w:color="000000" w:sz="4" w:space="0"/>
            </w:tcBorders>
            <w:vAlign w:val="center"/>
          </w:tcPr>
          <w:p w14:paraId="71914CB5">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发现人员配备不符合要求或未经培训并持证上岗的，擅自更换人员的，每次扣3分。</w:t>
            </w:r>
          </w:p>
        </w:tc>
        <w:tc>
          <w:tcPr>
            <w:tcW w:w="556" w:type="pct"/>
            <w:tcBorders>
              <w:top w:val="single" w:color="000000" w:sz="4" w:space="0"/>
              <w:left w:val="single" w:color="000000" w:sz="4" w:space="0"/>
              <w:bottom w:val="single" w:color="000000" w:sz="4" w:space="0"/>
              <w:right w:val="single" w:color="000000" w:sz="4" w:space="0"/>
            </w:tcBorders>
            <w:vAlign w:val="center"/>
          </w:tcPr>
          <w:p w14:paraId="6E38BA75">
            <w:pPr>
              <w:jc w:val="center"/>
              <w:rPr>
                <w:rFonts w:hint="eastAsia" w:ascii="宋体" w:hAnsi="宋体" w:cs="宋体"/>
                <w:color w:val="000000"/>
                <w:sz w:val="22"/>
                <w:szCs w:val="22"/>
              </w:rPr>
            </w:pPr>
          </w:p>
        </w:tc>
      </w:tr>
      <w:tr w14:paraId="0459B41B">
        <w:tblPrEx>
          <w:tblCellMar>
            <w:top w:w="0" w:type="dxa"/>
            <w:left w:w="108" w:type="dxa"/>
            <w:bottom w:w="0" w:type="dxa"/>
            <w:right w:w="108" w:type="dxa"/>
          </w:tblCellMar>
        </w:tblPrEx>
        <w:trPr>
          <w:trHeight w:val="1080" w:hRule="atLeast"/>
        </w:trPr>
        <w:tc>
          <w:tcPr>
            <w:tcW w:w="803" w:type="pct"/>
            <w:vMerge w:val="continue"/>
            <w:tcBorders>
              <w:top w:val="single" w:color="000000" w:sz="4" w:space="0"/>
              <w:left w:val="single" w:color="000000" w:sz="4" w:space="0"/>
              <w:bottom w:val="nil"/>
              <w:right w:val="single" w:color="000000" w:sz="4" w:space="0"/>
            </w:tcBorders>
            <w:vAlign w:val="center"/>
          </w:tcPr>
          <w:p w14:paraId="2A719B5F">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63625517">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项目主管每月至少来项目现场督促检查一次，并有记录。</w:t>
            </w:r>
          </w:p>
        </w:tc>
        <w:tc>
          <w:tcPr>
            <w:tcW w:w="504" w:type="pct"/>
            <w:tcBorders>
              <w:top w:val="single" w:color="000000" w:sz="4" w:space="0"/>
              <w:left w:val="single" w:color="000000" w:sz="4" w:space="0"/>
              <w:bottom w:val="single" w:color="000000" w:sz="4" w:space="0"/>
              <w:right w:val="single" w:color="000000" w:sz="4" w:space="0"/>
            </w:tcBorders>
            <w:vAlign w:val="center"/>
          </w:tcPr>
          <w:p w14:paraId="4E673B6E">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6</w:t>
            </w:r>
          </w:p>
        </w:tc>
        <w:tc>
          <w:tcPr>
            <w:tcW w:w="1665" w:type="pct"/>
            <w:tcBorders>
              <w:top w:val="single" w:color="000000" w:sz="4" w:space="0"/>
              <w:left w:val="single" w:color="000000" w:sz="4" w:space="0"/>
              <w:bottom w:val="single" w:color="000000" w:sz="4" w:space="0"/>
              <w:right w:val="single" w:color="000000" w:sz="4" w:space="0"/>
            </w:tcBorders>
            <w:vAlign w:val="center"/>
          </w:tcPr>
          <w:p w14:paraId="695FD043">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现场督促检查少一次的，每次扣2分</w:t>
            </w:r>
          </w:p>
        </w:tc>
        <w:tc>
          <w:tcPr>
            <w:tcW w:w="556" w:type="pct"/>
            <w:tcBorders>
              <w:top w:val="single" w:color="000000" w:sz="4" w:space="0"/>
              <w:left w:val="single" w:color="000000" w:sz="4" w:space="0"/>
              <w:bottom w:val="single" w:color="000000" w:sz="4" w:space="0"/>
              <w:right w:val="single" w:color="000000" w:sz="4" w:space="0"/>
            </w:tcBorders>
            <w:vAlign w:val="center"/>
          </w:tcPr>
          <w:p w14:paraId="1BC58A5C">
            <w:pPr>
              <w:jc w:val="center"/>
              <w:rPr>
                <w:rFonts w:hint="eastAsia" w:ascii="宋体" w:hAnsi="宋体" w:cs="宋体"/>
                <w:color w:val="000000"/>
                <w:sz w:val="22"/>
                <w:szCs w:val="22"/>
              </w:rPr>
            </w:pPr>
          </w:p>
        </w:tc>
      </w:tr>
      <w:tr w14:paraId="03EC4381">
        <w:tblPrEx>
          <w:tblCellMar>
            <w:top w:w="0" w:type="dxa"/>
            <w:left w:w="108" w:type="dxa"/>
            <w:bottom w:w="0" w:type="dxa"/>
            <w:right w:w="108" w:type="dxa"/>
          </w:tblCellMar>
        </w:tblPrEx>
        <w:trPr>
          <w:trHeight w:val="1440" w:hRule="atLeast"/>
        </w:trPr>
        <w:tc>
          <w:tcPr>
            <w:tcW w:w="803" w:type="pct"/>
            <w:vMerge w:val="continue"/>
            <w:tcBorders>
              <w:top w:val="single" w:color="000000" w:sz="4" w:space="0"/>
              <w:left w:val="single" w:color="000000" w:sz="4" w:space="0"/>
              <w:bottom w:val="nil"/>
              <w:right w:val="single" w:color="000000" w:sz="4" w:space="0"/>
            </w:tcBorders>
            <w:vAlign w:val="center"/>
          </w:tcPr>
          <w:p w14:paraId="005F2AA2">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5DF32C84">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内部管理制度健全，明确保安员职责和行为规范，并进行考核，每月考核一次，奖惩台账资料齐全</w:t>
            </w:r>
          </w:p>
        </w:tc>
        <w:tc>
          <w:tcPr>
            <w:tcW w:w="504" w:type="pct"/>
            <w:tcBorders>
              <w:top w:val="single" w:color="000000" w:sz="4" w:space="0"/>
              <w:left w:val="single" w:color="000000" w:sz="4" w:space="0"/>
              <w:bottom w:val="single" w:color="000000" w:sz="4" w:space="0"/>
              <w:right w:val="single" w:color="000000" w:sz="4" w:space="0"/>
            </w:tcBorders>
            <w:vAlign w:val="center"/>
          </w:tcPr>
          <w:p w14:paraId="54FFAF7A">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15</w:t>
            </w:r>
          </w:p>
        </w:tc>
        <w:tc>
          <w:tcPr>
            <w:tcW w:w="1665" w:type="pct"/>
            <w:tcBorders>
              <w:top w:val="single" w:color="000000" w:sz="4" w:space="0"/>
              <w:left w:val="single" w:color="000000" w:sz="4" w:space="0"/>
              <w:bottom w:val="single" w:color="000000" w:sz="4" w:space="0"/>
              <w:right w:val="single" w:color="000000" w:sz="4" w:space="0"/>
            </w:tcBorders>
            <w:vAlign w:val="center"/>
          </w:tcPr>
          <w:p w14:paraId="6FFBB648">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管理考核制度不健全、未定期考核的，每次扣5分</w:t>
            </w:r>
          </w:p>
        </w:tc>
        <w:tc>
          <w:tcPr>
            <w:tcW w:w="556" w:type="pct"/>
            <w:tcBorders>
              <w:top w:val="single" w:color="000000" w:sz="4" w:space="0"/>
              <w:left w:val="single" w:color="000000" w:sz="4" w:space="0"/>
              <w:bottom w:val="single" w:color="000000" w:sz="4" w:space="0"/>
              <w:right w:val="single" w:color="000000" w:sz="4" w:space="0"/>
            </w:tcBorders>
            <w:vAlign w:val="center"/>
          </w:tcPr>
          <w:p w14:paraId="268CD5A1">
            <w:pPr>
              <w:jc w:val="center"/>
              <w:rPr>
                <w:rFonts w:hint="eastAsia" w:ascii="宋体" w:hAnsi="宋体" w:cs="宋体"/>
                <w:color w:val="000000"/>
                <w:sz w:val="22"/>
                <w:szCs w:val="22"/>
              </w:rPr>
            </w:pPr>
          </w:p>
        </w:tc>
      </w:tr>
      <w:tr w14:paraId="16F98256">
        <w:tblPrEx>
          <w:tblCellMar>
            <w:top w:w="0" w:type="dxa"/>
            <w:left w:w="108" w:type="dxa"/>
            <w:bottom w:w="0" w:type="dxa"/>
            <w:right w:w="108" w:type="dxa"/>
          </w:tblCellMar>
        </w:tblPrEx>
        <w:trPr>
          <w:trHeight w:val="1275" w:hRule="atLeast"/>
        </w:trPr>
        <w:tc>
          <w:tcPr>
            <w:tcW w:w="803" w:type="pct"/>
            <w:vMerge w:val="restart"/>
            <w:tcBorders>
              <w:top w:val="single" w:color="000000" w:sz="4" w:space="0"/>
              <w:left w:val="single" w:color="000000" w:sz="4" w:space="0"/>
              <w:bottom w:val="single" w:color="000000" w:sz="4" w:space="0"/>
              <w:right w:val="single" w:color="000000" w:sz="4" w:space="0"/>
            </w:tcBorders>
            <w:vAlign w:val="center"/>
          </w:tcPr>
          <w:p w14:paraId="19E66051">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岗位纪律（20分）</w:t>
            </w:r>
          </w:p>
        </w:tc>
        <w:tc>
          <w:tcPr>
            <w:tcW w:w="1471" w:type="pct"/>
            <w:tcBorders>
              <w:top w:val="single" w:color="000000" w:sz="4" w:space="0"/>
              <w:left w:val="single" w:color="000000" w:sz="4" w:space="0"/>
              <w:bottom w:val="single" w:color="000000" w:sz="4" w:space="0"/>
              <w:right w:val="single" w:color="000000" w:sz="4" w:space="0"/>
            </w:tcBorders>
            <w:vAlign w:val="center"/>
          </w:tcPr>
          <w:p w14:paraId="3609BC99">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着装统一整洁、装备佩戴齐全</w:t>
            </w:r>
          </w:p>
        </w:tc>
        <w:tc>
          <w:tcPr>
            <w:tcW w:w="504" w:type="pct"/>
            <w:tcBorders>
              <w:top w:val="single" w:color="000000" w:sz="4" w:space="0"/>
              <w:left w:val="single" w:color="000000" w:sz="4" w:space="0"/>
              <w:bottom w:val="single" w:color="000000" w:sz="4" w:space="0"/>
              <w:right w:val="single" w:color="000000" w:sz="4" w:space="0"/>
            </w:tcBorders>
            <w:vAlign w:val="center"/>
          </w:tcPr>
          <w:p w14:paraId="2E9503C3">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5</w:t>
            </w:r>
          </w:p>
        </w:tc>
        <w:tc>
          <w:tcPr>
            <w:tcW w:w="1665" w:type="pct"/>
            <w:tcBorders>
              <w:top w:val="single" w:color="000000" w:sz="4" w:space="0"/>
              <w:left w:val="single" w:color="000000" w:sz="4" w:space="0"/>
              <w:bottom w:val="single" w:color="000000" w:sz="4" w:space="0"/>
              <w:right w:val="single" w:color="000000" w:sz="4" w:space="0"/>
            </w:tcBorders>
            <w:vAlign w:val="center"/>
          </w:tcPr>
          <w:p w14:paraId="25BE22F0">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当班时着装不整、装配佩戴不齐全、衣物不洁、破损、缺失衣扣、面容不洁、头发不整齐干净等，每次扣1分</w:t>
            </w:r>
          </w:p>
        </w:tc>
        <w:tc>
          <w:tcPr>
            <w:tcW w:w="556" w:type="pct"/>
            <w:tcBorders>
              <w:top w:val="single" w:color="000000" w:sz="4" w:space="0"/>
              <w:left w:val="single" w:color="000000" w:sz="4" w:space="0"/>
              <w:bottom w:val="single" w:color="000000" w:sz="4" w:space="0"/>
              <w:right w:val="single" w:color="000000" w:sz="4" w:space="0"/>
            </w:tcBorders>
            <w:vAlign w:val="center"/>
          </w:tcPr>
          <w:p w14:paraId="0A4F1587">
            <w:pPr>
              <w:jc w:val="center"/>
              <w:rPr>
                <w:rFonts w:hint="eastAsia" w:ascii="宋体" w:hAnsi="宋体" w:cs="宋体"/>
                <w:color w:val="000000"/>
                <w:sz w:val="22"/>
                <w:szCs w:val="22"/>
              </w:rPr>
            </w:pPr>
          </w:p>
        </w:tc>
      </w:tr>
      <w:tr w14:paraId="0E35D226">
        <w:tblPrEx>
          <w:tblCellMar>
            <w:top w:w="0" w:type="dxa"/>
            <w:left w:w="108" w:type="dxa"/>
            <w:bottom w:w="0" w:type="dxa"/>
            <w:right w:w="108" w:type="dxa"/>
          </w:tblCellMar>
        </w:tblPrEx>
        <w:trPr>
          <w:trHeight w:val="990" w:hRule="atLeast"/>
        </w:trPr>
        <w:tc>
          <w:tcPr>
            <w:tcW w:w="803" w:type="pct"/>
            <w:vMerge w:val="continue"/>
            <w:tcBorders>
              <w:top w:val="single" w:color="000000" w:sz="4" w:space="0"/>
              <w:left w:val="single" w:color="000000" w:sz="4" w:space="0"/>
              <w:bottom w:val="single" w:color="000000" w:sz="4" w:space="0"/>
              <w:right w:val="single" w:color="000000" w:sz="4" w:space="0"/>
            </w:tcBorders>
            <w:vAlign w:val="center"/>
          </w:tcPr>
          <w:p w14:paraId="7D09C9BF">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7B8DA08A">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言行举止规范，服务文明礼貌</w:t>
            </w:r>
          </w:p>
        </w:tc>
        <w:tc>
          <w:tcPr>
            <w:tcW w:w="504" w:type="pct"/>
            <w:tcBorders>
              <w:top w:val="single" w:color="000000" w:sz="4" w:space="0"/>
              <w:left w:val="single" w:color="000000" w:sz="4" w:space="0"/>
              <w:bottom w:val="single" w:color="000000" w:sz="4" w:space="0"/>
              <w:right w:val="single" w:color="000000" w:sz="4" w:space="0"/>
            </w:tcBorders>
            <w:vAlign w:val="center"/>
          </w:tcPr>
          <w:p w14:paraId="0354CD97">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10</w:t>
            </w:r>
          </w:p>
        </w:tc>
        <w:tc>
          <w:tcPr>
            <w:tcW w:w="1665" w:type="pct"/>
            <w:tcBorders>
              <w:top w:val="single" w:color="000000" w:sz="4" w:space="0"/>
              <w:left w:val="single" w:color="000000" w:sz="4" w:space="0"/>
              <w:bottom w:val="single" w:color="000000" w:sz="4" w:space="0"/>
              <w:right w:val="single" w:color="000000" w:sz="4" w:space="0"/>
            </w:tcBorders>
            <w:vAlign w:val="center"/>
          </w:tcPr>
          <w:p w14:paraId="675FCC48">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在岗位上有不当言辞，或与大院内相关单位、来访单位发生争执，每次扣2分，被投诉的每次扣5分</w:t>
            </w:r>
          </w:p>
        </w:tc>
        <w:tc>
          <w:tcPr>
            <w:tcW w:w="556" w:type="pct"/>
            <w:tcBorders>
              <w:top w:val="single" w:color="000000" w:sz="4" w:space="0"/>
              <w:left w:val="single" w:color="000000" w:sz="4" w:space="0"/>
              <w:bottom w:val="single" w:color="000000" w:sz="4" w:space="0"/>
              <w:right w:val="single" w:color="000000" w:sz="4" w:space="0"/>
            </w:tcBorders>
            <w:vAlign w:val="center"/>
          </w:tcPr>
          <w:p w14:paraId="612CC95D">
            <w:pPr>
              <w:jc w:val="center"/>
              <w:rPr>
                <w:rFonts w:hint="eastAsia" w:ascii="宋体" w:hAnsi="宋体" w:cs="宋体"/>
                <w:color w:val="000000"/>
                <w:sz w:val="22"/>
                <w:szCs w:val="22"/>
              </w:rPr>
            </w:pPr>
          </w:p>
        </w:tc>
      </w:tr>
      <w:tr w14:paraId="38E57D21">
        <w:tblPrEx>
          <w:tblCellMar>
            <w:top w:w="0" w:type="dxa"/>
            <w:left w:w="108" w:type="dxa"/>
            <w:bottom w:w="0" w:type="dxa"/>
            <w:right w:w="108" w:type="dxa"/>
          </w:tblCellMar>
        </w:tblPrEx>
        <w:trPr>
          <w:trHeight w:val="1440" w:hRule="atLeast"/>
        </w:trPr>
        <w:tc>
          <w:tcPr>
            <w:tcW w:w="803" w:type="pct"/>
            <w:vMerge w:val="continue"/>
            <w:tcBorders>
              <w:top w:val="single" w:color="000000" w:sz="4" w:space="0"/>
              <w:left w:val="single" w:color="000000" w:sz="4" w:space="0"/>
              <w:bottom w:val="single" w:color="000000" w:sz="4" w:space="0"/>
              <w:right w:val="single" w:color="000000" w:sz="4" w:space="0"/>
            </w:tcBorders>
            <w:vAlign w:val="center"/>
          </w:tcPr>
          <w:p w14:paraId="41CBBBB8">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3FED595C">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工作纪律严明，严守岗位要求</w:t>
            </w:r>
          </w:p>
        </w:tc>
        <w:tc>
          <w:tcPr>
            <w:tcW w:w="504" w:type="pct"/>
            <w:tcBorders>
              <w:top w:val="single" w:color="000000" w:sz="4" w:space="0"/>
              <w:left w:val="single" w:color="000000" w:sz="4" w:space="0"/>
              <w:bottom w:val="single" w:color="000000" w:sz="4" w:space="0"/>
              <w:right w:val="single" w:color="000000" w:sz="4" w:space="0"/>
            </w:tcBorders>
            <w:vAlign w:val="center"/>
          </w:tcPr>
          <w:p w14:paraId="0F89FE42">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5</w:t>
            </w:r>
          </w:p>
        </w:tc>
        <w:tc>
          <w:tcPr>
            <w:tcW w:w="1665" w:type="pct"/>
            <w:tcBorders>
              <w:top w:val="single" w:color="000000" w:sz="4" w:space="0"/>
              <w:left w:val="single" w:color="000000" w:sz="4" w:space="0"/>
              <w:bottom w:val="single" w:color="000000" w:sz="4" w:space="0"/>
              <w:right w:val="single" w:color="000000" w:sz="4" w:space="0"/>
            </w:tcBorders>
            <w:vAlign w:val="center"/>
          </w:tcPr>
          <w:p w14:paraId="3BEBE9AB">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当班时队员窜岗、睡岗、聊天、嬉笑打闹、玩手机、吃东西、饮酒，及其他不当的行为，每次扣1分。工作时间未经甲方允许擅自离岗的，每次扣2分</w:t>
            </w:r>
          </w:p>
        </w:tc>
        <w:tc>
          <w:tcPr>
            <w:tcW w:w="556" w:type="pct"/>
            <w:tcBorders>
              <w:top w:val="single" w:color="000000" w:sz="4" w:space="0"/>
              <w:left w:val="single" w:color="000000" w:sz="4" w:space="0"/>
              <w:bottom w:val="single" w:color="000000" w:sz="4" w:space="0"/>
              <w:right w:val="single" w:color="000000" w:sz="4" w:space="0"/>
            </w:tcBorders>
            <w:vAlign w:val="center"/>
          </w:tcPr>
          <w:p w14:paraId="647007BB">
            <w:pPr>
              <w:jc w:val="center"/>
              <w:rPr>
                <w:rFonts w:hint="eastAsia" w:ascii="宋体" w:hAnsi="宋体" w:cs="宋体"/>
                <w:color w:val="000000"/>
                <w:sz w:val="22"/>
                <w:szCs w:val="22"/>
              </w:rPr>
            </w:pPr>
          </w:p>
        </w:tc>
      </w:tr>
      <w:tr w14:paraId="1AFBA551">
        <w:tblPrEx>
          <w:tblCellMar>
            <w:top w:w="0" w:type="dxa"/>
            <w:left w:w="108" w:type="dxa"/>
            <w:bottom w:w="0" w:type="dxa"/>
            <w:right w:w="108" w:type="dxa"/>
          </w:tblCellMar>
        </w:tblPrEx>
        <w:trPr>
          <w:trHeight w:val="720" w:hRule="atLeast"/>
        </w:trPr>
        <w:tc>
          <w:tcPr>
            <w:tcW w:w="803" w:type="pct"/>
            <w:vMerge w:val="restart"/>
            <w:tcBorders>
              <w:top w:val="nil"/>
              <w:left w:val="single" w:color="000000" w:sz="4" w:space="0"/>
              <w:bottom w:val="single" w:color="000000" w:sz="4" w:space="0"/>
              <w:right w:val="single" w:color="000000" w:sz="4" w:space="0"/>
            </w:tcBorders>
            <w:vAlign w:val="center"/>
          </w:tcPr>
          <w:p w14:paraId="56FE3FEA">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安全保卫（12分）</w:t>
            </w:r>
          </w:p>
        </w:tc>
        <w:tc>
          <w:tcPr>
            <w:tcW w:w="1471" w:type="pct"/>
            <w:tcBorders>
              <w:top w:val="single" w:color="000000" w:sz="4" w:space="0"/>
              <w:left w:val="single" w:color="000000" w:sz="4" w:space="0"/>
              <w:bottom w:val="single" w:color="000000" w:sz="4" w:space="0"/>
              <w:right w:val="single" w:color="000000" w:sz="4" w:space="0"/>
            </w:tcBorders>
            <w:vAlign w:val="center"/>
          </w:tcPr>
          <w:p w14:paraId="72E6E78B">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严格执行行政中心出入规定，并做好登记</w:t>
            </w:r>
          </w:p>
        </w:tc>
        <w:tc>
          <w:tcPr>
            <w:tcW w:w="504" w:type="pct"/>
            <w:tcBorders>
              <w:top w:val="single" w:color="000000" w:sz="4" w:space="0"/>
              <w:left w:val="single" w:color="000000" w:sz="4" w:space="0"/>
              <w:bottom w:val="single" w:color="000000" w:sz="4" w:space="0"/>
              <w:right w:val="single" w:color="000000" w:sz="4" w:space="0"/>
            </w:tcBorders>
            <w:vAlign w:val="center"/>
          </w:tcPr>
          <w:p w14:paraId="1F4DC326">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4</w:t>
            </w:r>
          </w:p>
        </w:tc>
        <w:tc>
          <w:tcPr>
            <w:tcW w:w="1665" w:type="pct"/>
            <w:tcBorders>
              <w:top w:val="single" w:color="000000" w:sz="4" w:space="0"/>
              <w:left w:val="single" w:color="000000" w:sz="4" w:space="0"/>
              <w:bottom w:val="single" w:color="000000" w:sz="4" w:space="0"/>
              <w:right w:val="single" w:color="000000" w:sz="4" w:space="0"/>
            </w:tcBorders>
            <w:vAlign w:val="center"/>
          </w:tcPr>
          <w:p w14:paraId="054441D4">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未按规定私自放人或来访不作登记的，每次扣1分</w:t>
            </w:r>
          </w:p>
        </w:tc>
        <w:tc>
          <w:tcPr>
            <w:tcW w:w="556" w:type="pct"/>
            <w:tcBorders>
              <w:top w:val="single" w:color="000000" w:sz="4" w:space="0"/>
              <w:left w:val="single" w:color="000000" w:sz="4" w:space="0"/>
              <w:bottom w:val="single" w:color="000000" w:sz="4" w:space="0"/>
              <w:right w:val="single" w:color="000000" w:sz="4" w:space="0"/>
            </w:tcBorders>
            <w:vAlign w:val="center"/>
          </w:tcPr>
          <w:p w14:paraId="269E1E43">
            <w:pPr>
              <w:jc w:val="center"/>
              <w:rPr>
                <w:rFonts w:hint="eastAsia" w:ascii="宋体" w:hAnsi="宋体" w:cs="宋体"/>
                <w:color w:val="000000"/>
                <w:sz w:val="22"/>
                <w:szCs w:val="22"/>
              </w:rPr>
            </w:pPr>
          </w:p>
        </w:tc>
      </w:tr>
      <w:tr w14:paraId="08B3DAC0">
        <w:tblPrEx>
          <w:tblCellMar>
            <w:top w:w="0" w:type="dxa"/>
            <w:left w:w="108" w:type="dxa"/>
            <w:bottom w:w="0" w:type="dxa"/>
            <w:right w:w="108" w:type="dxa"/>
          </w:tblCellMar>
        </w:tblPrEx>
        <w:trPr>
          <w:trHeight w:val="780" w:hRule="atLeast"/>
        </w:trPr>
        <w:tc>
          <w:tcPr>
            <w:tcW w:w="803" w:type="pct"/>
            <w:vMerge w:val="continue"/>
            <w:tcBorders>
              <w:top w:val="nil"/>
              <w:left w:val="single" w:color="000000" w:sz="4" w:space="0"/>
              <w:bottom w:val="single" w:color="000000" w:sz="4" w:space="0"/>
              <w:right w:val="single" w:color="000000" w:sz="4" w:space="0"/>
            </w:tcBorders>
            <w:vAlign w:val="center"/>
          </w:tcPr>
          <w:p w14:paraId="4301D803">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38C8BEC9">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按规定开展常态化巡逻防范并做好记录，发现问题及时上报</w:t>
            </w:r>
          </w:p>
        </w:tc>
        <w:tc>
          <w:tcPr>
            <w:tcW w:w="504" w:type="pct"/>
            <w:tcBorders>
              <w:top w:val="single" w:color="000000" w:sz="4" w:space="0"/>
              <w:left w:val="single" w:color="000000" w:sz="4" w:space="0"/>
              <w:bottom w:val="single" w:color="000000" w:sz="4" w:space="0"/>
              <w:right w:val="single" w:color="000000" w:sz="4" w:space="0"/>
            </w:tcBorders>
            <w:vAlign w:val="center"/>
          </w:tcPr>
          <w:p w14:paraId="084BFABE">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6</w:t>
            </w:r>
          </w:p>
        </w:tc>
        <w:tc>
          <w:tcPr>
            <w:tcW w:w="1665" w:type="pct"/>
            <w:tcBorders>
              <w:top w:val="single" w:color="000000" w:sz="4" w:space="0"/>
              <w:left w:val="single" w:color="000000" w:sz="4" w:space="0"/>
              <w:bottom w:val="single" w:color="000000" w:sz="4" w:space="0"/>
              <w:right w:val="single" w:color="000000" w:sz="4" w:space="0"/>
            </w:tcBorders>
            <w:vAlign w:val="center"/>
          </w:tcPr>
          <w:p w14:paraId="65DEF6B4">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未开展常态化巡逻或发现问题没有主动及时上报的，每次扣2分</w:t>
            </w:r>
          </w:p>
        </w:tc>
        <w:tc>
          <w:tcPr>
            <w:tcW w:w="556" w:type="pct"/>
            <w:tcBorders>
              <w:top w:val="single" w:color="000000" w:sz="4" w:space="0"/>
              <w:left w:val="single" w:color="000000" w:sz="4" w:space="0"/>
              <w:bottom w:val="single" w:color="000000" w:sz="4" w:space="0"/>
              <w:right w:val="single" w:color="000000" w:sz="4" w:space="0"/>
            </w:tcBorders>
            <w:vAlign w:val="center"/>
          </w:tcPr>
          <w:p w14:paraId="35AB539F">
            <w:pPr>
              <w:jc w:val="center"/>
              <w:rPr>
                <w:rFonts w:hint="eastAsia" w:ascii="宋体" w:hAnsi="宋体" w:cs="宋体"/>
                <w:color w:val="000000"/>
                <w:sz w:val="22"/>
                <w:szCs w:val="22"/>
              </w:rPr>
            </w:pPr>
          </w:p>
        </w:tc>
      </w:tr>
      <w:tr w14:paraId="3E13D3A6">
        <w:tblPrEx>
          <w:tblCellMar>
            <w:top w:w="0" w:type="dxa"/>
            <w:left w:w="108" w:type="dxa"/>
            <w:bottom w:w="0" w:type="dxa"/>
            <w:right w:w="108" w:type="dxa"/>
          </w:tblCellMar>
        </w:tblPrEx>
        <w:trPr>
          <w:trHeight w:val="735" w:hRule="atLeast"/>
        </w:trPr>
        <w:tc>
          <w:tcPr>
            <w:tcW w:w="803" w:type="pct"/>
            <w:vMerge w:val="continue"/>
            <w:tcBorders>
              <w:top w:val="nil"/>
              <w:left w:val="single" w:color="000000" w:sz="4" w:space="0"/>
              <w:bottom w:val="single" w:color="000000" w:sz="4" w:space="0"/>
              <w:right w:val="single" w:color="000000" w:sz="4" w:space="0"/>
            </w:tcBorders>
            <w:vAlign w:val="center"/>
          </w:tcPr>
          <w:p w14:paraId="76DB9F02">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627016D2">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防护器械配备齐全，并熟练操作</w:t>
            </w:r>
          </w:p>
        </w:tc>
        <w:tc>
          <w:tcPr>
            <w:tcW w:w="504" w:type="pct"/>
            <w:tcBorders>
              <w:top w:val="single" w:color="000000" w:sz="4" w:space="0"/>
              <w:left w:val="single" w:color="000000" w:sz="4" w:space="0"/>
              <w:bottom w:val="single" w:color="000000" w:sz="4" w:space="0"/>
              <w:right w:val="single" w:color="000000" w:sz="4" w:space="0"/>
            </w:tcBorders>
            <w:vAlign w:val="center"/>
          </w:tcPr>
          <w:p w14:paraId="01286350">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2</w:t>
            </w:r>
          </w:p>
        </w:tc>
        <w:tc>
          <w:tcPr>
            <w:tcW w:w="1665" w:type="pct"/>
            <w:tcBorders>
              <w:top w:val="single" w:color="000000" w:sz="4" w:space="0"/>
              <w:left w:val="single" w:color="000000" w:sz="4" w:space="0"/>
              <w:bottom w:val="single" w:color="000000" w:sz="4" w:space="0"/>
              <w:right w:val="single" w:color="000000" w:sz="4" w:space="0"/>
            </w:tcBorders>
            <w:vAlign w:val="center"/>
          </w:tcPr>
          <w:p w14:paraId="0576B28E">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防护器械配备不全，或不会操作的，每次扣1分</w:t>
            </w:r>
          </w:p>
        </w:tc>
        <w:tc>
          <w:tcPr>
            <w:tcW w:w="556" w:type="pct"/>
            <w:tcBorders>
              <w:top w:val="single" w:color="000000" w:sz="4" w:space="0"/>
              <w:left w:val="single" w:color="000000" w:sz="4" w:space="0"/>
              <w:bottom w:val="single" w:color="000000" w:sz="4" w:space="0"/>
              <w:right w:val="single" w:color="000000" w:sz="4" w:space="0"/>
            </w:tcBorders>
            <w:vAlign w:val="center"/>
          </w:tcPr>
          <w:p w14:paraId="35ACB7CC">
            <w:pPr>
              <w:jc w:val="center"/>
              <w:rPr>
                <w:rFonts w:hint="eastAsia" w:ascii="宋体" w:hAnsi="宋体" w:cs="宋体"/>
                <w:color w:val="000000"/>
                <w:sz w:val="22"/>
                <w:szCs w:val="22"/>
              </w:rPr>
            </w:pPr>
          </w:p>
        </w:tc>
      </w:tr>
      <w:tr w14:paraId="3938757D">
        <w:tblPrEx>
          <w:tblCellMar>
            <w:top w:w="0" w:type="dxa"/>
            <w:left w:w="108" w:type="dxa"/>
            <w:bottom w:w="0" w:type="dxa"/>
            <w:right w:w="108" w:type="dxa"/>
          </w:tblCellMar>
        </w:tblPrEx>
        <w:trPr>
          <w:trHeight w:val="855" w:hRule="atLeast"/>
        </w:trPr>
        <w:tc>
          <w:tcPr>
            <w:tcW w:w="803" w:type="pct"/>
            <w:vMerge w:val="restart"/>
            <w:tcBorders>
              <w:top w:val="nil"/>
              <w:left w:val="single" w:color="000000" w:sz="4" w:space="0"/>
              <w:bottom w:val="nil"/>
              <w:right w:val="single" w:color="000000" w:sz="4" w:space="0"/>
            </w:tcBorders>
            <w:vAlign w:val="center"/>
          </w:tcPr>
          <w:p w14:paraId="19AB6D49">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车辆管理（18分）</w:t>
            </w:r>
          </w:p>
        </w:tc>
        <w:tc>
          <w:tcPr>
            <w:tcW w:w="1471" w:type="pct"/>
            <w:tcBorders>
              <w:top w:val="single" w:color="000000" w:sz="4" w:space="0"/>
              <w:left w:val="single" w:color="000000" w:sz="4" w:space="0"/>
              <w:bottom w:val="single" w:color="000000" w:sz="4" w:space="0"/>
              <w:right w:val="single" w:color="000000" w:sz="4" w:space="0"/>
            </w:tcBorders>
            <w:vAlign w:val="center"/>
          </w:tcPr>
          <w:p w14:paraId="608C4529">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对行车通道、消防通道、非停车位停车及时制止，并做好沟通解释</w:t>
            </w:r>
          </w:p>
        </w:tc>
        <w:tc>
          <w:tcPr>
            <w:tcW w:w="504" w:type="pct"/>
            <w:tcBorders>
              <w:top w:val="single" w:color="000000" w:sz="4" w:space="0"/>
              <w:left w:val="single" w:color="000000" w:sz="4" w:space="0"/>
              <w:bottom w:val="single" w:color="000000" w:sz="4" w:space="0"/>
              <w:right w:val="single" w:color="000000" w:sz="4" w:space="0"/>
            </w:tcBorders>
            <w:vAlign w:val="center"/>
          </w:tcPr>
          <w:p w14:paraId="00462637">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8</w:t>
            </w:r>
          </w:p>
        </w:tc>
        <w:tc>
          <w:tcPr>
            <w:tcW w:w="1665" w:type="pct"/>
            <w:tcBorders>
              <w:top w:val="single" w:color="000000" w:sz="4" w:space="0"/>
              <w:left w:val="single" w:color="000000" w:sz="4" w:space="0"/>
              <w:bottom w:val="single" w:color="000000" w:sz="4" w:space="0"/>
              <w:right w:val="single" w:color="000000" w:sz="4" w:space="0"/>
            </w:tcBorders>
            <w:vAlign w:val="center"/>
          </w:tcPr>
          <w:p w14:paraId="1E34CA2C">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对行车通道、消防通道、非停车位停车未及时制止的，每次扣2分</w:t>
            </w:r>
          </w:p>
        </w:tc>
        <w:tc>
          <w:tcPr>
            <w:tcW w:w="556" w:type="pct"/>
            <w:tcBorders>
              <w:top w:val="single" w:color="000000" w:sz="4" w:space="0"/>
              <w:left w:val="single" w:color="000000" w:sz="4" w:space="0"/>
              <w:bottom w:val="single" w:color="000000" w:sz="4" w:space="0"/>
              <w:right w:val="single" w:color="000000" w:sz="4" w:space="0"/>
            </w:tcBorders>
            <w:vAlign w:val="center"/>
          </w:tcPr>
          <w:p w14:paraId="6A3CCAAE">
            <w:pPr>
              <w:jc w:val="center"/>
              <w:rPr>
                <w:rFonts w:hint="eastAsia" w:ascii="宋体" w:hAnsi="宋体" w:cs="宋体"/>
                <w:color w:val="000000"/>
                <w:sz w:val="22"/>
                <w:szCs w:val="22"/>
              </w:rPr>
            </w:pPr>
          </w:p>
        </w:tc>
      </w:tr>
      <w:tr w14:paraId="14E35FC1">
        <w:tblPrEx>
          <w:tblCellMar>
            <w:top w:w="0" w:type="dxa"/>
            <w:left w:w="108" w:type="dxa"/>
            <w:bottom w:w="0" w:type="dxa"/>
            <w:right w:w="108" w:type="dxa"/>
          </w:tblCellMar>
        </w:tblPrEx>
        <w:trPr>
          <w:trHeight w:val="615" w:hRule="atLeast"/>
        </w:trPr>
        <w:tc>
          <w:tcPr>
            <w:tcW w:w="803" w:type="pct"/>
            <w:vMerge w:val="continue"/>
            <w:tcBorders>
              <w:top w:val="nil"/>
              <w:left w:val="single" w:color="000000" w:sz="4" w:space="0"/>
              <w:bottom w:val="nil"/>
              <w:right w:val="single" w:color="000000" w:sz="4" w:space="0"/>
            </w:tcBorders>
            <w:vAlign w:val="center"/>
          </w:tcPr>
          <w:p w14:paraId="4600150D">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vAlign w:val="center"/>
          </w:tcPr>
          <w:p w14:paraId="0C3468FF">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对违规停放车辆按规定张贴告知单</w:t>
            </w:r>
          </w:p>
        </w:tc>
        <w:tc>
          <w:tcPr>
            <w:tcW w:w="504" w:type="pct"/>
            <w:tcBorders>
              <w:top w:val="single" w:color="000000" w:sz="4" w:space="0"/>
              <w:left w:val="single" w:color="000000" w:sz="4" w:space="0"/>
              <w:bottom w:val="single" w:color="000000" w:sz="4" w:space="0"/>
              <w:right w:val="single" w:color="000000" w:sz="4" w:space="0"/>
            </w:tcBorders>
            <w:vAlign w:val="center"/>
          </w:tcPr>
          <w:p w14:paraId="51ACA6DF">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8</w:t>
            </w:r>
          </w:p>
        </w:tc>
        <w:tc>
          <w:tcPr>
            <w:tcW w:w="1665" w:type="pct"/>
            <w:tcBorders>
              <w:top w:val="single" w:color="000000" w:sz="4" w:space="0"/>
              <w:left w:val="single" w:color="000000" w:sz="4" w:space="0"/>
              <w:bottom w:val="single" w:color="000000" w:sz="4" w:space="0"/>
              <w:right w:val="single" w:color="000000" w:sz="4" w:space="0"/>
            </w:tcBorders>
            <w:vAlign w:val="center"/>
          </w:tcPr>
          <w:p w14:paraId="678AA79B">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对违规停放车辆未及时张贴告知单的，每次扣2分</w:t>
            </w:r>
          </w:p>
        </w:tc>
        <w:tc>
          <w:tcPr>
            <w:tcW w:w="556" w:type="pct"/>
            <w:tcBorders>
              <w:top w:val="single" w:color="000000" w:sz="4" w:space="0"/>
              <w:left w:val="single" w:color="000000" w:sz="4" w:space="0"/>
              <w:bottom w:val="single" w:color="000000" w:sz="4" w:space="0"/>
              <w:right w:val="single" w:color="000000" w:sz="4" w:space="0"/>
            </w:tcBorders>
            <w:vAlign w:val="center"/>
          </w:tcPr>
          <w:p w14:paraId="4D4CC30B">
            <w:pPr>
              <w:jc w:val="center"/>
              <w:rPr>
                <w:rFonts w:hint="eastAsia" w:ascii="宋体" w:hAnsi="宋体" w:cs="宋体"/>
                <w:color w:val="000000"/>
                <w:sz w:val="22"/>
                <w:szCs w:val="22"/>
              </w:rPr>
            </w:pPr>
          </w:p>
        </w:tc>
      </w:tr>
      <w:tr w14:paraId="486D7544">
        <w:tblPrEx>
          <w:tblCellMar>
            <w:top w:w="0" w:type="dxa"/>
            <w:left w:w="108" w:type="dxa"/>
            <w:bottom w:w="0" w:type="dxa"/>
            <w:right w:w="108" w:type="dxa"/>
          </w:tblCellMar>
        </w:tblPrEx>
        <w:trPr>
          <w:trHeight w:val="1000" w:hRule="atLeast"/>
        </w:trPr>
        <w:tc>
          <w:tcPr>
            <w:tcW w:w="803" w:type="pct"/>
            <w:vMerge w:val="continue"/>
            <w:tcBorders>
              <w:top w:val="nil"/>
              <w:left w:val="single" w:color="000000" w:sz="4" w:space="0"/>
              <w:bottom w:val="nil"/>
              <w:right w:val="single" w:color="000000" w:sz="4" w:space="0"/>
            </w:tcBorders>
            <w:vAlign w:val="center"/>
          </w:tcPr>
          <w:p w14:paraId="71DD3206">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nil"/>
              <w:right w:val="single" w:color="000000" w:sz="4" w:space="0"/>
            </w:tcBorders>
            <w:vAlign w:val="center"/>
          </w:tcPr>
          <w:p w14:paraId="4DD4F1E3">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周末及节假日有大型会议活动的，安排人员做好车辆停放管理</w:t>
            </w:r>
          </w:p>
        </w:tc>
        <w:tc>
          <w:tcPr>
            <w:tcW w:w="504" w:type="pct"/>
            <w:tcBorders>
              <w:top w:val="single" w:color="000000" w:sz="4" w:space="0"/>
              <w:left w:val="single" w:color="000000" w:sz="4" w:space="0"/>
              <w:bottom w:val="nil"/>
              <w:right w:val="single" w:color="000000" w:sz="4" w:space="0"/>
            </w:tcBorders>
            <w:vAlign w:val="center"/>
          </w:tcPr>
          <w:p w14:paraId="7D5065E8">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2</w:t>
            </w:r>
          </w:p>
        </w:tc>
        <w:tc>
          <w:tcPr>
            <w:tcW w:w="1665" w:type="pct"/>
            <w:tcBorders>
              <w:top w:val="single" w:color="000000" w:sz="4" w:space="0"/>
              <w:left w:val="single" w:color="000000" w:sz="4" w:space="0"/>
              <w:bottom w:val="nil"/>
              <w:right w:val="single" w:color="000000" w:sz="4" w:space="0"/>
            </w:tcBorders>
            <w:vAlign w:val="center"/>
          </w:tcPr>
          <w:p w14:paraId="10626A53">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周末及节假日有大型会议活动，不配合做好车辆停放管理的，每次扣1分</w:t>
            </w:r>
          </w:p>
        </w:tc>
        <w:tc>
          <w:tcPr>
            <w:tcW w:w="556" w:type="pct"/>
            <w:tcBorders>
              <w:top w:val="single" w:color="000000" w:sz="4" w:space="0"/>
              <w:left w:val="single" w:color="000000" w:sz="4" w:space="0"/>
              <w:bottom w:val="single" w:color="000000" w:sz="4" w:space="0"/>
              <w:right w:val="single" w:color="000000" w:sz="4" w:space="0"/>
            </w:tcBorders>
            <w:vAlign w:val="center"/>
          </w:tcPr>
          <w:p w14:paraId="2A959B24">
            <w:pPr>
              <w:jc w:val="center"/>
              <w:rPr>
                <w:rFonts w:hint="eastAsia" w:ascii="宋体" w:hAnsi="宋体" w:cs="宋体"/>
                <w:color w:val="000000"/>
                <w:sz w:val="22"/>
                <w:szCs w:val="22"/>
              </w:rPr>
            </w:pPr>
          </w:p>
        </w:tc>
      </w:tr>
      <w:tr w14:paraId="744EEF57">
        <w:tblPrEx>
          <w:tblCellMar>
            <w:top w:w="0" w:type="dxa"/>
            <w:left w:w="108" w:type="dxa"/>
            <w:bottom w:w="0" w:type="dxa"/>
            <w:right w:w="108" w:type="dxa"/>
          </w:tblCellMar>
        </w:tblPrEx>
        <w:trPr>
          <w:trHeight w:val="615" w:hRule="atLeast"/>
        </w:trPr>
        <w:tc>
          <w:tcPr>
            <w:tcW w:w="803" w:type="pct"/>
            <w:tcBorders>
              <w:top w:val="single" w:color="000000" w:sz="4" w:space="0"/>
              <w:left w:val="single" w:color="000000" w:sz="4" w:space="0"/>
              <w:bottom w:val="single" w:color="000000" w:sz="4" w:space="0"/>
              <w:right w:val="single" w:color="000000" w:sz="4" w:space="0"/>
            </w:tcBorders>
            <w:noWrap/>
            <w:vAlign w:val="center"/>
          </w:tcPr>
          <w:p w14:paraId="2A388C98">
            <w:pPr>
              <w:jc w:val="center"/>
              <w:rPr>
                <w:rFonts w:hint="eastAsia" w:ascii="宋体" w:hAnsi="宋体" w:cs="宋体"/>
                <w:color w:val="000000"/>
                <w:sz w:val="22"/>
                <w:szCs w:val="22"/>
              </w:rPr>
            </w:pPr>
          </w:p>
        </w:tc>
        <w:tc>
          <w:tcPr>
            <w:tcW w:w="1471" w:type="pct"/>
            <w:tcBorders>
              <w:top w:val="single" w:color="000000" w:sz="4" w:space="0"/>
              <w:left w:val="single" w:color="000000" w:sz="4" w:space="0"/>
              <w:bottom w:val="single" w:color="000000" w:sz="4" w:space="0"/>
              <w:right w:val="single" w:color="000000" w:sz="4" w:space="0"/>
            </w:tcBorders>
            <w:noWrap/>
            <w:vAlign w:val="center"/>
          </w:tcPr>
          <w:p w14:paraId="5676635B">
            <w:pPr>
              <w:jc w:val="center"/>
              <w:rPr>
                <w:rFonts w:hint="eastAsia" w:ascii="宋体" w:hAnsi="宋体" w:cs="宋体"/>
                <w:color w:val="000000"/>
                <w:sz w:val="22"/>
                <w:szCs w:val="22"/>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6CE867C">
            <w:pPr>
              <w:jc w:val="center"/>
              <w:rPr>
                <w:rFonts w:hint="eastAsia" w:ascii="宋体" w:hAnsi="宋体" w:cs="宋体"/>
                <w:color w:val="000000"/>
                <w:sz w:val="22"/>
                <w:szCs w:val="22"/>
              </w:rPr>
            </w:pPr>
          </w:p>
        </w:tc>
        <w:tc>
          <w:tcPr>
            <w:tcW w:w="2221" w:type="pct"/>
            <w:gridSpan w:val="2"/>
            <w:tcBorders>
              <w:top w:val="single" w:color="000000" w:sz="4" w:space="0"/>
              <w:left w:val="single" w:color="000000" w:sz="4" w:space="0"/>
              <w:bottom w:val="single" w:color="000000" w:sz="4" w:space="0"/>
              <w:right w:val="single" w:color="000000" w:sz="4" w:space="0"/>
            </w:tcBorders>
            <w:noWrap/>
            <w:vAlign w:val="center"/>
          </w:tcPr>
          <w:p w14:paraId="0C09F028">
            <w:pPr>
              <w:jc w:val="center"/>
              <w:textAlignment w:val="center"/>
              <w:rPr>
                <w:rFonts w:hint="eastAsia" w:ascii="宋体" w:hAnsi="宋体" w:cs="宋体"/>
                <w:color w:val="000000"/>
                <w:sz w:val="24"/>
              </w:rPr>
            </w:pPr>
            <w:r>
              <w:rPr>
                <w:rFonts w:hint="eastAsia" w:ascii="宋体" w:hAnsi="宋体" w:cs="宋体"/>
                <w:color w:val="000000"/>
                <w:sz w:val="24"/>
                <w:lang w:bidi="ar"/>
              </w:rPr>
              <w:t>最终得分</w:t>
            </w:r>
          </w:p>
        </w:tc>
      </w:tr>
      <w:tr w14:paraId="3B131AFC">
        <w:tblPrEx>
          <w:tblCellMar>
            <w:top w:w="0" w:type="dxa"/>
            <w:left w:w="108" w:type="dxa"/>
            <w:bottom w:w="0" w:type="dxa"/>
            <w:right w:w="108" w:type="dxa"/>
          </w:tblCellMar>
        </w:tblPrEx>
        <w:trPr>
          <w:trHeight w:val="615" w:hRule="atLeast"/>
        </w:trPr>
        <w:tc>
          <w:tcPr>
            <w:tcW w:w="5000" w:type="pct"/>
            <w:gridSpan w:val="5"/>
            <w:tcBorders>
              <w:top w:val="single" w:color="000000" w:sz="4" w:space="0"/>
              <w:left w:val="single" w:color="000000" w:sz="4" w:space="0"/>
              <w:bottom w:val="nil"/>
              <w:right w:val="single" w:color="000000" w:sz="4" w:space="0"/>
            </w:tcBorders>
            <w:noWrap/>
            <w:vAlign w:val="center"/>
          </w:tcPr>
          <w:p w14:paraId="1340E162">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注：考核总分100分，考核结果95分（含）以上的支付当季全额服务费；考核得分95以下的每分扣500元服务费；80分以下扣除当季全额服务费用的15%，且采购人有权终止合同，并且不承担任何赔偿责任。</w:t>
            </w:r>
          </w:p>
        </w:tc>
      </w:tr>
      <w:tr w14:paraId="5EBF6003">
        <w:tblPrEx>
          <w:tblCellMar>
            <w:top w:w="0" w:type="dxa"/>
            <w:left w:w="108" w:type="dxa"/>
            <w:bottom w:w="0" w:type="dxa"/>
            <w:right w:w="108" w:type="dxa"/>
          </w:tblCellMar>
        </w:tblPrEx>
        <w:trPr>
          <w:trHeight w:val="420"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66FEF9BB">
            <w:pPr>
              <w:jc w:val="left"/>
              <w:textAlignment w:val="center"/>
              <w:rPr>
                <w:rFonts w:hint="eastAsia" w:ascii="宋体" w:hAnsi="宋体" w:cs="宋体"/>
                <w:color w:val="000000"/>
                <w:sz w:val="22"/>
                <w:szCs w:val="22"/>
              </w:rPr>
            </w:pPr>
            <w:r>
              <w:rPr>
                <w:rFonts w:hint="eastAsia" w:ascii="宋体" w:hAnsi="宋体" w:cs="宋体"/>
                <w:color w:val="000000"/>
                <w:sz w:val="22"/>
                <w:szCs w:val="22"/>
                <w:lang w:bidi="ar"/>
              </w:rPr>
              <w:t xml:space="preserve">    乙方签字：                           甲方签字：</w:t>
            </w:r>
            <w:r>
              <w:rPr>
                <w:rFonts w:hint="eastAsia" w:ascii="宋体" w:hAnsi="宋体" w:cs="宋体"/>
                <w:color w:val="000000"/>
                <w:sz w:val="22"/>
                <w:szCs w:val="22"/>
                <w:lang w:bidi="ar"/>
              </w:rPr>
              <w:br w:type="textWrapping"/>
            </w:r>
            <w:r>
              <w:rPr>
                <w:rFonts w:hint="eastAsia" w:ascii="宋体" w:hAnsi="宋体" w:cs="宋体"/>
                <w:color w:val="000000"/>
                <w:sz w:val="22"/>
                <w:szCs w:val="22"/>
                <w:lang w:bidi="ar"/>
              </w:rPr>
              <w:br w:type="textWrapping"/>
            </w:r>
            <w:r>
              <w:rPr>
                <w:rFonts w:hint="eastAsia" w:ascii="宋体" w:hAnsi="宋体" w:cs="宋体"/>
                <w:color w:val="000000"/>
                <w:sz w:val="22"/>
                <w:szCs w:val="22"/>
                <w:lang w:bidi="ar"/>
              </w:rPr>
              <w:t xml:space="preserve">    日    期：                           日    期：</w:t>
            </w:r>
          </w:p>
        </w:tc>
      </w:tr>
    </w:tbl>
    <w:p w14:paraId="6ED32E33">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（六）服务期限要求</w:t>
      </w:r>
    </w:p>
    <w:p w14:paraId="36A055EF">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1.本项目预算为一年度的预算，根据《政府购买服务管理办法》第二十四条规定，本项目根据采购结果，采取一次招标三年沿用。一年合同期满后，采购人未获得预算批复或因政策变化采购需求取消，则经采购人书面通知供应商后，合同到期终止不再续签，或受疫情等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w:t>
      </w:r>
    </w:p>
    <w:p w14:paraId="400D91F5">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2.提前终止合同情形</w:t>
      </w:r>
    </w:p>
    <w:p w14:paraId="63A53F90">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（1）成交供应商为所有员工发放的工资和保险须符合《中华人民共和国劳动合同法》；如未能按政策规定实施而产生劳资纠纷，且不能妥善整改解决直接影响服务质量的。</w:t>
      </w:r>
    </w:p>
    <w:p w14:paraId="5584762A">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（2）成交供应商未按照投标时承诺要求配置或擅自减少人员数量，影响服务质量的。</w:t>
      </w:r>
    </w:p>
    <w:p w14:paraId="55B616F4">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（3）对采购人提出劝辞建议的不称职人员未及时予以清退或调离并及时补足人员的。</w:t>
      </w:r>
    </w:p>
    <w:p w14:paraId="459B657C">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（4）因成交供应商工作失职造成业主方重大安全保卫事故、其他责任事故或隐瞒、瞒报安全责任事故。</w:t>
      </w:r>
    </w:p>
    <w:p w14:paraId="75910D87">
      <w:pPr>
        <w:spacing w:line="5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rPr>
        <w:t>（5）项目团队人员有违法行为的。</w:t>
      </w:r>
    </w:p>
    <w:p w14:paraId="58C0D8D2">
      <w:pPr>
        <w:spacing w:line="500" w:lineRule="exact"/>
        <w:ind w:firstLine="560" w:firstLineChars="200"/>
        <w:rPr>
          <w:rFonts w:hint="eastAsia" w:ascii="宋体" w:hAnsi="宋体" w:cs="宋体"/>
          <w:b/>
          <w:bCs/>
          <w:sz w:val="28"/>
          <w:szCs w:val="28"/>
        </w:rPr>
      </w:pPr>
      <w:r>
        <w:rPr>
          <w:rFonts w:hint="eastAsia" w:ascii="宋体" w:hAnsi="宋体" w:cs="宋体"/>
          <w:color w:val="000000"/>
          <w:kern w:val="2"/>
          <w:sz w:val="28"/>
          <w:szCs w:val="28"/>
        </w:rPr>
        <w:t>（6）考核得分单季度在80分以下的。</w:t>
      </w:r>
    </w:p>
    <w:p w14:paraId="794AD5F7">
      <w:pPr>
        <w:spacing w:line="500" w:lineRule="exact"/>
        <w:ind w:firstLine="562" w:firstLineChars="200"/>
        <w:rPr>
          <w:rFonts w:hint="eastAsia" w:ascii="宋体" w:hAnsi="宋体" w:cs="宋体"/>
          <w:sz w:val="28"/>
          <w:szCs w:val="28"/>
        </w:rPr>
      </w:pPr>
      <w:r>
        <w:rPr>
          <w:rFonts w:hint="eastAsia" w:ascii="宋体" w:hAnsi="宋体" w:cs="宋体"/>
          <w:b/>
          <w:bCs/>
          <w:sz w:val="28"/>
          <w:szCs w:val="28"/>
        </w:rPr>
        <w:t>二、其他要求:</w:t>
      </w:r>
    </w:p>
    <w:p w14:paraId="46FF513A">
      <w:pPr>
        <w:spacing w:line="500" w:lineRule="exact"/>
        <w:ind w:firstLine="560" w:firstLineChars="200"/>
        <w:rPr>
          <w:rFonts w:hint="eastAsia" w:ascii="宋体" w:hAnsi="宋体" w:cs="宋体"/>
          <w:sz w:val="28"/>
          <w:szCs w:val="28"/>
        </w:rPr>
      </w:pPr>
      <w:r>
        <w:rPr>
          <w:rFonts w:hint="eastAsia" w:ascii="宋体" w:hAnsi="宋体" w:cs="宋体"/>
          <w:sz w:val="28"/>
          <w:szCs w:val="28"/>
        </w:rPr>
        <w:t>1、本项目为固定总价报价，包括以下费用：</w:t>
      </w:r>
    </w:p>
    <w:p w14:paraId="4BDBF882">
      <w:pPr>
        <w:spacing w:line="500" w:lineRule="exact"/>
        <w:ind w:firstLine="560" w:firstLineChars="200"/>
        <w:rPr>
          <w:rFonts w:hint="eastAsia" w:ascii="宋体" w:hAnsi="宋体" w:cs="宋体"/>
          <w:sz w:val="28"/>
          <w:szCs w:val="28"/>
        </w:rPr>
      </w:pPr>
      <w:r>
        <w:rPr>
          <w:rFonts w:hint="eastAsia" w:ascii="宋体" w:hAnsi="宋体" w:cs="宋体"/>
          <w:sz w:val="28"/>
          <w:szCs w:val="28"/>
        </w:rPr>
        <w:t>（1）员工的工资（符合《中华人民共和国劳动合同法》规定）、社会保险（医疗、养老、工伤、生育、失业）、岗位、高温费、福利、津贴、职业病、突然死亡等各类费用。</w:t>
      </w:r>
    </w:p>
    <w:p w14:paraId="50D97648">
      <w:pPr>
        <w:spacing w:line="500" w:lineRule="exact"/>
        <w:ind w:firstLine="560" w:firstLineChars="200"/>
        <w:rPr>
          <w:rFonts w:hint="eastAsia" w:ascii="宋体" w:hAnsi="宋体" w:cs="宋体"/>
          <w:sz w:val="28"/>
          <w:szCs w:val="28"/>
        </w:rPr>
      </w:pPr>
      <w:r>
        <w:rPr>
          <w:rFonts w:hint="eastAsia" w:ascii="宋体" w:hAnsi="宋体" w:cs="宋体"/>
          <w:sz w:val="28"/>
          <w:szCs w:val="28"/>
        </w:rPr>
        <w:t>（2）制服费、器</w:t>
      </w:r>
      <w:r>
        <w:rPr>
          <w:rFonts w:hint="eastAsia" w:ascii="宋体" w:hAnsi="宋体" w:cs="宋体"/>
          <w:sz w:val="28"/>
          <w:szCs w:val="28"/>
          <w:highlight w:val="none"/>
        </w:rPr>
        <w:t>械费、一键报警装置费用</w:t>
      </w:r>
      <w:r>
        <w:rPr>
          <w:rFonts w:hint="eastAsia" w:ascii="宋体" w:hAnsi="宋体" w:cs="宋体"/>
          <w:sz w:val="28"/>
          <w:szCs w:val="28"/>
          <w:highlight w:val="none"/>
          <w:lang w:eastAsia="zh-CN"/>
        </w:rPr>
        <w:t>、</w:t>
      </w:r>
      <w:r>
        <w:rPr>
          <w:rFonts w:hint="eastAsia" w:ascii="宋体" w:hAnsi="宋体" w:cs="宋体"/>
          <w:sz w:val="28"/>
          <w:szCs w:val="28"/>
          <w:highlight w:val="none"/>
        </w:rPr>
        <w:t>交通</w:t>
      </w:r>
      <w:r>
        <w:rPr>
          <w:rFonts w:hint="eastAsia" w:ascii="宋体" w:hAnsi="宋体" w:cs="宋体"/>
          <w:sz w:val="28"/>
          <w:szCs w:val="28"/>
        </w:rPr>
        <w:t>费、体检费、招聘及培训费用、行政、报告及其它后勤费用。</w:t>
      </w:r>
    </w:p>
    <w:p w14:paraId="419B86F1">
      <w:pPr>
        <w:spacing w:line="500" w:lineRule="exact"/>
        <w:ind w:firstLine="560" w:firstLineChars="200"/>
        <w:rPr>
          <w:rFonts w:hint="eastAsia" w:ascii="宋体" w:hAnsi="宋体" w:cs="宋体"/>
          <w:sz w:val="28"/>
          <w:szCs w:val="28"/>
        </w:rPr>
      </w:pPr>
      <w:r>
        <w:rPr>
          <w:rFonts w:hint="eastAsia" w:ascii="宋体" w:hAnsi="宋体" w:cs="宋体"/>
          <w:sz w:val="28"/>
          <w:szCs w:val="28"/>
        </w:rPr>
        <w:t xml:space="preserve">（3）管理费、税费、风险金。 </w:t>
      </w:r>
    </w:p>
    <w:p w14:paraId="06949CC7">
      <w:pPr>
        <w:spacing w:line="500" w:lineRule="exact"/>
        <w:ind w:firstLine="560" w:firstLineChars="200"/>
        <w:rPr>
          <w:rFonts w:hint="eastAsia" w:ascii="宋体" w:hAnsi="宋体" w:cs="宋体"/>
          <w:sz w:val="28"/>
          <w:szCs w:val="28"/>
        </w:rPr>
      </w:pPr>
      <w:r>
        <w:rPr>
          <w:rFonts w:hint="eastAsia" w:ascii="宋体" w:hAnsi="宋体" w:cs="宋体"/>
          <w:sz w:val="28"/>
          <w:szCs w:val="28"/>
        </w:rPr>
        <w:t>（4）如遇人工工资、税金调整等政策性调整费用采购人按政策予以相应调整。</w:t>
      </w:r>
    </w:p>
    <w:p w14:paraId="0E4F2DE0">
      <w:pPr>
        <w:spacing w:line="500" w:lineRule="exact"/>
        <w:ind w:firstLine="560" w:firstLineChars="200"/>
        <w:rPr>
          <w:rFonts w:hint="eastAsia" w:ascii="宋体" w:hAnsi="宋体" w:cs="宋体"/>
          <w:sz w:val="28"/>
          <w:szCs w:val="28"/>
        </w:rPr>
      </w:pPr>
      <w:r>
        <w:rPr>
          <w:rFonts w:hint="eastAsia" w:ascii="宋体" w:hAnsi="宋体" w:cs="宋体"/>
          <w:sz w:val="28"/>
          <w:szCs w:val="28"/>
        </w:rPr>
        <w:t>（5）招标代理费。</w:t>
      </w:r>
    </w:p>
    <w:p w14:paraId="0E9FAAF7">
      <w:pPr>
        <w:spacing w:line="500" w:lineRule="exact"/>
        <w:ind w:firstLine="560" w:firstLineChars="200"/>
        <w:rPr>
          <w:rFonts w:hint="eastAsia" w:ascii="宋体" w:hAnsi="宋体" w:cs="宋体"/>
          <w:sz w:val="28"/>
          <w:szCs w:val="28"/>
        </w:rPr>
      </w:pPr>
      <w:r>
        <w:rPr>
          <w:rFonts w:hint="eastAsia" w:ascii="宋体" w:hAnsi="宋体" w:cs="宋体"/>
          <w:sz w:val="28"/>
          <w:szCs w:val="28"/>
        </w:rPr>
        <w:t>（6）为履行合同产</w:t>
      </w:r>
      <w:r>
        <w:rPr>
          <w:rFonts w:hint="eastAsia" w:ascii="宋体" w:hAnsi="宋体" w:cs="宋体"/>
          <w:sz w:val="28"/>
          <w:szCs w:val="28"/>
          <w:highlight w:val="none"/>
        </w:rPr>
        <w:t>生的其它费用。</w:t>
      </w:r>
    </w:p>
    <w:p w14:paraId="1279D1E8">
      <w:pPr>
        <w:spacing w:line="500" w:lineRule="exact"/>
        <w:ind w:firstLine="560"/>
        <w:rPr>
          <w:rFonts w:hint="eastAsia" w:ascii="宋体" w:hAnsi="宋体" w:cs="宋体"/>
          <w:b/>
          <w:bCs/>
          <w:color w:val="FF0000"/>
          <w:sz w:val="28"/>
          <w:szCs w:val="28"/>
        </w:rPr>
      </w:pPr>
      <w:r>
        <w:rPr>
          <w:rFonts w:hint="eastAsia" w:ascii="宋体" w:hAnsi="宋体" w:cs="宋体"/>
          <w:b/>
          <w:bCs/>
          <w:sz w:val="28"/>
          <w:szCs w:val="28"/>
        </w:rPr>
        <w:t>三、采购标的的其他技术、服务等要求</w:t>
      </w:r>
    </w:p>
    <w:p w14:paraId="66767457">
      <w:pPr>
        <w:spacing w:line="5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695A1D3F">
      <w:pPr>
        <w:spacing w:line="5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品目清单见《关于印发环境标志产品政府采购品目清单的通知》（财库〔2019〕18号）、《关于印发节能产品政府采购品目清单的通知》（财库〔2019〕19号）。</w:t>
      </w:r>
    </w:p>
    <w:p w14:paraId="4120EC74">
      <w:pPr>
        <w:spacing w:line="5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需求标准见《商品包装政府采购需求标准（试行）》《快递包装政府采购需求标准（试行）》（财办库〔2020〕123号）、《绿色数据中心政府采购需求标准（试行）》（财库〔2023〕7号）。</w:t>
      </w:r>
    </w:p>
    <w:p w14:paraId="271BED91">
      <w:pPr>
        <w:spacing w:line="500" w:lineRule="exact"/>
        <w:ind w:firstLine="562" w:firstLineChars="200"/>
        <w:rPr>
          <w:rFonts w:hint="eastAsia" w:ascii="宋体" w:hAnsi="宋体" w:cs="宋体"/>
          <w:b/>
          <w:bCs/>
          <w:sz w:val="28"/>
          <w:szCs w:val="28"/>
          <w:highlight w:val="none"/>
          <w:lang w:val="zh-CN"/>
        </w:rPr>
      </w:pPr>
      <w:r>
        <w:rPr>
          <w:rFonts w:hint="eastAsia" w:ascii="宋体" w:hAnsi="宋体" w:cs="宋体"/>
          <w:b/>
          <w:bCs/>
          <w:sz w:val="28"/>
          <w:szCs w:val="28"/>
        </w:rPr>
        <w:t>四、付款方式：根据考核结果结算保安服务费，按季度支付，分别按年度保安服务费的25%，于下一季度的10日前支付给成交供应商。成交供应商申请付款前需提供员工相关资料复印件及相应金额的增值税专用发票。(备注:对满足合同支付条件的，采购人应当自收到发票后30日内支付</w:t>
      </w:r>
      <w:r>
        <w:rPr>
          <w:rFonts w:hint="eastAsia" w:ascii="宋体" w:hAnsi="宋体" w:cs="宋体"/>
          <w:b/>
          <w:bCs/>
          <w:sz w:val="28"/>
          <w:szCs w:val="28"/>
          <w:highlight w:val="none"/>
        </w:rPr>
        <w:t>资金。)</w:t>
      </w:r>
    </w:p>
    <w:p w14:paraId="75759BD4">
      <w:pPr>
        <w:spacing w:line="440" w:lineRule="exact"/>
        <w:ind w:right="-1" w:firstLine="562" w:firstLineChars="200"/>
        <w:contextualSpacing/>
        <w:rPr>
          <w:rFonts w:hint="eastAsia" w:ascii="宋体" w:hAnsi="宋体" w:cs="宋体"/>
          <w:b/>
          <w:bCs/>
          <w:sz w:val="28"/>
          <w:szCs w:val="28"/>
          <w:lang w:val="zh-CN"/>
        </w:rPr>
      </w:pPr>
      <w:r>
        <w:rPr>
          <w:rFonts w:hint="eastAsia" w:ascii="宋体" w:hAnsi="宋体" w:cs="宋体"/>
          <w:b/>
          <w:bCs/>
          <w:sz w:val="28"/>
          <w:szCs w:val="28"/>
        </w:rPr>
        <w:t>五</w:t>
      </w:r>
      <w:r>
        <w:rPr>
          <w:rFonts w:hint="eastAsia" w:ascii="宋体" w:hAnsi="宋体" w:cs="宋体"/>
          <w:b/>
          <w:bCs/>
          <w:sz w:val="28"/>
          <w:szCs w:val="28"/>
          <w:lang w:val="zh-CN"/>
        </w:rPr>
        <w:t>、履约保证金</w:t>
      </w:r>
    </w:p>
    <w:p w14:paraId="3BE81125">
      <w:pPr>
        <w:spacing w:line="500" w:lineRule="exact"/>
        <w:ind w:firstLine="560" w:firstLineChars="200"/>
        <w:rPr>
          <w:rFonts w:hint="eastAsia" w:ascii="宋体" w:hAnsi="宋体" w:cs="宋体"/>
          <w:sz w:val="28"/>
          <w:szCs w:val="28"/>
        </w:rPr>
      </w:pPr>
      <w:r>
        <w:rPr>
          <w:rFonts w:hint="eastAsia" w:ascii="宋体" w:hAnsi="宋体" w:cs="宋体"/>
          <w:sz w:val="28"/>
          <w:szCs w:val="28"/>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50E69F78">
      <w:pPr>
        <w:spacing w:line="500" w:lineRule="exact"/>
        <w:ind w:firstLine="560" w:firstLineChars="200"/>
        <w:rPr>
          <w:rFonts w:hint="eastAsia" w:ascii="宋体" w:hAnsi="宋体" w:cs="宋体"/>
          <w:sz w:val="28"/>
          <w:szCs w:val="28"/>
        </w:rPr>
      </w:pPr>
      <w:r>
        <w:rPr>
          <w:rFonts w:hint="eastAsia" w:ascii="宋体" w:hAnsi="宋体" w:cs="宋体"/>
          <w:sz w:val="28"/>
          <w:szCs w:val="28"/>
        </w:rPr>
        <w:t>2、成交供应商全部履约合同义务，经采购单位验收合格无质量、进度等问题的，采购人在验收合格后一次性退还履约保证金，采购人若逾期退还履约保证金的，按照逾期部分的每日0.05%支付违约金。</w:t>
      </w:r>
    </w:p>
    <w:p w14:paraId="3A808F11">
      <w:pPr>
        <w:spacing w:line="500" w:lineRule="exact"/>
        <w:ind w:firstLine="560" w:firstLineChars="200"/>
        <w:rPr>
          <w:rFonts w:hint="eastAsia" w:ascii="宋体" w:hAnsi="宋体" w:cs="宋体"/>
          <w:sz w:val="28"/>
          <w:szCs w:val="28"/>
        </w:rPr>
      </w:pPr>
      <w:r>
        <w:rPr>
          <w:rFonts w:hint="eastAsia" w:ascii="宋体" w:hAnsi="宋体" w:cs="宋体"/>
          <w:sz w:val="28"/>
          <w:szCs w:val="28"/>
        </w:rPr>
        <w:t>3、发生以下情况的，履约保证金不予退还或部分退还：</w:t>
      </w:r>
    </w:p>
    <w:p w14:paraId="70FD5C29">
      <w:pPr>
        <w:spacing w:line="500" w:lineRule="exact"/>
        <w:ind w:firstLine="560" w:firstLineChars="200"/>
        <w:rPr>
          <w:rFonts w:hint="eastAsia" w:ascii="宋体" w:hAnsi="宋体" w:cs="宋体"/>
          <w:sz w:val="28"/>
          <w:szCs w:val="28"/>
        </w:rPr>
      </w:pPr>
      <w:r>
        <w:rPr>
          <w:rFonts w:hint="eastAsia" w:ascii="宋体" w:hAnsi="宋体" w:cs="宋体"/>
          <w:sz w:val="28"/>
          <w:szCs w:val="28"/>
        </w:rPr>
        <w:t>a.签订合同后，成交供应商不履行合同义务的，采购单位有权全额扣除履约保证金，全额不予退还，同时采购单位亦有权终止合同，成交供应商还须承担相应的法律赔偿责任。</w:t>
      </w:r>
    </w:p>
    <w:p w14:paraId="42C57AB2">
      <w:pPr>
        <w:spacing w:line="500" w:lineRule="exact"/>
        <w:ind w:firstLine="560" w:firstLineChars="200"/>
        <w:rPr>
          <w:rFonts w:hint="eastAsia" w:ascii="宋体" w:hAnsi="宋体" w:cs="宋体"/>
          <w:sz w:val="28"/>
          <w:szCs w:val="28"/>
        </w:rPr>
      </w:pPr>
      <w:r>
        <w:rPr>
          <w:rFonts w:hint="eastAsia" w:ascii="宋体" w:hAnsi="宋体" w:cs="宋体"/>
          <w:sz w:val="28"/>
          <w:szCs w:val="28"/>
        </w:rPr>
        <w:t>b.成交供应商在履约过程中发生违约行为，给采购单位造成损失的，采购单位有权在成交供应商缴纳的履约保证金中予以扣款，以弥补采购单位经济损失，不足的部分成交供应商另外补齐</w:t>
      </w:r>
      <w:r>
        <w:rPr>
          <w:rFonts w:hint="eastAsia" w:ascii="宋体" w:hAnsi="宋体" w:cs="宋体"/>
          <w:sz w:val="28"/>
          <w:szCs w:val="28"/>
          <w:lang w:val="zh-CN"/>
        </w:rPr>
        <w:t>。</w:t>
      </w:r>
    </w:p>
    <w:p w14:paraId="2D00C46C">
      <w:pPr>
        <w:spacing w:line="500" w:lineRule="exact"/>
        <w:ind w:firstLine="560" w:firstLineChars="200"/>
        <w:rPr>
          <w:rFonts w:hint="eastAsia" w:ascii="宋体" w:hAnsi="宋体" w:cs="宋体"/>
          <w:sz w:val="28"/>
          <w:szCs w:val="28"/>
        </w:rPr>
      </w:pPr>
      <w:r>
        <w:rPr>
          <w:rFonts w:hint="eastAsia" w:ascii="宋体" w:hAnsi="宋体" w:cs="宋体"/>
          <w:sz w:val="28"/>
          <w:szCs w:val="28"/>
        </w:rPr>
        <w:t>4、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117C4133">
      <w:pPr>
        <w:spacing w:line="500" w:lineRule="exact"/>
        <w:ind w:firstLine="560"/>
        <w:rPr>
          <w:rFonts w:hint="eastAsia" w:ascii="宋体" w:hAnsi="宋体" w:cs="宋体"/>
          <w:sz w:val="28"/>
          <w:szCs w:val="28"/>
        </w:rPr>
      </w:pPr>
      <w:r>
        <w:rPr>
          <w:rFonts w:hint="eastAsia" w:ascii="宋体" w:hAnsi="宋体" w:cs="宋体"/>
          <w:b/>
          <w:sz w:val="28"/>
          <w:szCs w:val="28"/>
        </w:rPr>
        <w:t>六、本项目（不接受）进口产品参与。</w:t>
      </w:r>
    </w:p>
    <w:p w14:paraId="66DDEC76">
      <w:pPr>
        <w:spacing w:line="500" w:lineRule="exact"/>
        <w:ind w:firstLine="560"/>
        <w:rPr>
          <w:rFonts w:hint="eastAsia" w:ascii="宋体" w:hAnsi="宋体" w:cs="宋体"/>
          <w:sz w:val="28"/>
          <w:szCs w:val="28"/>
        </w:rPr>
      </w:pPr>
      <w:r>
        <w:rPr>
          <w:rFonts w:hint="eastAsia" w:ascii="宋体" w:hAnsi="宋体" w:cs="宋体"/>
          <w:b/>
          <w:sz w:val="28"/>
          <w:szCs w:val="28"/>
        </w:rPr>
        <w:t>七、合同条款</w:t>
      </w:r>
    </w:p>
    <w:p w14:paraId="6AC547C7">
      <w:pPr>
        <w:ind w:right="525"/>
        <w:jc w:val="center"/>
        <w:outlineLvl w:val="0"/>
        <w:rPr>
          <w:rFonts w:hint="eastAsia" w:ascii="宋体" w:hAnsi="宋体" w:cs="宋体"/>
          <w:szCs w:val="40"/>
        </w:rPr>
      </w:pPr>
      <w:r>
        <w:rPr>
          <w:rFonts w:hint="eastAsia" w:ascii="宋体" w:hAnsi="宋体" w:cs="宋体"/>
          <w:b/>
          <w:bCs/>
          <w:sz w:val="32"/>
          <w:szCs w:val="32"/>
        </w:rPr>
        <w:t>合同模板</w:t>
      </w:r>
    </w:p>
    <w:p w14:paraId="2D5F8020">
      <w:pPr>
        <w:ind w:right="525"/>
        <w:outlineLvl w:val="0"/>
        <w:rPr>
          <w:rFonts w:hint="eastAsia" w:ascii="宋体" w:hAnsi="宋体" w:cs="宋体"/>
          <w:szCs w:val="40"/>
        </w:rPr>
      </w:pPr>
    </w:p>
    <w:p w14:paraId="43C31594">
      <w:pPr>
        <w:spacing w:line="500" w:lineRule="exact"/>
        <w:ind w:firstLine="480" w:firstLineChars="200"/>
        <w:rPr>
          <w:rFonts w:hint="eastAsia" w:ascii="宋体" w:hAnsi="宋体" w:cs="宋体"/>
          <w:sz w:val="24"/>
          <w:u w:val="single"/>
        </w:rPr>
      </w:pPr>
      <w:r>
        <w:rPr>
          <w:rFonts w:hint="eastAsia" w:ascii="宋体" w:hAnsi="宋体" w:cs="宋体"/>
          <w:sz w:val="24"/>
        </w:rPr>
        <w:t>委托方（甲方）：</w:t>
      </w:r>
    </w:p>
    <w:p w14:paraId="2E1FB352">
      <w:pPr>
        <w:pStyle w:val="264"/>
        <w:spacing w:line="500" w:lineRule="exact"/>
        <w:ind w:firstLine="480" w:firstLineChars="200"/>
        <w:jc w:val="left"/>
        <w:rPr>
          <w:rFonts w:hint="eastAsia"/>
          <w:sz w:val="24"/>
          <w:szCs w:val="24"/>
        </w:rPr>
      </w:pPr>
      <w:r>
        <w:rPr>
          <w:rFonts w:hint="eastAsia"/>
          <w:sz w:val="24"/>
          <w:szCs w:val="24"/>
        </w:rPr>
        <w:t>受托方（乙方）：</w:t>
      </w:r>
    </w:p>
    <w:p w14:paraId="112F217D">
      <w:pPr>
        <w:spacing w:line="500" w:lineRule="exact"/>
        <w:ind w:firstLine="480" w:firstLineChars="200"/>
        <w:rPr>
          <w:rFonts w:hint="eastAsia" w:ascii="宋体" w:hAnsi="宋体" w:cs="宋体"/>
          <w:sz w:val="24"/>
        </w:rPr>
      </w:pPr>
      <w:r>
        <w:rPr>
          <w:rFonts w:hint="eastAsia" w:ascii="宋体" w:hAnsi="宋体" w:cs="宋体"/>
          <w:sz w:val="24"/>
          <w:lang w:val="zh-CN"/>
        </w:rPr>
        <w:t>根据采购编号</w:t>
      </w:r>
      <w:r>
        <w:rPr>
          <w:rFonts w:hint="eastAsia" w:ascii="宋体" w:hAnsi="宋体" w:cs="宋体"/>
          <w:sz w:val="24"/>
          <w:u w:val="single"/>
        </w:rPr>
        <w:t xml:space="preserve">            </w:t>
      </w:r>
      <w:r>
        <w:rPr>
          <w:rFonts w:hint="eastAsia" w:ascii="宋体" w:hAnsi="宋体" w:cs="宋体"/>
          <w:sz w:val="24"/>
          <w:lang w:val="zh-CN"/>
        </w:rPr>
        <w:t>采购文件及该文件的投标文件和成交通知书，甲乙双方就此次成交的</w:t>
      </w:r>
      <w:r>
        <w:rPr>
          <w:rFonts w:hint="eastAsia" w:ascii="宋体" w:hAnsi="宋体" w:cs="宋体"/>
          <w:sz w:val="24"/>
          <w:u w:val="single"/>
          <w:lang w:val="zh-CN"/>
        </w:rPr>
        <w:t>启东市行政中心保安服务项目</w:t>
      </w:r>
      <w:r>
        <w:rPr>
          <w:rFonts w:hint="eastAsia" w:ascii="宋体" w:hAnsi="宋体" w:cs="宋体"/>
          <w:sz w:val="24"/>
          <w:lang w:val="zh-CN"/>
        </w:rPr>
        <w:t>采购事宜签订本合同，以兹共同遵守。</w:t>
      </w:r>
    </w:p>
    <w:p w14:paraId="582483F0">
      <w:pPr>
        <w:spacing w:line="500" w:lineRule="exact"/>
        <w:ind w:firstLine="482" w:firstLineChars="200"/>
        <w:rPr>
          <w:rFonts w:hint="eastAsia" w:ascii="宋体" w:hAnsi="宋体" w:cs="宋体"/>
          <w:b/>
          <w:bCs/>
          <w:sz w:val="24"/>
        </w:rPr>
      </w:pPr>
      <w:r>
        <w:rPr>
          <w:rFonts w:hint="eastAsia" w:ascii="宋体" w:hAnsi="宋体" w:cs="宋体"/>
          <w:b/>
          <w:bCs/>
          <w:sz w:val="24"/>
        </w:rPr>
        <w:t>一、下列文件为本合同不可分割部分：</w:t>
      </w:r>
    </w:p>
    <w:p w14:paraId="0BE66BA0">
      <w:pPr>
        <w:spacing w:line="500" w:lineRule="exact"/>
        <w:ind w:firstLine="480" w:firstLineChars="200"/>
        <w:rPr>
          <w:rFonts w:hint="eastAsia" w:ascii="宋体" w:hAnsi="宋体" w:cs="宋体"/>
          <w:sz w:val="24"/>
        </w:rPr>
      </w:pPr>
      <w:r>
        <w:rPr>
          <w:rFonts w:hint="eastAsia" w:ascii="宋体" w:hAnsi="宋体" w:cs="宋体"/>
          <w:sz w:val="24"/>
        </w:rPr>
        <w:t>1.成交通知书；</w:t>
      </w:r>
    </w:p>
    <w:p w14:paraId="21BBA002">
      <w:pPr>
        <w:spacing w:line="500" w:lineRule="exact"/>
        <w:ind w:firstLine="480" w:firstLineChars="200"/>
        <w:rPr>
          <w:rFonts w:hint="eastAsia" w:ascii="宋体" w:hAnsi="宋体" w:cs="宋体"/>
          <w:sz w:val="24"/>
        </w:rPr>
      </w:pPr>
      <w:r>
        <w:rPr>
          <w:rFonts w:hint="eastAsia" w:ascii="宋体" w:hAnsi="宋体" w:cs="宋体"/>
          <w:sz w:val="24"/>
        </w:rPr>
        <w:t>2.乙方的响应文件；</w:t>
      </w:r>
    </w:p>
    <w:p w14:paraId="35F6401F">
      <w:pPr>
        <w:spacing w:line="500" w:lineRule="exact"/>
        <w:ind w:firstLine="480" w:firstLineChars="200"/>
        <w:rPr>
          <w:rFonts w:hint="eastAsia" w:ascii="宋体" w:hAnsi="宋体" w:cs="宋体"/>
          <w:sz w:val="24"/>
        </w:rPr>
      </w:pPr>
      <w:r>
        <w:rPr>
          <w:rFonts w:hint="eastAsia" w:ascii="宋体" w:hAnsi="宋体" w:cs="宋体"/>
          <w:sz w:val="24"/>
        </w:rPr>
        <w:t>3.招标文件；</w:t>
      </w:r>
    </w:p>
    <w:p w14:paraId="4306C578">
      <w:pPr>
        <w:spacing w:line="500" w:lineRule="exact"/>
        <w:ind w:firstLine="480" w:firstLineChars="200"/>
        <w:rPr>
          <w:rFonts w:hint="eastAsia" w:ascii="宋体" w:hAnsi="宋体" w:cs="宋体"/>
          <w:sz w:val="24"/>
        </w:rPr>
      </w:pPr>
      <w:r>
        <w:rPr>
          <w:rFonts w:hint="eastAsia" w:ascii="宋体" w:hAnsi="宋体" w:cs="宋体"/>
          <w:sz w:val="24"/>
        </w:rPr>
        <w:t>4.乙方在招标过程中所作的其他承诺、声明、书面澄清等；</w:t>
      </w:r>
    </w:p>
    <w:p w14:paraId="75D26F1F">
      <w:pPr>
        <w:spacing w:line="500" w:lineRule="exact"/>
        <w:ind w:firstLine="480" w:firstLineChars="200"/>
        <w:rPr>
          <w:rFonts w:hint="eastAsia" w:ascii="宋体" w:hAnsi="宋体" w:cs="宋体"/>
          <w:sz w:val="24"/>
        </w:rPr>
      </w:pPr>
      <w:r>
        <w:rPr>
          <w:rFonts w:hint="eastAsia" w:ascii="宋体" w:hAnsi="宋体" w:cs="宋体"/>
          <w:sz w:val="24"/>
        </w:rPr>
        <w:t>以上与本合同具有同等法律效力。</w:t>
      </w:r>
    </w:p>
    <w:p w14:paraId="24FDF2FF">
      <w:pPr>
        <w:spacing w:line="500" w:lineRule="exact"/>
        <w:ind w:firstLine="482" w:firstLineChars="200"/>
        <w:rPr>
          <w:rFonts w:hint="eastAsia" w:ascii="宋体" w:hAnsi="宋体" w:cs="宋体"/>
          <w:b/>
          <w:bCs/>
          <w:sz w:val="24"/>
        </w:rPr>
      </w:pPr>
      <w:r>
        <w:rPr>
          <w:rFonts w:hint="eastAsia" w:ascii="宋体" w:hAnsi="宋体" w:cs="宋体"/>
          <w:b/>
          <w:bCs/>
          <w:sz w:val="24"/>
        </w:rPr>
        <w:t>二、合同价款与支付：</w:t>
      </w:r>
    </w:p>
    <w:p w14:paraId="3D5FE87E">
      <w:pPr>
        <w:spacing w:line="500" w:lineRule="exact"/>
        <w:ind w:firstLine="482" w:firstLineChars="200"/>
        <w:rPr>
          <w:rFonts w:hint="eastAsia" w:ascii="宋体" w:hAnsi="宋体" w:cs="宋体"/>
          <w:sz w:val="24"/>
        </w:rPr>
      </w:pPr>
      <w:r>
        <w:rPr>
          <w:rFonts w:hint="eastAsia" w:ascii="宋体" w:hAnsi="宋体" w:cs="宋体"/>
          <w:b/>
          <w:bCs/>
          <w:sz w:val="24"/>
        </w:rPr>
        <w:t>1.合同金额：</w:t>
      </w:r>
      <w:r>
        <w:rPr>
          <w:rFonts w:hint="eastAsia" w:ascii="宋体" w:hAnsi="宋体" w:cs="宋体"/>
          <w:sz w:val="24"/>
        </w:rPr>
        <w:t>本项目合同金额为人民币</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w:t>
      </w:r>
    </w:p>
    <w:p w14:paraId="23670B08">
      <w:pPr>
        <w:spacing w:line="500" w:lineRule="exact"/>
        <w:ind w:firstLine="482" w:firstLineChars="200"/>
        <w:rPr>
          <w:rFonts w:hint="eastAsia" w:ascii="宋体" w:hAnsi="宋体" w:cs="宋体"/>
          <w:sz w:val="24"/>
        </w:rPr>
      </w:pPr>
      <w:r>
        <w:rPr>
          <w:rFonts w:hint="eastAsia" w:ascii="宋体" w:hAnsi="宋体" w:cs="宋体"/>
          <w:b/>
          <w:bCs/>
          <w:sz w:val="24"/>
        </w:rPr>
        <w:t>2.</w:t>
      </w:r>
      <w:r>
        <w:rPr>
          <w:rFonts w:hint="eastAsia" w:ascii="宋体" w:hAnsi="宋体" w:cs="宋体"/>
          <w:sz w:val="24"/>
        </w:rPr>
        <w:t>本项目为固定总价合同，本项目合同价包括（1）员工的工资（符合《中华人民共和国劳动合同法》规定）、社会保险（医疗、养老、工伤、生育、失业）、岗位、高温费、福利、津贴、职业病、突然死亡等各类费用。（2）制服费、器械费、</w:t>
      </w:r>
      <w:r>
        <w:rPr>
          <w:rFonts w:hint="eastAsia" w:ascii="宋体" w:hAnsi="宋体" w:cs="宋体"/>
          <w:sz w:val="24"/>
          <w:highlight w:val="none"/>
        </w:rPr>
        <w:t>一键报警装置费用</w:t>
      </w:r>
      <w:r>
        <w:rPr>
          <w:rFonts w:hint="eastAsia" w:ascii="宋体" w:hAnsi="宋体" w:cs="宋体"/>
          <w:sz w:val="24"/>
          <w:highlight w:val="none"/>
          <w:lang w:eastAsia="zh-CN"/>
        </w:rPr>
        <w:t>、</w:t>
      </w:r>
      <w:r>
        <w:rPr>
          <w:rFonts w:hint="eastAsia" w:ascii="宋体" w:hAnsi="宋体" w:cs="宋体"/>
          <w:sz w:val="24"/>
          <w:highlight w:val="none"/>
        </w:rPr>
        <w:t>交通</w:t>
      </w:r>
      <w:r>
        <w:rPr>
          <w:rFonts w:hint="eastAsia" w:ascii="宋体" w:hAnsi="宋体" w:cs="宋体"/>
          <w:sz w:val="24"/>
        </w:rPr>
        <w:t>费、体检费、招聘及培训费用、行政、报告及其它后勤费用。（3）管理费、税费、风险金。 （4）如遇人工工资、税金调整等政策性调整费用甲方按政策予以相应调整。（5）招标代理费。（6）为履行合同产生的其它费用。</w:t>
      </w:r>
    </w:p>
    <w:p w14:paraId="431F02E7">
      <w:pPr>
        <w:spacing w:line="500" w:lineRule="exact"/>
        <w:ind w:firstLine="482" w:firstLineChars="200"/>
        <w:rPr>
          <w:rFonts w:hint="eastAsia" w:ascii="宋体" w:hAnsi="宋体" w:cs="宋体"/>
          <w:sz w:val="24"/>
        </w:rPr>
      </w:pPr>
      <w:r>
        <w:rPr>
          <w:rFonts w:hint="eastAsia" w:ascii="宋体" w:hAnsi="宋体" w:cs="宋体"/>
          <w:b/>
          <w:bCs/>
          <w:sz w:val="24"/>
        </w:rPr>
        <w:t>3.付款方式：</w:t>
      </w:r>
      <w:r>
        <w:rPr>
          <w:rFonts w:hint="eastAsia" w:ascii="宋体" w:hAnsi="宋体" w:cs="宋体"/>
          <w:sz w:val="24"/>
        </w:rPr>
        <w:t>根据考核结果结算保安服务费，按季度支付，分别按年度保安服务费的25%，于下一季度的10日前支付给乙方。乙方申请付款前需提供员工相关资料复印件及相应金额的增值税专用发票。(备注:对满足合同支付条件的，甲方应当自收到发票后30日内支</w:t>
      </w:r>
      <w:r>
        <w:rPr>
          <w:rFonts w:hint="eastAsia" w:ascii="宋体" w:hAnsi="宋体" w:cs="宋体"/>
          <w:sz w:val="24"/>
          <w:highlight w:val="none"/>
        </w:rPr>
        <w:t>付资金。)</w:t>
      </w:r>
    </w:p>
    <w:p w14:paraId="17BF3F52">
      <w:pPr>
        <w:spacing w:line="500" w:lineRule="exact"/>
        <w:ind w:firstLine="480" w:firstLineChars="200"/>
        <w:rPr>
          <w:rFonts w:hint="eastAsia" w:ascii="宋体" w:hAnsi="宋体" w:cs="宋体"/>
          <w:sz w:val="24"/>
        </w:rPr>
      </w:pPr>
      <w:r>
        <w:rPr>
          <w:rFonts w:hint="eastAsia" w:ascii="宋体" w:hAnsi="宋体" w:cs="宋体"/>
          <w:sz w:val="24"/>
        </w:rPr>
        <w:t>4.履约保证金：</w:t>
      </w:r>
      <w:r>
        <w:rPr>
          <w:rFonts w:hint="eastAsia" w:ascii="宋体" w:hAnsi="宋体" w:cs="宋体"/>
          <w:sz w:val="24"/>
          <w:u w:val="single"/>
        </w:rPr>
        <w:t xml:space="preserve">     </w:t>
      </w:r>
      <w:r>
        <w:rPr>
          <w:rFonts w:hint="eastAsia" w:ascii="宋体" w:hAnsi="宋体" w:cs="宋体"/>
          <w:sz w:val="24"/>
        </w:rPr>
        <w:t>元；</w:t>
      </w:r>
    </w:p>
    <w:p w14:paraId="1EECF9BE">
      <w:pPr>
        <w:spacing w:line="500" w:lineRule="exact"/>
        <w:ind w:firstLine="480" w:firstLineChars="200"/>
        <w:rPr>
          <w:rFonts w:hint="eastAsia" w:ascii="宋体" w:hAnsi="宋体" w:cs="宋体"/>
          <w:sz w:val="24"/>
        </w:rPr>
      </w:pPr>
      <w:r>
        <w:rPr>
          <w:rFonts w:hint="eastAsia" w:ascii="宋体" w:hAnsi="宋体" w:cs="宋体"/>
          <w:sz w:val="24"/>
        </w:rPr>
        <w:t>（1）本项目成交后的履约保证金为项目成交价的10%，乙方的履约保证金须在成交通知书发出之日起至合同签订前汇入甲方单位账户（应当以数字人民币、支票、汇票或者金融机构、担保机构出具的保函等非现金形式提交），乙方凭成交通知书与甲方签订合同。超期或未有协商，则视为自动放弃成交资格。</w:t>
      </w:r>
    </w:p>
    <w:p w14:paraId="0435B668">
      <w:pPr>
        <w:spacing w:line="500" w:lineRule="exact"/>
        <w:ind w:firstLine="480" w:firstLineChars="200"/>
        <w:rPr>
          <w:rFonts w:hint="eastAsia" w:ascii="宋体" w:hAnsi="宋体" w:cs="宋体"/>
          <w:sz w:val="24"/>
        </w:rPr>
      </w:pPr>
      <w:r>
        <w:rPr>
          <w:rFonts w:hint="eastAsia" w:ascii="宋体" w:hAnsi="宋体" w:cs="宋体"/>
          <w:sz w:val="24"/>
        </w:rPr>
        <w:t>（2）乙方全部履约合同义务，经甲方验收合格无质量、进度等问题的，甲方在验收合格后一次性退还履约保证金，甲方若逾期退还履约保证金的，按照逾期部分的每日0.05%支付违约金。</w:t>
      </w:r>
    </w:p>
    <w:p w14:paraId="1BA37918">
      <w:pPr>
        <w:spacing w:line="500" w:lineRule="exact"/>
        <w:ind w:firstLine="480" w:firstLineChars="200"/>
        <w:rPr>
          <w:rFonts w:hint="eastAsia" w:ascii="宋体" w:hAnsi="宋体" w:cs="宋体"/>
          <w:sz w:val="24"/>
        </w:rPr>
      </w:pPr>
      <w:r>
        <w:rPr>
          <w:rFonts w:hint="eastAsia" w:ascii="宋体" w:hAnsi="宋体" w:cs="宋体"/>
          <w:sz w:val="24"/>
        </w:rPr>
        <w:t>（3）发生以下情况的，履约保证金不予退还或部分退还：</w:t>
      </w:r>
    </w:p>
    <w:p w14:paraId="696941DE">
      <w:pPr>
        <w:spacing w:line="500" w:lineRule="exact"/>
        <w:ind w:firstLine="480" w:firstLineChars="200"/>
        <w:rPr>
          <w:rFonts w:hint="eastAsia" w:ascii="宋体" w:hAnsi="宋体" w:cs="宋体"/>
          <w:sz w:val="24"/>
        </w:rPr>
      </w:pPr>
      <w:r>
        <w:rPr>
          <w:rFonts w:hint="eastAsia" w:ascii="宋体" w:hAnsi="宋体" w:cs="宋体"/>
          <w:sz w:val="24"/>
        </w:rPr>
        <w:t>a.签订合同后，乙方不履行合同义务的，甲方有权全额扣除履约保证金，全额不予退还，同时甲方亦有权终止合同，乙方还须承担相应的法律赔偿责任。</w:t>
      </w:r>
    </w:p>
    <w:p w14:paraId="0610CBAD">
      <w:pPr>
        <w:spacing w:line="500" w:lineRule="exact"/>
        <w:ind w:firstLine="480" w:firstLineChars="200"/>
      </w:pPr>
      <w:r>
        <w:rPr>
          <w:rFonts w:hint="eastAsia" w:ascii="宋体" w:hAnsi="宋体" w:cs="宋体"/>
          <w:sz w:val="24"/>
        </w:rPr>
        <w:t>b.乙方在履约过程中发生违约行为，给甲方造成损失的，甲方有权在乙方缴纳的履约保证金中予以扣款，以弥补甲方经济损失，不足的部分乙方另外补齐。</w:t>
      </w:r>
    </w:p>
    <w:p w14:paraId="4D626026">
      <w:pPr>
        <w:spacing w:line="500" w:lineRule="exact"/>
        <w:ind w:firstLine="482" w:firstLineChars="200"/>
        <w:rPr>
          <w:rFonts w:hint="eastAsia" w:ascii="宋体" w:hAnsi="宋体" w:cs="宋体"/>
          <w:b/>
          <w:bCs/>
          <w:sz w:val="24"/>
        </w:rPr>
      </w:pPr>
      <w:r>
        <w:rPr>
          <w:rFonts w:hint="eastAsia" w:ascii="宋体" w:hAnsi="宋体" w:cs="宋体"/>
          <w:b/>
          <w:bCs/>
          <w:sz w:val="24"/>
          <w:lang w:bidi="zh-TW"/>
        </w:rPr>
        <w:t>三、</w:t>
      </w:r>
      <w:r>
        <w:rPr>
          <w:rFonts w:hint="eastAsia" w:ascii="宋体" w:hAnsi="宋体" w:cs="宋体"/>
          <w:b/>
          <w:bCs/>
          <w:sz w:val="24"/>
        </w:rPr>
        <w:t>合同主要内容：</w:t>
      </w:r>
    </w:p>
    <w:p w14:paraId="520F6367">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（一）服务范围</w:t>
      </w:r>
    </w:p>
    <w:p w14:paraId="336538D7">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启东市行政中心、人武部</w:t>
      </w:r>
      <w:r>
        <w:rPr>
          <w:rFonts w:ascii="Times New Roman" w:hAnsi="Times New Roman" w:eastAsia="宋体"/>
          <w:color w:val="000000"/>
          <w:kern w:val="2"/>
          <w:sz w:val="24"/>
          <w:szCs w:val="24"/>
          <w:highlight w:val="none"/>
        </w:rPr>
        <w:t>及其下属单位保安服务</w:t>
      </w:r>
      <w:r>
        <w:rPr>
          <w:rFonts w:ascii="Times New Roman" w:hAnsi="Times New Roman" w:eastAsia="宋体"/>
          <w:color w:val="000000"/>
          <w:kern w:val="2"/>
          <w:sz w:val="24"/>
          <w:szCs w:val="24"/>
        </w:rPr>
        <w:t>进行采购，建筑面积约10万平方米。主要服务范围包括（但不限于）：</w:t>
      </w:r>
    </w:p>
    <w:p w14:paraId="4D426274">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1.负责管理服务范围内的安全保卫工作；</w:t>
      </w:r>
    </w:p>
    <w:p w14:paraId="06C7C786">
      <w:pPr>
        <w:pStyle w:val="240"/>
        <w:snapToGrid w:val="0"/>
        <w:spacing w:line="440" w:lineRule="exact"/>
        <w:ind w:firstLine="480" w:firstLineChars="200"/>
        <w:contextualSpacing/>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rPr>
        <w:t>2.负责管</w:t>
      </w:r>
      <w:r>
        <w:rPr>
          <w:rFonts w:ascii="Times New Roman" w:hAnsi="Times New Roman" w:eastAsia="宋体"/>
          <w:color w:val="000000"/>
          <w:kern w:val="2"/>
          <w:sz w:val="24"/>
          <w:szCs w:val="24"/>
          <w:highlight w:val="none"/>
        </w:rPr>
        <w:t>理</w:t>
      </w:r>
      <w:r>
        <w:rPr>
          <w:rFonts w:hint="eastAsia" w:ascii="Times New Roman" w:hAnsi="Times New Roman" w:eastAsia="宋体"/>
          <w:color w:val="000000"/>
          <w:kern w:val="2"/>
          <w:sz w:val="24"/>
          <w:szCs w:val="24"/>
          <w:highlight w:val="none"/>
        </w:rPr>
        <w:t>管理服务范围内</w:t>
      </w:r>
      <w:r>
        <w:rPr>
          <w:rFonts w:ascii="Times New Roman" w:hAnsi="Times New Roman" w:eastAsia="宋体"/>
          <w:color w:val="000000"/>
          <w:kern w:val="2"/>
          <w:sz w:val="24"/>
          <w:szCs w:val="24"/>
          <w:highlight w:val="none"/>
        </w:rPr>
        <w:t>的车辆停放和治安秩序；</w:t>
      </w:r>
    </w:p>
    <w:p w14:paraId="393E08D1">
      <w:pPr>
        <w:pStyle w:val="240"/>
        <w:snapToGrid w:val="0"/>
        <w:spacing w:line="440" w:lineRule="exact"/>
        <w:ind w:firstLine="480" w:firstLineChars="200"/>
        <w:contextualSpacing/>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3.负责管理进出门岗人员、车辆以及对来访人员的管理；</w:t>
      </w:r>
    </w:p>
    <w:p w14:paraId="1BE5090D">
      <w:pPr>
        <w:pStyle w:val="240"/>
        <w:snapToGrid w:val="0"/>
        <w:spacing w:line="440" w:lineRule="exact"/>
        <w:ind w:firstLine="480" w:firstLineChars="200"/>
        <w:contextualSpacing/>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4.负责按时升降国旗；</w:t>
      </w:r>
    </w:p>
    <w:p w14:paraId="3C990A5E">
      <w:pPr>
        <w:pStyle w:val="240"/>
        <w:snapToGrid w:val="0"/>
        <w:spacing w:line="440" w:lineRule="exact"/>
        <w:ind w:firstLine="480" w:firstLineChars="200"/>
        <w:contextualSpacing/>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5.负责对</w:t>
      </w:r>
      <w:r>
        <w:rPr>
          <w:rFonts w:hint="eastAsia" w:ascii="Times New Roman" w:hAnsi="Times New Roman" w:eastAsia="宋体"/>
          <w:color w:val="000000"/>
          <w:kern w:val="2"/>
          <w:sz w:val="24"/>
          <w:szCs w:val="24"/>
          <w:highlight w:val="none"/>
        </w:rPr>
        <w:t>管理服务范围内</w:t>
      </w:r>
      <w:r>
        <w:rPr>
          <w:rFonts w:ascii="Times New Roman" w:hAnsi="Times New Roman" w:eastAsia="宋体"/>
          <w:color w:val="000000"/>
          <w:kern w:val="2"/>
          <w:sz w:val="24"/>
          <w:szCs w:val="24"/>
          <w:highlight w:val="none"/>
        </w:rPr>
        <w:t>各楼栋各楼层进行安全工作巡查；</w:t>
      </w:r>
    </w:p>
    <w:p w14:paraId="562F9F66">
      <w:pPr>
        <w:pStyle w:val="240"/>
        <w:snapToGrid w:val="0"/>
        <w:spacing w:line="440" w:lineRule="exact"/>
        <w:ind w:firstLine="480" w:firstLineChars="200"/>
        <w:contextualSpacing/>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6.负责对</w:t>
      </w:r>
      <w:r>
        <w:rPr>
          <w:rFonts w:hint="eastAsia" w:ascii="Times New Roman" w:hAnsi="Times New Roman" w:eastAsia="宋体"/>
          <w:color w:val="000000"/>
          <w:kern w:val="2"/>
          <w:sz w:val="24"/>
          <w:szCs w:val="24"/>
          <w:highlight w:val="none"/>
        </w:rPr>
        <w:t>管理服务范围内</w:t>
      </w:r>
      <w:r>
        <w:rPr>
          <w:rFonts w:ascii="Times New Roman" w:hAnsi="Times New Roman" w:eastAsia="宋体"/>
          <w:color w:val="000000"/>
          <w:kern w:val="2"/>
          <w:sz w:val="24"/>
          <w:szCs w:val="24"/>
          <w:highlight w:val="none"/>
        </w:rPr>
        <w:t>要害部位的安全防范；</w:t>
      </w:r>
    </w:p>
    <w:p w14:paraId="7C02F16E">
      <w:pPr>
        <w:pStyle w:val="240"/>
        <w:snapToGrid w:val="0"/>
        <w:spacing w:line="440" w:lineRule="exact"/>
        <w:ind w:firstLine="480" w:firstLineChars="200"/>
        <w:contextualSpacing/>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7.负责协助公安部门对突发事件及重大治安事件的处置；负责特定时间段对</w:t>
      </w:r>
      <w:r>
        <w:rPr>
          <w:rFonts w:hint="eastAsia" w:ascii="Times New Roman" w:hAnsi="Times New Roman" w:eastAsia="宋体"/>
          <w:color w:val="000000"/>
          <w:kern w:val="2"/>
          <w:sz w:val="24"/>
          <w:szCs w:val="24"/>
          <w:highlight w:val="none"/>
        </w:rPr>
        <w:t>管理服务范围内</w:t>
      </w:r>
      <w:r>
        <w:rPr>
          <w:rFonts w:hint="eastAsia" w:ascii="Times New Roman" w:hAnsi="Times New Roman" w:eastAsia="宋体"/>
          <w:color w:val="000000"/>
          <w:kern w:val="2"/>
          <w:sz w:val="24"/>
          <w:szCs w:val="24"/>
          <w:highlight w:val="none"/>
          <w:lang w:eastAsia="zh-CN"/>
        </w:rPr>
        <w:t>的</w:t>
      </w:r>
      <w:r>
        <w:rPr>
          <w:rFonts w:ascii="Times New Roman" w:hAnsi="Times New Roman" w:eastAsia="宋体"/>
          <w:color w:val="000000"/>
          <w:kern w:val="2"/>
          <w:sz w:val="24"/>
          <w:szCs w:val="24"/>
          <w:highlight w:val="none"/>
        </w:rPr>
        <w:t>外围进行巡逻；</w:t>
      </w:r>
    </w:p>
    <w:p w14:paraId="17F4FFF3">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highlight w:val="none"/>
        </w:rPr>
        <w:t>8.服务期间，如</w:t>
      </w:r>
      <w:r>
        <w:rPr>
          <w:rFonts w:ascii="Times New Roman" w:hAnsi="Times New Roman" w:eastAsia="宋体"/>
          <w:color w:val="000000"/>
          <w:kern w:val="2"/>
          <w:sz w:val="24"/>
          <w:szCs w:val="24"/>
        </w:rPr>
        <w:t>业主单位需求发生变化，由双方按照采购相关规定，协商人员配备相关事宜。</w:t>
      </w:r>
    </w:p>
    <w:p w14:paraId="2D0BD1D7">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9.完成</w:t>
      </w:r>
      <w:r>
        <w:rPr>
          <w:rFonts w:hint="eastAsia" w:ascii="Times New Roman" w:hAnsi="Times New Roman" w:eastAsia="宋体"/>
          <w:color w:val="000000"/>
          <w:kern w:val="2"/>
          <w:sz w:val="24"/>
          <w:szCs w:val="24"/>
        </w:rPr>
        <w:t>甲方</w:t>
      </w:r>
      <w:r>
        <w:rPr>
          <w:rFonts w:ascii="Times New Roman" w:hAnsi="Times New Roman" w:eastAsia="宋体"/>
          <w:color w:val="000000"/>
          <w:kern w:val="2"/>
          <w:sz w:val="24"/>
          <w:szCs w:val="24"/>
        </w:rPr>
        <w:t>交代的其他安保事项。</w:t>
      </w:r>
    </w:p>
    <w:p w14:paraId="397DE04D">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（二）人员要求：</w:t>
      </w:r>
    </w:p>
    <w:p w14:paraId="2D12B07B">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拟派团队至少包括项目主管、保安队长（一正一副）、保安人员；其中：保安人员不得少于</w:t>
      </w:r>
      <w:r>
        <w:rPr>
          <w:rFonts w:hint="eastAsia" w:ascii="Times New Roman" w:hAnsi="Times New Roman" w:eastAsia="宋体"/>
          <w:color w:val="000000"/>
          <w:kern w:val="2"/>
          <w:sz w:val="24"/>
          <w:szCs w:val="24"/>
          <w:lang w:val="en-US" w:eastAsia="zh-CN"/>
        </w:rPr>
        <w:t>45</w:t>
      </w:r>
      <w:r>
        <w:rPr>
          <w:rFonts w:ascii="Times New Roman" w:hAnsi="Times New Roman" w:eastAsia="宋体"/>
          <w:color w:val="000000"/>
          <w:kern w:val="2"/>
          <w:sz w:val="24"/>
          <w:szCs w:val="24"/>
        </w:rPr>
        <w:t>人【其中：启东市行政中心38人（行政中心主要岗位设置如下：5个门岗、监控中心岗、主楼2楼南大门岗、主楼1楼入口门岗、外围车辆管理岗）、人武部及其下属单</w:t>
      </w:r>
      <w:r>
        <w:rPr>
          <w:rFonts w:ascii="Times New Roman" w:hAnsi="Times New Roman" w:eastAsia="宋体"/>
          <w:color w:val="000000"/>
          <w:kern w:val="2"/>
          <w:sz w:val="24"/>
          <w:szCs w:val="24"/>
          <w:highlight w:val="none"/>
        </w:rPr>
        <w:t>位7人】。所有</w:t>
      </w:r>
      <w:r>
        <w:rPr>
          <w:rFonts w:ascii="Times New Roman" w:hAnsi="Times New Roman" w:eastAsia="宋体"/>
          <w:color w:val="000000"/>
          <w:kern w:val="2"/>
          <w:sz w:val="24"/>
          <w:szCs w:val="24"/>
        </w:rPr>
        <w:t>人员均须持有公安部门颁发的保安员上岗证，年龄均以身份证为准。保安人员均统一着装，挂牌上岗，仪表整洁规范，做到文明服务、优质服务。</w:t>
      </w:r>
    </w:p>
    <w:p w14:paraId="4109359A">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1.项目主管</w:t>
      </w:r>
    </w:p>
    <w:p w14:paraId="195A2366">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男性，数量1人，大专及以上学历， 45周岁以下，身体健康，遵守国家法津法规、思想品质好，责任心强，作风正派、品行端正，无违法犯罪记录，五官端正，体态良好，退伍军人最佳。接受过安全保卫或相关训练，熟练掌握人防、技防业务知识，能正确使用各类消防、物防、技防器械和设备（包括一键式报警和入侵式CK报警设施的使用及日常维护），熟悉项目环境，熟知治安管理有关法律法规，熟悉各类刑事、治安案件和各类灾害事故的应急预案。</w:t>
      </w:r>
    </w:p>
    <w:p w14:paraId="320CBA5A">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2.保安队长</w:t>
      </w:r>
    </w:p>
    <w:p w14:paraId="2D55CE50">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男性，数量1人，身体健康，遵守国家法津法规、政治可靠，品行端正、无违法犯罪记录，责任心强，具备良好的职业道德和服务意识，业务能力强，接受过安全保卫相关训练，熟知治安管理有关法律法规，熟悉各类刑事、治安案件和各类灾害事故的应急预案，熟练掌握人防、技防的业务知识；熟悉项目环境，熟练使用一键式报警和入侵式CK报警设施。</w:t>
      </w:r>
    </w:p>
    <w:p w14:paraId="4FD88EB4">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3.保安副队长</w:t>
      </w:r>
    </w:p>
    <w:p w14:paraId="41E77FB5">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男性，数量1人，55 周岁以下，身体健康，无传染性疾病、精神性疾病等影响工作的疾病，能适应岗位工作强度和轮班制度，遵守国家法律法规、政治可靠，品行端正、无违法犯罪记录，具备良好的职业道德和服务意识，责任心强</w:t>
      </w:r>
      <w:r>
        <w:rPr>
          <w:rFonts w:hint="eastAsia" w:ascii="Times New Roman" w:hAnsi="Times New Roman" w:eastAsia="宋体"/>
          <w:color w:val="000000"/>
          <w:kern w:val="2"/>
          <w:sz w:val="24"/>
          <w:szCs w:val="24"/>
        </w:rPr>
        <w:t>，</w:t>
      </w:r>
      <w:r>
        <w:rPr>
          <w:rFonts w:ascii="Times New Roman" w:hAnsi="Times New Roman" w:eastAsia="宋体"/>
          <w:color w:val="000000"/>
          <w:kern w:val="2"/>
          <w:sz w:val="24"/>
          <w:szCs w:val="24"/>
        </w:rPr>
        <w:t>熟练掌握人防、技防的业务知识，熟练使用一键式报警和入侵式CK报警设施。</w:t>
      </w:r>
    </w:p>
    <w:p w14:paraId="691B274E">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4.保安人员</w:t>
      </w:r>
    </w:p>
    <w:p w14:paraId="51BFD265">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男性，55 周岁以下，身体健康，无传染性疾病、精神性疾病等影响工作的疾病，能适应岗位工作强度和轮班制度，遵守国家法律法规、政治可靠，品行端正、无违法犯罪记录，具备良好的职业道德和服务意识，责任心强，熟练使用一键式报警和入侵式CK报警设施。</w:t>
      </w:r>
    </w:p>
    <w:p w14:paraId="46F75E95">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5.其他要求</w:t>
      </w:r>
    </w:p>
    <w:p w14:paraId="1AF45791">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（1）</w:t>
      </w: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进场项目团队（项目主管、保安队长、保安人员，下同）与投标文件中的项目团队须一致，未经</w:t>
      </w:r>
      <w:r>
        <w:rPr>
          <w:rFonts w:hint="eastAsia" w:ascii="Times New Roman" w:hAnsi="Times New Roman" w:eastAsia="宋体"/>
          <w:color w:val="000000"/>
          <w:kern w:val="2"/>
          <w:sz w:val="24"/>
          <w:szCs w:val="24"/>
        </w:rPr>
        <w:t>甲方</w:t>
      </w:r>
      <w:r>
        <w:rPr>
          <w:rFonts w:ascii="Times New Roman" w:hAnsi="Times New Roman" w:eastAsia="宋体"/>
          <w:color w:val="000000"/>
          <w:kern w:val="2"/>
          <w:sz w:val="24"/>
          <w:szCs w:val="24"/>
        </w:rPr>
        <w:t>同意不得擅自更换；</w:t>
      </w:r>
      <w:r>
        <w:rPr>
          <w:rFonts w:hint="eastAsia" w:ascii="Times New Roman" w:hAnsi="Times New Roman" w:eastAsia="宋体"/>
          <w:color w:val="000000"/>
          <w:kern w:val="2"/>
          <w:sz w:val="24"/>
          <w:szCs w:val="24"/>
        </w:rPr>
        <w:t>甲方</w:t>
      </w:r>
      <w:r>
        <w:rPr>
          <w:rFonts w:ascii="Times New Roman" w:hAnsi="Times New Roman" w:eastAsia="宋体"/>
          <w:color w:val="000000"/>
          <w:kern w:val="2"/>
          <w:sz w:val="24"/>
          <w:szCs w:val="24"/>
        </w:rPr>
        <w:t>有权要求更换不称职的项目团队成员。</w:t>
      </w:r>
    </w:p>
    <w:p w14:paraId="2AD01C8F">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（2）</w:t>
      </w: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在成交后，按要求聘用具有相关证书的人员，并依法缴纳社保和签订劳动合同，人员经</w:t>
      </w:r>
      <w:r>
        <w:rPr>
          <w:rFonts w:hint="eastAsia" w:ascii="Times New Roman" w:hAnsi="Times New Roman" w:eastAsia="宋体"/>
          <w:color w:val="000000"/>
          <w:kern w:val="2"/>
          <w:sz w:val="24"/>
          <w:szCs w:val="24"/>
        </w:rPr>
        <w:t>甲方</w:t>
      </w:r>
      <w:r>
        <w:rPr>
          <w:rFonts w:ascii="Times New Roman" w:hAnsi="Times New Roman" w:eastAsia="宋体"/>
          <w:color w:val="000000"/>
          <w:kern w:val="2"/>
          <w:sz w:val="24"/>
          <w:szCs w:val="24"/>
        </w:rPr>
        <w:t>认可后进场。</w:t>
      </w:r>
    </w:p>
    <w:p w14:paraId="0CE46D59">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（3）如因</w:t>
      </w: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拟派保安人员的疏忽或失职造成贵重物品被盗、毁坏或发生重大安全事故，</w:t>
      </w: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承担一切赔偿责任。履约期间，如若发生工作人员工伤或遇工作人员人身伤亡事故，均由</w:t>
      </w: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负责，与</w:t>
      </w:r>
      <w:r>
        <w:rPr>
          <w:rFonts w:hint="eastAsia" w:ascii="Times New Roman" w:hAnsi="Times New Roman" w:eastAsia="宋体"/>
          <w:color w:val="000000"/>
          <w:kern w:val="2"/>
          <w:sz w:val="24"/>
          <w:szCs w:val="24"/>
        </w:rPr>
        <w:t>甲方</w:t>
      </w:r>
      <w:r>
        <w:rPr>
          <w:rFonts w:ascii="Times New Roman" w:hAnsi="Times New Roman" w:eastAsia="宋体"/>
          <w:color w:val="000000"/>
          <w:kern w:val="2"/>
          <w:sz w:val="24"/>
          <w:szCs w:val="24"/>
        </w:rPr>
        <w:t>无关。</w:t>
      </w:r>
    </w:p>
    <w:p w14:paraId="3243A92E">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（4）为保证服务队伍的整体素质和相对稳定性，</w:t>
      </w: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应充分考虑管理和服务人员的工资待遇。</w:t>
      </w: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要综合考虑启东劳动市场因素，对人工费用进行合理报价。</w:t>
      </w: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的人员工资待遇须符合《中华人民共和国劳动合同法》相关规定</w:t>
      </w:r>
      <w:r>
        <w:rPr>
          <w:rFonts w:hint="eastAsia" w:ascii="Times New Roman" w:hAnsi="Times New Roman" w:eastAsia="宋体"/>
          <w:color w:val="000000"/>
          <w:kern w:val="2"/>
          <w:sz w:val="24"/>
          <w:szCs w:val="24"/>
        </w:rPr>
        <w:t>：</w:t>
      </w:r>
    </w:p>
    <w:p w14:paraId="68BE05E0">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（三）服务要求</w:t>
      </w:r>
    </w:p>
    <w:p w14:paraId="5CF45D1B">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1.服装器械要求</w:t>
      </w:r>
    </w:p>
    <w:p w14:paraId="25A4C2E1">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须为每位保安人员配备保安服、橡胶棒、对讲机、执勤钢盔、防刺背心、强光手电筒等公安部门要求的执勤装备，费用含在合同价中。</w:t>
      </w:r>
    </w:p>
    <w:p w14:paraId="3CD5050F">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2.安全防范要求</w:t>
      </w:r>
    </w:p>
    <w:p w14:paraId="532FE9B0">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2.1 拟派保安人员接受过安全护卫或相关训练，掌握基本安全护卫技能，熟悉服务范围内外环境，熟悉有关法律法规，能恰当的处理和应对护卫工作；品质好，作风正派，热爱安全护卫工作，无犯罪记录；</w:t>
      </w:r>
    </w:p>
    <w:p w14:paraId="7024EB96">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2.2 安全护卫人员配备对讲装置和其他必备的安全护卫工具；当班时佩戴统一标志的执勤工号，穿戴统一制服，工具佩戴规范，仪容仪表规范整齐；</w:t>
      </w:r>
    </w:p>
    <w:p w14:paraId="536ED3D9">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2.3 交接班制度完善，有工作及交接记录；</w:t>
      </w:r>
    </w:p>
    <w:p w14:paraId="5DC21D7F">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2.4 制定紧急事故处理预案，至少包括:火灾、爆炸、安全疏散以及其他应急灯；</w:t>
      </w:r>
    </w:p>
    <w:p w14:paraId="7AF28007">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2.5</w:t>
      </w:r>
      <w:r>
        <w:rPr>
          <w:rFonts w:hint="eastAsia" w:ascii="Times New Roman" w:hAnsi="Times New Roman" w:eastAsia="宋体"/>
          <w:color w:val="000000"/>
          <w:kern w:val="2"/>
          <w:sz w:val="24"/>
          <w:szCs w:val="24"/>
        </w:rPr>
        <w:t>乙方</w:t>
      </w:r>
      <w:r>
        <w:rPr>
          <w:rFonts w:ascii="Times New Roman" w:hAnsi="Times New Roman" w:eastAsia="宋体"/>
          <w:color w:val="000000"/>
          <w:kern w:val="2"/>
          <w:sz w:val="24"/>
          <w:szCs w:val="24"/>
        </w:rPr>
        <w:t>每季度进行不少于1次的安全防范学习，增强安全防范能力。</w:t>
      </w:r>
    </w:p>
    <w:p w14:paraId="44268627">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 xml:space="preserve">2.6 书面描述紧急事故救护组织职责，并让每位成员了解，周期性地进行反应训练；每年按消防要求组织进行疏散演习2次； </w:t>
      </w:r>
    </w:p>
    <w:p w14:paraId="14F55884">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2.7 有安全防范措施，涉及人身安全处，设有明显标志并有防护措施；协助有关部门维持秩序，防止不安全事件发生。</w:t>
      </w:r>
    </w:p>
    <w:p w14:paraId="23518B55">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3.保安人员交接班制度</w:t>
      </w:r>
    </w:p>
    <w:p w14:paraId="0A5B0B62">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3.1 准备接班的保安提前15分钟到岗，先向上一班了解岗位工作情况，以便明确工作重点和未处理情况；</w:t>
      </w:r>
    </w:p>
    <w:p w14:paraId="61D0575C">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3.2 交接班人员有特殊情况未到达前，当班人员不得离开岗位；</w:t>
      </w:r>
    </w:p>
    <w:p w14:paraId="10B45D6F">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3.3 交班人员须将本班工作情况详细移交给下一班，并将本班已完成和待完成工作认真记录在交接班本上，交接双方签名确认；</w:t>
      </w:r>
    </w:p>
    <w:p w14:paraId="72712C36">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3.4 交班人员须将相关记录写清楚，并将相关记录本交给接班人员；</w:t>
      </w:r>
    </w:p>
    <w:p w14:paraId="7AB9F8FE">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3.5 交班人员发现的情况要及时处理，不能移交给下一班的事情要继续在岗位处理完毕，接班人员应协助完成；</w:t>
      </w:r>
    </w:p>
    <w:p w14:paraId="4B921F56">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3.6 如果交班人员离开后，接班人员发现属于上一班之间的问题的，应立即报告；</w:t>
      </w:r>
    </w:p>
    <w:p w14:paraId="3FC8F1D8">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3.7 接班人员要整理好门卫值班室内务，接班通知进行检查，认真填写《保安值班记录表》。</w:t>
      </w:r>
    </w:p>
    <w:p w14:paraId="1AF2CFE0">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4.交通、车辆管理</w:t>
      </w:r>
    </w:p>
    <w:p w14:paraId="701D8722">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4.1 有完善的车辆管理制度：维持交通秩序，对车库进出车辆进行管理、疏导，保证出入口环境整洁、有序、通畅；按车辆道路行驶要求设立指示牌和地标，车辆行驶有规定路线，车辆停放有序(一位一车)；对车棚车辆停放加强管理，保证整洁、有序；发现车辆未上锁及乱停乱放进行忠告或纠正，发现偷盗车辆、破坏交通设施等现象及时制止；控制各类车辆出入及危险品出入，若对进出车辆有疑问，应向驾驶员敬礼后再进行询问。</w:t>
      </w:r>
    </w:p>
    <w:p w14:paraId="37D61D7C">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4.2 做好地面、地下停车场机动车与非机动车进出与停放管理。</w:t>
      </w:r>
    </w:p>
    <w:p w14:paraId="2C35FAE2">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5.各岗位值守</w:t>
      </w:r>
    </w:p>
    <w:p w14:paraId="2DE68BF7">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5.1 各岗位24小时值班看守，严禁脱岗。</w:t>
      </w:r>
    </w:p>
    <w:p w14:paraId="009450BC">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5.2 立岗姿势正确，身体挺直，双手背后，两腿呈跨立状，不准稍息呈倚状或其他姿势，面带微笑行注目礼，遇领导敬礼。</w:t>
      </w:r>
    </w:p>
    <w:p w14:paraId="54E9F325">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 xml:space="preserve">5.3 交接班时按规范进行操作，对各种寄放物品进行认真交接。上岗期间必须认真热情地回答服务对象提出的各种问题。大件物品出门必须核验相关手续。 </w:t>
      </w:r>
    </w:p>
    <w:p w14:paraId="2E21AAC9">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5.4 各出入口对来访人员实行登记制度。</w:t>
      </w:r>
    </w:p>
    <w:p w14:paraId="5CA1A5E1">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5.5遇电梯等设备有故障时，立即通知设备部门；夜间发生重大事件或相关设备设施损坏时须立即向项目主管和</w:t>
      </w:r>
      <w:r>
        <w:rPr>
          <w:rFonts w:hint="eastAsia" w:ascii="Times New Roman" w:hAnsi="Times New Roman" w:eastAsia="宋体"/>
          <w:color w:val="000000"/>
          <w:kern w:val="2"/>
          <w:sz w:val="24"/>
          <w:szCs w:val="24"/>
        </w:rPr>
        <w:t>甲方</w:t>
      </w:r>
      <w:r>
        <w:rPr>
          <w:rFonts w:ascii="Times New Roman" w:hAnsi="Times New Roman" w:eastAsia="宋体"/>
          <w:color w:val="000000"/>
          <w:kern w:val="2"/>
          <w:sz w:val="24"/>
          <w:szCs w:val="24"/>
        </w:rPr>
        <w:t>汇报。</w:t>
      </w:r>
    </w:p>
    <w:p w14:paraId="40657FCE">
      <w:pPr>
        <w:pStyle w:val="240"/>
        <w:snapToGrid w:val="0"/>
        <w:spacing w:line="440" w:lineRule="exact"/>
        <w:ind w:firstLine="480" w:firstLineChars="200"/>
        <w:contextualSpacing/>
        <w:rPr>
          <w:rFonts w:ascii="Times New Roman" w:hAnsi="Times New Roman" w:eastAsia="宋体"/>
          <w:color w:val="000000"/>
          <w:kern w:val="2"/>
          <w:sz w:val="24"/>
          <w:szCs w:val="24"/>
        </w:rPr>
      </w:pPr>
      <w:r>
        <w:rPr>
          <w:rFonts w:ascii="Times New Roman" w:hAnsi="Times New Roman" w:eastAsia="宋体"/>
          <w:color w:val="000000"/>
          <w:kern w:val="2"/>
          <w:sz w:val="24"/>
          <w:szCs w:val="24"/>
        </w:rPr>
        <w:t>5.6 对进出人员、车辆进行引导、管控，确保交通有序通畅，无堵塞情况；对大门周围进行有效管理，严禁车辆乱停乱放。</w:t>
      </w:r>
    </w:p>
    <w:p w14:paraId="10E4DE3A">
      <w:pPr>
        <w:spacing w:line="500" w:lineRule="exact"/>
        <w:ind w:firstLine="480" w:firstLineChars="200"/>
        <w:jc w:val="left"/>
        <w:rPr>
          <w:color w:val="000000"/>
          <w:kern w:val="2"/>
          <w:sz w:val="24"/>
        </w:rPr>
      </w:pPr>
      <w:r>
        <w:rPr>
          <w:color w:val="000000"/>
          <w:kern w:val="2"/>
          <w:sz w:val="24"/>
        </w:rPr>
        <w:t>（四）其他要求</w:t>
      </w:r>
    </w:p>
    <w:p w14:paraId="372E0920">
      <w:pPr>
        <w:spacing w:line="500" w:lineRule="exact"/>
        <w:ind w:firstLine="480" w:firstLineChars="200"/>
        <w:jc w:val="left"/>
        <w:rPr>
          <w:color w:val="000000"/>
          <w:kern w:val="2"/>
          <w:sz w:val="24"/>
        </w:rPr>
      </w:pPr>
      <w:r>
        <w:rPr>
          <w:color w:val="000000"/>
          <w:kern w:val="2"/>
          <w:sz w:val="24"/>
        </w:rPr>
        <w:t>1.</w:t>
      </w:r>
      <w:r>
        <w:rPr>
          <w:rFonts w:hint="eastAsia"/>
          <w:color w:val="000000"/>
          <w:kern w:val="2"/>
          <w:sz w:val="24"/>
        </w:rPr>
        <w:t>乙方</w:t>
      </w:r>
      <w:r>
        <w:rPr>
          <w:color w:val="000000"/>
          <w:kern w:val="2"/>
          <w:sz w:val="24"/>
        </w:rPr>
        <w:t>派驻项目团队人员的安全责任由</w:t>
      </w:r>
      <w:r>
        <w:rPr>
          <w:rFonts w:hint="eastAsia"/>
          <w:color w:val="000000"/>
          <w:kern w:val="2"/>
          <w:sz w:val="24"/>
        </w:rPr>
        <w:t>乙方</w:t>
      </w:r>
      <w:r>
        <w:rPr>
          <w:color w:val="000000"/>
          <w:kern w:val="2"/>
          <w:sz w:val="24"/>
        </w:rPr>
        <w:t>自行承担，与</w:t>
      </w:r>
      <w:r>
        <w:rPr>
          <w:rFonts w:hint="eastAsia"/>
          <w:color w:val="000000"/>
          <w:kern w:val="2"/>
          <w:sz w:val="24"/>
        </w:rPr>
        <w:t>甲方</w:t>
      </w:r>
      <w:r>
        <w:rPr>
          <w:color w:val="000000"/>
          <w:kern w:val="2"/>
          <w:sz w:val="24"/>
        </w:rPr>
        <w:t>无关。</w:t>
      </w:r>
    </w:p>
    <w:p w14:paraId="7C20D0FC">
      <w:pPr>
        <w:spacing w:line="500" w:lineRule="exact"/>
        <w:ind w:firstLine="480" w:firstLineChars="200"/>
        <w:jc w:val="left"/>
        <w:rPr>
          <w:color w:val="000000"/>
          <w:kern w:val="2"/>
          <w:sz w:val="24"/>
        </w:rPr>
      </w:pPr>
      <w:r>
        <w:rPr>
          <w:color w:val="000000"/>
          <w:kern w:val="2"/>
          <w:sz w:val="24"/>
        </w:rPr>
        <w:t>2.日常保安所需的设备、工具等用品费用由保安公司承担。</w:t>
      </w:r>
    </w:p>
    <w:p w14:paraId="11FE54E0">
      <w:pPr>
        <w:spacing w:line="500" w:lineRule="exact"/>
        <w:ind w:firstLine="480" w:firstLineChars="200"/>
        <w:jc w:val="left"/>
        <w:rPr>
          <w:color w:val="000000"/>
          <w:kern w:val="2"/>
          <w:sz w:val="24"/>
        </w:rPr>
      </w:pPr>
      <w:r>
        <w:rPr>
          <w:color w:val="000000"/>
          <w:kern w:val="2"/>
          <w:sz w:val="24"/>
        </w:rPr>
        <w:t>3.保安人员工必须统一着装，挂牌上岗，服从</w:t>
      </w:r>
      <w:r>
        <w:rPr>
          <w:rFonts w:hint="eastAsia"/>
          <w:color w:val="000000"/>
          <w:kern w:val="2"/>
          <w:sz w:val="24"/>
        </w:rPr>
        <w:t>甲方</w:t>
      </w:r>
      <w:r>
        <w:rPr>
          <w:color w:val="000000"/>
          <w:kern w:val="2"/>
          <w:sz w:val="24"/>
        </w:rPr>
        <w:t>日常临时工作安排。</w:t>
      </w:r>
    </w:p>
    <w:p w14:paraId="650ADCA1">
      <w:pPr>
        <w:spacing w:line="500" w:lineRule="exact"/>
        <w:ind w:firstLine="480" w:firstLineChars="200"/>
        <w:jc w:val="left"/>
        <w:rPr>
          <w:color w:val="000000"/>
          <w:kern w:val="2"/>
          <w:sz w:val="24"/>
        </w:rPr>
      </w:pPr>
      <w:r>
        <w:rPr>
          <w:color w:val="000000"/>
          <w:kern w:val="2"/>
          <w:sz w:val="24"/>
        </w:rPr>
        <w:t>4.如因工作失误而造成</w:t>
      </w:r>
      <w:r>
        <w:rPr>
          <w:rFonts w:hint="eastAsia"/>
          <w:color w:val="000000"/>
          <w:kern w:val="2"/>
          <w:sz w:val="24"/>
        </w:rPr>
        <w:t>甲方</w:t>
      </w:r>
      <w:r>
        <w:rPr>
          <w:color w:val="000000"/>
          <w:kern w:val="2"/>
          <w:sz w:val="24"/>
        </w:rPr>
        <w:t>财产损失，由</w:t>
      </w:r>
      <w:r>
        <w:rPr>
          <w:rFonts w:hint="eastAsia"/>
          <w:color w:val="000000"/>
          <w:kern w:val="2"/>
          <w:sz w:val="24"/>
        </w:rPr>
        <w:t>乙方</w:t>
      </w:r>
      <w:r>
        <w:rPr>
          <w:color w:val="000000"/>
          <w:kern w:val="2"/>
          <w:sz w:val="24"/>
        </w:rPr>
        <w:t>负责赔偿。不可抗力的因素除外。</w:t>
      </w:r>
    </w:p>
    <w:p w14:paraId="6CBF02B9">
      <w:pPr>
        <w:spacing w:line="500" w:lineRule="exact"/>
        <w:ind w:firstLine="480" w:firstLineChars="200"/>
        <w:jc w:val="left"/>
        <w:rPr>
          <w:color w:val="000000"/>
          <w:kern w:val="2"/>
          <w:sz w:val="24"/>
        </w:rPr>
      </w:pPr>
      <w:r>
        <w:rPr>
          <w:color w:val="000000"/>
          <w:kern w:val="2"/>
          <w:sz w:val="24"/>
        </w:rPr>
        <w:t>5.</w:t>
      </w:r>
      <w:r>
        <w:rPr>
          <w:rFonts w:hint="eastAsia"/>
          <w:color w:val="000000"/>
          <w:kern w:val="2"/>
          <w:sz w:val="24"/>
        </w:rPr>
        <w:t>乙方</w:t>
      </w:r>
      <w:r>
        <w:rPr>
          <w:color w:val="000000"/>
          <w:kern w:val="2"/>
          <w:sz w:val="24"/>
        </w:rPr>
        <w:t>必须接受</w:t>
      </w:r>
      <w:r>
        <w:rPr>
          <w:rFonts w:hint="eastAsia"/>
          <w:color w:val="000000"/>
          <w:kern w:val="2"/>
          <w:sz w:val="24"/>
        </w:rPr>
        <w:t>甲方</w:t>
      </w:r>
      <w:r>
        <w:rPr>
          <w:color w:val="000000"/>
          <w:kern w:val="2"/>
          <w:sz w:val="24"/>
        </w:rPr>
        <w:t>对保安质量、服务态度、安全等监督，若有违反相关规定和未达到保安服务标准，</w:t>
      </w:r>
      <w:r>
        <w:rPr>
          <w:rFonts w:hint="eastAsia"/>
          <w:color w:val="000000"/>
          <w:kern w:val="2"/>
          <w:sz w:val="24"/>
        </w:rPr>
        <w:t>甲方</w:t>
      </w:r>
      <w:r>
        <w:rPr>
          <w:color w:val="000000"/>
          <w:kern w:val="2"/>
          <w:sz w:val="24"/>
        </w:rPr>
        <w:t>有权根据考核结果实施处罚。</w:t>
      </w:r>
    </w:p>
    <w:p w14:paraId="76D8652C">
      <w:pPr>
        <w:spacing w:line="500" w:lineRule="exact"/>
        <w:ind w:firstLine="480" w:firstLineChars="200"/>
        <w:jc w:val="left"/>
        <w:rPr>
          <w:color w:val="000000"/>
          <w:kern w:val="2"/>
          <w:sz w:val="24"/>
        </w:rPr>
      </w:pPr>
      <w:r>
        <w:rPr>
          <w:color w:val="000000"/>
          <w:kern w:val="2"/>
          <w:sz w:val="24"/>
        </w:rPr>
        <w:t>（五）考核要求</w:t>
      </w:r>
    </w:p>
    <w:p w14:paraId="66AE2D76">
      <w:pPr>
        <w:spacing w:line="500" w:lineRule="exact"/>
        <w:ind w:firstLine="480" w:firstLineChars="200"/>
        <w:jc w:val="left"/>
        <w:rPr>
          <w:rFonts w:hint="eastAsia" w:ascii="宋体" w:hAnsi="宋体" w:cs="宋体"/>
          <w:sz w:val="24"/>
          <w:lang w:bidi="zh-TW"/>
        </w:rPr>
      </w:pPr>
      <w:r>
        <w:rPr>
          <w:rFonts w:hint="eastAsia"/>
          <w:color w:val="000000"/>
          <w:kern w:val="2"/>
          <w:sz w:val="24"/>
        </w:rPr>
        <w:t>甲方</w:t>
      </w:r>
      <w:r>
        <w:rPr>
          <w:color w:val="000000"/>
          <w:kern w:val="2"/>
          <w:sz w:val="24"/>
        </w:rPr>
        <w:t>根据《考核细则》对</w:t>
      </w:r>
      <w:r>
        <w:rPr>
          <w:rFonts w:hint="eastAsia"/>
          <w:color w:val="000000"/>
          <w:kern w:val="2"/>
          <w:sz w:val="24"/>
        </w:rPr>
        <w:t>乙方</w:t>
      </w:r>
      <w:r>
        <w:rPr>
          <w:color w:val="000000"/>
          <w:kern w:val="2"/>
          <w:sz w:val="24"/>
        </w:rPr>
        <w:t>的服务情况进行季度考核，最终根据考核分数进行结算。考核总分100分，考核结果95分（含）以上的支付当季全额服务费；考核得分95以下的每分扣500元服务费；80分以下扣除当季全额服务费用的15%，且</w:t>
      </w:r>
      <w:r>
        <w:rPr>
          <w:rFonts w:hint="eastAsia"/>
          <w:color w:val="000000"/>
          <w:kern w:val="2"/>
          <w:sz w:val="24"/>
        </w:rPr>
        <w:t>甲方</w:t>
      </w:r>
      <w:r>
        <w:rPr>
          <w:color w:val="000000"/>
          <w:kern w:val="2"/>
          <w:sz w:val="24"/>
        </w:rPr>
        <w:t>有权终止合同，并且不承担任何赔偿责任。考核由</w:t>
      </w:r>
      <w:r>
        <w:rPr>
          <w:rFonts w:hint="eastAsia"/>
          <w:color w:val="000000"/>
          <w:kern w:val="2"/>
          <w:sz w:val="24"/>
        </w:rPr>
        <w:t>甲方</w:t>
      </w:r>
      <w:r>
        <w:rPr>
          <w:color w:val="000000"/>
          <w:kern w:val="2"/>
          <w:sz w:val="24"/>
        </w:rPr>
        <w:t>和</w:t>
      </w:r>
      <w:r>
        <w:rPr>
          <w:rFonts w:hint="eastAsia"/>
          <w:color w:val="000000"/>
          <w:kern w:val="2"/>
          <w:sz w:val="24"/>
        </w:rPr>
        <w:t>乙方</w:t>
      </w:r>
      <w:r>
        <w:rPr>
          <w:color w:val="000000"/>
          <w:kern w:val="2"/>
          <w:sz w:val="24"/>
        </w:rPr>
        <w:t>共同参与，《考核表》需经双方代表共同签字确认</w:t>
      </w:r>
      <w:r>
        <w:rPr>
          <w:rFonts w:hint="eastAsia" w:ascii="宋体" w:hAnsi="宋体" w:cs="宋体"/>
          <w:sz w:val="24"/>
          <w:lang w:bidi="zh-TW"/>
        </w:rPr>
        <w:t>。</w:t>
      </w:r>
    </w:p>
    <w:p w14:paraId="26EBAAEB">
      <w:pPr>
        <w:widowControl/>
        <w:jc w:val="left"/>
        <w:rPr>
          <w:rStyle w:val="269"/>
          <w:rFonts w:hint="eastAsia" w:ascii="宋体" w:hAnsi="宋体" w:eastAsia="仿宋_GB2312" w:cs="仿宋_GB2312"/>
          <w:b/>
          <w:bCs/>
          <w:color w:val="000000"/>
          <w:sz w:val="24"/>
          <w:szCs w:val="20"/>
        </w:rPr>
      </w:pPr>
      <w:r>
        <w:rPr>
          <w:rStyle w:val="269"/>
          <w:rFonts w:hint="eastAsia" w:ascii="宋体" w:hAnsi="宋体" w:cs="仿宋_GB2312"/>
          <w:b/>
          <w:bCs/>
          <w:color w:val="000000"/>
        </w:rPr>
        <w:br w:type="page"/>
      </w:r>
    </w:p>
    <w:p w14:paraId="4312F809">
      <w:pPr>
        <w:pStyle w:val="2"/>
        <w:ind w:left="63" w:right="63"/>
        <w:jc w:val="center"/>
        <w:rPr>
          <w:rStyle w:val="269"/>
          <w:rFonts w:hint="eastAsia" w:ascii="宋体" w:hAnsi="宋体" w:cs="仿宋_GB2312"/>
          <w:b/>
          <w:bCs/>
          <w:color w:val="000000"/>
          <w:sz w:val="28"/>
          <w:szCs w:val="28"/>
        </w:rPr>
      </w:pPr>
      <w:r>
        <w:rPr>
          <w:rStyle w:val="269"/>
          <w:rFonts w:hint="eastAsia" w:ascii="宋体" w:hAnsi="宋体" w:cs="仿宋_GB2312"/>
          <w:b/>
          <w:bCs/>
          <w:color w:val="000000"/>
        </w:rPr>
        <w:t>启东市行政中心保安服务项目考核表</w:t>
      </w:r>
    </w:p>
    <w:tbl>
      <w:tblPr>
        <w:tblStyle w:val="35"/>
        <w:tblW w:w="5079" w:type="pct"/>
        <w:tblInd w:w="-135" w:type="dxa"/>
        <w:tblLayout w:type="fixed"/>
        <w:tblCellMar>
          <w:top w:w="0" w:type="dxa"/>
          <w:left w:w="108" w:type="dxa"/>
          <w:bottom w:w="0" w:type="dxa"/>
          <w:right w:w="108" w:type="dxa"/>
        </w:tblCellMar>
      </w:tblPr>
      <w:tblGrid>
        <w:gridCol w:w="1527"/>
        <w:gridCol w:w="2668"/>
        <w:gridCol w:w="698"/>
        <w:gridCol w:w="3081"/>
        <w:gridCol w:w="684"/>
      </w:tblGrid>
      <w:tr w14:paraId="553ED0F3">
        <w:tblPrEx>
          <w:tblCellMar>
            <w:top w:w="0" w:type="dxa"/>
            <w:left w:w="108" w:type="dxa"/>
            <w:bottom w:w="0" w:type="dxa"/>
            <w:right w:w="108" w:type="dxa"/>
          </w:tblCellMar>
        </w:tblPrEx>
        <w:trPr>
          <w:trHeight w:val="540" w:hRule="atLeast"/>
        </w:trPr>
        <w:tc>
          <w:tcPr>
            <w:tcW w:w="882" w:type="pct"/>
            <w:tcBorders>
              <w:top w:val="single" w:color="000000" w:sz="4" w:space="0"/>
              <w:left w:val="single" w:color="000000" w:sz="4" w:space="0"/>
              <w:bottom w:val="single" w:color="000000" w:sz="4" w:space="0"/>
              <w:right w:val="single" w:color="000000" w:sz="4" w:space="0"/>
            </w:tcBorders>
            <w:vAlign w:val="center"/>
          </w:tcPr>
          <w:p w14:paraId="49C247E3">
            <w:pPr>
              <w:jc w:val="center"/>
              <w:textAlignment w:val="center"/>
              <w:rPr>
                <w:rFonts w:hint="eastAsia" w:ascii="宋体" w:hAnsi="宋体" w:cs="宋体"/>
                <w:color w:val="000000"/>
                <w:szCs w:val="21"/>
              </w:rPr>
            </w:pPr>
            <w:r>
              <w:rPr>
                <w:rFonts w:hint="eastAsia" w:ascii="宋体" w:hAnsi="宋体" w:cs="宋体"/>
                <w:color w:val="000000"/>
                <w:szCs w:val="21"/>
                <w:lang w:bidi="ar"/>
              </w:rPr>
              <w:t>管理服务内容</w:t>
            </w:r>
          </w:p>
        </w:tc>
        <w:tc>
          <w:tcPr>
            <w:tcW w:w="1541" w:type="pct"/>
            <w:tcBorders>
              <w:top w:val="single" w:color="000000" w:sz="4" w:space="0"/>
              <w:left w:val="single" w:color="000000" w:sz="4" w:space="0"/>
              <w:bottom w:val="single" w:color="000000" w:sz="4" w:space="0"/>
              <w:right w:val="single" w:color="000000" w:sz="4" w:space="0"/>
            </w:tcBorders>
            <w:vAlign w:val="center"/>
          </w:tcPr>
          <w:p w14:paraId="3D4CA868">
            <w:pPr>
              <w:jc w:val="center"/>
              <w:textAlignment w:val="center"/>
              <w:rPr>
                <w:rFonts w:hint="eastAsia" w:ascii="宋体" w:hAnsi="宋体" w:cs="宋体"/>
                <w:color w:val="000000"/>
                <w:szCs w:val="21"/>
              </w:rPr>
            </w:pPr>
            <w:r>
              <w:rPr>
                <w:rFonts w:hint="eastAsia" w:ascii="宋体" w:hAnsi="宋体" w:cs="宋体"/>
                <w:color w:val="000000"/>
                <w:szCs w:val="21"/>
                <w:lang w:bidi="ar"/>
              </w:rPr>
              <w:t>考核标准</w:t>
            </w:r>
          </w:p>
        </w:tc>
        <w:tc>
          <w:tcPr>
            <w:tcW w:w="403" w:type="pct"/>
            <w:tcBorders>
              <w:top w:val="single" w:color="000000" w:sz="4" w:space="0"/>
              <w:left w:val="single" w:color="000000" w:sz="4" w:space="0"/>
              <w:bottom w:val="single" w:color="000000" w:sz="4" w:space="0"/>
              <w:right w:val="single" w:color="000000" w:sz="4" w:space="0"/>
            </w:tcBorders>
            <w:vAlign w:val="center"/>
          </w:tcPr>
          <w:p w14:paraId="40E5688F">
            <w:pPr>
              <w:jc w:val="center"/>
              <w:textAlignment w:val="center"/>
              <w:rPr>
                <w:rFonts w:hint="eastAsia" w:ascii="宋体" w:hAnsi="宋体" w:cs="宋体"/>
                <w:color w:val="000000"/>
                <w:szCs w:val="21"/>
              </w:rPr>
            </w:pPr>
            <w:r>
              <w:rPr>
                <w:rFonts w:hint="eastAsia" w:ascii="宋体" w:hAnsi="宋体" w:cs="宋体"/>
                <w:color w:val="000000"/>
                <w:szCs w:val="21"/>
                <w:lang w:bidi="ar"/>
              </w:rPr>
              <w:t>分值</w:t>
            </w:r>
          </w:p>
        </w:tc>
        <w:tc>
          <w:tcPr>
            <w:tcW w:w="1779" w:type="pct"/>
            <w:tcBorders>
              <w:top w:val="single" w:color="000000" w:sz="4" w:space="0"/>
              <w:left w:val="single" w:color="000000" w:sz="4" w:space="0"/>
              <w:bottom w:val="single" w:color="000000" w:sz="4" w:space="0"/>
              <w:right w:val="single" w:color="000000" w:sz="4" w:space="0"/>
            </w:tcBorders>
            <w:vAlign w:val="center"/>
          </w:tcPr>
          <w:p w14:paraId="3BE91A6E">
            <w:pPr>
              <w:jc w:val="center"/>
              <w:textAlignment w:val="center"/>
              <w:rPr>
                <w:rFonts w:hint="eastAsia" w:ascii="宋体" w:hAnsi="宋体" w:cs="宋体"/>
                <w:color w:val="000000"/>
                <w:szCs w:val="21"/>
              </w:rPr>
            </w:pPr>
            <w:r>
              <w:rPr>
                <w:rFonts w:hint="eastAsia" w:ascii="宋体" w:hAnsi="宋体" w:cs="宋体"/>
                <w:color w:val="000000"/>
                <w:szCs w:val="21"/>
                <w:lang w:bidi="ar"/>
              </w:rPr>
              <w:t>评分细则</w:t>
            </w:r>
          </w:p>
        </w:tc>
        <w:tc>
          <w:tcPr>
            <w:tcW w:w="392" w:type="pct"/>
            <w:tcBorders>
              <w:top w:val="single" w:color="000000" w:sz="4" w:space="0"/>
              <w:left w:val="single" w:color="000000" w:sz="4" w:space="0"/>
              <w:bottom w:val="single" w:color="000000" w:sz="4" w:space="0"/>
              <w:right w:val="single" w:color="000000" w:sz="4" w:space="0"/>
            </w:tcBorders>
            <w:vAlign w:val="center"/>
          </w:tcPr>
          <w:p w14:paraId="78A7B7B0">
            <w:pPr>
              <w:jc w:val="center"/>
              <w:textAlignment w:val="center"/>
              <w:rPr>
                <w:rFonts w:hint="eastAsia" w:ascii="宋体" w:hAnsi="宋体" w:cs="宋体"/>
                <w:color w:val="000000"/>
                <w:szCs w:val="21"/>
              </w:rPr>
            </w:pPr>
            <w:r>
              <w:rPr>
                <w:rFonts w:hint="eastAsia" w:ascii="宋体" w:hAnsi="宋体" w:cs="宋体"/>
                <w:color w:val="000000"/>
                <w:szCs w:val="21"/>
                <w:lang w:bidi="ar"/>
              </w:rPr>
              <w:t>得分</w:t>
            </w:r>
          </w:p>
        </w:tc>
      </w:tr>
      <w:tr w14:paraId="0017DCAA">
        <w:tblPrEx>
          <w:tblCellMar>
            <w:top w:w="0" w:type="dxa"/>
            <w:left w:w="108" w:type="dxa"/>
            <w:bottom w:w="0" w:type="dxa"/>
            <w:right w:w="108" w:type="dxa"/>
          </w:tblCellMar>
        </w:tblPrEx>
        <w:trPr>
          <w:trHeight w:val="690" w:hRule="atLeast"/>
        </w:trPr>
        <w:tc>
          <w:tcPr>
            <w:tcW w:w="882" w:type="pct"/>
            <w:vMerge w:val="restart"/>
            <w:tcBorders>
              <w:top w:val="single" w:color="000000" w:sz="4" w:space="0"/>
              <w:left w:val="single" w:color="000000" w:sz="4" w:space="0"/>
              <w:bottom w:val="nil"/>
              <w:right w:val="single" w:color="000000" w:sz="4" w:space="0"/>
            </w:tcBorders>
            <w:vAlign w:val="center"/>
          </w:tcPr>
          <w:p w14:paraId="65E2D769">
            <w:pPr>
              <w:jc w:val="center"/>
              <w:textAlignment w:val="center"/>
              <w:rPr>
                <w:rFonts w:hint="eastAsia" w:ascii="宋体" w:hAnsi="宋体" w:cs="宋体"/>
                <w:color w:val="000000"/>
                <w:szCs w:val="21"/>
              </w:rPr>
            </w:pPr>
            <w:r>
              <w:rPr>
                <w:rFonts w:hint="eastAsia" w:ascii="宋体" w:hAnsi="宋体" w:cs="宋体"/>
                <w:color w:val="000000"/>
                <w:szCs w:val="21"/>
                <w:lang w:bidi="ar"/>
              </w:rPr>
              <w:t>项目管理（50分）</w:t>
            </w:r>
          </w:p>
        </w:tc>
        <w:tc>
          <w:tcPr>
            <w:tcW w:w="1541" w:type="pct"/>
            <w:tcBorders>
              <w:top w:val="single" w:color="000000" w:sz="4" w:space="0"/>
              <w:left w:val="single" w:color="000000" w:sz="4" w:space="0"/>
              <w:bottom w:val="single" w:color="000000" w:sz="4" w:space="0"/>
              <w:right w:val="single" w:color="000000" w:sz="4" w:space="0"/>
            </w:tcBorders>
            <w:vAlign w:val="center"/>
          </w:tcPr>
          <w:p w14:paraId="4A6ECEE1">
            <w:pPr>
              <w:jc w:val="left"/>
              <w:textAlignment w:val="center"/>
              <w:rPr>
                <w:rFonts w:hint="eastAsia" w:ascii="宋体" w:hAnsi="宋体" w:cs="宋体"/>
                <w:color w:val="000000"/>
                <w:szCs w:val="21"/>
              </w:rPr>
            </w:pPr>
            <w:r>
              <w:rPr>
                <w:rFonts w:hint="eastAsia" w:ascii="宋体" w:hAnsi="宋体" w:cs="宋体"/>
                <w:color w:val="000000"/>
                <w:szCs w:val="21"/>
                <w:lang w:bidi="ar"/>
              </w:rPr>
              <w:t>每月至少组织一次全员业务工作会议</w:t>
            </w:r>
          </w:p>
        </w:tc>
        <w:tc>
          <w:tcPr>
            <w:tcW w:w="403" w:type="pct"/>
            <w:tcBorders>
              <w:top w:val="single" w:color="000000" w:sz="4" w:space="0"/>
              <w:left w:val="single" w:color="000000" w:sz="4" w:space="0"/>
              <w:bottom w:val="single" w:color="000000" w:sz="4" w:space="0"/>
              <w:right w:val="single" w:color="000000" w:sz="4" w:space="0"/>
            </w:tcBorders>
            <w:vAlign w:val="center"/>
          </w:tcPr>
          <w:p w14:paraId="1803719F">
            <w:pPr>
              <w:jc w:val="center"/>
              <w:textAlignment w:val="center"/>
              <w:rPr>
                <w:rFonts w:hint="eastAsia" w:ascii="宋体" w:hAnsi="宋体" w:cs="宋体"/>
                <w:color w:val="000000"/>
                <w:szCs w:val="21"/>
              </w:rPr>
            </w:pPr>
            <w:r>
              <w:rPr>
                <w:rFonts w:hint="eastAsia" w:ascii="宋体" w:hAnsi="宋体" w:cs="宋体"/>
                <w:color w:val="000000"/>
                <w:szCs w:val="21"/>
                <w:lang w:bidi="ar"/>
              </w:rPr>
              <w:t>9</w:t>
            </w:r>
          </w:p>
        </w:tc>
        <w:tc>
          <w:tcPr>
            <w:tcW w:w="1779" w:type="pct"/>
            <w:tcBorders>
              <w:top w:val="single" w:color="000000" w:sz="4" w:space="0"/>
              <w:left w:val="single" w:color="000000" w:sz="4" w:space="0"/>
              <w:bottom w:val="single" w:color="000000" w:sz="4" w:space="0"/>
              <w:right w:val="single" w:color="000000" w:sz="4" w:space="0"/>
            </w:tcBorders>
            <w:vAlign w:val="center"/>
          </w:tcPr>
          <w:p w14:paraId="572A991B">
            <w:pPr>
              <w:jc w:val="left"/>
              <w:textAlignment w:val="center"/>
              <w:rPr>
                <w:rFonts w:hint="eastAsia" w:ascii="宋体" w:hAnsi="宋体" w:cs="宋体"/>
                <w:color w:val="000000"/>
                <w:szCs w:val="21"/>
              </w:rPr>
            </w:pPr>
            <w:r>
              <w:rPr>
                <w:rFonts w:hint="eastAsia" w:ascii="宋体" w:hAnsi="宋体" w:cs="宋体"/>
                <w:color w:val="000000"/>
                <w:szCs w:val="21"/>
                <w:lang w:bidi="ar"/>
              </w:rPr>
              <w:t>每月未组织业务知识培训的，每次扣3分。</w:t>
            </w:r>
          </w:p>
        </w:tc>
        <w:tc>
          <w:tcPr>
            <w:tcW w:w="392" w:type="pct"/>
            <w:tcBorders>
              <w:top w:val="single" w:color="000000" w:sz="4" w:space="0"/>
              <w:left w:val="single" w:color="000000" w:sz="4" w:space="0"/>
              <w:bottom w:val="single" w:color="000000" w:sz="4" w:space="0"/>
              <w:right w:val="single" w:color="000000" w:sz="4" w:space="0"/>
            </w:tcBorders>
            <w:vAlign w:val="center"/>
          </w:tcPr>
          <w:p w14:paraId="1840916E">
            <w:pPr>
              <w:jc w:val="center"/>
              <w:rPr>
                <w:rFonts w:hint="eastAsia" w:ascii="宋体" w:hAnsi="宋体" w:cs="宋体"/>
                <w:color w:val="000000"/>
                <w:szCs w:val="21"/>
              </w:rPr>
            </w:pPr>
          </w:p>
        </w:tc>
      </w:tr>
      <w:tr w14:paraId="0F3B1E51">
        <w:tblPrEx>
          <w:tblCellMar>
            <w:top w:w="0" w:type="dxa"/>
            <w:left w:w="108" w:type="dxa"/>
            <w:bottom w:w="0" w:type="dxa"/>
            <w:right w:w="108" w:type="dxa"/>
          </w:tblCellMar>
        </w:tblPrEx>
        <w:trPr>
          <w:trHeight w:val="540" w:hRule="atLeast"/>
        </w:trPr>
        <w:tc>
          <w:tcPr>
            <w:tcW w:w="882" w:type="pct"/>
            <w:vMerge w:val="continue"/>
            <w:tcBorders>
              <w:top w:val="single" w:color="000000" w:sz="4" w:space="0"/>
              <w:left w:val="single" w:color="000000" w:sz="4" w:space="0"/>
              <w:bottom w:val="nil"/>
              <w:right w:val="single" w:color="000000" w:sz="4" w:space="0"/>
            </w:tcBorders>
            <w:vAlign w:val="center"/>
          </w:tcPr>
          <w:p w14:paraId="2E7925F9">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78B28E7B">
            <w:pPr>
              <w:jc w:val="left"/>
              <w:textAlignment w:val="center"/>
              <w:rPr>
                <w:rFonts w:hint="eastAsia" w:ascii="宋体" w:hAnsi="宋体" w:cs="宋体"/>
                <w:color w:val="000000"/>
                <w:szCs w:val="21"/>
              </w:rPr>
            </w:pPr>
            <w:r>
              <w:rPr>
                <w:rFonts w:hint="eastAsia" w:ascii="宋体" w:hAnsi="宋体" w:cs="宋体"/>
                <w:color w:val="000000"/>
                <w:szCs w:val="21"/>
                <w:lang w:bidi="ar"/>
              </w:rPr>
              <w:t>每季度至少组织一次应急演练</w:t>
            </w:r>
          </w:p>
        </w:tc>
        <w:tc>
          <w:tcPr>
            <w:tcW w:w="403" w:type="pct"/>
            <w:tcBorders>
              <w:top w:val="single" w:color="000000" w:sz="4" w:space="0"/>
              <w:left w:val="single" w:color="000000" w:sz="4" w:space="0"/>
              <w:bottom w:val="single" w:color="000000" w:sz="4" w:space="0"/>
              <w:right w:val="single" w:color="000000" w:sz="4" w:space="0"/>
            </w:tcBorders>
            <w:vAlign w:val="center"/>
          </w:tcPr>
          <w:p w14:paraId="75110808">
            <w:pPr>
              <w:jc w:val="center"/>
              <w:textAlignment w:val="center"/>
              <w:rPr>
                <w:rFonts w:hint="eastAsia" w:ascii="宋体" w:hAnsi="宋体" w:cs="宋体"/>
                <w:color w:val="000000"/>
                <w:szCs w:val="21"/>
              </w:rPr>
            </w:pPr>
            <w:r>
              <w:rPr>
                <w:rFonts w:hint="eastAsia" w:ascii="宋体" w:hAnsi="宋体" w:cs="宋体"/>
                <w:color w:val="000000"/>
                <w:szCs w:val="21"/>
                <w:lang w:bidi="ar"/>
              </w:rPr>
              <w:t>3</w:t>
            </w:r>
          </w:p>
        </w:tc>
        <w:tc>
          <w:tcPr>
            <w:tcW w:w="1779" w:type="pct"/>
            <w:tcBorders>
              <w:top w:val="single" w:color="000000" w:sz="4" w:space="0"/>
              <w:left w:val="single" w:color="000000" w:sz="4" w:space="0"/>
              <w:bottom w:val="single" w:color="000000" w:sz="4" w:space="0"/>
              <w:right w:val="single" w:color="000000" w:sz="4" w:space="0"/>
            </w:tcBorders>
            <w:vAlign w:val="center"/>
          </w:tcPr>
          <w:p w14:paraId="296E04C8">
            <w:pPr>
              <w:jc w:val="left"/>
              <w:textAlignment w:val="center"/>
              <w:rPr>
                <w:rFonts w:hint="eastAsia" w:ascii="宋体" w:hAnsi="宋体" w:cs="宋体"/>
                <w:color w:val="000000"/>
                <w:szCs w:val="21"/>
              </w:rPr>
            </w:pPr>
            <w:r>
              <w:rPr>
                <w:rFonts w:hint="eastAsia" w:ascii="宋体" w:hAnsi="宋体" w:cs="宋体"/>
                <w:color w:val="000000"/>
                <w:szCs w:val="21"/>
                <w:lang w:bidi="ar"/>
              </w:rPr>
              <w:t>每季度未组织应急演练的，扣3分。</w:t>
            </w:r>
          </w:p>
        </w:tc>
        <w:tc>
          <w:tcPr>
            <w:tcW w:w="392" w:type="pct"/>
            <w:tcBorders>
              <w:top w:val="single" w:color="000000" w:sz="4" w:space="0"/>
              <w:left w:val="single" w:color="000000" w:sz="4" w:space="0"/>
              <w:bottom w:val="single" w:color="000000" w:sz="4" w:space="0"/>
              <w:right w:val="single" w:color="000000" w:sz="4" w:space="0"/>
            </w:tcBorders>
            <w:vAlign w:val="center"/>
          </w:tcPr>
          <w:p w14:paraId="7CBA3974">
            <w:pPr>
              <w:jc w:val="center"/>
              <w:rPr>
                <w:rFonts w:hint="eastAsia" w:ascii="宋体" w:hAnsi="宋体" w:cs="宋体"/>
                <w:color w:val="000000"/>
                <w:szCs w:val="21"/>
              </w:rPr>
            </w:pPr>
          </w:p>
        </w:tc>
      </w:tr>
      <w:tr w14:paraId="22D19E35">
        <w:tblPrEx>
          <w:tblCellMar>
            <w:top w:w="0" w:type="dxa"/>
            <w:left w:w="108" w:type="dxa"/>
            <w:bottom w:w="0" w:type="dxa"/>
            <w:right w:w="108" w:type="dxa"/>
          </w:tblCellMar>
        </w:tblPrEx>
        <w:trPr>
          <w:trHeight w:val="540" w:hRule="atLeast"/>
        </w:trPr>
        <w:tc>
          <w:tcPr>
            <w:tcW w:w="882" w:type="pct"/>
            <w:vMerge w:val="continue"/>
            <w:tcBorders>
              <w:top w:val="single" w:color="000000" w:sz="4" w:space="0"/>
              <w:left w:val="single" w:color="000000" w:sz="4" w:space="0"/>
              <w:bottom w:val="nil"/>
              <w:right w:val="single" w:color="000000" w:sz="4" w:space="0"/>
            </w:tcBorders>
            <w:vAlign w:val="center"/>
          </w:tcPr>
          <w:p w14:paraId="6A06B09C">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1DB250CD">
            <w:pPr>
              <w:jc w:val="left"/>
              <w:textAlignment w:val="center"/>
              <w:rPr>
                <w:rFonts w:hint="eastAsia" w:ascii="宋体" w:hAnsi="宋体" w:cs="宋体"/>
                <w:color w:val="000000"/>
                <w:szCs w:val="21"/>
                <w:lang w:bidi="ar"/>
              </w:rPr>
            </w:pPr>
            <w:r>
              <w:rPr>
                <w:rFonts w:hint="eastAsia" w:ascii="宋体" w:hAnsi="宋体" w:cs="宋体"/>
                <w:color w:val="000000"/>
                <w:szCs w:val="21"/>
                <w:lang w:bidi="ar"/>
              </w:rPr>
              <w:t>每季度至少组织一次安全防范学习</w:t>
            </w:r>
          </w:p>
        </w:tc>
        <w:tc>
          <w:tcPr>
            <w:tcW w:w="403" w:type="pct"/>
            <w:tcBorders>
              <w:top w:val="single" w:color="000000" w:sz="4" w:space="0"/>
              <w:left w:val="single" w:color="000000" w:sz="4" w:space="0"/>
              <w:bottom w:val="single" w:color="000000" w:sz="4" w:space="0"/>
              <w:right w:val="single" w:color="000000" w:sz="4" w:space="0"/>
            </w:tcBorders>
            <w:vAlign w:val="center"/>
          </w:tcPr>
          <w:p w14:paraId="5CD2932D">
            <w:pPr>
              <w:jc w:val="center"/>
              <w:textAlignment w:val="center"/>
              <w:rPr>
                <w:rFonts w:hint="eastAsia" w:ascii="宋体" w:hAnsi="宋体" w:cs="宋体"/>
                <w:color w:val="000000"/>
                <w:szCs w:val="21"/>
                <w:lang w:bidi="ar"/>
              </w:rPr>
            </w:pPr>
            <w:r>
              <w:rPr>
                <w:rFonts w:hint="eastAsia" w:ascii="宋体" w:hAnsi="宋体" w:cs="宋体"/>
                <w:color w:val="000000"/>
                <w:szCs w:val="21"/>
                <w:lang w:bidi="ar"/>
              </w:rPr>
              <w:t>2</w:t>
            </w:r>
          </w:p>
        </w:tc>
        <w:tc>
          <w:tcPr>
            <w:tcW w:w="1779" w:type="pct"/>
            <w:tcBorders>
              <w:top w:val="single" w:color="000000" w:sz="4" w:space="0"/>
              <w:left w:val="single" w:color="000000" w:sz="4" w:space="0"/>
              <w:bottom w:val="single" w:color="000000" w:sz="4" w:space="0"/>
              <w:right w:val="single" w:color="000000" w:sz="4" w:space="0"/>
            </w:tcBorders>
            <w:vAlign w:val="center"/>
          </w:tcPr>
          <w:p w14:paraId="156502DC">
            <w:pPr>
              <w:jc w:val="left"/>
              <w:textAlignment w:val="center"/>
              <w:rPr>
                <w:rFonts w:hint="eastAsia" w:ascii="宋体" w:hAnsi="宋体" w:cs="宋体"/>
                <w:color w:val="000000"/>
                <w:szCs w:val="21"/>
                <w:lang w:bidi="ar"/>
              </w:rPr>
            </w:pPr>
            <w:r>
              <w:rPr>
                <w:rFonts w:hint="eastAsia" w:ascii="宋体" w:hAnsi="宋体" w:cs="宋体"/>
                <w:color w:val="000000"/>
                <w:szCs w:val="21"/>
                <w:lang w:bidi="ar"/>
              </w:rPr>
              <w:t>每季度未组织安全防范学习的，扣2分。</w:t>
            </w:r>
          </w:p>
        </w:tc>
        <w:tc>
          <w:tcPr>
            <w:tcW w:w="392" w:type="pct"/>
            <w:tcBorders>
              <w:top w:val="single" w:color="000000" w:sz="4" w:space="0"/>
              <w:left w:val="single" w:color="000000" w:sz="4" w:space="0"/>
              <w:bottom w:val="single" w:color="000000" w:sz="4" w:space="0"/>
              <w:right w:val="single" w:color="000000" w:sz="4" w:space="0"/>
            </w:tcBorders>
            <w:vAlign w:val="center"/>
          </w:tcPr>
          <w:p w14:paraId="5F2B7FC5">
            <w:pPr>
              <w:jc w:val="center"/>
              <w:rPr>
                <w:rFonts w:hint="eastAsia" w:ascii="宋体" w:hAnsi="宋体" w:cs="宋体"/>
                <w:color w:val="000000"/>
                <w:szCs w:val="21"/>
              </w:rPr>
            </w:pPr>
          </w:p>
        </w:tc>
      </w:tr>
      <w:tr w14:paraId="399E2799">
        <w:tblPrEx>
          <w:tblCellMar>
            <w:top w:w="0" w:type="dxa"/>
            <w:left w:w="108" w:type="dxa"/>
            <w:bottom w:w="0" w:type="dxa"/>
            <w:right w:w="108" w:type="dxa"/>
          </w:tblCellMar>
        </w:tblPrEx>
        <w:trPr>
          <w:trHeight w:val="750" w:hRule="atLeast"/>
        </w:trPr>
        <w:tc>
          <w:tcPr>
            <w:tcW w:w="882" w:type="pct"/>
            <w:vMerge w:val="continue"/>
            <w:tcBorders>
              <w:top w:val="single" w:color="000000" w:sz="4" w:space="0"/>
              <w:left w:val="single" w:color="000000" w:sz="4" w:space="0"/>
              <w:bottom w:val="nil"/>
              <w:right w:val="single" w:color="000000" w:sz="4" w:space="0"/>
            </w:tcBorders>
            <w:vAlign w:val="center"/>
          </w:tcPr>
          <w:p w14:paraId="5EAF1179">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7D3E2DF6">
            <w:pPr>
              <w:jc w:val="left"/>
              <w:textAlignment w:val="center"/>
              <w:rPr>
                <w:rFonts w:hint="eastAsia" w:ascii="宋体" w:hAnsi="宋体" w:cs="宋体"/>
                <w:color w:val="000000"/>
                <w:szCs w:val="21"/>
              </w:rPr>
            </w:pPr>
            <w:r>
              <w:rPr>
                <w:rFonts w:hint="eastAsia" w:ascii="宋体" w:hAnsi="宋体" w:cs="宋体"/>
                <w:color w:val="000000"/>
                <w:szCs w:val="21"/>
                <w:lang w:bidi="ar"/>
              </w:rPr>
              <w:t>人员配备符合要求，保安员经过培训并持证上岗，且不得擅自更换人员</w:t>
            </w:r>
          </w:p>
        </w:tc>
        <w:tc>
          <w:tcPr>
            <w:tcW w:w="403" w:type="pct"/>
            <w:tcBorders>
              <w:top w:val="single" w:color="000000" w:sz="4" w:space="0"/>
              <w:left w:val="single" w:color="000000" w:sz="4" w:space="0"/>
              <w:bottom w:val="single" w:color="000000" w:sz="4" w:space="0"/>
              <w:right w:val="single" w:color="000000" w:sz="4" w:space="0"/>
            </w:tcBorders>
            <w:vAlign w:val="center"/>
          </w:tcPr>
          <w:p w14:paraId="557642DB">
            <w:pPr>
              <w:jc w:val="center"/>
              <w:textAlignment w:val="center"/>
              <w:rPr>
                <w:rFonts w:hint="eastAsia" w:ascii="宋体" w:hAnsi="宋体" w:cs="宋体"/>
                <w:color w:val="000000"/>
                <w:szCs w:val="21"/>
              </w:rPr>
            </w:pPr>
            <w:r>
              <w:rPr>
                <w:rFonts w:hint="eastAsia" w:ascii="宋体" w:hAnsi="宋体" w:cs="宋体"/>
                <w:color w:val="000000"/>
                <w:szCs w:val="21"/>
                <w:lang w:bidi="ar"/>
              </w:rPr>
              <w:t>15</w:t>
            </w:r>
          </w:p>
        </w:tc>
        <w:tc>
          <w:tcPr>
            <w:tcW w:w="1779" w:type="pct"/>
            <w:tcBorders>
              <w:top w:val="single" w:color="000000" w:sz="4" w:space="0"/>
              <w:left w:val="single" w:color="000000" w:sz="4" w:space="0"/>
              <w:bottom w:val="single" w:color="000000" w:sz="4" w:space="0"/>
              <w:right w:val="single" w:color="000000" w:sz="4" w:space="0"/>
            </w:tcBorders>
            <w:vAlign w:val="center"/>
          </w:tcPr>
          <w:p w14:paraId="34EFBB94">
            <w:pPr>
              <w:jc w:val="left"/>
              <w:textAlignment w:val="center"/>
              <w:rPr>
                <w:rFonts w:hint="eastAsia" w:ascii="宋体" w:hAnsi="宋体" w:cs="宋体"/>
                <w:color w:val="000000"/>
                <w:szCs w:val="21"/>
              </w:rPr>
            </w:pPr>
            <w:r>
              <w:rPr>
                <w:rFonts w:hint="eastAsia" w:ascii="宋体" w:hAnsi="宋体" w:cs="宋体"/>
                <w:color w:val="000000"/>
                <w:szCs w:val="21"/>
                <w:lang w:bidi="ar"/>
              </w:rPr>
              <w:t>发现人员配备不符合要求或未经培训并持证上岗的，擅自更换人员的，每次扣3分。</w:t>
            </w:r>
          </w:p>
        </w:tc>
        <w:tc>
          <w:tcPr>
            <w:tcW w:w="392" w:type="pct"/>
            <w:tcBorders>
              <w:top w:val="single" w:color="000000" w:sz="4" w:space="0"/>
              <w:left w:val="single" w:color="000000" w:sz="4" w:space="0"/>
              <w:bottom w:val="single" w:color="000000" w:sz="4" w:space="0"/>
              <w:right w:val="single" w:color="000000" w:sz="4" w:space="0"/>
            </w:tcBorders>
            <w:vAlign w:val="center"/>
          </w:tcPr>
          <w:p w14:paraId="6BFBE572">
            <w:pPr>
              <w:jc w:val="center"/>
              <w:rPr>
                <w:rFonts w:hint="eastAsia" w:ascii="宋体" w:hAnsi="宋体" w:cs="宋体"/>
                <w:color w:val="000000"/>
                <w:szCs w:val="21"/>
              </w:rPr>
            </w:pPr>
          </w:p>
        </w:tc>
      </w:tr>
      <w:tr w14:paraId="3A95D0A3">
        <w:tblPrEx>
          <w:tblCellMar>
            <w:top w:w="0" w:type="dxa"/>
            <w:left w:w="108" w:type="dxa"/>
            <w:bottom w:w="0" w:type="dxa"/>
            <w:right w:w="108" w:type="dxa"/>
          </w:tblCellMar>
        </w:tblPrEx>
        <w:trPr>
          <w:trHeight w:val="835" w:hRule="atLeast"/>
        </w:trPr>
        <w:tc>
          <w:tcPr>
            <w:tcW w:w="882" w:type="pct"/>
            <w:vMerge w:val="continue"/>
            <w:tcBorders>
              <w:top w:val="single" w:color="000000" w:sz="4" w:space="0"/>
              <w:left w:val="single" w:color="000000" w:sz="4" w:space="0"/>
              <w:bottom w:val="nil"/>
              <w:right w:val="single" w:color="000000" w:sz="4" w:space="0"/>
            </w:tcBorders>
            <w:vAlign w:val="center"/>
          </w:tcPr>
          <w:p w14:paraId="0361E2B1">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5D424610">
            <w:pPr>
              <w:jc w:val="left"/>
              <w:textAlignment w:val="center"/>
              <w:rPr>
                <w:rFonts w:hint="eastAsia" w:ascii="宋体" w:hAnsi="宋体" w:cs="宋体"/>
                <w:color w:val="000000"/>
                <w:szCs w:val="21"/>
              </w:rPr>
            </w:pPr>
            <w:r>
              <w:rPr>
                <w:rFonts w:hint="eastAsia" w:ascii="宋体" w:hAnsi="宋体" w:cs="宋体"/>
                <w:color w:val="000000"/>
                <w:szCs w:val="21"/>
                <w:lang w:bidi="ar"/>
              </w:rPr>
              <w:t>项目主管每月至少来项目现场督促检查一次，并有记录。</w:t>
            </w:r>
          </w:p>
        </w:tc>
        <w:tc>
          <w:tcPr>
            <w:tcW w:w="403" w:type="pct"/>
            <w:tcBorders>
              <w:top w:val="single" w:color="000000" w:sz="4" w:space="0"/>
              <w:left w:val="single" w:color="000000" w:sz="4" w:space="0"/>
              <w:bottom w:val="single" w:color="000000" w:sz="4" w:space="0"/>
              <w:right w:val="single" w:color="000000" w:sz="4" w:space="0"/>
            </w:tcBorders>
            <w:vAlign w:val="center"/>
          </w:tcPr>
          <w:p w14:paraId="5286C2A1">
            <w:pPr>
              <w:jc w:val="center"/>
              <w:textAlignment w:val="center"/>
              <w:rPr>
                <w:rFonts w:hint="eastAsia" w:ascii="宋体" w:hAnsi="宋体" w:cs="宋体"/>
                <w:color w:val="000000"/>
                <w:szCs w:val="21"/>
              </w:rPr>
            </w:pPr>
            <w:r>
              <w:rPr>
                <w:rFonts w:hint="eastAsia" w:ascii="宋体" w:hAnsi="宋体" w:cs="宋体"/>
                <w:color w:val="000000"/>
                <w:szCs w:val="21"/>
                <w:lang w:bidi="ar"/>
              </w:rPr>
              <w:t>6</w:t>
            </w:r>
          </w:p>
        </w:tc>
        <w:tc>
          <w:tcPr>
            <w:tcW w:w="1779" w:type="pct"/>
            <w:tcBorders>
              <w:top w:val="single" w:color="000000" w:sz="4" w:space="0"/>
              <w:left w:val="single" w:color="000000" w:sz="4" w:space="0"/>
              <w:bottom w:val="single" w:color="000000" w:sz="4" w:space="0"/>
              <w:right w:val="single" w:color="000000" w:sz="4" w:space="0"/>
            </w:tcBorders>
            <w:vAlign w:val="center"/>
          </w:tcPr>
          <w:p w14:paraId="16E58D22">
            <w:pPr>
              <w:jc w:val="left"/>
              <w:textAlignment w:val="center"/>
              <w:rPr>
                <w:rFonts w:hint="eastAsia" w:ascii="宋体" w:hAnsi="宋体" w:cs="宋体"/>
                <w:color w:val="000000"/>
                <w:szCs w:val="21"/>
              </w:rPr>
            </w:pPr>
            <w:r>
              <w:rPr>
                <w:rFonts w:hint="eastAsia" w:ascii="宋体" w:hAnsi="宋体" w:cs="宋体"/>
                <w:color w:val="000000"/>
                <w:szCs w:val="21"/>
                <w:lang w:bidi="ar"/>
              </w:rPr>
              <w:t>现场督促检查少一次的，每次扣2分</w:t>
            </w:r>
          </w:p>
        </w:tc>
        <w:tc>
          <w:tcPr>
            <w:tcW w:w="392" w:type="pct"/>
            <w:tcBorders>
              <w:top w:val="single" w:color="000000" w:sz="4" w:space="0"/>
              <w:left w:val="single" w:color="000000" w:sz="4" w:space="0"/>
              <w:bottom w:val="single" w:color="000000" w:sz="4" w:space="0"/>
              <w:right w:val="single" w:color="000000" w:sz="4" w:space="0"/>
            </w:tcBorders>
            <w:vAlign w:val="center"/>
          </w:tcPr>
          <w:p w14:paraId="7F640161">
            <w:pPr>
              <w:jc w:val="center"/>
              <w:rPr>
                <w:rFonts w:hint="eastAsia" w:ascii="宋体" w:hAnsi="宋体" w:cs="宋体"/>
                <w:color w:val="000000"/>
                <w:szCs w:val="21"/>
              </w:rPr>
            </w:pPr>
          </w:p>
        </w:tc>
      </w:tr>
      <w:tr w14:paraId="0BD0EC56">
        <w:tblPrEx>
          <w:tblCellMar>
            <w:top w:w="0" w:type="dxa"/>
            <w:left w:w="108" w:type="dxa"/>
            <w:bottom w:w="0" w:type="dxa"/>
            <w:right w:w="108" w:type="dxa"/>
          </w:tblCellMar>
        </w:tblPrEx>
        <w:trPr>
          <w:trHeight w:val="1290" w:hRule="atLeast"/>
        </w:trPr>
        <w:tc>
          <w:tcPr>
            <w:tcW w:w="882" w:type="pct"/>
            <w:vMerge w:val="continue"/>
            <w:tcBorders>
              <w:top w:val="single" w:color="000000" w:sz="4" w:space="0"/>
              <w:left w:val="single" w:color="000000" w:sz="4" w:space="0"/>
              <w:bottom w:val="nil"/>
              <w:right w:val="single" w:color="000000" w:sz="4" w:space="0"/>
            </w:tcBorders>
            <w:vAlign w:val="center"/>
          </w:tcPr>
          <w:p w14:paraId="2071D45C">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49EC8A6A">
            <w:pPr>
              <w:jc w:val="left"/>
              <w:textAlignment w:val="center"/>
              <w:rPr>
                <w:rFonts w:hint="eastAsia" w:ascii="宋体" w:hAnsi="宋体" w:cs="宋体"/>
                <w:color w:val="000000"/>
                <w:szCs w:val="21"/>
              </w:rPr>
            </w:pPr>
            <w:r>
              <w:rPr>
                <w:rFonts w:hint="eastAsia" w:ascii="宋体" w:hAnsi="宋体" w:cs="宋体"/>
                <w:color w:val="000000"/>
                <w:szCs w:val="21"/>
                <w:lang w:bidi="ar"/>
              </w:rPr>
              <w:t>内部管理制度健全，明确保安员职责和行为规范，并进行考核，每月考核一次，奖惩台账资料齐全</w:t>
            </w:r>
          </w:p>
        </w:tc>
        <w:tc>
          <w:tcPr>
            <w:tcW w:w="403" w:type="pct"/>
            <w:tcBorders>
              <w:top w:val="single" w:color="000000" w:sz="4" w:space="0"/>
              <w:left w:val="single" w:color="000000" w:sz="4" w:space="0"/>
              <w:bottom w:val="single" w:color="000000" w:sz="4" w:space="0"/>
              <w:right w:val="single" w:color="000000" w:sz="4" w:space="0"/>
            </w:tcBorders>
            <w:vAlign w:val="center"/>
          </w:tcPr>
          <w:p w14:paraId="1286D8CE">
            <w:pPr>
              <w:jc w:val="center"/>
              <w:textAlignment w:val="center"/>
              <w:rPr>
                <w:rFonts w:hint="eastAsia" w:ascii="宋体" w:hAnsi="宋体" w:cs="宋体"/>
                <w:color w:val="000000"/>
                <w:szCs w:val="21"/>
              </w:rPr>
            </w:pPr>
            <w:r>
              <w:rPr>
                <w:rFonts w:hint="eastAsia" w:ascii="宋体" w:hAnsi="宋体" w:cs="宋体"/>
                <w:color w:val="000000"/>
                <w:szCs w:val="21"/>
                <w:lang w:bidi="ar"/>
              </w:rPr>
              <w:t>15</w:t>
            </w:r>
          </w:p>
        </w:tc>
        <w:tc>
          <w:tcPr>
            <w:tcW w:w="1779" w:type="pct"/>
            <w:tcBorders>
              <w:top w:val="single" w:color="000000" w:sz="4" w:space="0"/>
              <w:left w:val="single" w:color="000000" w:sz="4" w:space="0"/>
              <w:bottom w:val="single" w:color="000000" w:sz="4" w:space="0"/>
              <w:right w:val="single" w:color="000000" w:sz="4" w:space="0"/>
            </w:tcBorders>
            <w:vAlign w:val="center"/>
          </w:tcPr>
          <w:p w14:paraId="5A381793">
            <w:pPr>
              <w:jc w:val="left"/>
              <w:textAlignment w:val="center"/>
              <w:rPr>
                <w:rFonts w:hint="eastAsia" w:ascii="宋体" w:hAnsi="宋体" w:cs="宋体"/>
                <w:color w:val="000000"/>
                <w:szCs w:val="21"/>
              </w:rPr>
            </w:pPr>
            <w:r>
              <w:rPr>
                <w:rFonts w:hint="eastAsia" w:ascii="宋体" w:hAnsi="宋体" w:cs="宋体"/>
                <w:color w:val="000000"/>
                <w:szCs w:val="21"/>
                <w:lang w:bidi="ar"/>
              </w:rPr>
              <w:t>管理考核制度不健全、未定期考核的，每次扣5分</w:t>
            </w:r>
          </w:p>
        </w:tc>
        <w:tc>
          <w:tcPr>
            <w:tcW w:w="392" w:type="pct"/>
            <w:tcBorders>
              <w:top w:val="single" w:color="000000" w:sz="4" w:space="0"/>
              <w:left w:val="single" w:color="000000" w:sz="4" w:space="0"/>
              <w:bottom w:val="single" w:color="000000" w:sz="4" w:space="0"/>
              <w:right w:val="single" w:color="000000" w:sz="4" w:space="0"/>
            </w:tcBorders>
            <w:vAlign w:val="center"/>
          </w:tcPr>
          <w:p w14:paraId="34ED39D8">
            <w:pPr>
              <w:jc w:val="center"/>
              <w:rPr>
                <w:rFonts w:hint="eastAsia" w:ascii="宋体" w:hAnsi="宋体" w:cs="宋体"/>
                <w:color w:val="000000"/>
                <w:szCs w:val="21"/>
              </w:rPr>
            </w:pPr>
          </w:p>
        </w:tc>
      </w:tr>
      <w:tr w14:paraId="120D62B2">
        <w:tblPrEx>
          <w:tblCellMar>
            <w:top w:w="0" w:type="dxa"/>
            <w:left w:w="108" w:type="dxa"/>
            <w:bottom w:w="0" w:type="dxa"/>
            <w:right w:w="108" w:type="dxa"/>
          </w:tblCellMar>
        </w:tblPrEx>
        <w:trPr>
          <w:trHeight w:val="1275" w:hRule="atLeast"/>
        </w:trPr>
        <w:tc>
          <w:tcPr>
            <w:tcW w:w="882" w:type="pct"/>
            <w:vMerge w:val="restart"/>
            <w:tcBorders>
              <w:top w:val="single" w:color="000000" w:sz="4" w:space="0"/>
              <w:left w:val="single" w:color="000000" w:sz="4" w:space="0"/>
              <w:bottom w:val="single" w:color="000000" w:sz="4" w:space="0"/>
              <w:right w:val="single" w:color="000000" w:sz="4" w:space="0"/>
            </w:tcBorders>
            <w:vAlign w:val="center"/>
          </w:tcPr>
          <w:p w14:paraId="6907630D">
            <w:pPr>
              <w:jc w:val="center"/>
              <w:textAlignment w:val="center"/>
              <w:rPr>
                <w:rFonts w:hint="eastAsia" w:ascii="宋体" w:hAnsi="宋体" w:cs="宋体"/>
                <w:color w:val="000000"/>
                <w:szCs w:val="21"/>
              </w:rPr>
            </w:pPr>
            <w:r>
              <w:rPr>
                <w:rFonts w:hint="eastAsia" w:ascii="宋体" w:hAnsi="宋体" w:cs="宋体"/>
                <w:color w:val="000000"/>
                <w:szCs w:val="21"/>
                <w:lang w:bidi="ar"/>
              </w:rPr>
              <w:t>岗位纪律（20分）</w:t>
            </w:r>
          </w:p>
        </w:tc>
        <w:tc>
          <w:tcPr>
            <w:tcW w:w="1541" w:type="pct"/>
            <w:tcBorders>
              <w:top w:val="single" w:color="000000" w:sz="4" w:space="0"/>
              <w:left w:val="single" w:color="000000" w:sz="4" w:space="0"/>
              <w:bottom w:val="single" w:color="000000" w:sz="4" w:space="0"/>
              <w:right w:val="single" w:color="000000" w:sz="4" w:space="0"/>
            </w:tcBorders>
            <w:vAlign w:val="center"/>
          </w:tcPr>
          <w:p w14:paraId="5B6FD252">
            <w:pPr>
              <w:jc w:val="left"/>
              <w:textAlignment w:val="center"/>
              <w:rPr>
                <w:rFonts w:hint="eastAsia" w:ascii="宋体" w:hAnsi="宋体" w:cs="宋体"/>
                <w:color w:val="000000"/>
                <w:szCs w:val="21"/>
              </w:rPr>
            </w:pPr>
            <w:r>
              <w:rPr>
                <w:rFonts w:hint="eastAsia" w:ascii="宋体" w:hAnsi="宋体" w:cs="宋体"/>
                <w:color w:val="000000"/>
                <w:szCs w:val="21"/>
                <w:lang w:bidi="ar"/>
              </w:rPr>
              <w:t>着装统一整洁、装备佩戴齐全</w:t>
            </w:r>
          </w:p>
        </w:tc>
        <w:tc>
          <w:tcPr>
            <w:tcW w:w="403" w:type="pct"/>
            <w:tcBorders>
              <w:top w:val="single" w:color="000000" w:sz="4" w:space="0"/>
              <w:left w:val="single" w:color="000000" w:sz="4" w:space="0"/>
              <w:bottom w:val="single" w:color="000000" w:sz="4" w:space="0"/>
              <w:right w:val="single" w:color="000000" w:sz="4" w:space="0"/>
            </w:tcBorders>
            <w:vAlign w:val="center"/>
          </w:tcPr>
          <w:p w14:paraId="6BE48381">
            <w:pPr>
              <w:jc w:val="center"/>
              <w:textAlignment w:val="center"/>
              <w:rPr>
                <w:rFonts w:hint="eastAsia" w:ascii="宋体" w:hAnsi="宋体" w:cs="宋体"/>
                <w:color w:val="000000"/>
                <w:szCs w:val="21"/>
              </w:rPr>
            </w:pPr>
            <w:r>
              <w:rPr>
                <w:rFonts w:hint="eastAsia" w:ascii="宋体" w:hAnsi="宋体" w:cs="宋体"/>
                <w:color w:val="000000"/>
                <w:szCs w:val="21"/>
                <w:lang w:bidi="ar"/>
              </w:rPr>
              <w:t>5</w:t>
            </w:r>
          </w:p>
        </w:tc>
        <w:tc>
          <w:tcPr>
            <w:tcW w:w="1779" w:type="pct"/>
            <w:tcBorders>
              <w:top w:val="single" w:color="000000" w:sz="4" w:space="0"/>
              <w:left w:val="single" w:color="000000" w:sz="4" w:space="0"/>
              <w:bottom w:val="single" w:color="000000" w:sz="4" w:space="0"/>
              <w:right w:val="single" w:color="000000" w:sz="4" w:space="0"/>
            </w:tcBorders>
            <w:vAlign w:val="center"/>
          </w:tcPr>
          <w:p w14:paraId="3895E566">
            <w:pPr>
              <w:jc w:val="left"/>
              <w:textAlignment w:val="center"/>
              <w:rPr>
                <w:rFonts w:hint="eastAsia" w:ascii="宋体" w:hAnsi="宋体" w:cs="宋体"/>
                <w:color w:val="000000"/>
                <w:szCs w:val="21"/>
              </w:rPr>
            </w:pPr>
            <w:r>
              <w:rPr>
                <w:rFonts w:hint="eastAsia" w:ascii="宋体" w:hAnsi="宋体" w:cs="宋体"/>
                <w:color w:val="000000"/>
                <w:szCs w:val="21"/>
                <w:lang w:bidi="ar"/>
              </w:rPr>
              <w:t>当班时着装不整、装配佩戴不齐全、衣物不洁、破损、缺失衣扣、面容不洁、头发不整齐干净等，每次扣1分</w:t>
            </w:r>
          </w:p>
        </w:tc>
        <w:tc>
          <w:tcPr>
            <w:tcW w:w="392" w:type="pct"/>
            <w:tcBorders>
              <w:top w:val="single" w:color="000000" w:sz="4" w:space="0"/>
              <w:left w:val="single" w:color="000000" w:sz="4" w:space="0"/>
              <w:bottom w:val="single" w:color="000000" w:sz="4" w:space="0"/>
              <w:right w:val="single" w:color="000000" w:sz="4" w:space="0"/>
            </w:tcBorders>
            <w:vAlign w:val="center"/>
          </w:tcPr>
          <w:p w14:paraId="698E4581">
            <w:pPr>
              <w:jc w:val="center"/>
              <w:rPr>
                <w:rFonts w:hint="eastAsia" w:ascii="宋体" w:hAnsi="宋体" w:cs="宋体"/>
                <w:color w:val="000000"/>
                <w:szCs w:val="21"/>
              </w:rPr>
            </w:pPr>
          </w:p>
        </w:tc>
      </w:tr>
      <w:tr w14:paraId="4455B0FA">
        <w:tblPrEx>
          <w:tblCellMar>
            <w:top w:w="0" w:type="dxa"/>
            <w:left w:w="108" w:type="dxa"/>
            <w:bottom w:w="0" w:type="dxa"/>
            <w:right w:w="108" w:type="dxa"/>
          </w:tblCellMar>
        </w:tblPrEx>
        <w:trPr>
          <w:trHeight w:val="990" w:hRule="atLeast"/>
        </w:trPr>
        <w:tc>
          <w:tcPr>
            <w:tcW w:w="882" w:type="pct"/>
            <w:vMerge w:val="continue"/>
            <w:tcBorders>
              <w:top w:val="single" w:color="000000" w:sz="4" w:space="0"/>
              <w:left w:val="single" w:color="000000" w:sz="4" w:space="0"/>
              <w:bottom w:val="single" w:color="000000" w:sz="4" w:space="0"/>
              <w:right w:val="single" w:color="000000" w:sz="4" w:space="0"/>
            </w:tcBorders>
            <w:vAlign w:val="center"/>
          </w:tcPr>
          <w:p w14:paraId="269011AB">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0002A025">
            <w:pPr>
              <w:jc w:val="left"/>
              <w:textAlignment w:val="center"/>
              <w:rPr>
                <w:rFonts w:hint="eastAsia" w:ascii="宋体" w:hAnsi="宋体" w:cs="宋体"/>
                <w:color w:val="000000"/>
                <w:szCs w:val="21"/>
              </w:rPr>
            </w:pPr>
            <w:r>
              <w:rPr>
                <w:rFonts w:hint="eastAsia" w:ascii="宋体" w:hAnsi="宋体" w:cs="宋体"/>
                <w:color w:val="000000"/>
                <w:szCs w:val="21"/>
                <w:lang w:bidi="ar"/>
              </w:rPr>
              <w:t>言行举止规范，服务文明礼貌</w:t>
            </w:r>
          </w:p>
        </w:tc>
        <w:tc>
          <w:tcPr>
            <w:tcW w:w="403" w:type="pct"/>
            <w:tcBorders>
              <w:top w:val="single" w:color="000000" w:sz="4" w:space="0"/>
              <w:left w:val="single" w:color="000000" w:sz="4" w:space="0"/>
              <w:bottom w:val="single" w:color="000000" w:sz="4" w:space="0"/>
              <w:right w:val="single" w:color="000000" w:sz="4" w:space="0"/>
            </w:tcBorders>
            <w:vAlign w:val="center"/>
          </w:tcPr>
          <w:p w14:paraId="7FC668CE">
            <w:pPr>
              <w:jc w:val="center"/>
              <w:textAlignment w:val="center"/>
              <w:rPr>
                <w:rFonts w:hint="eastAsia" w:ascii="宋体" w:hAnsi="宋体" w:cs="宋体"/>
                <w:color w:val="000000"/>
                <w:szCs w:val="21"/>
              </w:rPr>
            </w:pPr>
            <w:r>
              <w:rPr>
                <w:rFonts w:hint="eastAsia" w:ascii="宋体" w:hAnsi="宋体" w:cs="宋体"/>
                <w:color w:val="000000"/>
                <w:szCs w:val="21"/>
                <w:lang w:bidi="ar"/>
              </w:rPr>
              <w:t>10</w:t>
            </w:r>
          </w:p>
        </w:tc>
        <w:tc>
          <w:tcPr>
            <w:tcW w:w="1779" w:type="pct"/>
            <w:tcBorders>
              <w:top w:val="single" w:color="000000" w:sz="4" w:space="0"/>
              <w:left w:val="single" w:color="000000" w:sz="4" w:space="0"/>
              <w:bottom w:val="single" w:color="000000" w:sz="4" w:space="0"/>
              <w:right w:val="single" w:color="000000" w:sz="4" w:space="0"/>
            </w:tcBorders>
            <w:vAlign w:val="center"/>
          </w:tcPr>
          <w:p w14:paraId="79AF9DF8">
            <w:pPr>
              <w:jc w:val="left"/>
              <w:textAlignment w:val="center"/>
              <w:rPr>
                <w:rFonts w:hint="eastAsia" w:ascii="宋体" w:hAnsi="宋体" w:cs="宋体"/>
                <w:color w:val="000000"/>
                <w:szCs w:val="21"/>
              </w:rPr>
            </w:pPr>
            <w:r>
              <w:rPr>
                <w:rFonts w:hint="eastAsia" w:ascii="宋体" w:hAnsi="宋体" w:cs="宋体"/>
                <w:color w:val="000000"/>
                <w:szCs w:val="21"/>
                <w:lang w:bidi="ar"/>
              </w:rPr>
              <w:t>在岗位上有不当言辞，或与大院内相关单位、来访单位发生争执，每次扣2分，被投诉的每次扣5分</w:t>
            </w:r>
          </w:p>
        </w:tc>
        <w:tc>
          <w:tcPr>
            <w:tcW w:w="392" w:type="pct"/>
            <w:tcBorders>
              <w:top w:val="single" w:color="000000" w:sz="4" w:space="0"/>
              <w:left w:val="single" w:color="000000" w:sz="4" w:space="0"/>
              <w:bottom w:val="single" w:color="000000" w:sz="4" w:space="0"/>
              <w:right w:val="single" w:color="000000" w:sz="4" w:space="0"/>
            </w:tcBorders>
            <w:vAlign w:val="center"/>
          </w:tcPr>
          <w:p w14:paraId="614C39E3">
            <w:pPr>
              <w:jc w:val="center"/>
              <w:rPr>
                <w:rFonts w:hint="eastAsia" w:ascii="宋体" w:hAnsi="宋体" w:cs="宋体"/>
                <w:color w:val="000000"/>
                <w:szCs w:val="21"/>
              </w:rPr>
            </w:pPr>
          </w:p>
        </w:tc>
      </w:tr>
      <w:tr w14:paraId="737D082D">
        <w:tblPrEx>
          <w:tblCellMar>
            <w:top w:w="0" w:type="dxa"/>
            <w:left w:w="108" w:type="dxa"/>
            <w:bottom w:w="0" w:type="dxa"/>
            <w:right w:w="108" w:type="dxa"/>
          </w:tblCellMar>
        </w:tblPrEx>
        <w:trPr>
          <w:trHeight w:val="1440" w:hRule="atLeast"/>
        </w:trPr>
        <w:tc>
          <w:tcPr>
            <w:tcW w:w="882" w:type="pct"/>
            <w:vMerge w:val="continue"/>
            <w:tcBorders>
              <w:top w:val="single" w:color="000000" w:sz="4" w:space="0"/>
              <w:left w:val="single" w:color="000000" w:sz="4" w:space="0"/>
              <w:bottom w:val="single" w:color="000000" w:sz="4" w:space="0"/>
              <w:right w:val="single" w:color="000000" w:sz="4" w:space="0"/>
            </w:tcBorders>
            <w:vAlign w:val="center"/>
          </w:tcPr>
          <w:p w14:paraId="267335CC">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2CE397D2">
            <w:pPr>
              <w:jc w:val="left"/>
              <w:textAlignment w:val="center"/>
              <w:rPr>
                <w:rFonts w:hint="eastAsia" w:ascii="宋体" w:hAnsi="宋体" w:cs="宋体"/>
                <w:color w:val="000000"/>
                <w:szCs w:val="21"/>
              </w:rPr>
            </w:pPr>
            <w:r>
              <w:rPr>
                <w:rFonts w:hint="eastAsia" w:ascii="宋体" w:hAnsi="宋体" w:cs="宋体"/>
                <w:color w:val="000000"/>
                <w:szCs w:val="21"/>
                <w:lang w:bidi="ar"/>
              </w:rPr>
              <w:t>工作纪律严明，严守岗位要求</w:t>
            </w:r>
          </w:p>
        </w:tc>
        <w:tc>
          <w:tcPr>
            <w:tcW w:w="403" w:type="pct"/>
            <w:tcBorders>
              <w:top w:val="single" w:color="000000" w:sz="4" w:space="0"/>
              <w:left w:val="single" w:color="000000" w:sz="4" w:space="0"/>
              <w:bottom w:val="single" w:color="000000" w:sz="4" w:space="0"/>
              <w:right w:val="single" w:color="000000" w:sz="4" w:space="0"/>
            </w:tcBorders>
            <w:vAlign w:val="center"/>
          </w:tcPr>
          <w:p w14:paraId="32441C6C">
            <w:pPr>
              <w:jc w:val="center"/>
              <w:textAlignment w:val="center"/>
              <w:rPr>
                <w:rFonts w:hint="eastAsia" w:ascii="宋体" w:hAnsi="宋体" w:cs="宋体"/>
                <w:color w:val="000000"/>
                <w:szCs w:val="21"/>
              </w:rPr>
            </w:pPr>
            <w:r>
              <w:rPr>
                <w:rFonts w:hint="eastAsia" w:ascii="宋体" w:hAnsi="宋体" w:cs="宋体"/>
                <w:color w:val="000000"/>
                <w:szCs w:val="21"/>
                <w:lang w:bidi="ar"/>
              </w:rPr>
              <w:t>5</w:t>
            </w:r>
          </w:p>
        </w:tc>
        <w:tc>
          <w:tcPr>
            <w:tcW w:w="1779" w:type="pct"/>
            <w:tcBorders>
              <w:top w:val="single" w:color="000000" w:sz="4" w:space="0"/>
              <w:left w:val="single" w:color="000000" w:sz="4" w:space="0"/>
              <w:bottom w:val="single" w:color="000000" w:sz="4" w:space="0"/>
              <w:right w:val="single" w:color="000000" w:sz="4" w:space="0"/>
            </w:tcBorders>
            <w:vAlign w:val="center"/>
          </w:tcPr>
          <w:p w14:paraId="7A03197F">
            <w:pPr>
              <w:jc w:val="left"/>
              <w:textAlignment w:val="center"/>
              <w:rPr>
                <w:rFonts w:hint="eastAsia" w:ascii="宋体" w:hAnsi="宋体" w:cs="宋体"/>
                <w:color w:val="000000"/>
                <w:szCs w:val="21"/>
              </w:rPr>
            </w:pPr>
            <w:r>
              <w:rPr>
                <w:rFonts w:hint="eastAsia" w:ascii="宋体" w:hAnsi="宋体" w:cs="宋体"/>
                <w:color w:val="000000"/>
                <w:szCs w:val="21"/>
                <w:lang w:bidi="ar"/>
              </w:rPr>
              <w:t>当班时队员窜岗、睡岗、聊天、嬉笑打闹、玩手机、吃东西、饮酒，及其他不当的行为，每次扣1分。工作时间未经甲方允许擅自离岗的，每次扣2分</w:t>
            </w:r>
          </w:p>
        </w:tc>
        <w:tc>
          <w:tcPr>
            <w:tcW w:w="392" w:type="pct"/>
            <w:tcBorders>
              <w:top w:val="single" w:color="000000" w:sz="4" w:space="0"/>
              <w:left w:val="single" w:color="000000" w:sz="4" w:space="0"/>
              <w:bottom w:val="single" w:color="000000" w:sz="4" w:space="0"/>
              <w:right w:val="single" w:color="000000" w:sz="4" w:space="0"/>
            </w:tcBorders>
            <w:vAlign w:val="center"/>
          </w:tcPr>
          <w:p w14:paraId="63F61B2A">
            <w:pPr>
              <w:jc w:val="center"/>
              <w:rPr>
                <w:rFonts w:hint="eastAsia" w:ascii="宋体" w:hAnsi="宋体" w:cs="宋体"/>
                <w:color w:val="000000"/>
                <w:szCs w:val="21"/>
              </w:rPr>
            </w:pPr>
          </w:p>
        </w:tc>
      </w:tr>
      <w:tr w14:paraId="1D5306D2">
        <w:tblPrEx>
          <w:tblCellMar>
            <w:top w:w="0" w:type="dxa"/>
            <w:left w:w="108" w:type="dxa"/>
            <w:bottom w:w="0" w:type="dxa"/>
            <w:right w:w="108" w:type="dxa"/>
          </w:tblCellMar>
        </w:tblPrEx>
        <w:trPr>
          <w:trHeight w:val="720" w:hRule="atLeast"/>
        </w:trPr>
        <w:tc>
          <w:tcPr>
            <w:tcW w:w="882" w:type="pct"/>
            <w:vMerge w:val="restart"/>
            <w:tcBorders>
              <w:top w:val="nil"/>
              <w:left w:val="single" w:color="000000" w:sz="4" w:space="0"/>
              <w:bottom w:val="single" w:color="000000" w:sz="4" w:space="0"/>
              <w:right w:val="single" w:color="000000" w:sz="4" w:space="0"/>
            </w:tcBorders>
            <w:vAlign w:val="center"/>
          </w:tcPr>
          <w:p w14:paraId="1EAF9219">
            <w:pPr>
              <w:jc w:val="center"/>
              <w:textAlignment w:val="center"/>
              <w:rPr>
                <w:rFonts w:hint="eastAsia" w:ascii="宋体" w:hAnsi="宋体" w:cs="宋体"/>
                <w:color w:val="000000"/>
                <w:szCs w:val="21"/>
              </w:rPr>
            </w:pPr>
            <w:r>
              <w:rPr>
                <w:rFonts w:hint="eastAsia" w:ascii="宋体" w:hAnsi="宋体" w:cs="宋体"/>
                <w:color w:val="000000"/>
                <w:szCs w:val="21"/>
                <w:lang w:bidi="ar"/>
              </w:rPr>
              <w:t>安全保卫（12分）</w:t>
            </w:r>
          </w:p>
        </w:tc>
        <w:tc>
          <w:tcPr>
            <w:tcW w:w="1541" w:type="pct"/>
            <w:tcBorders>
              <w:top w:val="single" w:color="000000" w:sz="4" w:space="0"/>
              <w:left w:val="single" w:color="000000" w:sz="4" w:space="0"/>
              <w:bottom w:val="single" w:color="000000" w:sz="4" w:space="0"/>
              <w:right w:val="single" w:color="000000" w:sz="4" w:space="0"/>
            </w:tcBorders>
            <w:vAlign w:val="center"/>
          </w:tcPr>
          <w:p w14:paraId="5084845A">
            <w:pPr>
              <w:jc w:val="left"/>
              <w:textAlignment w:val="center"/>
              <w:rPr>
                <w:rFonts w:hint="eastAsia" w:ascii="宋体" w:hAnsi="宋体" w:cs="宋体"/>
                <w:color w:val="000000"/>
                <w:szCs w:val="21"/>
              </w:rPr>
            </w:pPr>
            <w:r>
              <w:rPr>
                <w:rFonts w:hint="eastAsia" w:ascii="宋体" w:hAnsi="宋体" w:cs="宋体"/>
                <w:color w:val="000000"/>
                <w:szCs w:val="21"/>
                <w:lang w:bidi="ar"/>
              </w:rPr>
              <w:t>严格执行行政中心出入规定，并做好登记</w:t>
            </w:r>
          </w:p>
        </w:tc>
        <w:tc>
          <w:tcPr>
            <w:tcW w:w="403" w:type="pct"/>
            <w:tcBorders>
              <w:top w:val="single" w:color="000000" w:sz="4" w:space="0"/>
              <w:left w:val="single" w:color="000000" w:sz="4" w:space="0"/>
              <w:bottom w:val="single" w:color="000000" w:sz="4" w:space="0"/>
              <w:right w:val="single" w:color="000000" w:sz="4" w:space="0"/>
            </w:tcBorders>
            <w:vAlign w:val="center"/>
          </w:tcPr>
          <w:p w14:paraId="06D63E2D">
            <w:pPr>
              <w:jc w:val="center"/>
              <w:textAlignment w:val="center"/>
              <w:rPr>
                <w:rFonts w:hint="eastAsia" w:ascii="宋体" w:hAnsi="宋体" w:cs="宋体"/>
                <w:color w:val="000000"/>
                <w:szCs w:val="21"/>
              </w:rPr>
            </w:pPr>
            <w:r>
              <w:rPr>
                <w:rFonts w:hint="eastAsia" w:ascii="宋体" w:hAnsi="宋体" w:cs="宋体"/>
                <w:color w:val="000000"/>
                <w:szCs w:val="21"/>
                <w:lang w:bidi="ar"/>
              </w:rPr>
              <w:t>4</w:t>
            </w:r>
          </w:p>
        </w:tc>
        <w:tc>
          <w:tcPr>
            <w:tcW w:w="1779" w:type="pct"/>
            <w:tcBorders>
              <w:top w:val="single" w:color="000000" w:sz="4" w:space="0"/>
              <w:left w:val="single" w:color="000000" w:sz="4" w:space="0"/>
              <w:bottom w:val="single" w:color="000000" w:sz="4" w:space="0"/>
              <w:right w:val="single" w:color="000000" w:sz="4" w:space="0"/>
            </w:tcBorders>
            <w:vAlign w:val="center"/>
          </w:tcPr>
          <w:p w14:paraId="641BF0C7">
            <w:pPr>
              <w:jc w:val="left"/>
              <w:textAlignment w:val="center"/>
              <w:rPr>
                <w:rFonts w:hint="eastAsia" w:ascii="宋体" w:hAnsi="宋体" w:cs="宋体"/>
                <w:color w:val="000000"/>
                <w:szCs w:val="21"/>
              </w:rPr>
            </w:pPr>
            <w:r>
              <w:rPr>
                <w:rFonts w:hint="eastAsia" w:ascii="宋体" w:hAnsi="宋体" w:cs="宋体"/>
                <w:color w:val="000000"/>
                <w:szCs w:val="21"/>
                <w:lang w:bidi="ar"/>
              </w:rPr>
              <w:t>未按规定私自放人或来访不作登记的，每次扣1分</w:t>
            </w:r>
          </w:p>
        </w:tc>
        <w:tc>
          <w:tcPr>
            <w:tcW w:w="392" w:type="pct"/>
            <w:tcBorders>
              <w:top w:val="single" w:color="000000" w:sz="4" w:space="0"/>
              <w:left w:val="single" w:color="000000" w:sz="4" w:space="0"/>
              <w:bottom w:val="single" w:color="000000" w:sz="4" w:space="0"/>
              <w:right w:val="single" w:color="000000" w:sz="4" w:space="0"/>
            </w:tcBorders>
            <w:vAlign w:val="center"/>
          </w:tcPr>
          <w:p w14:paraId="1EF0F77C">
            <w:pPr>
              <w:jc w:val="center"/>
              <w:rPr>
                <w:rFonts w:hint="eastAsia" w:ascii="宋体" w:hAnsi="宋体" w:cs="宋体"/>
                <w:color w:val="000000"/>
                <w:szCs w:val="21"/>
              </w:rPr>
            </w:pPr>
          </w:p>
        </w:tc>
      </w:tr>
      <w:tr w14:paraId="3FFA4721">
        <w:tblPrEx>
          <w:tblCellMar>
            <w:top w:w="0" w:type="dxa"/>
            <w:left w:w="108" w:type="dxa"/>
            <w:bottom w:w="0" w:type="dxa"/>
            <w:right w:w="108" w:type="dxa"/>
          </w:tblCellMar>
        </w:tblPrEx>
        <w:trPr>
          <w:trHeight w:val="780" w:hRule="atLeast"/>
        </w:trPr>
        <w:tc>
          <w:tcPr>
            <w:tcW w:w="882" w:type="pct"/>
            <w:vMerge w:val="continue"/>
            <w:tcBorders>
              <w:top w:val="nil"/>
              <w:left w:val="single" w:color="000000" w:sz="4" w:space="0"/>
              <w:bottom w:val="single" w:color="000000" w:sz="4" w:space="0"/>
              <w:right w:val="single" w:color="000000" w:sz="4" w:space="0"/>
            </w:tcBorders>
            <w:vAlign w:val="center"/>
          </w:tcPr>
          <w:p w14:paraId="153977AA">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58B07246">
            <w:pPr>
              <w:jc w:val="left"/>
              <w:textAlignment w:val="center"/>
              <w:rPr>
                <w:rFonts w:hint="eastAsia" w:ascii="宋体" w:hAnsi="宋体" w:cs="宋体"/>
                <w:color w:val="000000"/>
                <w:szCs w:val="21"/>
              </w:rPr>
            </w:pPr>
            <w:r>
              <w:rPr>
                <w:rFonts w:hint="eastAsia" w:ascii="宋体" w:hAnsi="宋体" w:cs="宋体"/>
                <w:color w:val="000000"/>
                <w:szCs w:val="21"/>
                <w:lang w:bidi="ar"/>
              </w:rPr>
              <w:t>按规定开展常态化巡逻防范并做好记录，发现问题及时上报</w:t>
            </w:r>
          </w:p>
        </w:tc>
        <w:tc>
          <w:tcPr>
            <w:tcW w:w="403" w:type="pct"/>
            <w:tcBorders>
              <w:top w:val="single" w:color="000000" w:sz="4" w:space="0"/>
              <w:left w:val="single" w:color="000000" w:sz="4" w:space="0"/>
              <w:bottom w:val="single" w:color="000000" w:sz="4" w:space="0"/>
              <w:right w:val="single" w:color="000000" w:sz="4" w:space="0"/>
            </w:tcBorders>
            <w:vAlign w:val="center"/>
          </w:tcPr>
          <w:p w14:paraId="041CC625">
            <w:pPr>
              <w:jc w:val="center"/>
              <w:textAlignment w:val="center"/>
              <w:rPr>
                <w:rFonts w:hint="eastAsia" w:ascii="宋体" w:hAnsi="宋体" w:cs="宋体"/>
                <w:color w:val="000000"/>
                <w:szCs w:val="21"/>
              </w:rPr>
            </w:pPr>
            <w:r>
              <w:rPr>
                <w:rFonts w:hint="eastAsia" w:ascii="宋体" w:hAnsi="宋体" w:cs="宋体"/>
                <w:color w:val="000000"/>
                <w:szCs w:val="21"/>
                <w:lang w:bidi="ar"/>
              </w:rPr>
              <w:t>6</w:t>
            </w:r>
          </w:p>
        </w:tc>
        <w:tc>
          <w:tcPr>
            <w:tcW w:w="1779" w:type="pct"/>
            <w:tcBorders>
              <w:top w:val="single" w:color="000000" w:sz="4" w:space="0"/>
              <w:left w:val="single" w:color="000000" w:sz="4" w:space="0"/>
              <w:bottom w:val="single" w:color="000000" w:sz="4" w:space="0"/>
              <w:right w:val="single" w:color="000000" w:sz="4" w:space="0"/>
            </w:tcBorders>
            <w:vAlign w:val="center"/>
          </w:tcPr>
          <w:p w14:paraId="5EEA1D55">
            <w:pPr>
              <w:jc w:val="left"/>
              <w:textAlignment w:val="center"/>
              <w:rPr>
                <w:rFonts w:hint="eastAsia" w:ascii="宋体" w:hAnsi="宋体" w:cs="宋体"/>
                <w:color w:val="000000"/>
                <w:szCs w:val="21"/>
              </w:rPr>
            </w:pPr>
            <w:r>
              <w:rPr>
                <w:rFonts w:hint="eastAsia" w:ascii="宋体" w:hAnsi="宋体" w:cs="宋体"/>
                <w:color w:val="000000"/>
                <w:szCs w:val="21"/>
                <w:lang w:bidi="ar"/>
              </w:rPr>
              <w:t>未开展常态化巡逻或发现问题没有主动及时上报的，每次扣2分</w:t>
            </w:r>
          </w:p>
        </w:tc>
        <w:tc>
          <w:tcPr>
            <w:tcW w:w="392" w:type="pct"/>
            <w:tcBorders>
              <w:top w:val="single" w:color="000000" w:sz="4" w:space="0"/>
              <w:left w:val="single" w:color="000000" w:sz="4" w:space="0"/>
              <w:bottom w:val="single" w:color="000000" w:sz="4" w:space="0"/>
              <w:right w:val="single" w:color="000000" w:sz="4" w:space="0"/>
            </w:tcBorders>
            <w:vAlign w:val="center"/>
          </w:tcPr>
          <w:p w14:paraId="56741FF1">
            <w:pPr>
              <w:jc w:val="center"/>
              <w:rPr>
                <w:rFonts w:hint="eastAsia" w:ascii="宋体" w:hAnsi="宋体" w:cs="宋体"/>
                <w:color w:val="000000"/>
                <w:szCs w:val="21"/>
              </w:rPr>
            </w:pPr>
          </w:p>
        </w:tc>
      </w:tr>
      <w:tr w14:paraId="7FBBE678">
        <w:tblPrEx>
          <w:tblCellMar>
            <w:top w:w="0" w:type="dxa"/>
            <w:left w:w="108" w:type="dxa"/>
            <w:bottom w:w="0" w:type="dxa"/>
            <w:right w:w="108" w:type="dxa"/>
          </w:tblCellMar>
        </w:tblPrEx>
        <w:trPr>
          <w:trHeight w:val="735" w:hRule="atLeast"/>
        </w:trPr>
        <w:tc>
          <w:tcPr>
            <w:tcW w:w="882" w:type="pct"/>
            <w:vMerge w:val="continue"/>
            <w:tcBorders>
              <w:top w:val="nil"/>
              <w:left w:val="single" w:color="000000" w:sz="4" w:space="0"/>
              <w:bottom w:val="single" w:color="000000" w:sz="4" w:space="0"/>
              <w:right w:val="single" w:color="000000" w:sz="4" w:space="0"/>
            </w:tcBorders>
            <w:vAlign w:val="center"/>
          </w:tcPr>
          <w:p w14:paraId="7F878A03">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0DC68ACE">
            <w:pPr>
              <w:jc w:val="left"/>
              <w:textAlignment w:val="center"/>
              <w:rPr>
                <w:rFonts w:hint="eastAsia" w:ascii="宋体" w:hAnsi="宋体" w:cs="宋体"/>
                <w:color w:val="000000"/>
                <w:szCs w:val="21"/>
              </w:rPr>
            </w:pPr>
            <w:r>
              <w:rPr>
                <w:rFonts w:hint="eastAsia" w:ascii="宋体" w:hAnsi="宋体" w:cs="宋体"/>
                <w:color w:val="000000"/>
                <w:szCs w:val="21"/>
                <w:lang w:bidi="ar"/>
              </w:rPr>
              <w:t>防护器械配备齐全，并熟练操作</w:t>
            </w:r>
          </w:p>
        </w:tc>
        <w:tc>
          <w:tcPr>
            <w:tcW w:w="403" w:type="pct"/>
            <w:tcBorders>
              <w:top w:val="single" w:color="000000" w:sz="4" w:space="0"/>
              <w:left w:val="single" w:color="000000" w:sz="4" w:space="0"/>
              <w:bottom w:val="single" w:color="000000" w:sz="4" w:space="0"/>
              <w:right w:val="single" w:color="000000" w:sz="4" w:space="0"/>
            </w:tcBorders>
            <w:vAlign w:val="center"/>
          </w:tcPr>
          <w:p w14:paraId="14C7C21A">
            <w:pPr>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c>
          <w:tcPr>
            <w:tcW w:w="1779" w:type="pct"/>
            <w:tcBorders>
              <w:top w:val="single" w:color="000000" w:sz="4" w:space="0"/>
              <w:left w:val="single" w:color="000000" w:sz="4" w:space="0"/>
              <w:bottom w:val="single" w:color="000000" w:sz="4" w:space="0"/>
              <w:right w:val="single" w:color="000000" w:sz="4" w:space="0"/>
            </w:tcBorders>
            <w:vAlign w:val="center"/>
          </w:tcPr>
          <w:p w14:paraId="4E6E1AF0">
            <w:pPr>
              <w:jc w:val="left"/>
              <w:textAlignment w:val="center"/>
              <w:rPr>
                <w:rFonts w:hint="eastAsia" w:ascii="宋体" w:hAnsi="宋体" w:cs="宋体"/>
                <w:color w:val="000000"/>
                <w:szCs w:val="21"/>
              </w:rPr>
            </w:pPr>
            <w:r>
              <w:rPr>
                <w:rFonts w:hint="eastAsia" w:ascii="宋体" w:hAnsi="宋体" w:cs="宋体"/>
                <w:color w:val="000000"/>
                <w:szCs w:val="21"/>
                <w:lang w:bidi="ar"/>
              </w:rPr>
              <w:t>防护器械配备不全，或不会操作的，每次扣1分</w:t>
            </w:r>
          </w:p>
        </w:tc>
        <w:tc>
          <w:tcPr>
            <w:tcW w:w="392" w:type="pct"/>
            <w:tcBorders>
              <w:top w:val="single" w:color="000000" w:sz="4" w:space="0"/>
              <w:left w:val="single" w:color="000000" w:sz="4" w:space="0"/>
              <w:bottom w:val="single" w:color="000000" w:sz="4" w:space="0"/>
              <w:right w:val="single" w:color="000000" w:sz="4" w:space="0"/>
            </w:tcBorders>
            <w:vAlign w:val="center"/>
          </w:tcPr>
          <w:p w14:paraId="710C4B91">
            <w:pPr>
              <w:jc w:val="center"/>
              <w:rPr>
                <w:rFonts w:hint="eastAsia" w:ascii="宋体" w:hAnsi="宋体" w:cs="宋体"/>
                <w:color w:val="000000"/>
                <w:szCs w:val="21"/>
              </w:rPr>
            </w:pPr>
          </w:p>
        </w:tc>
      </w:tr>
      <w:tr w14:paraId="7EBCAE94">
        <w:tblPrEx>
          <w:tblCellMar>
            <w:top w:w="0" w:type="dxa"/>
            <w:left w:w="108" w:type="dxa"/>
            <w:bottom w:w="0" w:type="dxa"/>
            <w:right w:w="108" w:type="dxa"/>
          </w:tblCellMar>
        </w:tblPrEx>
        <w:trPr>
          <w:trHeight w:val="855" w:hRule="atLeast"/>
        </w:trPr>
        <w:tc>
          <w:tcPr>
            <w:tcW w:w="882" w:type="pct"/>
            <w:vMerge w:val="restart"/>
            <w:tcBorders>
              <w:top w:val="nil"/>
              <w:left w:val="single" w:color="000000" w:sz="4" w:space="0"/>
              <w:bottom w:val="nil"/>
              <w:right w:val="single" w:color="000000" w:sz="4" w:space="0"/>
            </w:tcBorders>
            <w:vAlign w:val="center"/>
          </w:tcPr>
          <w:p w14:paraId="66857FE7">
            <w:pPr>
              <w:jc w:val="center"/>
              <w:textAlignment w:val="center"/>
              <w:rPr>
                <w:rFonts w:hint="eastAsia" w:ascii="宋体" w:hAnsi="宋体" w:cs="宋体"/>
                <w:color w:val="000000"/>
                <w:szCs w:val="21"/>
              </w:rPr>
            </w:pPr>
            <w:r>
              <w:rPr>
                <w:rFonts w:hint="eastAsia" w:ascii="宋体" w:hAnsi="宋体" w:cs="宋体"/>
                <w:color w:val="000000"/>
                <w:szCs w:val="21"/>
                <w:lang w:bidi="ar"/>
              </w:rPr>
              <w:t>车辆管理（18分）</w:t>
            </w:r>
          </w:p>
        </w:tc>
        <w:tc>
          <w:tcPr>
            <w:tcW w:w="1541" w:type="pct"/>
            <w:tcBorders>
              <w:top w:val="single" w:color="000000" w:sz="4" w:space="0"/>
              <w:left w:val="single" w:color="000000" w:sz="4" w:space="0"/>
              <w:bottom w:val="single" w:color="000000" w:sz="4" w:space="0"/>
              <w:right w:val="single" w:color="000000" w:sz="4" w:space="0"/>
            </w:tcBorders>
            <w:vAlign w:val="center"/>
          </w:tcPr>
          <w:p w14:paraId="2A88B9EE">
            <w:pPr>
              <w:jc w:val="left"/>
              <w:textAlignment w:val="center"/>
              <w:rPr>
                <w:rFonts w:hint="eastAsia" w:ascii="宋体" w:hAnsi="宋体" w:cs="宋体"/>
                <w:color w:val="000000"/>
                <w:szCs w:val="21"/>
              </w:rPr>
            </w:pPr>
            <w:r>
              <w:rPr>
                <w:rFonts w:hint="eastAsia" w:ascii="宋体" w:hAnsi="宋体" w:cs="宋体"/>
                <w:color w:val="000000"/>
                <w:szCs w:val="21"/>
                <w:lang w:bidi="ar"/>
              </w:rPr>
              <w:t>对行车通道、消防通道、非停车位停车及时制止，并做好沟通解释</w:t>
            </w:r>
          </w:p>
        </w:tc>
        <w:tc>
          <w:tcPr>
            <w:tcW w:w="403" w:type="pct"/>
            <w:tcBorders>
              <w:top w:val="single" w:color="000000" w:sz="4" w:space="0"/>
              <w:left w:val="single" w:color="000000" w:sz="4" w:space="0"/>
              <w:bottom w:val="single" w:color="000000" w:sz="4" w:space="0"/>
              <w:right w:val="single" w:color="000000" w:sz="4" w:space="0"/>
            </w:tcBorders>
            <w:vAlign w:val="center"/>
          </w:tcPr>
          <w:p w14:paraId="5A51A059">
            <w:pPr>
              <w:jc w:val="center"/>
              <w:textAlignment w:val="center"/>
              <w:rPr>
                <w:rFonts w:hint="eastAsia" w:ascii="宋体" w:hAnsi="宋体" w:cs="宋体"/>
                <w:color w:val="000000"/>
                <w:szCs w:val="21"/>
              </w:rPr>
            </w:pPr>
            <w:r>
              <w:rPr>
                <w:rFonts w:hint="eastAsia" w:ascii="宋体" w:hAnsi="宋体" w:cs="宋体"/>
                <w:color w:val="000000"/>
                <w:szCs w:val="21"/>
                <w:lang w:bidi="ar"/>
              </w:rPr>
              <w:t>8</w:t>
            </w:r>
          </w:p>
        </w:tc>
        <w:tc>
          <w:tcPr>
            <w:tcW w:w="1779" w:type="pct"/>
            <w:tcBorders>
              <w:top w:val="single" w:color="000000" w:sz="4" w:space="0"/>
              <w:left w:val="single" w:color="000000" w:sz="4" w:space="0"/>
              <w:bottom w:val="single" w:color="000000" w:sz="4" w:space="0"/>
              <w:right w:val="single" w:color="000000" w:sz="4" w:space="0"/>
            </w:tcBorders>
            <w:vAlign w:val="center"/>
          </w:tcPr>
          <w:p w14:paraId="08815BB7">
            <w:pPr>
              <w:jc w:val="left"/>
              <w:textAlignment w:val="center"/>
              <w:rPr>
                <w:rFonts w:hint="eastAsia" w:ascii="宋体" w:hAnsi="宋体" w:cs="宋体"/>
                <w:color w:val="000000"/>
                <w:szCs w:val="21"/>
              </w:rPr>
            </w:pPr>
            <w:r>
              <w:rPr>
                <w:rFonts w:hint="eastAsia" w:ascii="宋体" w:hAnsi="宋体" w:cs="宋体"/>
                <w:color w:val="000000"/>
                <w:szCs w:val="21"/>
                <w:lang w:bidi="ar"/>
              </w:rPr>
              <w:t>对行车通道、消防通道、非停车位停车未及时制止的，每次扣2分</w:t>
            </w:r>
          </w:p>
        </w:tc>
        <w:tc>
          <w:tcPr>
            <w:tcW w:w="392" w:type="pct"/>
            <w:tcBorders>
              <w:top w:val="single" w:color="000000" w:sz="4" w:space="0"/>
              <w:left w:val="single" w:color="000000" w:sz="4" w:space="0"/>
              <w:bottom w:val="single" w:color="000000" w:sz="4" w:space="0"/>
              <w:right w:val="single" w:color="000000" w:sz="4" w:space="0"/>
            </w:tcBorders>
            <w:vAlign w:val="center"/>
          </w:tcPr>
          <w:p w14:paraId="65A825BD">
            <w:pPr>
              <w:jc w:val="center"/>
              <w:rPr>
                <w:rFonts w:hint="eastAsia" w:ascii="宋体" w:hAnsi="宋体" w:cs="宋体"/>
                <w:color w:val="000000"/>
                <w:szCs w:val="21"/>
              </w:rPr>
            </w:pPr>
          </w:p>
        </w:tc>
      </w:tr>
      <w:tr w14:paraId="4B761B92">
        <w:tblPrEx>
          <w:tblCellMar>
            <w:top w:w="0" w:type="dxa"/>
            <w:left w:w="108" w:type="dxa"/>
            <w:bottom w:w="0" w:type="dxa"/>
            <w:right w:w="108" w:type="dxa"/>
          </w:tblCellMar>
        </w:tblPrEx>
        <w:trPr>
          <w:trHeight w:val="615" w:hRule="atLeast"/>
        </w:trPr>
        <w:tc>
          <w:tcPr>
            <w:tcW w:w="882" w:type="pct"/>
            <w:vMerge w:val="continue"/>
            <w:tcBorders>
              <w:top w:val="nil"/>
              <w:left w:val="single" w:color="000000" w:sz="4" w:space="0"/>
              <w:bottom w:val="nil"/>
              <w:right w:val="single" w:color="000000" w:sz="4" w:space="0"/>
            </w:tcBorders>
            <w:vAlign w:val="center"/>
          </w:tcPr>
          <w:p w14:paraId="27826BB0">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vAlign w:val="center"/>
          </w:tcPr>
          <w:p w14:paraId="516A0598">
            <w:pPr>
              <w:jc w:val="left"/>
              <w:textAlignment w:val="center"/>
              <w:rPr>
                <w:rFonts w:hint="eastAsia" w:ascii="宋体" w:hAnsi="宋体" w:cs="宋体"/>
                <w:color w:val="000000"/>
                <w:szCs w:val="21"/>
              </w:rPr>
            </w:pPr>
            <w:r>
              <w:rPr>
                <w:rFonts w:hint="eastAsia" w:ascii="宋体" w:hAnsi="宋体" w:cs="宋体"/>
                <w:color w:val="000000"/>
                <w:szCs w:val="21"/>
                <w:lang w:bidi="ar"/>
              </w:rPr>
              <w:t>对违规停放车辆按规定张贴告知单</w:t>
            </w:r>
          </w:p>
        </w:tc>
        <w:tc>
          <w:tcPr>
            <w:tcW w:w="403" w:type="pct"/>
            <w:tcBorders>
              <w:top w:val="single" w:color="000000" w:sz="4" w:space="0"/>
              <w:left w:val="single" w:color="000000" w:sz="4" w:space="0"/>
              <w:bottom w:val="single" w:color="000000" w:sz="4" w:space="0"/>
              <w:right w:val="single" w:color="000000" w:sz="4" w:space="0"/>
            </w:tcBorders>
            <w:vAlign w:val="center"/>
          </w:tcPr>
          <w:p w14:paraId="6B657D12">
            <w:pPr>
              <w:jc w:val="center"/>
              <w:textAlignment w:val="center"/>
              <w:rPr>
                <w:rFonts w:hint="eastAsia" w:ascii="宋体" w:hAnsi="宋体" w:cs="宋体"/>
                <w:color w:val="000000"/>
                <w:szCs w:val="21"/>
              </w:rPr>
            </w:pPr>
            <w:r>
              <w:rPr>
                <w:rFonts w:hint="eastAsia" w:ascii="宋体" w:hAnsi="宋体" w:cs="宋体"/>
                <w:color w:val="000000"/>
                <w:szCs w:val="21"/>
                <w:lang w:bidi="ar"/>
              </w:rPr>
              <w:t>8</w:t>
            </w:r>
          </w:p>
        </w:tc>
        <w:tc>
          <w:tcPr>
            <w:tcW w:w="1779" w:type="pct"/>
            <w:tcBorders>
              <w:top w:val="single" w:color="000000" w:sz="4" w:space="0"/>
              <w:left w:val="single" w:color="000000" w:sz="4" w:space="0"/>
              <w:bottom w:val="single" w:color="000000" w:sz="4" w:space="0"/>
              <w:right w:val="single" w:color="000000" w:sz="4" w:space="0"/>
            </w:tcBorders>
            <w:vAlign w:val="center"/>
          </w:tcPr>
          <w:p w14:paraId="2F7C081D">
            <w:pPr>
              <w:jc w:val="left"/>
              <w:textAlignment w:val="center"/>
              <w:rPr>
                <w:rFonts w:hint="eastAsia" w:ascii="宋体" w:hAnsi="宋体" w:cs="宋体"/>
                <w:color w:val="000000"/>
                <w:szCs w:val="21"/>
              </w:rPr>
            </w:pPr>
            <w:r>
              <w:rPr>
                <w:rFonts w:hint="eastAsia" w:ascii="宋体" w:hAnsi="宋体" w:cs="宋体"/>
                <w:color w:val="000000"/>
                <w:szCs w:val="21"/>
                <w:lang w:bidi="ar"/>
              </w:rPr>
              <w:t>对违规停放车辆未及时张贴告知单的，每次扣2分</w:t>
            </w:r>
          </w:p>
        </w:tc>
        <w:tc>
          <w:tcPr>
            <w:tcW w:w="392" w:type="pct"/>
            <w:tcBorders>
              <w:top w:val="single" w:color="000000" w:sz="4" w:space="0"/>
              <w:left w:val="single" w:color="000000" w:sz="4" w:space="0"/>
              <w:bottom w:val="single" w:color="000000" w:sz="4" w:space="0"/>
              <w:right w:val="single" w:color="000000" w:sz="4" w:space="0"/>
            </w:tcBorders>
            <w:vAlign w:val="center"/>
          </w:tcPr>
          <w:p w14:paraId="444FFBA7">
            <w:pPr>
              <w:jc w:val="center"/>
              <w:rPr>
                <w:rFonts w:hint="eastAsia" w:ascii="宋体" w:hAnsi="宋体" w:cs="宋体"/>
                <w:color w:val="000000"/>
                <w:szCs w:val="21"/>
              </w:rPr>
            </w:pPr>
          </w:p>
        </w:tc>
      </w:tr>
      <w:tr w14:paraId="058B04D0">
        <w:tblPrEx>
          <w:tblCellMar>
            <w:top w:w="0" w:type="dxa"/>
            <w:left w:w="108" w:type="dxa"/>
            <w:bottom w:w="0" w:type="dxa"/>
            <w:right w:w="108" w:type="dxa"/>
          </w:tblCellMar>
        </w:tblPrEx>
        <w:trPr>
          <w:trHeight w:val="1000" w:hRule="atLeast"/>
        </w:trPr>
        <w:tc>
          <w:tcPr>
            <w:tcW w:w="882" w:type="pct"/>
            <w:vMerge w:val="continue"/>
            <w:tcBorders>
              <w:top w:val="nil"/>
              <w:left w:val="single" w:color="000000" w:sz="4" w:space="0"/>
              <w:bottom w:val="nil"/>
              <w:right w:val="single" w:color="000000" w:sz="4" w:space="0"/>
            </w:tcBorders>
            <w:vAlign w:val="center"/>
          </w:tcPr>
          <w:p w14:paraId="0D0C8B15">
            <w:pPr>
              <w:jc w:val="center"/>
              <w:rPr>
                <w:rFonts w:hint="eastAsia" w:ascii="宋体" w:hAnsi="宋体" w:cs="宋体"/>
                <w:color w:val="000000"/>
                <w:szCs w:val="21"/>
              </w:rPr>
            </w:pPr>
          </w:p>
        </w:tc>
        <w:tc>
          <w:tcPr>
            <w:tcW w:w="1541" w:type="pct"/>
            <w:tcBorders>
              <w:top w:val="single" w:color="000000" w:sz="4" w:space="0"/>
              <w:left w:val="single" w:color="000000" w:sz="4" w:space="0"/>
              <w:bottom w:val="nil"/>
              <w:right w:val="single" w:color="000000" w:sz="4" w:space="0"/>
            </w:tcBorders>
            <w:vAlign w:val="center"/>
          </w:tcPr>
          <w:p w14:paraId="35404C58">
            <w:pPr>
              <w:jc w:val="left"/>
              <w:textAlignment w:val="center"/>
              <w:rPr>
                <w:rFonts w:hint="eastAsia" w:ascii="宋体" w:hAnsi="宋体" w:cs="宋体"/>
                <w:color w:val="000000"/>
                <w:szCs w:val="21"/>
              </w:rPr>
            </w:pPr>
            <w:r>
              <w:rPr>
                <w:rFonts w:hint="eastAsia" w:ascii="宋体" w:hAnsi="宋体" w:cs="宋体"/>
                <w:color w:val="000000"/>
                <w:szCs w:val="21"/>
                <w:lang w:bidi="ar"/>
              </w:rPr>
              <w:t>周末及节假日有大型会议活动的，安排人员做好车辆停放管理</w:t>
            </w:r>
          </w:p>
        </w:tc>
        <w:tc>
          <w:tcPr>
            <w:tcW w:w="403" w:type="pct"/>
            <w:tcBorders>
              <w:top w:val="single" w:color="000000" w:sz="4" w:space="0"/>
              <w:left w:val="single" w:color="000000" w:sz="4" w:space="0"/>
              <w:bottom w:val="nil"/>
              <w:right w:val="single" w:color="000000" w:sz="4" w:space="0"/>
            </w:tcBorders>
            <w:vAlign w:val="center"/>
          </w:tcPr>
          <w:p w14:paraId="7EBD89C8">
            <w:pPr>
              <w:jc w:val="center"/>
              <w:textAlignment w:val="center"/>
              <w:rPr>
                <w:rFonts w:hint="eastAsia" w:ascii="宋体" w:hAnsi="宋体" w:cs="宋体"/>
                <w:color w:val="000000"/>
                <w:szCs w:val="21"/>
              </w:rPr>
            </w:pPr>
            <w:r>
              <w:rPr>
                <w:rFonts w:hint="eastAsia" w:ascii="宋体" w:hAnsi="宋体" w:cs="宋体"/>
                <w:color w:val="000000"/>
                <w:szCs w:val="21"/>
                <w:lang w:bidi="ar"/>
              </w:rPr>
              <w:t>2</w:t>
            </w:r>
          </w:p>
        </w:tc>
        <w:tc>
          <w:tcPr>
            <w:tcW w:w="1779" w:type="pct"/>
            <w:tcBorders>
              <w:top w:val="single" w:color="000000" w:sz="4" w:space="0"/>
              <w:left w:val="single" w:color="000000" w:sz="4" w:space="0"/>
              <w:bottom w:val="nil"/>
              <w:right w:val="single" w:color="000000" w:sz="4" w:space="0"/>
            </w:tcBorders>
            <w:vAlign w:val="center"/>
          </w:tcPr>
          <w:p w14:paraId="485BB83D">
            <w:pPr>
              <w:jc w:val="left"/>
              <w:textAlignment w:val="center"/>
              <w:rPr>
                <w:rFonts w:hint="eastAsia" w:ascii="宋体" w:hAnsi="宋体" w:cs="宋体"/>
                <w:color w:val="000000"/>
                <w:szCs w:val="21"/>
              </w:rPr>
            </w:pPr>
            <w:r>
              <w:rPr>
                <w:rFonts w:hint="eastAsia" w:ascii="宋体" w:hAnsi="宋体" w:cs="宋体"/>
                <w:color w:val="000000"/>
                <w:szCs w:val="21"/>
                <w:lang w:bidi="ar"/>
              </w:rPr>
              <w:t>周末及节假日有大型会议活动，不配合做好车辆停放管理的，每次扣1分</w:t>
            </w:r>
          </w:p>
        </w:tc>
        <w:tc>
          <w:tcPr>
            <w:tcW w:w="392" w:type="pct"/>
            <w:tcBorders>
              <w:top w:val="single" w:color="000000" w:sz="4" w:space="0"/>
              <w:left w:val="single" w:color="000000" w:sz="4" w:space="0"/>
              <w:bottom w:val="single" w:color="000000" w:sz="4" w:space="0"/>
              <w:right w:val="single" w:color="000000" w:sz="4" w:space="0"/>
            </w:tcBorders>
            <w:vAlign w:val="center"/>
          </w:tcPr>
          <w:p w14:paraId="01B7DC4C">
            <w:pPr>
              <w:jc w:val="center"/>
              <w:rPr>
                <w:rFonts w:hint="eastAsia" w:ascii="宋体" w:hAnsi="宋体" w:cs="宋体"/>
                <w:color w:val="000000"/>
                <w:szCs w:val="21"/>
              </w:rPr>
            </w:pPr>
          </w:p>
        </w:tc>
      </w:tr>
      <w:tr w14:paraId="403BF78D">
        <w:tblPrEx>
          <w:tblCellMar>
            <w:top w:w="0" w:type="dxa"/>
            <w:left w:w="108" w:type="dxa"/>
            <w:bottom w:w="0" w:type="dxa"/>
            <w:right w:w="108" w:type="dxa"/>
          </w:tblCellMar>
        </w:tblPrEx>
        <w:trPr>
          <w:trHeight w:val="615" w:hRule="atLeast"/>
        </w:trPr>
        <w:tc>
          <w:tcPr>
            <w:tcW w:w="882" w:type="pct"/>
            <w:tcBorders>
              <w:top w:val="single" w:color="000000" w:sz="4" w:space="0"/>
              <w:left w:val="single" w:color="000000" w:sz="4" w:space="0"/>
              <w:bottom w:val="single" w:color="000000" w:sz="4" w:space="0"/>
              <w:right w:val="single" w:color="000000" w:sz="4" w:space="0"/>
            </w:tcBorders>
            <w:noWrap/>
            <w:vAlign w:val="center"/>
          </w:tcPr>
          <w:p w14:paraId="414451B1">
            <w:pPr>
              <w:jc w:val="center"/>
              <w:rPr>
                <w:rFonts w:hint="eastAsia" w:ascii="宋体" w:hAnsi="宋体" w:cs="宋体"/>
                <w:color w:val="000000"/>
                <w:szCs w:val="21"/>
              </w:rPr>
            </w:pP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74FED1A0">
            <w:pPr>
              <w:jc w:val="center"/>
              <w:rPr>
                <w:rFonts w:hint="eastAsia" w:ascii="宋体" w:hAnsi="宋体" w:cs="宋体"/>
                <w:color w:val="000000"/>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6EBCCBFA">
            <w:pPr>
              <w:jc w:val="center"/>
              <w:rPr>
                <w:rFonts w:hint="eastAsia" w:ascii="宋体" w:hAnsi="宋体" w:cs="宋体"/>
                <w:color w:val="000000"/>
                <w:szCs w:val="21"/>
              </w:rPr>
            </w:pPr>
          </w:p>
        </w:tc>
        <w:tc>
          <w:tcPr>
            <w:tcW w:w="2171" w:type="pct"/>
            <w:gridSpan w:val="2"/>
            <w:tcBorders>
              <w:top w:val="single" w:color="000000" w:sz="4" w:space="0"/>
              <w:left w:val="single" w:color="000000" w:sz="4" w:space="0"/>
              <w:bottom w:val="single" w:color="000000" w:sz="4" w:space="0"/>
              <w:right w:val="single" w:color="000000" w:sz="4" w:space="0"/>
            </w:tcBorders>
            <w:noWrap/>
            <w:vAlign w:val="center"/>
          </w:tcPr>
          <w:p w14:paraId="5BEA228A">
            <w:pPr>
              <w:jc w:val="center"/>
              <w:textAlignment w:val="center"/>
              <w:rPr>
                <w:rFonts w:hint="eastAsia" w:ascii="宋体" w:hAnsi="宋体" w:cs="宋体"/>
                <w:color w:val="000000"/>
                <w:szCs w:val="21"/>
              </w:rPr>
            </w:pPr>
            <w:r>
              <w:rPr>
                <w:rFonts w:hint="eastAsia" w:ascii="宋体" w:hAnsi="宋体" w:cs="宋体"/>
                <w:color w:val="000000"/>
                <w:szCs w:val="21"/>
                <w:lang w:bidi="ar"/>
              </w:rPr>
              <w:t>最终得分</w:t>
            </w:r>
          </w:p>
        </w:tc>
      </w:tr>
      <w:tr w14:paraId="7FABEEE3">
        <w:tblPrEx>
          <w:tblCellMar>
            <w:top w:w="0" w:type="dxa"/>
            <w:left w:w="108" w:type="dxa"/>
            <w:bottom w:w="0" w:type="dxa"/>
            <w:right w:w="108" w:type="dxa"/>
          </w:tblCellMar>
        </w:tblPrEx>
        <w:trPr>
          <w:trHeight w:val="615" w:hRule="atLeast"/>
        </w:trPr>
        <w:tc>
          <w:tcPr>
            <w:tcW w:w="5000" w:type="pct"/>
            <w:gridSpan w:val="5"/>
            <w:tcBorders>
              <w:top w:val="single" w:color="000000" w:sz="4" w:space="0"/>
              <w:left w:val="single" w:color="000000" w:sz="4" w:space="0"/>
              <w:bottom w:val="nil"/>
              <w:right w:val="single" w:color="000000" w:sz="4" w:space="0"/>
            </w:tcBorders>
            <w:noWrap/>
            <w:vAlign w:val="center"/>
          </w:tcPr>
          <w:p w14:paraId="5794B9E2">
            <w:pPr>
              <w:jc w:val="left"/>
              <w:textAlignment w:val="center"/>
              <w:rPr>
                <w:rFonts w:hint="eastAsia" w:ascii="宋体" w:hAnsi="宋体" w:cs="宋体"/>
                <w:color w:val="000000"/>
                <w:szCs w:val="21"/>
              </w:rPr>
            </w:pPr>
            <w:r>
              <w:rPr>
                <w:rFonts w:hint="eastAsia" w:ascii="宋体" w:hAnsi="宋体" w:cs="宋体"/>
                <w:color w:val="000000"/>
                <w:szCs w:val="21"/>
                <w:lang w:bidi="ar"/>
              </w:rPr>
              <w:t>注：考核总分100分，考核结果95分（含）以上的支付当季全额服务费；考核得分95以下的每分扣500元服务费；80分以下扣除当季全额服务费用的15%，且采购人有权终止合同，并且不承担任何赔偿责任。</w:t>
            </w:r>
          </w:p>
        </w:tc>
      </w:tr>
      <w:tr w14:paraId="31B54441">
        <w:tblPrEx>
          <w:tblCellMar>
            <w:top w:w="0" w:type="dxa"/>
            <w:left w:w="108" w:type="dxa"/>
            <w:bottom w:w="0" w:type="dxa"/>
            <w:right w:w="108" w:type="dxa"/>
          </w:tblCellMar>
        </w:tblPrEx>
        <w:trPr>
          <w:trHeight w:val="420"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01F867DD">
            <w:pPr>
              <w:jc w:val="left"/>
              <w:textAlignment w:val="center"/>
              <w:rPr>
                <w:rFonts w:hint="eastAsia" w:ascii="宋体" w:hAnsi="宋体" w:cs="宋体"/>
                <w:color w:val="000000"/>
                <w:szCs w:val="21"/>
              </w:rPr>
            </w:pPr>
            <w:r>
              <w:rPr>
                <w:rFonts w:hint="eastAsia" w:ascii="宋体" w:hAnsi="宋体" w:cs="宋体"/>
                <w:color w:val="000000"/>
                <w:szCs w:val="21"/>
                <w:lang w:bidi="ar"/>
              </w:rPr>
              <w:t xml:space="preserve">    乙方签字：                           甲方签字：</w:t>
            </w:r>
            <w:r>
              <w:rPr>
                <w:rFonts w:hint="eastAsia" w:ascii="宋体" w:hAnsi="宋体" w:cs="宋体"/>
                <w:color w:val="000000"/>
                <w:szCs w:val="21"/>
                <w:lang w:bidi="ar"/>
              </w:rPr>
              <w:br w:type="textWrapping"/>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日    期：                           日    期：</w:t>
            </w:r>
          </w:p>
        </w:tc>
      </w:tr>
    </w:tbl>
    <w:p w14:paraId="12084996">
      <w:pPr>
        <w:spacing w:line="500" w:lineRule="exact"/>
        <w:ind w:firstLine="480" w:firstLineChars="200"/>
        <w:jc w:val="left"/>
        <w:rPr>
          <w:color w:val="000000"/>
          <w:kern w:val="2"/>
          <w:sz w:val="24"/>
        </w:rPr>
      </w:pPr>
      <w:r>
        <w:rPr>
          <w:rFonts w:hint="eastAsia"/>
          <w:color w:val="000000"/>
          <w:kern w:val="2"/>
          <w:sz w:val="24"/>
        </w:rPr>
        <w:t>（六）服务期限要求</w:t>
      </w:r>
    </w:p>
    <w:p w14:paraId="62FBAD0C">
      <w:pPr>
        <w:spacing w:line="500" w:lineRule="exact"/>
        <w:ind w:firstLine="480" w:firstLineChars="200"/>
        <w:jc w:val="left"/>
        <w:rPr>
          <w:color w:val="000000"/>
          <w:kern w:val="2"/>
          <w:sz w:val="24"/>
        </w:rPr>
      </w:pPr>
      <w:r>
        <w:rPr>
          <w:rFonts w:hint="eastAsia"/>
          <w:color w:val="000000"/>
          <w:kern w:val="2"/>
          <w:sz w:val="24"/>
        </w:rPr>
        <w:t>1.本项目合同价为一年度的服务费用，根据《政府购买服务管理办法》第二十四条规定，本项目根据采购结果，采取一次招标三年沿用。一年合同期满后，甲方未获得预算批复或因政策变化采购需求取消，则经甲方书面通知乙方后，合同到期终止不再续签，或受疫情等不可抗力的影响，次年预算压减，甲方也将根据新的预算重新采购，乙方自行承担相应风险。服务期自合同签订之日起一年，实行一年一考核一续签合同的办法，甲方有权单方决定是否续签后一年度合同，除政策性调整(如最低工资等)外，合同金额不作改变。如果乙方没有达到合同所要求履行条件之一的，则甲方有权在委托期限内随时终止合同。</w:t>
      </w:r>
    </w:p>
    <w:p w14:paraId="6C2A8FFB">
      <w:pPr>
        <w:spacing w:line="500" w:lineRule="exact"/>
        <w:ind w:firstLine="480" w:firstLineChars="200"/>
        <w:jc w:val="left"/>
        <w:rPr>
          <w:color w:val="000000"/>
          <w:kern w:val="2"/>
          <w:sz w:val="24"/>
        </w:rPr>
      </w:pPr>
      <w:r>
        <w:rPr>
          <w:rFonts w:hint="eastAsia"/>
          <w:color w:val="000000"/>
          <w:kern w:val="2"/>
          <w:sz w:val="24"/>
        </w:rPr>
        <w:t>2.提前终止合同情形</w:t>
      </w:r>
    </w:p>
    <w:p w14:paraId="37E27C3B">
      <w:pPr>
        <w:spacing w:line="500" w:lineRule="exact"/>
        <w:ind w:firstLine="480" w:firstLineChars="200"/>
        <w:jc w:val="left"/>
        <w:rPr>
          <w:color w:val="000000"/>
          <w:kern w:val="2"/>
          <w:sz w:val="24"/>
        </w:rPr>
      </w:pPr>
      <w:r>
        <w:rPr>
          <w:rFonts w:hint="eastAsia"/>
          <w:color w:val="000000"/>
          <w:kern w:val="2"/>
          <w:sz w:val="24"/>
        </w:rPr>
        <w:t>（1）乙方为所有员工发放的工资和保险须符合《中华人民共和国劳动合同法》；如未能按政策规定实施而产生劳资纠纷，且不能妥善整改解决直接影响服务质量的。</w:t>
      </w:r>
    </w:p>
    <w:p w14:paraId="06C4BA94">
      <w:pPr>
        <w:spacing w:line="500" w:lineRule="exact"/>
        <w:ind w:firstLine="480" w:firstLineChars="200"/>
        <w:jc w:val="left"/>
        <w:rPr>
          <w:color w:val="000000"/>
          <w:kern w:val="2"/>
          <w:sz w:val="24"/>
        </w:rPr>
      </w:pPr>
      <w:r>
        <w:rPr>
          <w:rFonts w:hint="eastAsia"/>
          <w:color w:val="000000"/>
          <w:kern w:val="2"/>
          <w:sz w:val="24"/>
        </w:rPr>
        <w:t>（2）乙方未按照投标时承诺要求配置或擅自减少人员数量，影响服务质量的。</w:t>
      </w:r>
    </w:p>
    <w:p w14:paraId="44367CC2">
      <w:pPr>
        <w:spacing w:line="500" w:lineRule="exact"/>
        <w:ind w:firstLine="480" w:firstLineChars="200"/>
        <w:jc w:val="left"/>
        <w:rPr>
          <w:color w:val="000000"/>
          <w:kern w:val="2"/>
          <w:sz w:val="24"/>
        </w:rPr>
      </w:pPr>
      <w:r>
        <w:rPr>
          <w:rFonts w:hint="eastAsia"/>
          <w:color w:val="000000"/>
          <w:kern w:val="2"/>
          <w:sz w:val="24"/>
        </w:rPr>
        <w:t>（3）对甲方提出劝辞建议的不称职人员未及时予以清退或调离并及时补足人员的。</w:t>
      </w:r>
    </w:p>
    <w:p w14:paraId="795CF2C5">
      <w:pPr>
        <w:spacing w:line="500" w:lineRule="exact"/>
        <w:ind w:firstLine="480" w:firstLineChars="200"/>
        <w:jc w:val="left"/>
        <w:rPr>
          <w:color w:val="000000"/>
          <w:kern w:val="2"/>
          <w:sz w:val="24"/>
        </w:rPr>
      </w:pPr>
      <w:r>
        <w:rPr>
          <w:rFonts w:hint="eastAsia"/>
          <w:color w:val="000000"/>
          <w:kern w:val="2"/>
          <w:sz w:val="24"/>
        </w:rPr>
        <w:t>（4）因乙方工作失职造成业主方重大安全保卫事故、其他责任事故或隐瞒、瞒报安全责任事故。</w:t>
      </w:r>
    </w:p>
    <w:p w14:paraId="7DDA56AA">
      <w:pPr>
        <w:spacing w:line="500" w:lineRule="exact"/>
        <w:ind w:firstLine="480" w:firstLineChars="200"/>
        <w:jc w:val="left"/>
        <w:rPr>
          <w:color w:val="000000"/>
          <w:kern w:val="2"/>
          <w:sz w:val="24"/>
        </w:rPr>
      </w:pPr>
      <w:r>
        <w:rPr>
          <w:rFonts w:hint="eastAsia"/>
          <w:color w:val="000000"/>
          <w:kern w:val="2"/>
          <w:sz w:val="24"/>
        </w:rPr>
        <w:t>（5）项目团队人员有违法行为的。</w:t>
      </w:r>
    </w:p>
    <w:p w14:paraId="3C3BB590">
      <w:pPr>
        <w:spacing w:line="500" w:lineRule="exact"/>
        <w:ind w:firstLine="480" w:firstLineChars="200"/>
        <w:jc w:val="left"/>
        <w:rPr>
          <w:rFonts w:hint="eastAsia" w:ascii="宋体" w:hAnsi="宋体" w:cs="宋体"/>
          <w:b/>
          <w:bCs/>
          <w:sz w:val="24"/>
          <w:lang w:bidi="zh-TW"/>
        </w:rPr>
      </w:pPr>
      <w:r>
        <w:rPr>
          <w:rFonts w:hint="eastAsia"/>
          <w:color w:val="000000"/>
          <w:kern w:val="2"/>
          <w:sz w:val="24"/>
        </w:rPr>
        <w:t>（6）考核得分单季度在80分以</w:t>
      </w:r>
      <w:r>
        <w:rPr>
          <w:rFonts w:hint="eastAsia"/>
          <w:color w:val="000000"/>
          <w:kern w:val="2"/>
          <w:sz w:val="24"/>
          <w:highlight w:val="none"/>
        </w:rPr>
        <w:t>下的。</w:t>
      </w:r>
    </w:p>
    <w:p w14:paraId="578E66CE">
      <w:pPr>
        <w:tabs>
          <w:tab w:val="left" w:pos="10063"/>
        </w:tabs>
        <w:spacing w:line="500" w:lineRule="exact"/>
        <w:ind w:firstLine="482" w:firstLineChars="200"/>
        <w:jc w:val="left"/>
        <w:rPr>
          <w:rFonts w:hint="eastAsia" w:ascii="宋体" w:hAnsi="宋体" w:cs="宋体"/>
          <w:b/>
          <w:bCs/>
          <w:sz w:val="24"/>
          <w:lang w:bidi="zh-TW"/>
        </w:rPr>
      </w:pPr>
      <w:r>
        <w:rPr>
          <w:rFonts w:hint="eastAsia" w:ascii="宋体" w:hAnsi="宋体" w:cs="宋体"/>
          <w:b/>
          <w:bCs/>
          <w:sz w:val="24"/>
          <w:lang w:bidi="zh-TW"/>
        </w:rPr>
        <w:t>四、违约责任</w:t>
      </w:r>
    </w:p>
    <w:p w14:paraId="0D0ADD02">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1.甲方将对安保服务质量进行全过程监控，乙方日常工作不到位、不达标或有违约现象，将依据合同约定，作出相应的违约处理与处罚。</w:t>
      </w:r>
    </w:p>
    <w:p w14:paraId="74CD45FA">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2.乙方在合同执行期间，如果有下列情形之一者，甲方有权从劳务费中视情节轻重扣除50－1000元/次。</w:t>
      </w:r>
    </w:p>
    <w:p w14:paraId="02028721">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⑴未按合同规定派足保安或未执行合同规定任务的。</w:t>
      </w:r>
    </w:p>
    <w:p w14:paraId="3606A17B">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⑵未经甲方同意，擅自更换队长或一次性更换2名以上安保人员的。</w:t>
      </w:r>
    </w:p>
    <w:p w14:paraId="376DB0C5">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⑶未经甲方同意，擅自外调(借)队员的。</w:t>
      </w:r>
    </w:p>
    <w:p w14:paraId="0623522E">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⑷ 未及时配备派驻保安的统一服装及执勤装备(橡胶棒、对讲机、执勤钢盔、防刺背心、防暴钢叉、强光手电筒等)并给甲方带来不良影响的。</w:t>
      </w:r>
    </w:p>
    <w:p w14:paraId="141475AC">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⑸发生盗窃案件，经公安部门分析认定与保安人员工作失责或失误有明显关系的。</w:t>
      </w:r>
    </w:p>
    <w:p w14:paraId="6FF2FB7B">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⑹发生其他有损甲方形象或影响正常工作造成损失的。</w:t>
      </w:r>
    </w:p>
    <w:p w14:paraId="57A6A022">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⑺发生火灾应该发现而未能及时发现、及时扑救的。</w:t>
      </w:r>
    </w:p>
    <w:p w14:paraId="2E5A1B55">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⑻对甲方指出的存在的问题与不足未能及时整改的。</w:t>
      </w:r>
    </w:p>
    <w:p w14:paraId="51D763B2">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3.保安人员在岗履行工作职责期间，发生自身的人身伤害、伤亡，均由乙方负责处理并承担经济和道义上的责任，甲方不承担任何责任。</w:t>
      </w:r>
    </w:p>
    <w:p w14:paraId="4F187902">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4.乙方违反国家相关法规，与聘用人员发生纠纷，均由乙方负责调解与处理， 甲方不承担责任。</w:t>
      </w:r>
    </w:p>
    <w:p w14:paraId="78E7174B">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5.乙方在安保服务中造成他人人身伤亡的，均由乙方负责处理并承担法律责任和善良道义责任，甲方不承担任何责任。</w:t>
      </w:r>
    </w:p>
    <w:p w14:paraId="547582B8">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6.由于安保服务工作不到位，造成安全事故或严重后果的，所造成的一切损失由乙方承担。</w:t>
      </w:r>
    </w:p>
    <w:p w14:paraId="3B24AB07">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7.乙方疏于领导和管理，安保服务质量不符合本合同本工程约定的要求，甚至给甲方造成经济损失和严重影响的，甲方有权要求乙方限期改正，乙方在期限内工作仍无起色的，甲方有权提前解除本合同。</w:t>
      </w:r>
    </w:p>
    <w:p w14:paraId="08C211C0">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8.甲方不得要求或安排乙方人员实施违反国家法律法规和《保安服务管理条例》所禁止的行为，保安员对此类行为有权拒绝且不得视为违约。</w:t>
      </w:r>
    </w:p>
    <w:p w14:paraId="182F9CF0">
      <w:pPr>
        <w:tabs>
          <w:tab w:val="left" w:pos="10063"/>
        </w:tabs>
        <w:spacing w:line="500" w:lineRule="exact"/>
        <w:ind w:firstLine="482" w:firstLineChars="200"/>
        <w:jc w:val="left"/>
        <w:rPr>
          <w:rFonts w:hint="eastAsia" w:ascii="宋体" w:hAnsi="宋体" w:cs="宋体"/>
          <w:b/>
          <w:bCs/>
          <w:sz w:val="24"/>
          <w:lang w:bidi="zh-TW"/>
        </w:rPr>
      </w:pPr>
      <w:r>
        <w:rPr>
          <w:rFonts w:hint="eastAsia" w:ascii="宋体" w:hAnsi="宋体" w:cs="宋体"/>
          <w:b/>
          <w:bCs/>
          <w:sz w:val="24"/>
          <w:lang w:bidi="zh-TW"/>
        </w:rPr>
        <w:t>五、不可抗力</w:t>
      </w:r>
    </w:p>
    <w:p w14:paraId="75A460C7">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本合同执行期间发生不可抗力事件，致使合同无法履行时，双方均不承担违约责任，按有关法规、政策规定及时协商处理善后事宜。</w:t>
      </w:r>
    </w:p>
    <w:p w14:paraId="3E2197F9">
      <w:pPr>
        <w:tabs>
          <w:tab w:val="left" w:pos="10063"/>
        </w:tabs>
        <w:spacing w:line="500" w:lineRule="exact"/>
        <w:ind w:firstLine="482" w:firstLineChars="200"/>
        <w:jc w:val="left"/>
        <w:rPr>
          <w:rFonts w:hint="eastAsia" w:ascii="宋体" w:hAnsi="宋体" w:cs="宋体"/>
          <w:b/>
          <w:bCs/>
          <w:sz w:val="24"/>
          <w:lang w:bidi="zh-TW"/>
        </w:rPr>
      </w:pPr>
      <w:r>
        <w:rPr>
          <w:rFonts w:hint="eastAsia" w:ascii="宋体" w:hAnsi="宋体" w:cs="宋体"/>
          <w:b/>
          <w:bCs/>
          <w:sz w:val="24"/>
          <w:lang w:bidi="zh-TW"/>
        </w:rPr>
        <w:t>六、争议解决</w:t>
      </w:r>
    </w:p>
    <w:p w14:paraId="29CFF1AB">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双方在执行合同中所发生的一切争议，应通过协商解决。如协商不成，可向合同签订地法院起诉，合同签订地在此约定为启东市。</w:t>
      </w:r>
    </w:p>
    <w:p w14:paraId="2976E82B">
      <w:pPr>
        <w:tabs>
          <w:tab w:val="left" w:pos="10063"/>
        </w:tabs>
        <w:spacing w:line="500" w:lineRule="exact"/>
        <w:ind w:firstLine="482" w:firstLineChars="200"/>
        <w:jc w:val="left"/>
        <w:rPr>
          <w:rFonts w:hint="eastAsia" w:ascii="宋体" w:hAnsi="宋体" w:cs="宋体"/>
          <w:b/>
          <w:bCs/>
          <w:sz w:val="24"/>
          <w:lang w:bidi="zh-TW"/>
        </w:rPr>
      </w:pPr>
      <w:r>
        <w:rPr>
          <w:rFonts w:hint="eastAsia" w:ascii="宋体" w:hAnsi="宋体" w:cs="宋体"/>
          <w:b/>
          <w:bCs/>
          <w:sz w:val="24"/>
          <w:lang w:bidi="zh-TW"/>
        </w:rPr>
        <w:t>七、合同生效及其它</w:t>
      </w:r>
    </w:p>
    <w:p w14:paraId="51B57231">
      <w:pPr>
        <w:tabs>
          <w:tab w:val="left" w:pos="10063"/>
        </w:tabs>
        <w:spacing w:line="500" w:lineRule="exact"/>
        <w:ind w:firstLine="480" w:firstLineChars="200"/>
        <w:jc w:val="left"/>
        <w:rPr>
          <w:rFonts w:hint="eastAsia" w:ascii="宋体" w:hAnsi="宋体" w:cs="宋体"/>
          <w:sz w:val="24"/>
          <w:lang w:bidi="zh-TW"/>
        </w:rPr>
      </w:pPr>
      <w:r>
        <w:rPr>
          <w:rFonts w:hint="eastAsia" w:ascii="宋体" w:hAnsi="宋体" w:cs="宋体"/>
          <w:sz w:val="24"/>
          <w:lang w:bidi="zh-TW"/>
        </w:rPr>
        <w:t>1.合同经甲乙双方法定代表人（或授权代表）签字并加盖公章（或合同章）后即生效。</w:t>
      </w:r>
    </w:p>
    <w:p w14:paraId="38EAA0F6">
      <w:pPr>
        <w:tabs>
          <w:tab w:val="left" w:pos="10063"/>
        </w:tabs>
        <w:spacing w:line="500" w:lineRule="exact"/>
        <w:ind w:firstLine="480" w:firstLineChars="200"/>
        <w:jc w:val="left"/>
        <w:rPr>
          <w:rFonts w:hint="eastAsia" w:ascii="宋体" w:hAnsi="宋体" w:cs="宋体"/>
          <w:b/>
          <w:bCs/>
          <w:sz w:val="24"/>
          <w:lang w:bidi="zh-TW"/>
        </w:rPr>
      </w:pPr>
      <w:r>
        <w:rPr>
          <w:rFonts w:hint="eastAsia" w:ascii="宋体" w:hAnsi="宋体" w:cs="宋体"/>
          <w:sz w:val="24"/>
          <w:lang w:bidi="zh-TW"/>
        </w:rPr>
        <w:t>2.本合同一式伍份，双方各执贰份，行政主管部门备案壹份。</w:t>
      </w:r>
    </w:p>
    <w:p w14:paraId="1C2DCB12">
      <w:pPr>
        <w:tabs>
          <w:tab w:val="left" w:pos="10063"/>
        </w:tabs>
        <w:spacing w:line="500" w:lineRule="exact"/>
        <w:jc w:val="left"/>
        <w:rPr>
          <w:rFonts w:hint="eastAsia" w:ascii="宋体" w:hAnsi="宋体" w:cs="宋体"/>
          <w:sz w:val="24"/>
          <w:lang w:bidi="zh-TW"/>
        </w:rPr>
      </w:pPr>
    </w:p>
    <w:p w14:paraId="23D432E1">
      <w:pPr>
        <w:tabs>
          <w:tab w:val="left" w:pos="10063"/>
        </w:tabs>
        <w:spacing w:line="500" w:lineRule="exact"/>
        <w:jc w:val="left"/>
        <w:rPr>
          <w:rFonts w:hint="eastAsia" w:ascii="宋体" w:hAnsi="宋体" w:cs="宋体"/>
          <w:sz w:val="24"/>
          <w:lang w:bidi="zh-TW"/>
        </w:rPr>
      </w:pPr>
      <w:r>
        <w:rPr>
          <w:rFonts w:hint="eastAsia" w:ascii="宋体" w:hAnsi="宋体" w:cs="宋体"/>
          <w:sz w:val="24"/>
          <w:lang w:bidi="zh-TW"/>
        </w:rPr>
        <w:t xml:space="preserve">甲方（盖章）：                         乙方（盖章）： </w:t>
      </w:r>
    </w:p>
    <w:p w14:paraId="1EB0A434">
      <w:pPr>
        <w:tabs>
          <w:tab w:val="left" w:pos="10063"/>
        </w:tabs>
        <w:spacing w:line="500" w:lineRule="exact"/>
        <w:jc w:val="left"/>
        <w:rPr>
          <w:rFonts w:hint="eastAsia" w:ascii="宋体" w:hAnsi="宋体" w:cs="宋体"/>
          <w:sz w:val="24"/>
          <w:lang w:bidi="zh-TW"/>
        </w:rPr>
      </w:pPr>
      <w:r>
        <w:rPr>
          <w:rFonts w:hint="eastAsia" w:ascii="宋体" w:hAnsi="宋体" w:cs="宋体"/>
          <w:sz w:val="24"/>
          <w:lang w:bidi="zh-TW"/>
        </w:rPr>
        <w:t>法定代表人                             法定代表人</w:t>
      </w:r>
    </w:p>
    <w:p w14:paraId="799816C9">
      <w:pPr>
        <w:tabs>
          <w:tab w:val="left" w:pos="10063"/>
        </w:tabs>
        <w:spacing w:line="500" w:lineRule="exact"/>
        <w:jc w:val="left"/>
        <w:rPr>
          <w:rFonts w:hint="eastAsia" w:ascii="宋体" w:hAnsi="宋体" w:cs="宋体"/>
          <w:sz w:val="24"/>
          <w:lang w:bidi="zh-TW"/>
        </w:rPr>
      </w:pPr>
      <w:r>
        <w:rPr>
          <w:rFonts w:hint="eastAsia" w:ascii="宋体" w:hAnsi="宋体" w:cs="宋体"/>
          <w:sz w:val="24"/>
          <w:lang w:bidi="zh-TW"/>
        </w:rPr>
        <w:t>或委托代理人（签字或盖章）：           或委托代理人（签字或盖章）：</w:t>
      </w:r>
    </w:p>
    <w:p w14:paraId="5AAF0A30">
      <w:pPr>
        <w:tabs>
          <w:tab w:val="left" w:pos="10063"/>
        </w:tabs>
        <w:spacing w:line="500" w:lineRule="exact"/>
        <w:jc w:val="left"/>
        <w:rPr>
          <w:rFonts w:hint="eastAsia" w:ascii="宋体" w:hAnsi="宋体" w:cs="宋体"/>
          <w:sz w:val="24"/>
          <w:lang w:bidi="zh-TW"/>
        </w:rPr>
      </w:pPr>
      <w:r>
        <w:rPr>
          <w:rFonts w:hint="eastAsia" w:ascii="宋体" w:hAnsi="宋体" w:cs="宋体"/>
          <w:sz w:val="24"/>
          <w:lang w:bidi="zh-TW"/>
        </w:rPr>
        <w:t>地址：                                 地址：</w:t>
      </w:r>
    </w:p>
    <w:p w14:paraId="0826C64E">
      <w:pPr>
        <w:tabs>
          <w:tab w:val="left" w:pos="10063"/>
        </w:tabs>
        <w:spacing w:line="500" w:lineRule="exact"/>
        <w:jc w:val="left"/>
        <w:rPr>
          <w:rFonts w:hint="eastAsia" w:ascii="宋体" w:hAnsi="宋体" w:cs="宋体"/>
          <w:sz w:val="24"/>
          <w:lang w:bidi="zh-TW"/>
        </w:rPr>
      </w:pPr>
      <w:r>
        <w:rPr>
          <w:rFonts w:hint="eastAsia" w:ascii="宋体" w:hAnsi="宋体" w:cs="宋体"/>
          <w:sz w:val="24"/>
          <w:lang w:bidi="zh-TW"/>
        </w:rPr>
        <w:t>开户银行：                             开户银行：</w:t>
      </w:r>
    </w:p>
    <w:p w14:paraId="52926345">
      <w:pPr>
        <w:tabs>
          <w:tab w:val="left" w:pos="10063"/>
        </w:tabs>
        <w:spacing w:line="500" w:lineRule="exact"/>
        <w:jc w:val="left"/>
        <w:rPr>
          <w:rFonts w:hint="eastAsia" w:ascii="宋体" w:hAnsi="宋体" w:cs="宋体"/>
          <w:sz w:val="24"/>
          <w:lang w:bidi="zh-TW"/>
        </w:rPr>
      </w:pPr>
      <w:r>
        <w:rPr>
          <w:rFonts w:hint="eastAsia" w:ascii="宋体" w:hAnsi="宋体" w:cs="宋体"/>
          <w:sz w:val="24"/>
          <w:lang w:bidi="zh-TW"/>
        </w:rPr>
        <w:t xml:space="preserve">帐号：                                 帐号： </w:t>
      </w:r>
    </w:p>
    <w:p w14:paraId="54F72C1A">
      <w:pPr>
        <w:tabs>
          <w:tab w:val="left" w:pos="10063"/>
        </w:tabs>
        <w:spacing w:line="500" w:lineRule="exact"/>
        <w:jc w:val="left"/>
        <w:rPr>
          <w:rFonts w:hint="eastAsia" w:ascii="宋体" w:hAnsi="宋体" w:cs="宋体"/>
          <w:sz w:val="24"/>
          <w:lang w:bidi="zh-TW"/>
        </w:rPr>
      </w:pPr>
      <w:r>
        <w:rPr>
          <w:rFonts w:hint="eastAsia" w:ascii="宋体" w:hAnsi="宋体" w:cs="宋体"/>
          <w:sz w:val="24"/>
          <w:lang w:bidi="zh-TW"/>
        </w:rPr>
        <w:t>邮政编码：                             邮政编码：</w:t>
      </w:r>
    </w:p>
    <w:p w14:paraId="2963B9B6">
      <w:pPr>
        <w:tabs>
          <w:tab w:val="left" w:pos="10063"/>
        </w:tabs>
        <w:spacing w:line="500" w:lineRule="exact"/>
        <w:jc w:val="left"/>
        <w:rPr>
          <w:rFonts w:hint="eastAsia" w:ascii="宋体" w:hAnsi="宋体" w:cs="宋体"/>
          <w:sz w:val="24"/>
          <w:lang w:bidi="zh-TW"/>
        </w:rPr>
      </w:pPr>
      <w:r>
        <w:rPr>
          <w:rFonts w:hint="eastAsia" w:ascii="宋体" w:hAnsi="宋体" w:cs="宋体"/>
          <w:sz w:val="24"/>
          <w:lang w:bidi="zh-TW"/>
        </w:rPr>
        <w:t>签订日期：                             签订日期：</w:t>
      </w:r>
    </w:p>
    <w:p w14:paraId="71D853E8">
      <w:pPr>
        <w:spacing w:line="500" w:lineRule="exact"/>
        <w:jc w:val="center"/>
        <w:outlineLvl w:val="0"/>
        <w:rPr>
          <w:rFonts w:hint="eastAsia" w:ascii="宋体" w:hAnsi="宋体" w:cs="宋体"/>
          <w:bCs/>
          <w:sz w:val="36"/>
          <w:szCs w:val="36"/>
        </w:rPr>
        <w:sectPr>
          <w:footerReference r:id="rId7" w:type="default"/>
          <w:footerReference r:id="rId8" w:type="even"/>
          <w:pgSz w:w="11907" w:h="16839"/>
          <w:pgMar w:top="1440" w:right="1800" w:bottom="1440" w:left="1800" w:header="720" w:footer="737" w:gutter="0"/>
          <w:cols w:space="1701" w:num="1"/>
          <w:docGrid w:linePitch="360" w:charSpace="0"/>
        </w:sectPr>
      </w:pPr>
    </w:p>
    <w:p w14:paraId="1317CE7D">
      <w:pPr>
        <w:spacing w:line="500" w:lineRule="exact"/>
        <w:jc w:val="center"/>
        <w:outlineLvl w:val="0"/>
        <w:rPr>
          <w:rFonts w:hint="eastAsia" w:ascii="宋体" w:hAnsi="宋体" w:cs="宋体"/>
          <w:bCs/>
          <w:sz w:val="36"/>
          <w:szCs w:val="36"/>
        </w:rPr>
      </w:pPr>
      <w:r>
        <w:rPr>
          <w:rFonts w:hint="eastAsia" w:ascii="宋体" w:hAnsi="宋体" w:cs="宋体"/>
          <w:bCs/>
          <w:sz w:val="36"/>
          <w:szCs w:val="36"/>
        </w:rPr>
        <w:t>第四部分 评审方法和评审标准</w:t>
      </w:r>
    </w:p>
    <w:p w14:paraId="135957C5">
      <w:pPr>
        <w:spacing w:line="500" w:lineRule="exact"/>
        <w:ind w:firstLine="640"/>
        <w:jc w:val="left"/>
        <w:rPr>
          <w:rFonts w:hint="eastAsia" w:ascii="宋体" w:hAnsi="宋体" w:cs="宋体"/>
          <w:b/>
          <w:sz w:val="32"/>
          <w:szCs w:val="32"/>
        </w:rPr>
      </w:pPr>
      <w:r>
        <w:rPr>
          <w:rFonts w:hint="eastAsia" w:ascii="宋体" w:hAnsi="宋体" w:cs="宋体"/>
          <w:b/>
          <w:sz w:val="32"/>
          <w:szCs w:val="32"/>
        </w:rPr>
        <w:t>一、磋商方式</w:t>
      </w:r>
    </w:p>
    <w:p w14:paraId="6588E98B">
      <w:pPr>
        <w:tabs>
          <w:tab w:val="left" w:pos="3585"/>
        </w:tabs>
        <w:spacing w:line="500" w:lineRule="exact"/>
        <w:ind w:firstLine="537"/>
        <w:rPr>
          <w:rFonts w:hint="eastAsia" w:ascii="宋体" w:hAnsi="宋体" w:cs="宋体"/>
          <w:sz w:val="28"/>
          <w:szCs w:val="28"/>
        </w:rPr>
      </w:pPr>
      <w:r>
        <w:rPr>
          <w:rFonts w:hint="eastAsia" w:ascii="宋体" w:hAnsi="宋体" w:cs="宋体"/>
          <w:sz w:val="28"/>
          <w:szCs w:val="28"/>
        </w:rPr>
        <w:t>不见面远程磋商模式：供应商在各自地点通过苏采云系统参加磋商活动。</w:t>
      </w:r>
    </w:p>
    <w:p w14:paraId="5074768D">
      <w:pPr>
        <w:spacing w:line="500" w:lineRule="exact"/>
        <w:ind w:firstLine="640"/>
        <w:jc w:val="left"/>
        <w:rPr>
          <w:rFonts w:hint="eastAsia" w:ascii="宋体" w:hAnsi="宋体" w:cs="宋体"/>
          <w:sz w:val="28"/>
          <w:szCs w:val="28"/>
        </w:rPr>
      </w:pPr>
      <w:r>
        <w:rPr>
          <w:rFonts w:hint="eastAsia" w:ascii="宋体" w:hAnsi="宋体" w:cs="宋体"/>
          <w:b/>
          <w:sz w:val="32"/>
          <w:szCs w:val="32"/>
        </w:rPr>
        <w:t>二、评审方法和标准</w:t>
      </w:r>
    </w:p>
    <w:p w14:paraId="1EF4DF22">
      <w:pPr>
        <w:spacing w:line="500" w:lineRule="exact"/>
        <w:ind w:firstLine="555"/>
        <w:rPr>
          <w:rFonts w:hint="eastAsia" w:ascii="宋体" w:hAnsi="宋体" w:cs="宋体"/>
          <w:bCs/>
          <w:sz w:val="28"/>
          <w:szCs w:val="28"/>
        </w:rPr>
      </w:pPr>
      <w:r>
        <w:rPr>
          <w:rFonts w:hint="eastAsia" w:ascii="宋体" w:hAnsi="宋体" w:cs="宋体"/>
          <w:bCs/>
          <w:sz w:val="28"/>
          <w:szCs w:val="28"/>
        </w:rPr>
        <w:t>评审方法：综合评分法。</w:t>
      </w:r>
    </w:p>
    <w:p w14:paraId="3320E203">
      <w:pPr>
        <w:spacing w:line="500" w:lineRule="exact"/>
        <w:ind w:firstLine="555"/>
        <w:rPr>
          <w:rFonts w:hint="eastAsia" w:ascii="宋体" w:hAnsi="宋体" w:cs="宋体"/>
          <w:bCs/>
          <w:sz w:val="28"/>
          <w:szCs w:val="28"/>
        </w:rPr>
      </w:pPr>
      <w:r>
        <w:rPr>
          <w:rFonts w:hint="eastAsia" w:ascii="宋体" w:hAnsi="宋体" w:cs="宋体"/>
          <w:bCs/>
          <w:sz w:val="28"/>
          <w:szCs w:val="28"/>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F8B4B95">
      <w:pPr>
        <w:spacing w:line="500" w:lineRule="exact"/>
        <w:ind w:firstLine="555"/>
        <w:rPr>
          <w:rFonts w:hint="eastAsia" w:ascii="宋体" w:hAnsi="宋体" w:cs="宋体"/>
          <w:bCs/>
          <w:sz w:val="28"/>
          <w:szCs w:val="28"/>
        </w:rPr>
      </w:pPr>
      <w:r>
        <w:rPr>
          <w:rFonts w:hint="eastAsia" w:ascii="宋体" w:hAnsi="宋体" w:cs="宋体"/>
          <w:bCs/>
          <w:sz w:val="28"/>
          <w:szCs w:val="28"/>
        </w:rPr>
        <w:t>最后报价将作为评审价。系统发送最后报价填报通知后，所有的响应供应商须在系统规定的时间内填写并提交最后报价，未在规定时间内提交最后报价的或超过第一轮报价的，视作无效响应处理。</w:t>
      </w:r>
    </w:p>
    <w:p w14:paraId="6DDF5956">
      <w:pPr>
        <w:spacing w:line="500" w:lineRule="exact"/>
        <w:ind w:firstLine="555"/>
        <w:rPr>
          <w:rFonts w:hint="eastAsia" w:ascii="宋体" w:hAnsi="宋体" w:cs="宋体"/>
          <w:bCs/>
          <w:sz w:val="28"/>
          <w:szCs w:val="28"/>
        </w:rPr>
      </w:pPr>
      <w:r>
        <w:rPr>
          <w:rFonts w:hint="eastAsia" w:ascii="宋体" w:hAnsi="宋体" w:cs="宋体"/>
          <w:bCs/>
          <w:sz w:val="28"/>
          <w:szCs w:val="28"/>
        </w:rPr>
        <w:t>最后报价是供应商响应文件的有效组成部分。提交最后报价的供应商不得少于3家；只有符合《政府采购竞争性磋商采购方式管理暂行办法》第三条第四项或《财政部关于竞争性磋商采购方式管理暂行办法有关问题的补充通知》（财库〔2015〕124号）规定情形的，提交最后报价的供应商可以为2家。</w:t>
      </w:r>
    </w:p>
    <w:p w14:paraId="2C7319A7">
      <w:pPr>
        <w:spacing w:line="500" w:lineRule="exact"/>
        <w:ind w:firstLine="555"/>
        <w:rPr>
          <w:rFonts w:hint="eastAsia" w:ascii="宋体" w:hAnsi="宋体" w:cs="宋体"/>
          <w:bCs/>
          <w:sz w:val="28"/>
          <w:szCs w:val="28"/>
        </w:rPr>
      </w:pPr>
      <w:r>
        <w:rPr>
          <w:rFonts w:hint="eastAsia" w:ascii="宋体" w:hAnsi="宋体" w:cs="宋体"/>
          <w:bCs/>
          <w:sz w:val="28"/>
          <w:szCs w:val="28"/>
        </w:rPr>
        <w:t>供应商价格部分和商务、技术部分的合计分值，为该供应商的评审总得分。</w:t>
      </w:r>
    </w:p>
    <w:p w14:paraId="56ABD43D">
      <w:pPr>
        <w:spacing w:line="500" w:lineRule="exact"/>
        <w:ind w:firstLine="555"/>
        <w:rPr>
          <w:rFonts w:hint="eastAsia" w:ascii="宋体" w:hAnsi="宋体" w:cs="宋体"/>
          <w:bCs/>
          <w:sz w:val="28"/>
          <w:szCs w:val="28"/>
        </w:rPr>
      </w:pPr>
      <w:r>
        <w:rPr>
          <w:rFonts w:hint="eastAsia" w:ascii="宋体" w:hAnsi="宋体" w:cs="宋体"/>
          <w:bCs/>
          <w:sz w:val="28"/>
          <w:szCs w:val="28"/>
        </w:rPr>
        <w:t>评标结果按评审后总得分由高到低顺序排列，确定成交候选供应商名单并按顺序确定成交供应商。得分相同的，按响应报价由低到高顺序排列，得分且响应报价相同的并列。</w:t>
      </w:r>
    </w:p>
    <w:p w14:paraId="18FA0752">
      <w:pPr>
        <w:spacing w:line="500" w:lineRule="exact"/>
        <w:ind w:firstLine="555"/>
        <w:rPr>
          <w:rFonts w:hint="eastAsia" w:ascii="宋体" w:hAnsi="宋体" w:cs="宋体"/>
          <w:sz w:val="28"/>
          <w:szCs w:val="28"/>
        </w:rPr>
      </w:pPr>
      <w:r>
        <w:rPr>
          <w:rFonts w:hint="eastAsia" w:ascii="宋体" w:hAnsi="宋体" w:cs="宋体"/>
          <w:bCs/>
          <w:sz w:val="28"/>
          <w:szCs w:val="28"/>
        </w:rPr>
        <w:t>评委在认真审阅响应文件的基础上，根据各响应文件的响应程度独立评判，不得统一打分</w:t>
      </w:r>
      <w:r>
        <w:rPr>
          <w:rFonts w:hint="eastAsia" w:ascii="宋体" w:hAnsi="宋体" w:cs="宋体"/>
          <w:sz w:val="28"/>
          <w:szCs w:val="28"/>
        </w:rPr>
        <w:t>。</w:t>
      </w:r>
    </w:p>
    <w:p w14:paraId="4AF7A27D">
      <w:pPr>
        <w:spacing w:line="500" w:lineRule="exact"/>
        <w:rPr>
          <w:rFonts w:hint="eastAsia" w:ascii="宋体" w:hAnsi="宋体" w:cs="宋体"/>
          <w:b/>
          <w:sz w:val="28"/>
          <w:szCs w:val="28"/>
        </w:rPr>
      </w:pPr>
      <w:r>
        <w:rPr>
          <w:rFonts w:hint="eastAsia" w:ascii="宋体" w:hAnsi="宋体" w:cs="宋体"/>
          <w:b/>
          <w:sz w:val="28"/>
          <w:szCs w:val="28"/>
        </w:rPr>
        <w:t>（一）磋商小组对供应商资格进行审查。</w:t>
      </w:r>
    </w:p>
    <w:p w14:paraId="19217D1D">
      <w:pPr>
        <w:spacing w:line="500" w:lineRule="exact"/>
        <w:ind w:firstLine="576"/>
        <w:rPr>
          <w:rFonts w:hint="eastAsia" w:ascii="宋体" w:hAnsi="宋体" w:cs="宋体"/>
          <w:sz w:val="28"/>
          <w:szCs w:val="28"/>
        </w:rPr>
      </w:pPr>
      <w:r>
        <w:rPr>
          <w:rFonts w:hint="eastAsia" w:ascii="宋体" w:hAnsi="宋体" w:cs="宋体"/>
          <w:sz w:val="28"/>
          <w:szCs w:val="28"/>
        </w:rPr>
        <w:t>供应商资格不合格的，其响应文件判定为无效响应文件。</w:t>
      </w:r>
    </w:p>
    <w:p w14:paraId="34C983FF">
      <w:pPr>
        <w:spacing w:line="500" w:lineRule="exact"/>
        <w:jc w:val="left"/>
        <w:rPr>
          <w:rFonts w:hint="eastAsia" w:ascii="宋体" w:hAnsi="宋体" w:cs="宋体"/>
          <w:b/>
          <w:sz w:val="28"/>
          <w:szCs w:val="28"/>
        </w:rPr>
      </w:pPr>
      <w:r>
        <w:rPr>
          <w:rFonts w:hint="eastAsia" w:ascii="宋体" w:hAnsi="宋体" w:cs="宋体"/>
          <w:b/>
          <w:sz w:val="28"/>
          <w:szCs w:val="28"/>
        </w:rPr>
        <w:t>（二）磋商小组对符合资格供应商的响应文件进行符合性审查。</w:t>
      </w:r>
    </w:p>
    <w:p w14:paraId="31D9ABE6">
      <w:pPr>
        <w:spacing w:line="500" w:lineRule="exact"/>
        <w:ind w:firstLine="576"/>
        <w:rPr>
          <w:rFonts w:hint="eastAsia" w:ascii="宋体" w:hAnsi="宋体" w:cs="宋体"/>
          <w:sz w:val="28"/>
          <w:szCs w:val="28"/>
        </w:rPr>
      </w:pPr>
      <w:r>
        <w:rPr>
          <w:rFonts w:hint="eastAsia" w:ascii="宋体" w:hAnsi="宋体" w:cs="宋体"/>
          <w:sz w:val="28"/>
          <w:szCs w:val="28"/>
        </w:rPr>
        <w:t xml:space="preserve">未通过符合性审查的响应文件，将被判为不满足磋商文件实质性要求。 </w:t>
      </w:r>
    </w:p>
    <w:p w14:paraId="06A45D5E">
      <w:pPr>
        <w:spacing w:line="500" w:lineRule="exact"/>
        <w:rPr>
          <w:rFonts w:hint="eastAsia" w:ascii="宋体" w:hAnsi="宋体" w:cs="宋体"/>
          <w:sz w:val="28"/>
          <w:szCs w:val="28"/>
          <w:lang w:val="zh-CN"/>
        </w:rPr>
      </w:pPr>
      <w:r>
        <w:rPr>
          <w:rFonts w:hint="eastAsia" w:ascii="宋体" w:hAnsi="宋体" w:cs="宋体"/>
          <w:b/>
          <w:sz w:val="28"/>
          <w:szCs w:val="28"/>
        </w:rPr>
        <w:t>（</w:t>
      </w:r>
      <w:r>
        <w:rPr>
          <w:rFonts w:hint="eastAsia" w:ascii="宋体" w:hAnsi="宋体" w:cs="宋体"/>
          <w:b/>
          <w:sz w:val="28"/>
          <w:szCs w:val="28"/>
          <w:lang w:val="zh-CN"/>
        </w:rPr>
        <w:t>三</w:t>
      </w:r>
      <w:r>
        <w:rPr>
          <w:rFonts w:hint="eastAsia" w:ascii="宋体" w:hAnsi="宋体" w:cs="宋体"/>
          <w:b/>
          <w:sz w:val="28"/>
          <w:szCs w:val="28"/>
        </w:rPr>
        <w:t>）</w:t>
      </w:r>
      <w:r>
        <w:rPr>
          <w:rFonts w:hint="eastAsia" w:ascii="宋体" w:hAnsi="宋体" w:cs="宋体"/>
          <w:b/>
          <w:sz w:val="28"/>
          <w:szCs w:val="28"/>
          <w:lang w:val="zh-CN"/>
        </w:rPr>
        <w:t>商务技术分：</w:t>
      </w:r>
      <w:r>
        <w:rPr>
          <w:rFonts w:hint="eastAsia" w:ascii="宋体" w:hAnsi="宋体" w:cs="宋体"/>
          <w:b/>
          <w:sz w:val="28"/>
          <w:szCs w:val="28"/>
        </w:rPr>
        <w:t>90</w:t>
      </w:r>
      <w:r>
        <w:rPr>
          <w:rFonts w:hint="eastAsia" w:ascii="宋体" w:hAnsi="宋体" w:cs="宋体"/>
          <w:b/>
          <w:sz w:val="28"/>
          <w:szCs w:val="28"/>
          <w:lang w:val="zh-CN"/>
        </w:rPr>
        <w:t>分</w:t>
      </w:r>
    </w:p>
    <w:p w14:paraId="6A9E8536">
      <w:pPr>
        <w:spacing w:line="500" w:lineRule="exact"/>
        <w:ind w:firstLine="700"/>
        <w:jc w:val="left"/>
        <w:rPr>
          <w:rFonts w:hint="eastAsia" w:ascii="宋体" w:hAnsi="宋体" w:cs="宋体"/>
          <w:sz w:val="28"/>
          <w:szCs w:val="28"/>
        </w:rPr>
      </w:pPr>
      <w:r>
        <w:rPr>
          <w:rFonts w:hint="eastAsia" w:ascii="宋体" w:hAnsi="宋体" w:cs="宋体"/>
          <w:sz w:val="28"/>
          <w:szCs w:val="28"/>
        </w:rPr>
        <w:t>各供应商得分为磋商小组成员评分的算术平均分，分值保留小数点后两位。</w:t>
      </w:r>
    </w:p>
    <w:tbl>
      <w:tblPr>
        <w:tblStyle w:val="36"/>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97"/>
        <w:gridCol w:w="6134"/>
        <w:gridCol w:w="804"/>
      </w:tblGrid>
      <w:tr w14:paraId="2F16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3" w:type="dxa"/>
            <w:vAlign w:val="center"/>
          </w:tcPr>
          <w:p w14:paraId="5E694CF2">
            <w:pPr>
              <w:jc w:val="center"/>
              <w:rPr>
                <w:rFonts w:hint="eastAsia" w:ascii="宋体" w:hAnsi="宋体" w:cs="宋体"/>
                <w:szCs w:val="21"/>
              </w:rPr>
            </w:pPr>
            <w:r>
              <w:rPr>
                <w:rFonts w:hint="eastAsia" w:ascii="宋体" w:hAnsi="宋体" w:cs="宋体"/>
                <w:szCs w:val="21"/>
              </w:rPr>
              <w:t>序号</w:t>
            </w:r>
          </w:p>
        </w:tc>
        <w:tc>
          <w:tcPr>
            <w:tcW w:w="1297" w:type="dxa"/>
            <w:vAlign w:val="center"/>
          </w:tcPr>
          <w:p w14:paraId="08B9C213">
            <w:pPr>
              <w:jc w:val="center"/>
              <w:rPr>
                <w:rFonts w:hint="eastAsia" w:ascii="宋体" w:hAnsi="宋体" w:cs="宋体"/>
                <w:szCs w:val="21"/>
              </w:rPr>
            </w:pPr>
            <w:r>
              <w:rPr>
                <w:rFonts w:hint="eastAsia" w:ascii="宋体" w:hAnsi="宋体" w:cs="宋体"/>
                <w:szCs w:val="21"/>
              </w:rPr>
              <w:t>评审项目</w:t>
            </w:r>
          </w:p>
        </w:tc>
        <w:tc>
          <w:tcPr>
            <w:tcW w:w="6134" w:type="dxa"/>
            <w:vAlign w:val="center"/>
          </w:tcPr>
          <w:p w14:paraId="5957046E">
            <w:pPr>
              <w:jc w:val="center"/>
              <w:rPr>
                <w:rFonts w:hint="eastAsia" w:ascii="宋体" w:hAnsi="宋体" w:cs="宋体"/>
                <w:szCs w:val="21"/>
              </w:rPr>
            </w:pPr>
            <w:r>
              <w:rPr>
                <w:rFonts w:hint="eastAsia" w:ascii="宋体" w:hAnsi="宋体" w:cs="宋体"/>
                <w:szCs w:val="21"/>
              </w:rPr>
              <w:t>评分内容和标准</w:t>
            </w:r>
          </w:p>
        </w:tc>
        <w:tc>
          <w:tcPr>
            <w:tcW w:w="804" w:type="dxa"/>
            <w:vAlign w:val="center"/>
          </w:tcPr>
          <w:p w14:paraId="7A51CC45">
            <w:pPr>
              <w:jc w:val="center"/>
              <w:rPr>
                <w:rFonts w:hint="eastAsia" w:ascii="宋体" w:hAnsi="宋体" w:cs="宋体"/>
                <w:szCs w:val="21"/>
              </w:rPr>
            </w:pPr>
            <w:r>
              <w:rPr>
                <w:rFonts w:hint="eastAsia" w:ascii="宋体" w:hAnsi="宋体" w:cs="宋体"/>
                <w:szCs w:val="21"/>
              </w:rPr>
              <w:t>分值</w:t>
            </w:r>
          </w:p>
        </w:tc>
      </w:tr>
      <w:tr w14:paraId="7B5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restart"/>
            <w:vAlign w:val="center"/>
          </w:tcPr>
          <w:p w14:paraId="0A0EFE4D">
            <w:pPr>
              <w:jc w:val="center"/>
              <w:rPr>
                <w:rFonts w:hint="eastAsia" w:ascii="宋体" w:hAnsi="宋体" w:cs="宋体"/>
                <w:szCs w:val="21"/>
              </w:rPr>
            </w:pPr>
            <w:r>
              <w:rPr>
                <w:rFonts w:hint="eastAsia" w:ascii="宋体" w:hAnsi="宋体" w:cs="宋体"/>
                <w:szCs w:val="21"/>
              </w:rPr>
              <w:t>1</w:t>
            </w:r>
          </w:p>
        </w:tc>
        <w:tc>
          <w:tcPr>
            <w:tcW w:w="1297" w:type="dxa"/>
            <w:vMerge w:val="restart"/>
            <w:vAlign w:val="center"/>
          </w:tcPr>
          <w:p w14:paraId="7C3E8B2A">
            <w:pPr>
              <w:jc w:val="center"/>
              <w:rPr>
                <w:rFonts w:hint="eastAsia" w:ascii="宋体" w:hAnsi="宋体" w:cs="宋体"/>
                <w:szCs w:val="21"/>
              </w:rPr>
            </w:pPr>
            <w:r>
              <w:rPr>
                <w:rFonts w:hint="eastAsia" w:ascii="宋体" w:hAnsi="宋体" w:cs="宋体"/>
                <w:szCs w:val="21"/>
              </w:rPr>
              <w:t>综合实力</w:t>
            </w:r>
          </w:p>
          <w:p w14:paraId="066DB722">
            <w:pPr>
              <w:jc w:val="center"/>
              <w:rPr>
                <w:rFonts w:hint="eastAsia" w:ascii="宋体" w:hAnsi="宋体" w:cs="宋体"/>
                <w:szCs w:val="21"/>
              </w:rPr>
            </w:pPr>
            <w:r>
              <w:rPr>
                <w:rFonts w:hint="eastAsia" w:ascii="宋体" w:hAnsi="宋体" w:cs="宋体"/>
                <w:szCs w:val="21"/>
              </w:rPr>
              <w:t>（50分）</w:t>
            </w:r>
          </w:p>
        </w:tc>
        <w:tc>
          <w:tcPr>
            <w:tcW w:w="6134" w:type="dxa"/>
            <w:vAlign w:val="center"/>
          </w:tcPr>
          <w:p w14:paraId="3A1743FB">
            <w:pPr>
              <w:jc w:val="left"/>
              <w:rPr>
                <w:rFonts w:hint="eastAsia" w:ascii="宋体" w:hAnsi="宋体" w:cs="宋体"/>
                <w:szCs w:val="21"/>
              </w:rPr>
            </w:pPr>
            <w:r>
              <w:rPr>
                <w:rFonts w:hint="eastAsia" w:ascii="宋体" w:hAnsi="宋体" w:cs="宋体"/>
                <w:szCs w:val="21"/>
              </w:rPr>
              <w:t>投标人具有有效期内的质量管理体系认证证书、环境管理体系认证证书、职业安全健康管理体系认证证书，有一项得1分，本项最高3分。</w:t>
            </w:r>
          </w:p>
          <w:p w14:paraId="2997C99B">
            <w:pPr>
              <w:jc w:val="left"/>
              <w:rPr>
                <w:rFonts w:hint="eastAsia" w:ascii="宋体" w:hAnsi="宋体" w:cs="宋体"/>
                <w:szCs w:val="21"/>
              </w:rPr>
            </w:pPr>
            <w:r>
              <w:rPr>
                <w:rFonts w:hint="eastAsia" w:ascii="宋体" w:hAnsi="宋体" w:cs="宋体"/>
                <w:szCs w:val="21"/>
              </w:rPr>
              <w:t>上述认证证书必须在中国国家认证认可监督管理委员会官网可查，投标文件中必须提供在此网站上查验的截图及证书复印件，否则对应评分项不得分。</w:t>
            </w:r>
          </w:p>
        </w:tc>
        <w:tc>
          <w:tcPr>
            <w:tcW w:w="804" w:type="dxa"/>
            <w:vAlign w:val="center"/>
          </w:tcPr>
          <w:p w14:paraId="3F1DF57B">
            <w:pPr>
              <w:jc w:val="center"/>
              <w:rPr>
                <w:rFonts w:hint="eastAsia" w:ascii="宋体" w:hAnsi="宋体" w:cs="宋体"/>
                <w:szCs w:val="21"/>
              </w:rPr>
            </w:pPr>
            <w:r>
              <w:rPr>
                <w:rFonts w:hint="eastAsia" w:ascii="宋体" w:hAnsi="宋体" w:cs="宋体"/>
                <w:szCs w:val="21"/>
              </w:rPr>
              <w:t>3分</w:t>
            </w:r>
          </w:p>
        </w:tc>
      </w:tr>
      <w:tr w14:paraId="4BA7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continue"/>
            <w:vAlign w:val="center"/>
          </w:tcPr>
          <w:p w14:paraId="137475C2">
            <w:pPr>
              <w:jc w:val="center"/>
              <w:rPr>
                <w:rFonts w:hint="eastAsia" w:ascii="宋体" w:hAnsi="宋体" w:cs="宋体"/>
                <w:szCs w:val="21"/>
              </w:rPr>
            </w:pPr>
          </w:p>
        </w:tc>
        <w:tc>
          <w:tcPr>
            <w:tcW w:w="1297" w:type="dxa"/>
            <w:vMerge w:val="continue"/>
            <w:vAlign w:val="center"/>
          </w:tcPr>
          <w:p w14:paraId="75D648E6">
            <w:pPr>
              <w:jc w:val="center"/>
              <w:rPr>
                <w:rFonts w:hint="eastAsia" w:ascii="宋体" w:hAnsi="宋体" w:cs="宋体"/>
                <w:szCs w:val="21"/>
              </w:rPr>
            </w:pPr>
          </w:p>
        </w:tc>
        <w:tc>
          <w:tcPr>
            <w:tcW w:w="6134" w:type="dxa"/>
            <w:vAlign w:val="center"/>
          </w:tcPr>
          <w:p w14:paraId="38B78CF3">
            <w:pPr>
              <w:spacing w:line="300" w:lineRule="exact"/>
              <w:jc w:val="left"/>
              <w:rPr>
                <w:rFonts w:hint="eastAsia" w:ascii="宋体" w:hAnsi="宋体" w:cs="宋体"/>
                <w:szCs w:val="21"/>
              </w:rPr>
            </w:pPr>
            <w:r>
              <w:rPr>
                <w:rFonts w:hint="eastAsia" w:ascii="宋体" w:hAnsi="宋体" w:cs="宋体"/>
                <w:szCs w:val="21"/>
              </w:rPr>
              <w:t>投标人具有“AAA资信等级证书”得5分，“AA资信等级证书”得3分，“A资信等级证书”得1分。</w:t>
            </w:r>
          </w:p>
        </w:tc>
        <w:tc>
          <w:tcPr>
            <w:tcW w:w="804" w:type="dxa"/>
            <w:vAlign w:val="center"/>
          </w:tcPr>
          <w:p w14:paraId="74A7279B">
            <w:pPr>
              <w:jc w:val="center"/>
              <w:rPr>
                <w:rFonts w:hint="eastAsia" w:ascii="宋体" w:hAnsi="宋体" w:cs="宋体"/>
                <w:szCs w:val="21"/>
              </w:rPr>
            </w:pPr>
            <w:r>
              <w:rPr>
                <w:rFonts w:hint="eastAsia" w:ascii="宋体" w:hAnsi="宋体" w:cs="宋体"/>
                <w:szCs w:val="21"/>
              </w:rPr>
              <w:t>5分</w:t>
            </w:r>
          </w:p>
        </w:tc>
      </w:tr>
      <w:tr w14:paraId="6FBD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continue"/>
            <w:vAlign w:val="center"/>
          </w:tcPr>
          <w:p w14:paraId="6FA647A4">
            <w:pPr>
              <w:jc w:val="center"/>
              <w:rPr>
                <w:rFonts w:hint="eastAsia" w:ascii="宋体" w:hAnsi="宋体" w:cs="宋体"/>
                <w:szCs w:val="21"/>
              </w:rPr>
            </w:pPr>
          </w:p>
        </w:tc>
        <w:tc>
          <w:tcPr>
            <w:tcW w:w="1297" w:type="dxa"/>
            <w:vMerge w:val="continue"/>
            <w:vAlign w:val="center"/>
          </w:tcPr>
          <w:p w14:paraId="59176034">
            <w:pPr>
              <w:jc w:val="center"/>
              <w:rPr>
                <w:rFonts w:hint="eastAsia" w:ascii="宋体" w:hAnsi="宋体" w:cs="宋体"/>
                <w:szCs w:val="21"/>
              </w:rPr>
            </w:pPr>
          </w:p>
        </w:tc>
        <w:tc>
          <w:tcPr>
            <w:tcW w:w="6134" w:type="dxa"/>
            <w:vAlign w:val="center"/>
          </w:tcPr>
          <w:p w14:paraId="70D28E05">
            <w:pPr>
              <w:jc w:val="left"/>
              <w:rPr>
                <w:rFonts w:hint="eastAsia" w:ascii="宋体" w:hAnsi="宋体" w:cs="宋体"/>
                <w:szCs w:val="21"/>
              </w:rPr>
            </w:pPr>
            <w:r>
              <w:rPr>
                <w:rFonts w:hint="eastAsia" w:ascii="宋体" w:hAnsi="宋体" w:cs="宋体"/>
                <w:szCs w:val="21"/>
              </w:rPr>
              <w:t>投标人具有保安服务评定等级一级得5分，二级得3分，三级得1分，最高得5分。</w:t>
            </w:r>
          </w:p>
        </w:tc>
        <w:tc>
          <w:tcPr>
            <w:tcW w:w="804" w:type="dxa"/>
            <w:vAlign w:val="center"/>
          </w:tcPr>
          <w:p w14:paraId="589F3B91">
            <w:pPr>
              <w:jc w:val="center"/>
              <w:rPr>
                <w:rFonts w:hint="eastAsia" w:ascii="宋体" w:hAnsi="宋体" w:cs="宋体"/>
                <w:szCs w:val="21"/>
              </w:rPr>
            </w:pPr>
            <w:r>
              <w:rPr>
                <w:rFonts w:hint="eastAsia" w:ascii="宋体" w:hAnsi="宋体" w:cs="宋体"/>
                <w:szCs w:val="21"/>
              </w:rPr>
              <w:t>5分</w:t>
            </w:r>
          </w:p>
        </w:tc>
      </w:tr>
      <w:tr w14:paraId="55AD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23" w:type="dxa"/>
            <w:vMerge w:val="continue"/>
            <w:vAlign w:val="center"/>
          </w:tcPr>
          <w:p w14:paraId="45198423">
            <w:pPr>
              <w:jc w:val="center"/>
              <w:rPr>
                <w:rFonts w:hint="eastAsia" w:ascii="宋体" w:hAnsi="宋体" w:cs="宋体"/>
                <w:szCs w:val="21"/>
              </w:rPr>
            </w:pPr>
          </w:p>
        </w:tc>
        <w:tc>
          <w:tcPr>
            <w:tcW w:w="1297" w:type="dxa"/>
            <w:vMerge w:val="continue"/>
            <w:vAlign w:val="center"/>
          </w:tcPr>
          <w:p w14:paraId="7EEF0E0D">
            <w:pPr>
              <w:jc w:val="center"/>
              <w:rPr>
                <w:rFonts w:hint="eastAsia" w:ascii="宋体" w:hAnsi="宋体" w:cs="宋体"/>
                <w:szCs w:val="21"/>
              </w:rPr>
            </w:pPr>
          </w:p>
        </w:tc>
        <w:tc>
          <w:tcPr>
            <w:tcW w:w="6134" w:type="dxa"/>
            <w:vAlign w:val="center"/>
          </w:tcPr>
          <w:p w14:paraId="33FAF2AC">
            <w:pPr>
              <w:jc w:val="left"/>
              <w:rPr>
                <w:rFonts w:hint="eastAsia" w:ascii="宋体" w:hAnsi="宋体" w:cs="宋体"/>
                <w:szCs w:val="21"/>
              </w:rPr>
            </w:pPr>
            <w:r>
              <w:rPr>
                <w:rFonts w:hint="eastAsia" w:ascii="宋体" w:hAnsi="宋体" w:cs="宋体"/>
                <w:szCs w:val="21"/>
              </w:rPr>
              <w:t>投标人自2023年1月1日以来（以颁发的证书或文件时间为准）获得公安监管部门、上级主管单位和行业协会颁发的表彰、奖励等荣誉证书的，省级及以上的有一个得3分，地市级的有一个得2分，县级的有一个得1分。本项最多得9分。（注: ①提供证书或文件。②同一项目不重复计分，以分值高者计。③证书上需体现投标人名称，若不能体现的，则另需提供相关有效的证明材料。）</w:t>
            </w:r>
          </w:p>
        </w:tc>
        <w:tc>
          <w:tcPr>
            <w:tcW w:w="804" w:type="dxa"/>
            <w:vAlign w:val="center"/>
          </w:tcPr>
          <w:p w14:paraId="3D3C8454">
            <w:pPr>
              <w:jc w:val="center"/>
              <w:rPr>
                <w:rFonts w:hint="eastAsia" w:ascii="宋体" w:hAnsi="宋体" w:cs="宋体"/>
                <w:szCs w:val="21"/>
              </w:rPr>
            </w:pPr>
            <w:r>
              <w:rPr>
                <w:rFonts w:hint="eastAsia" w:ascii="宋体" w:hAnsi="宋体" w:cs="宋体"/>
                <w:szCs w:val="21"/>
              </w:rPr>
              <w:t>9分</w:t>
            </w:r>
          </w:p>
        </w:tc>
      </w:tr>
      <w:tr w14:paraId="61C2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23" w:type="dxa"/>
            <w:vMerge w:val="continue"/>
            <w:vAlign w:val="center"/>
          </w:tcPr>
          <w:p w14:paraId="796857C9">
            <w:pPr>
              <w:jc w:val="center"/>
              <w:rPr>
                <w:rFonts w:hint="eastAsia" w:ascii="宋体" w:hAnsi="宋体" w:cs="宋体"/>
                <w:szCs w:val="21"/>
              </w:rPr>
            </w:pPr>
          </w:p>
        </w:tc>
        <w:tc>
          <w:tcPr>
            <w:tcW w:w="1297" w:type="dxa"/>
            <w:vMerge w:val="continue"/>
            <w:vAlign w:val="center"/>
          </w:tcPr>
          <w:p w14:paraId="32FCB700">
            <w:pPr>
              <w:jc w:val="center"/>
              <w:rPr>
                <w:rFonts w:hint="eastAsia" w:ascii="宋体" w:hAnsi="宋体" w:cs="宋体"/>
                <w:szCs w:val="21"/>
              </w:rPr>
            </w:pPr>
          </w:p>
        </w:tc>
        <w:tc>
          <w:tcPr>
            <w:tcW w:w="6134" w:type="dxa"/>
            <w:vAlign w:val="center"/>
          </w:tcPr>
          <w:p w14:paraId="240553F1">
            <w:pPr>
              <w:jc w:val="left"/>
              <w:rPr>
                <w:rFonts w:hint="eastAsia" w:ascii="宋体" w:hAnsi="宋体" w:cs="宋体"/>
                <w:szCs w:val="21"/>
              </w:rPr>
            </w:pPr>
            <w:r>
              <w:rPr>
                <w:rFonts w:hint="eastAsia" w:ascii="宋体" w:hAnsi="宋体" w:cs="宋体"/>
                <w:szCs w:val="21"/>
              </w:rPr>
              <w:t>投标人自2023年1月1日以来是否有受到公安主管部门的处罚记录的。没有不良记录的，得9分，有1条不良记录扣3分，扣完为止。（注：提供公安主管部门的相关证明）</w:t>
            </w:r>
          </w:p>
        </w:tc>
        <w:tc>
          <w:tcPr>
            <w:tcW w:w="804" w:type="dxa"/>
            <w:vAlign w:val="center"/>
          </w:tcPr>
          <w:p w14:paraId="7B720F53">
            <w:pPr>
              <w:jc w:val="center"/>
              <w:rPr>
                <w:rFonts w:hint="eastAsia" w:ascii="宋体" w:hAnsi="宋体" w:cs="宋体"/>
                <w:szCs w:val="21"/>
              </w:rPr>
            </w:pPr>
            <w:r>
              <w:rPr>
                <w:rFonts w:hint="eastAsia" w:ascii="宋体" w:hAnsi="宋体" w:cs="宋体"/>
                <w:szCs w:val="21"/>
              </w:rPr>
              <w:t>9分</w:t>
            </w:r>
          </w:p>
        </w:tc>
      </w:tr>
      <w:tr w14:paraId="4FF3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23" w:type="dxa"/>
            <w:vMerge w:val="continue"/>
            <w:vAlign w:val="center"/>
          </w:tcPr>
          <w:p w14:paraId="0E311972">
            <w:pPr>
              <w:jc w:val="center"/>
              <w:rPr>
                <w:rFonts w:hint="eastAsia" w:ascii="宋体" w:hAnsi="宋体" w:cs="宋体"/>
                <w:szCs w:val="21"/>
              </w:rPr>
            </w:pPr>
          </w:p>
        </w:tc>
        <w:tc>
          <w:tcPr>
            <w:tcW w:w="1297" w:type="dxa"/>
            <w:vMerge w:val="continue"/>
            <w:vAlign w:val="center"/>
          </w:tcPr>
          <w:p w14:paraId="0CA9DAAC">
            <w:pPr>
              <w:jc w:val="center"/>
              <w:rPr>
                <w:rFonts w:hint="eastAsia" w:ascii="宋体" w:hAnsi="宋体" w:cs="宋体"/>
                <w:szCs w:val="21"/>
              </w:rPr>
            </w:pPr>
          </w:p>
        </w:tc>
        <w:tc>
          <w:tcPr>
            <w:tcW w:w="6134" w:type="dxa"/>
            <w:vAlign w:val="center"/>
          </w:tcPr>
          <w:p w14:paraId="6B36AB0F">
            <w:pPr>
              <w:jc w:val="left"/>
              <w:rPr>
                <w:rFonts w:hint="eastAsia" w:ascii="宋体" w:hAnsi="宋体" w:cs="宋体"/>
                <w:szCs w:val="21"/>
              </w:rPr>
            </w:pPr>
            <w:r>
              <w:rPr>
                <w:rFonts w:hint="eastAsia" w:ascii="宋体" w:hAnsi="宋体" w:cs="宋体"/>
                <w:szCs w:val="21"/>
              </w:rPr>
              <w:t>投标人具有与其承担的项目业绩所在地的公安机关主管部门建立联勤联防合作机制的，有一个得2分，最多得4分。注：提供相关有效证明材料。</w:t>
            </w:r>
          </w:p>
        </w:tc>
        <w:tc>
          <w:tcPr>
            <w:tcW w:w="804" w:type="dxa"/>
            <w:vAlign w:val="center"/>
          </w:tcPr>
          <w:p w14:paraId="2B4D4F98">
            <w:pPr>
              <w:jc w:val="center"/>
              <w:rPr>
                <w:rFonts w:hint="eastAsia" w:ascii="宋体" w:hAnsi="宋体" w:cs="宋体"/>
                <w:szCs w:val="21"/>
              </w:rPr>
            </w:pPr>
            <w:r>
              <w:rPr>
                <w:rFonts w:hint="eastAsia" w:ascii="宋体" w:hAnsi="宋体" w:cs="宋体"/>
                <w:szCs w:val="21"/>
              </w:rPr>
              <w:t>4分</w:t>
            </w:r>
          </w:p>
        </w:tc>
      </w:tr>
      <w:tr w14:paraId="60D9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continue"/>
            <w:vAlign w:val="center"/>
          </w:tcPr>
          <w:p w14:paraId="40CAC4B7">
            <w:pPr>
              <w:jc w:val="center"/>
              <w:rPr>
                <w:rFonts w:hint="eastAsia" w:ascii="宋体" w:hAnsi="宋体" w:cs="宋体"/>
                <w:szCs w:val="21"/>
              </w:rPr>
            </w:pPr>
          </w:p>
        </w:tc>
        <w:tc>
          <w:tcPr>
            <w:tcW w:w="1297" w:type="dxa"/>
            <w:vMerge w:val="continue"/>
            <w:vAlign w:val="center"/>
          </w:tcPr>
          <w:p w14:paraId="3DE967E3">
            <w:pPr>
              <w:jc w:val="center"/>
              <w:rPr>
                <w:rFonts w:hint="eastAsia" w:ascii="宋体" w:hAnsi="宋体" w:cs="宋体"/>
                <w:szCs w:val="21"/>
              </w:rPr>
            </w:pPr>
          </w:p>
        </w:tc>
        <w:tc>
          <w:tcPr>
            <w:tcW w:w="6134" w:type="dxa"/>
            <w:vAlign w:val="center"/>
          </w:tcPr>
          <w:p w14:paraId="3E434D47">
            <w:pPr>
              <w:tabs>
                <w:tab w:val="left" w:pos="720"/>
              </w:tabs>
              <w:jc w:val="left"/>
              <w:rPr>
                <w:rFonts w:hint="eastAsia" w:ascii="宋体" w:hAnsi="宋体" w:cs="宋体"/>
                <w:szCs w:val="21"/>
              </w:rPr>
            </w:pPr>
            <w:r>
              <w:rPr>
                <w:rFonts w:hint="eastAsia" w:ascii="宋体" w:hAnsi="宋体" w:cs="宋体"/>
                <w:szCs w:val="21"/>
              </w:rPr>
              <w:t>投标人自2023年1月1日至投标截止时间(以合同签订时间为准)承担过非住宅类的保安服务项目的成功案例，有1个得3分，本项最高15分。</w:t>
            </w:r>
          </w:p>
          <w:p w14:paraId="36F86028">
            <w:pPr>
              <w:tabs>
                <w:tab w:val="left" w:pos="720"/>
              </w:tabs>
              <w:jc w:val="left"/>
              <w:rPr>
                <w:rFonts w:hint="eastAsia" w:ascii="宋体" w:hAnsi="宋体" w:cs="宋体"/>
                <w:szCs w:val="21"/>
              </w:rPr>
            </w:pPr>
            <w:r>
              <w:rPr>
                <w:rFonts w:hint="eastAsia" w:ascii="宋体" w:hAnsi="宋体" w:cs="宋体"/>
                <w:szCs w:val="21"/>
              </w:rPr>
              <w:t>注:提供服务合同及发票（至少三个月）。</w:t>
            </w:r>
          </w:p>
        </w:tc>
        <w:tc>
          <w:tcPr>
            <w:tcW w:w="804" w:type="dxa"/>
            <w:vAlign w:val="center"/>
          </w:tcPr>
          <w:p w14:paraId="718D9D52">
            <w:pPr>
              <w:jc w:val="center"/>
              <w:rPr>
                <w:rFonts w:hint="eastAsia" w:ascii="宋体" w:hAnsi="宋体" w:cs="宋体"/>
                <w:szCs w:val="21"/>
              </w:rPr>
            </w:pPr>
            <w:r>
              <w:rPr>
                <w:rFonts w:hint="eastAsia" w:ascii="宋体" w:hAnsi="宋体" w:cs="宋体"/>
                <w:szCs w:val="21"/>
              </w:rPr>
              <w:t>15分</w:t>
            </w:r>
          </w:p>
        </w:tc>
      </w:tr>
      <w:tr w14:paraId="25DA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23" w:type="dxa"/>
            <w:vMerge w:val="restart"/>
            <w:vAlign w:val="center"/>
          </w:tcPr>
          <w:p w14:paraId="07CE2003">
            <w:pPr>
              <w:jc w:val="center"/>
              <w:rPr>
                <w:rFonts w:hint="eastAsia" w:ascii="宋体" w:hAnsi="宋体" w:cs="宋体"/>
                <w:szCs w:val="21"/>
              </w:rPr>
            </w:pPr>
            <w:r>
              <w:rPr>
                <w:rFonts w:hint="eastAsia" w:ascii="宋体" w:hAnsi="宋体" w:cs="宋体"/>
                <w:szCs w:val="21"/>
              </w:rPr>
              <w:t>2</w:t>
            </w:r>
          </w:p>
        </w:tc>
        <w:tc>
          <w:tcPr>
            <w:tcW w:w="1297" w:type="dxa"/>
            <w:vMerge w:val="restart"/>
            <w:vAlign w:val="center"/>
          </w:tcPr>
          <w:p w14:paraId="09AED422">
            <w:pPr>
              <w:jc w:val="center"/>
              <w:rPr>
                <w:rFonts w:hint="eastAsia" w:ascii="宋体" w:hAnsi="宋体" w:cs="宋体"/>
                <w:szCs w:val="21"/>
              </w:rPr>
            </w:pPr>
            <w:r>
              <w:rPr>
                <w:rFonts w:hint="eastAsia" w:ascii="宋体" w:hAnsi="宋体" w:cs="宋体"/>
                <w:szCs w:val="21"/>
              </w:rPr>
              <w:t>人员配置</w:t>
            </w:r>
          </w:p>
          <w:p w14:paraId="130CC2F1">
            <w:pPr>
              <w:jc w:val="center"/>
              <w:rPr>
                <w:rFonts w:hint="eastAsia" w:ascii="宋体" w:hAnsi="宋体" w:cs="宋体"/>
                <w:szCs w:val="21"/>
              </w:rPr>
            </w:pPr>
            <w:r>
              <w:rPr>
                <w:rFonts w:hint="eastAsia" w:ascii="宋体" w:hAnsi="宋体" w:cs="宋体"/>
                <w:szCs w:val="21"/>
              </w:rPr>
              <w:t>（7分）</w:t>
            </w:r>
          </w:p>
        </w:tc>
        <w:tc>
          <w:tcPr>
            <w:tcW w:w="6134" w:type="dxa"/>
            <w:vAlign w:val="center"/>
          </w:tcPr>
          <w:p w14:paraId="6B9F5FEE">
            <w:pPr>
              <w:jc w:val="left"/>
              <w:rPr>
                <w:rFonts w:hint="eastAsia" w:ascii="宋体" w:hAnsi="宋体" w:cs="宋体"/>
                <w:szCs w:val="21"/>
              </w:rPr>
            </w:pPr>
            <w:r>
              <w:rPr>
                <w:rFonts w:hint="eastAsia" w:ascii="宋体" w:hAnsi="宋体" w:cs="宋体"/>
                <w:szCs w:val="21"/>
              </w:rPr>
              <w:t>拟派项目主管具有本科或以上学历的得1分，具有保安员三级及以上职业资格证书的得1分，具有5年或以上本单位保安服务项目经理管理经验的得2分。</w:t>
            </w:r>
          </w:p>
          <w:p w14:paraId="5C301922">
            <w:pPr>
              <w:jc w:val="left"/>
              <w:rPr>
                <w:rFonts w:hint="eastAsia" w:ascii="宋体" w:hAnsi="宋体" w:cs="宋体"/>
                <w:szCs w:val="21"/>
              </w:rPr>
            </w:pPr>
            <w:r>
              <w:rPr>
                <w:rFonts w:hint="eastAsia" w:ascii="宋体" w:hAnsi="宋体" w:cs="宋体"/>
                <w:szCs w:val="21"/>
              </w:rPr>
              <w:t>注:提供相关证书、服务单位开具的工作证明且加盖公章及投标人为其缴纳的投标截止时间前三个月中任意一个月的社保缴费证明。</w:t>
            </w:r>
          </w:p>
        </w:tc>
        <w:tc>
          <w:tcPr>
            <w:tcW w:w="804" w:type="dxa"/>
            <w:vAlign w:val="center"/>
          </w:tcPr>
          <w:p w14:paraId="3C4107F1">
            <w:pPr>
              <w:jc w:val="center"/>
              <w:rPr>
                <w:rFonts w:hint="eastAsia" w:ascii="宋体" w:hAnsi="宋体" w:cs="宋体"/>
                <w:szCs w:val="21"/>
              </w:rPr>
            </w:pPr>
            <w:r>
              <w:rPr>
                <w:rFonts w:hint="eastAsia" w:ascii="宋体" w:hAnsi="宋体" w:cs="宋体"/>
                <w:szCs w:val="21"/>
              </w:rPr>
              <w:t>4分</w:t>
            </w:r>
          </w:p>
        </w:tc>
      </w:tr>
      <w:tr w14:paraId="3C9A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3" w:type="dxa"/>
            <w:vMerge w:val="continue"/>
            <w:vAlign w:val="center"/>
          </w:tcPr>
          <w:p w14:paraId="48818241">
            <w:pPr>
              <w:jc w:val="center"/>
              <w:rPr>
                <w:rFonts w:hint="eastAsia" w:ascii="宋体" w:hAnsi="宋体" w:cs="宋体"/>
                <w:szCs w:val="21"/>
              </w:rPr>
            </w:pPr>
          </w:p>
        </w:tc>
        <w:tc>
          <w:tcPr>
            <w:tcW w:w="1297" w:type="dxa"/>
            <w:vMerge w:val="continue"/>
            <w:vAlign w:val="center"/>
          </w:tcPr>
          <w:p w14:paraId="2B6EC996">
            <w:pPr>
              <w:jc w:val="center"/>
              <w:rPr>
                <w:rFonts w:hint="eastAsia" w:ascii="宋体" w:hAnsi="宋体" w:cs="宋体"/>
                <w:szCs w:val="21"/>
              </w:rPr>
            </w:pPr>
          </w:p>
        </w:tc>
        <w:tc>
          <w:tcPr>
            <w:tcW w:w="6134" w:type="dxa"/>
            <w:vAlign w:val="center"/>
          </w:tcPr>
          <w:p w14:paraId="54384E64">
            <w:pPr>
              <w:jc w:val="left"/>
              <w:rPr>
                <w:rFonts w:hint="eastAsia" w:ascii="宋体" w:hAnsi="宋体" w:cs="宋体"/>
                <w:szCs w:val="21"/>
              </w:rPr>
            </w:pPr>
            <w:r>
              <w:rPr>
                <w:rFonts w:hint="eastAsia" w:ascii="宋体" w:hAnsi="宋体" w:cs="宋体"/>
                <w:szCs w:val="21"/>
              </w:rPr>
              <w:t>拟派保安人员中自2023年1月1日以来有获得公安监管部门表彰的，有一个人得0.2分，本项最多得3分。</w:t>
            </w:r>
          </w:p>
          <w:p w14:paraId="0F243670">
            <w:pPr>
              <w:jc w:val="left"/>
              <w:rPr>
                <w:rFonts w:hint="eastAsia" w:ascii="宋体" w:hAnsi="宋体" w:cs="宋体"/>
                <w:szCs w:val="21"/>
              </w:rPr>
            </w:pPr>
            <w:r>
              <w:rPr>
                <w:rFonts w:hint="eastAsia" w:ascii="宋体" w:hAnsi="宋体" w:cs="宋体"/>
                <w:szCs w:val="21"/>
              </w:rPr>
              <w:t>注:提供相关证书或文件、投标人为上述拟派保安人员缴纳的投标截止时间前三个月中任意一个月的社保缴费证明。</w:t>
            </w:r>
          </w:p>
        </w:tc>
        <w:tc>
          <w:tcPr>
            <w:tcW w:w="804" w:type="dxa"/>
            <w:vAlign w:val="center"/>
          </w:tcPr>
          <w:p w14:paraId="7B490D9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3分</w:t>
            </w:r>
          </w:p>
        </w:tc>
      </w:tr>
      <w:tr w14:paraId="4CE4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restart"/>
            <w:vAlign w:val="center"/>
          </w:tcPr>
          <w:p w14:paraId="13AB9C5F">
            <w:pPr>
              <w:jc w:val="center"/>
              <w:rPr>
                <w:rFonts w:hint="eastAsia" w:ascii="宋体" w:hAnsi="宋体" w:cs="宋体"/>
                <w:szCs w:val="21"/>
              </w:rPr>
            </w:pPr>
            <w:r>
              <w:rPr>
                <w:rFonts w:hint="eastAsia" w:ascii="宋体" w:hAnsi="宋体" w:cs="宋体"/>
                <w:szCs w:val="21"/>
              </w:rPr>
              <w:t>3</w:t>
            </w:r>
          </w:p>
        </w:tc>
        <w:tc>
          <w:tcPr>
            <w:tcW w:w="1297" w:type="dxa"/>
            <w:vMerge w:val="restart"/>
            <w:vAlign w:val="center"/>
          </w:tcPr>
          <w:p w14:paraId="399AAC19">
            <w:pPr>
              <w:jc w:val="center"/>
              <w:rPr>
                <w:rFonts w:hint="eastAsia" w:ascii="宋体" w:hAnsi="宋体" w:cs="宋体"/>
                <w:szCs w:val="21"/>
              </w:rPr>
            </w:pPr>
            <w:r>
              <w:rPr>
                <w:rFonts w:hint="eastAsia" w:ascii="宋体" w:hAnsi="宋体" w:cs="宋体"/>
                <w:szCs w:val="21"/>
              </w:rPr>
              <w:t>项目实施方案</w:t>
            </w:r>
          </w:p>
          <w:p w14:paraId="7DC90EC6">
            <w:pPr>
              <w:jc w:val="center"/>
              <w:rPr>
                <w:rFonts w:hint="eastAsia" w:ascii="宋体" w:hAnsi="宋体" w:cs="宋体"/>
                <w:szCs w:val="21"/>
              </w:rPr>
            </w:pPr>
            <w:r>
              <w:rPr>
                <w:rFonts w:hint="eastAsia" w:ascii="宋体" w:hAnsi="宋体" w:cs="宋体"/>
                <w:szCs w:val="21"/>
              </w:rPr>
              <w:t>（33分）</w:t>
            </w:r>
          </w:p>
        </w:tc>
        <w:tc>
          <w:tcPr>
            <w:tcW w:w="6134" w:type="dxa"/>
            <w:vAlign w:val="center"/>
          </w:tcPr>
          <w:p w14:paraId="2548BE03">
            <w:pPr>
              <w:jc w:val="left"/>
              <w:rPr>
                <w:rFonts w:hint="eastAsia" w:ascii="宋体" w:hAnsi="宋体" w:cs="宋体"/>
                <w:szCs w:val="21"/>
              </w:rPr>
            </w:pPr>
            <w:r>
              <w:rPr>
                <w:rFonts w:hint="eastAsia" w:ascii="宋体" w:hAnsi="宋体" w:cs="宋体"/>
                <w:szCs w:val="21"/>
              </w:rPr>
              <w:t>服务方案：</w:t>
            </w:r>
          </w:p>
          <w:p w14:paraId="72AE4B22">
            <w:pPr>
              <w:ind w:firstLine="420" w:firstLineChars="200"/>
              <w:jc w:val="left"/>
              <w:rPr>
                <w:rFonts w:hint="eastAsia" w:ascii="宋体" w:hAnsi="宋体" w:cs="宋体"/>
                <w:szCs w:val="21"/>
              </w:rPr>
            </w:pPr>
            <w:r>
              <w:rPr>
                <w:rFonts w:hint="eastAsia" w:ascii="宋体" w:hAnsi="宋体" w:cs="宋体"/>
                <w:szCs w:val="21"/>
              </w:rPr>
              <w:t>根据各投标方案对项目整体分析，管理模式、特点，管理理念、计划，总体模式及配套措施完整、细致等内容进行打分。方案完全满足磋商文件对项目服务的要求，结构严谨，内容完整详实，能够针对采购项目内容要求而细化制定，项目管理运行机制健全，得6分；能够满足磋商文件对项目服务的要求，项目服务方案完整，为本项目的服务要求而制定的措施较齐全，方案表述有一定偏差，但不影响实质性意思表达，得4分；有项目服务方案，但方案内容笼统，没有针对本项目细化制定，承诺通过后期优化能够实现采购文件要求，得2分；其他情况或没有内容不得分。</w:t>
            </w:r>
          </w:p>
        </w:tc>
        <w:tc>
          <w:tcPr>
            <w:tcW w:w="804" w:type="dxa"/>
            <w:vAlign w:val="center"/>
          </w:tcPr>
          <w:p w14:paraId="23855396">
            <w:pPr>
              <w:jc w:val="center"/>
              <w:rPr>
                <w:rFonts w:hint="eastAsia" w:ascii="宋体" w:hAnsi="宋体" w:cs="宋体"/>
                <w:szCs w:val="21"/>
              </w:rPr>
            </w:pPr>
            <w:r>
              <w:rPr>
                <w:rFonts w:hint="eastAsia" w:ascii="宋体" w:hAnsi="宋体" w:cs="宋体"/>
                <w:szCs w:val="21"/>
              </w:rPr>
              <w:t>6分</w:t>
            </w:r>
          </w:p>
        </w:tc>
      </w:tr>
      <w:tr w14:paraId="5E1C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continue"/>
            <w:vAlign w:val="center"/>
          </w:tcPr>
          <w:p w14:paraId="6F8DF4E6">
            <w:pPr>
              <w:jc w:val="center"/>
              <w:rPr>
                <w:rFonts w:hint="eastAsia" w:ascii="宋体" w:hAnsi="宋体" w:cs="宋体"/>
                <w:szCs w:val="21"/>
              </w:rPr>
            </w:pPr>
          </w:p>
        </w:tc>
        <w:tc>
          <w:tcPr>
            <w:tcW w:w="1297" w:type="dxa"/>
            <w:vMerge w:val="continue"/>
            <w:vAlign w:val="center"/>
          </w:tcPr>
          <w:p w14:paraId="33F91A69">
            <w:pPr>
              <w:jc w:val="center"/>
              <w:rPr>
                <w:rFonts w:hint="eastAsia" w:ascii="宋体" w:hAnsi="宋体" w:cs="宋体"/>
                <w:szCs w:val="21"/>
              </w:rPr>
            </w:pPr>
          </w:p>
        </w:tc>
        <w:tc>
          <w:tcPr>
            <w:tcW w:w="6134" w:type="dxa"/>
            <w:vAlign w:val="center"/>
          </w:tcPr>
          <w:p w14:paraId="7676F58C">
            <w:pPr>
              <w:jc w:val="left"/>
              <w:rPr>
                <w:rFonts w:hint="eastAsia" w:ascii="宋体" w:hAnsi="宋体" w:cs="宋体"/>
                <w:szCs w:val="21"/>
              </w:rPr>
            </w:pPr>
            <w:r>
              <w:rPr>
                <w:rFonts w:hint="eastAsia" w:ascii="宋体" w:hAnsi="宋体" w:cs="宋体"/>
                <w:szCs w:val="21"/>
              </w:rPr>
              <w:t>安全保密措施：</w:t>
            </w:r>
          </w:p>
          <w:p w14:paraId="4CB70008">
            <w:pPr>
              <w:ind w:firstLine="420" w:firstLineChars="200"/>
              <w:jc w:val="left"/>
              <w:rPr>
                <w:rFonts w:hint="eastAsia" w:ascii="宋体" w:hAnsi="宋体" w:cs="宋体"/>
                <w:szCs w:val="21"/>
              </w:rPr>
            </w:pPr>
            <w:r>
              <w:rPr>
                <w:rFonts w:hint="eastAsia" w:ascii="宋体" w:hAnsi="宋体" w:cs="宋体"/>
                <w:szCs w:val="21"/>
              </w:rPr>
              <w:t>根据供应商针对本项目制定的安全责任制度、应急预案、以及档案、信息资料的保密措施进行评审，安全措施详细完整、保密管理切合实际、能够实现采购人保密要求，优于采购需求的，得5分；安全措施完整，且可执行，满足采购需求的，得3分；有安全措施但不够完整，通过后期优化可以实现采购人保密要求的，得1分；其他情况或没有内容不得分。</w:t>
            </w:r>
          </w:p>
        </w:tc>
        <w:tc>
          <w:tcPr>
            <w:tcW w:w="804" w:type="dxa"/>
            <w:vAlign w:val="center"/>
          </w:tcPr>
          <w:p w14:paraId="23891CA2">
            <w:pPr>
              <w:jc w:val="center"/>
              <w:rPr>
                <w:rFonts w:hint="eastAsia" w:ascii="宋体" w:hAnsi="宋体" w:cs="宋体"/>
                <w:szCs w:val="21"/>
              </w:rPr>
            </w:pPr>
            <w:r>
              <w:rPr>
                <w:rFonts w:hint="eastAsia" w:ascii="宋体" w:hAnsi="宋体" w:cs="宋体"/>
                <w:szCs w:val="21"/>
              </w:rPr>
              <w:t>5分</w:t>
            </w:r>
          </w:p>
        </w:tc>
      </w:tr>
      <w:tr w14:paraId="2E98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continue"/>
            <w:vAlign w:val="center"/>
          </w:tcPr>
          <w:p w14:paraId="7AA942A8">
            <w:pPr>
              <w:jc w:val="center"/>
              <w:rPr>
                <w:rFonts w:hint="eastAsia" w:ascii="宋体" w:hAnsi="宋体" w:cs="宋体"/>
                <w:szCs w:val="21"/>
              </w:rPr>
            </w:pPr>
          </w:p>
        </w:tc>
        <w:tc>
          <w:tcPr>
            <w:tcW w:w="1297" w:type="dxa"/>
            <w:vMerge w:val="continue"/>
            <w:vAlign w:val="center"/>
          </w:tcPr>
          <w:p w14:paraId="4A6F1E51">
            <w:pPr>
              <w:jc w:val="center"/>
              <w:rPr>
                <w:rFonts w:hint="eastAsia" w:ascii="宋体" w:hAnsi="宋体" w:cs="宋体"/>
                <w:szCs w:val="21"/>
              </w:rPr>
            </w:pPr>
          </w:p>
        </w:tc>
        <w:tc>
          <w:tcPr>
            <w:tcW w:w="6134" w:type="dxa"/>
            <w:vAlign w:val="center"/>
          </w:tcPr>
          <w:p w14:paraId="23EAE9DC">
            <w:pPr>
              <w:jc w:val="left"/>
              <w:rPr>
                <w:rFonts w:hint="eastAsia" w:ascii="宋体" w:hAnsi="宋体" w:cs="宋体"/>
                <w:szCs w:val="21"/>
              </w:rPr>
            </w:pPr>
            <w:r>
              <w:rPr>
                <w:rFonts w:hint="eastAsia" w:ascii="宋体" w:hAnsi="宋体" w:cs="宋体"/>
                <w:szCs w:val="21"/>
              </w:rPr>
              <w:t>交接方案：</w:t>
            </w:r>
          </w:p>
          <w:p w14:paraId="061A6E00">
            <w:pPr>
              <w:ind w:firstLine="420" w:firstLineChars="200"/>
              <w:jc w:val="left"/>
              <w:rPr>
                <w:rFonts w:hint="eastAsia" w:ascii="宋体" w:hAnsi="宋体" w:cs="宋体"/>
                <w:szCs w:val="21"/>
              </w:rPr>
            </w:pPr>
            <w:r>
              <w:rPr>
                <w:rFonts w:hint="eastAsia" w:ascii="宋体" w:hAnsi="宋体" w:cs="宋体"/>
                <w:szCs w:val="21"/>
              </w:rPr>
              <w:t>根据进退场交接措施和采购方的配合方案等内容进行打分。方案内容完整、详细、交接措施成熟完备，优于磋商文件要求的得5分；方案内容基本完整，有对应的交接措施，满足磋商文件要求得3分；方案内容粗略，通过后期优化能够实现磋商文件要求得1分；其他情况或没有内容不得分。</w:t>
            </w:r>
          </w:p>
        </w:tc>
        <w:tc>
          <w:tcPr>
            <w:tcW w:w="804" w:type="dxa"/>
            <w:vAlign w:val="center"/>
          </w:tcPr>
          <w:p w14:paraId="3EFA97A5">
            <w:pPr>
              <w:jc w:val="center"/>
              <w:rPr>
                <w:rFonts w:hint="eastAsia" w:ascii="宋体" w:hAnsi="宋体" w:cs="宋体"/>
                <w:szCs w:val="21"/>
              </w:rPr>
            </w:pPr>
            <w:r>
              <w:rPr>
                <w:rFonts w:hint="eastAsia" w:ascii="宋体" w:hAnsi="宋体" w:cs="宋体"/>
                <w:szCs w:val="21"/>
              </w:rPr>
              <w:t>5分</w:t>
            </w:r>
          </w:p>
        </w:tc>
      </w:tr>
      <w:tr w14:paraId="5D39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continue"/>
            <w:vAlign w:val="center"/>
          </w:tcPr>
          <w:p w14:paraId="26523DB0">
            <w:pPr>
              <w:jc w:val="center"/>
              <w:rPr>
                <w:rFonts w:hint="eastAsia" w:ascii="宋体" w:hAnsi="宋体" w:cs="宋体"/>
                <w:szCs w:val="21"/>
              </w:rPr>
            </w:pPr>
          </w:p>
        </w:tc>
        <w:tc>
          <w:tcPr>
            <w:tcW w:w="1297" w:type="dxa"/>
            <w:vMerge w:val="continue"/>
            <w:vAlign w:val="center"/>
          </w:tcPr>
          <w:p w14:paraId="3C154ABA">
            <w:pPr>
              <w:jc w:val="center"/>
              <w:rPr>
                <w:rFonts w:hint="eastAsia" w:ascii="宋体" w:hAnsi="宋体" w:cs="宋体"/>
                <w:szCs w:val="21"/>
              </w:rPr>
            </w:pPr>
          </w:p>
        </w:tc>
        <w:tc>
          <w:tcPr>
            <w:tcW w:w="6134" w:type="dxa"/>
            <w:vAlign w:val="center"/>
          </w:tcPr>
          <w:p w14:paraId="17E0877B">
            <w:pPr>
              <w:jc w:val="left"/>
              <w:rPr>
                <w:rFonts w:hint="eastAsia" w:ascii="宋体" w:hAnsi="宋体" w:cs="宋体"/>
                <w:szCs w:val="21"/>
              </w:rPr>
            </w:pPr>
            <w:r>
              <w:rPr>
                <w:rFonts w:hint="eastAsia" w:ascii="宋体" w:hAnsi="宋体" w:cs="宋体"/>
                <w:szCs w:val="21"/>
              </w:rPr>
              <w:t>活动保障：</w:t>
            </w:r>
          </w:p>
          <w:p w14:paraId="1BBA3F38">
            <w:pPr>
              <w:pStyle w:val="2"/>
              <w:ind w:left="63" w:right="63" w:firstLine="420" w:firstLineChars="200"/>
              <w:jc w:val="left"/>
              <w:rPr>
                <w:rFonts w:hint="eastAsia" w:ascii="宋体" w:hAnsi="宋体" w:eastAsia="宋体" w:cs="宋体"/>
                <w:sz w:val="21"/>
                <w:szCs w:val="21"/>
              </w:rPr>
            </w:pPr>
            <w:r>
              <w:rPr>
                <w:rFonts w:hint="eastAsia" w:ascii="宋体" w:hAnsi="宋体" w:eastAsia="宋体" w:cs="宋体"/>
                <w:sz w:val="21"/>
                <w:szCs w:val="21"/>
              </w:rPr>
              <w:t>服务保障及大型节庆、会议、接待等的保障措施，人员配备情况、组织计划的指定等内容进行综合打分，方案内容完整、详细、保障措施成熟完备，优于磋商文件要求的得6分；方案内容基本完整，有对应的保障措施，满足磋商文件要求的得3分；内容粗略，通过后期优化能够实现磋商文件要求的得1分；其他情况或没有内容不得分。</w:t>
            </w:r>
          </w:p>
        </w:tc>
        <w:tc>
          <w:tcPr>
            <w:tcW w:w="804" w:type="dxa"/>
            <w:vAlign w:val="center"/>
          </w:tcPr>
          <w:p w14:paraId="53181066">
            <w:pPr>
              <w:jc w:val="center"/>
              <w:rPr>
                <w:rFonts w:hint="eastAsia" w:ascii="宋体" w:hAnsi="宋体" w:cs="宋体"/>
                <w:szCs w:val="21"/>
              </w:rPr>
            </w:pPr>
            <w:r>
              <w:rPr>
                <w:rFonts w:hint="eastAsia" w:ascii="宋体" w:hAnsi="宋体" w:cs="宋体"/>
                <w:szCs w:val="21"/>
              </w:rPr>
              <w:t>6分</w:t>
            </w:r>
          </w:p>
        </w:tc>
      </w:tr>
      <w:tr w14:paraId="7C37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continue"/>
            <w:vAlign w:val="center"/>
          </w:tcPr>
          <w:p w14:paraId="13BAA645">
            <w:pPr>
              <w:jc w:val="center"/>
              <w:rPr>
                <w:rFonts w:hint="eastAsia" w:ascii="宋体" w:hAnsi="宋体" w:cs="宋体"/>
                <w:szCs w:val="21"/>
              </w:rPr>
            </w:pPr>
          </w:p>
        </w:tc>
        <w:tc>
          <w:tcPr>
            <w:tcW w:w="1297" w:type="dxa"/>
            <w:vMerge w:val="continue"/>
            <w:vAlign w:val="center"/>
          </w:tcPr>
          <w:p w14:paraId="7A896C18">
            <w:pPr>
              <w:jc w:val="center"/>
              <w:rPr>
                <w:rFonts w:hint="eastAsia" w:ascii="宋体" w:hAnsi="宋体" w:cs="宋体"/>
                <w:szCs w:val="21"/>
              </w:rPr>
            </w:pPr>
          </w:p>
        </w:tc>
        <w:tc>
          <w:tcPr>
            <w:tcW w:w="6134" w:type="dxa"/>
            <w:vAlign w:val="center"/>
          </w:tcPr>
          <w:p w14:paraId="0504DC6B">
            <w:pPr>
              <w:jc w:val="left"/>
              <w:rPr>
                <w:rFonts w:hint="eastAsia" w:ascii="宋体" w:hAnsi="宋体" w:cs="宋体"/>
                <w:szCs w:val="21"/>
              </w:rPr>
            </w:pPr>
            <w:r>
              <w:rPr>
                <w:rFonts w:hint="eastAsia" w:ascii="宋体" w:hAnsi="宋体" w:cs="宋体"/>
                <w:szCs w:val="21"/>
              </w:rPr>
              <w:t>应急预案：</w:t>
            </w:r>
          </w:p>
          <w:p w14:paraId="2688A68D">
            <w:pPr>
              <w:pStyle w:val="2"/>
              <w:ind w:left="63" w:right="63" w:firstLine="420" w:firstLineChars="200"/>
              <w:jc w:val="left"/>
              <w:rPr>
                <w:rFonts w:hint="eastAsia" w:ascii="宋体" w:hAnsi="宋体" w:eastAsia="宋体" w:cs="宋体"/>
                <w:sz w:val="21"/>
                <w:szCs w:val="21"/>
              </w:rPr>
            </w:pPr>
            <w:r>
              <w:rPr>
                <w:rFonts w:hint="eastAsia" w:ascii="宋体" w:hAnsi="宋体" w:eastAsia="宋体" w:cs="宋体"/>
                <w:sz w:val="21"/>
                <w:szCs w:val="21"/>
              </w:rPr>
              <w:t>服务保障及突发事件的应急措施，主要包括治安防范、消防、洪涝、雨雪、停电、停水及其他突发事件等有相对完善的组织机构和应急预案等内容进行打分。应急处理措施成熟、方案全面利于执行、与采购单位配合度高，优于磋商文件要求得5分；有可行的应急处理措施，有与采购单位配合的对应措施得3分；应急处理方法能够满足招标需求得1分；其他情况或没有内容的不得分。</w:t>
            </w:r>
          </w:p>
        </w:tc>
        <w:tc>
          <w:tcPr>
            <w:tcW w:w="804" w:type="dxa"/>
            <w:vAlign w:val="center"/>
          </w:tcPr>
          <w:p w14:paraId="636A331B">
            <w:pPr>
              <w:jc w:val="center"/>
              <w:rPr>
                <w:rFonts w:hint="eastAsia" w:ascii="宋体" w:hAnsi="宋体" w:cs="宋体"/>
                <w:szCs w:val="21"/>
              </w:rPr>
            </w:pPr>
            <w:r>
              <w:rPr>
                <w:rFonts w:hint="eastAsia" w:ascii="宋体" w:hAnsi="宋体" w:cs="宋体"/>
                <w:szCs w:val="21"/>
              </w:rPr>
              <w:t>5分</w:t>
            </w:r>
          </w:p>
        </w:tc>
      </w:tr>
      <w:tr w14:paraId="0401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3" w:type="dxa"/>
            <w:vMerge w:val="continue"/>
            <w:vAlign w:val="center"/>
          </w:tcPr>
          <w:p w14:paraId="78918878">
            <w:pPr>
              <w:jc w:val="center"/>
              <w:rPr>
                <w:rFonts w:hint="eastAsia" w:ascii="宋体" w:hAnsi="宋体" w:cs="宋体"/>
                <w:szCs w:val="21"/>
              </w:rPr>
            </w:pPr>
          </w:p>
        </w:tc>
        <w:tc>
          <w:tcPr>
            <w:tcW w:w="1297" w:type="dxa"/>
            <w:vMerge w:val="continue"/>
            <w:vAlign w:val="center"/>
          </w:tcPr>
          <w:p w14:paraId="022D5D82">
            <w:pPr>
              <w:jc w:val="center"/>
              <w:rPr>
                <w:rFonts w:hint="eastAsia" w:ascii="宋体" w:hAnsi="宋体" w:cs="宋体"/>
                <w:szCs w:val="21"/>
              </w:rPr>
            </w:pPr>
          </w:p>
        </w:tc>
        <w:tc>
          <w:tcPr>
            <w:tcW w:w="6134" w:type="dxa"/>
            <w:vAlign w:val="center"/>
          </w:tcPr>
          <w:p w14:paraId="2168E5B9">
            <w:pPr>
              <w:jc w:val="left"/>
              <w:rPr>
                <w:rFonts w:hint="eastAsia" w:ascii="宋体" w:hAnsi="宋体" w:cs="宋体"/>
                <w:szCs w:val="21"/>
              </w:rPr>
            </w:pPr>
            <w:r>
              <w:rPr>
                <w:rFonts w:hint="eastAsia" w:ascii="宋体" w:hAnsi="宋体" w:cs="宋体"/>
                <w:szCs w:val="21"/>
              </w:rPr>
              <w:t>物资配置：</w:t>
            </w:r>
          </w:p>
          <w:p w14:paraId="5041A51A">
            <w:pPr>
              <w:pStyle w:val="2"/>
              <w:ind w:left="63" w:right="63" w:firstLine="420" w:firstLineChars="200"/>
              <w:jc w:val="left"/>
              <w:rPr>
                <w:rFonts w:hint="eastAsia" w:ascii="宋体" w:hAnsi="宋体" w:eastAsia="宋体" w:cs="宋体"/>
                <w:sz w:val="21"/>
                <w:szCs w:val="21"/>
              </w:rPr>
            </w:pPr>
            <w:r>
              <w:rPr>
                <w:rFonts w:hint="eastAsia" w:ascii="宋体" w:hAnsi="宋体" w:eastAsia="宋体" w:cs="宋体"/>
                <w:sz w:val="21"/>
                <w:szCs w:val="21"/>
              </w:rPr>
              <w:t>在满足采购需求的基础上，根据供应商对拟投入本项目服务的设备工具及物耗清单从外观、功能等方面进行打分，装备成新度高、安全防范功能强的得6分；装备成新度高，但安全防范功能不明显的得2分；其他情况或没有内容的不得分。</w:t>
            </w:r>
          </w:p>
        </w:tc>
        <w:tc>
          <w:tcPr>
            <w:tcW w:w="804" w:type="dxa"/>
            <w:vAlign w:val="center"/>
          </w:tcPr>
          <w:p w14:paraId="0167BE73">
            <w:pPr>
              <w:jc w:val="center"/>
              <w:rPr>
                <w:rFonts w:hint="eastAsia" w:ascii="宋体" w:hAnsi="宋体" w:cs="宋体"/>
                <w:szCs w:val="21"/>
              </w:rPr>
            </w:pPr>
            <w:r>
              <w:rPr>
                <w:rFonts w:hint="eastAsia" w:ascii="宋体" w:hAnsi="宋体" w:cs="宋体"/>
                <w:szCs w:val="21"/>
              </w:rPr>
              <w:t>6分</w:t>
            </w:r>
          </w:p>
        </w:tc>
      </w:tr>
    </w:tbl>
    <w:p w14:paraId="5AD70887">
      <w:pPr>
        <w:spacing w:line="500" w:lineRule="exact"/>
        <w:rPr>
          <w:rFonts w:hint="eastAsia" w:ascii="宋体" w:hAnsi="宋体" w:cs="宋体"/>
          <w:b/>
          <w:bCs/>
          <w:sz w:val="28"/>
          <w:szCs w:val="28"/>
        </w:rPr>
      </w:pPr>
      <w:r>
        <w:rPr>
          <w:rFonts w:ascii="宋体" w:hAnsi="宋体" w:cs="宋体"/>
          <w:b/>
          <w:bCs/>
          <w:sz w:val="28"/>
          <w:szCs w:val="28"/>
        </w:rPr>
        <w:t>备注：（1）上述评分项需提供证明材料的，必须为原件扫描件，否则该评分项不予计分；</w:t>
      </w:r>
    </w:p>
    <w:p w14:paraId="066EF6D9">
      <w:pPr>
        <w:spacing w:line="500" w:lineRule="exact"/>
        <w:ind w:firstLine="843" w:firstLineChars="300"/>
        <w:rPr>
          <w:rFonts w:hint="eastAsia" w:ascii="宋体" w:hAnsi="宋体" w:cs="宋体"/>
          <w:b/>
          <w:bCs/>
          <w:sz w:val="28"/>
          <w:szCs w:val="28"/>
        </w:rPr>
      </w:pPr>
      <w:r>
        <w:rPr>
          <w:rFonts w:hint="eastAsia" w:ascii="宋体" w:hAnsi="宋体" w:cs="宋体"/>
          <w:b/>
          <w:bCs/>
          <w:sz w:val="28"/>
          <w:szCs w:val="28"/>
        </w:rPr>
        <w:t>（2）</w:t>
      </w:r>
      <w:r>
        <w:rPr>
          <w:rFonts w:ascii="宋体" w:hAnsi="宋体" w:cs="宋体"/>
          <w:b/>
          <w:bCs/>
          <w:sz w:val="28"/>
          <w:szCs w:val="28"/>
        </w:rPr>
        <w:t>商务技术分不满</w:t>
      </w:r>
      <w:r>
        <w:rPr>
          <w:rFonts w:hint="eastAsia" w:ascii="宋体" w:hAnsi="宋体" w:cs="宋体"/>
          <w:b/>
          <w:bCs/>
          <w:sz w:val="28"/>
          <w:szCs w:val="28"/>
        </w:rPr>
        <w:t>4</w:t>
      </w:r>
      <w:r>
        <w:rPr>
          <w:rFonts w:ascii="宋体" w:hAnsi="宋体" w:cs="宋体"/>
          <w:b/>
          <w:bCs/>
          <w:sz w:val="28"/>
          <w:szCs w:val="28"/>
        </w:rPr>
        <w:t>0分的，作无效投标文件处理。</w:t>
      </w:r>
    </w:p>
    <w:p w14:paraId="6A00A837">
      <w:pPr>
        <w:spacing w:line="500" w:lineRule="exact"/>
        <w:rPr>
          <w:rFonts w:hint="eastAsia" w:ascii="宋体" w:hAnsi="宋体" w:cs="宋体"/>
          <w:sz w:val="28"/>
          <w:szCs w:val="28"/>
        </w:rPr>
      </w:pPr>
      <w:r>
        <w:rPr>
          <w:rFonts w:hint="eastAsia" w:ascii="宋体" w:hAnsi="宋体" w:cs="宋体"/>
          <w:b/>
          <w:sz w:val="28"/>
          <w:szCs w:val="28"/>
        </w:rPr>
        <w:t>（四）</w:t>
      </w:r>
      <w:r>
        <w:rPr>
          <w:rFonts w:hint="eastAsia" w:ascii="宋体" w:hAnsi="宋体" w:cs="宋体"/>
          <w:b/>
          <w:sz w:val="28"/>
          <w:szCs w:val="28"/>
          <w:lang w:val="zh-CN"/>
        </w:rPr>
        <w:t>价格分：</w:t>
      </w:r>
      <w:r>
        <w:rPr>
          <w:rFonts w:hint="eastAsia" w:ascii="宋体" w:hAnsi="宋体" w:cs="宋体"/>
          <w:b/>
          <w:sz w:val="28"/>
          <w:szCs w:val="28"/>
        </w:rPr>
        <w:t>10</w:t>
      </w:r>
      <w:r>
        <w:rPr>
          <w:rFonts w:hint="eastAsia" w:ascii="宋体" w:hAnsi="宋体" w:cs="宋体"/>
          <w:b/>
          <w:sz w:val="28"/>
          <w:szCs w:val="28"/>
          <w:lang w:val="zh-CN"/>
        </w:rPr>
        <w:t>分</w:t>
      </w:r>
    </w:p>
    <w:p w14:paraId="36422777">
      <w:pPr>
        <w:spacing w:line="500" w:lineRule="exact"/>
        <w:ind w:firstLine="560"/>
        <w:rPr>
          <w:rFonts w:hint="eastAsia" w:ascii="宋体" w:hAnsi="宋体" w:cs="宋体"/>
          <w:sz w:val="28"/>
          <w:szCs w:val="28"/>
        </w:rPr>
      </w:pPr>
      <w:r>
        <w:rPr>
          <w:rFonts w:hint="eastAsia" w:ascii="宋体" w:hAnsi="宋体" w:cs="宋体"/>
          <w:sz w:val="28"/>
          <w:szCs w:val="28"/>
        </w:rPr>
        <w:t>价格分统一采用低价优先法计算，即满足磋商文件要求且最后报价最低的供应商的价格为磋商基准价，其价格分为满分。其他供应商的价格分统一按照下列公式计算：</w:t>
      </w:r>
    </w:p>
    <w:p w14:paraId="22F0BFC6">
      <w:pPr>
        <w:spacing w:line="500" w:lineRule="exact"/>
        <w:ind w:firstLine="560"/>
        <w:rPr>
          <w:rFonts w:hint="eastAsia" w:ascii="宋体" w:hAnsi="宋体" w:cs="宋体"/>
          <w:b/>
          <w:bCs/>
          <w:sz w:val="28"/>
          <w:szCs w:val="28"/>
        </w:rPr>
      </w:pPr>
      <w:r>
        <w:rPr>
          <w:rFonts w:hint="eastAsia" w:ascii="宋体" w:hAnsi="宋体" w:cs="宋体"/>
          <w:sz w:val="28"/>
          <w:szCs w:val="28"/>
        </w:rPr>
        <w:t>磋商报价得分=（磋商基准价/最后磋商报价）×价格权值×100</w:t>
      </w:r>
    </w:p>
    <w:p w14:paraId="08F9C39C">
      <w:pPr>
        <w:spacing w:line="500" w:lineRule="exact"/>
        <w:rPr>
          <w:rFonts w:hint="eastAsia" w:ascii="宋体" w:hAnsi="宋体" w:cs="宋体"/>
          <w:b/>
          <w:bCs/>
          <w:sz w:val="28"/>
          <w:szCs w:val="28"/>
        </w:rPr>
      </w:pPr>
      <w:r>
        <w:rPr>
          <w:rFonts w:hint="eastAsia" w:ascii="宋体" w:hAnsi="宋体" w:cs="宋体"/>
          <w:b/>
          <w:sz w:val="28"/>
          <w:szCs w:val="28"/>
        </w:rPr>
        <w:t xml:space="preserve"> （</w:t>
      </w:r>
      <w:r>
        <w:rPr>
          <w:rFonts w:hint="eastAsia" w:ascii="宋体" w:hAnsi="宋体" w:cs="宋体"/>
          <w:b/>
          <w:bCs/>
          <w:sz w:val="28"/>
          <w:szCs w:val="28"/>
        </w:rPr>
        <w:t>五</w:t>
      </w:r>
      <w:r>
        <w:rPr>
          <w:rFonts w:hint="eastAsia" w:ascii="宋体" w:hAnsi="宋体" w:cs="宋体"/>
          <w:b/>
          <w:sz w:val="28"/>
          <w:szCs w:val="28"/>
        </w:rPr>
        <w:t>）</w:t>
      </w:r>
      <w:r>
        <w:rPr>
          <w:rFonts w:hint="eastAsia" w:ascii="宋体" w:hAnsi="宋体" w:cs="宋体"/>
          <w:b/>
          <w:bCs/>
          <w:sz w:val="28"/>
          <w:szCs w:val="28"/>
        </w:rPr>
        <w:t>政府采购政策功能落实</w:t>
      </w:r>
    </w:p>
    <w:p w14:paraId="70D1DF62">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1．小微型企业价格扣除</w:t>
      </w:r>
    </w:p>
    <w:p w14:paraId="3E7396C8">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（1）本项目对小型和微型企业产品给予10%的扣除价格，用扣除后的价格参与评审。</w:t>
      </w:r>
    </w:p>
    <w:p w14:paraId="736C4AF3">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（2）供应商需按照《政府采购促进中小企业发展管理办法》（财库〔2020〕46号）的规定提供相应的《中小企业声明函》。</w:t>
      </w:r>
    </w:p>
    <w:p w14:paraId="1C843362">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（3）企业标准请参照《关于印发中小企业划型标准规定的通知》（工信部联企业〔2011〕300号）文件规定自行填写。</w:t>
      </w:r>
    </w:p>
    <w:p w14:paraId="16B3E7AF">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2．残疾人福利单位价格扣除</w:t>
      </w:r>
    </w:p>
    <w:p w14:paraId="0ECBD714">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（1）本项目对残疾人福利性单位，给予10%的价格扣除，用扣除后的价格参与评审。</w:t>
      </w:r>
    </w:p>
    <w:p w14:paraId="3D06DE14">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（2）残疾人福利单位需按照采购文件的要求提供《残疾人福利性单位声明函》。</w:t>
      </w:r>
    </w:p>
    <w:p w14:paraId="4B826780">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（3）残疾人福利单位标准请参照《关于促进残疾人就业政府采购政策的通知》（财库〔2017〕141号）。</w:t>
      </w:r>
    </w:p>
    <w:p w14:paraId="64C98937">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3．监狱和戒毒企业价格扣除</w:t>
      </w:r>
    </w:p>
    <w:p w14:paraId="22A1FC84">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（1）本项目对监狱和戒毒企业（简称监狱企业）给予10%的价格扣除，用扣除后的价格参与评审。</w:t>
      </w:r>
    </w:p>
    <w:p w14:paraId="3B611F42">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17F8EF83">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（3）监狱企业标准请参照《关于政府采购支持监狱企业发展有关问题的通知》（财库〔2014〕68号）。</w:t>
      </w:r>
    </w:p>
    <w:p w14:paraId="44092179">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4．残疾人福利单位、监狱企业属于小型、微型企业的，不重复享受政策。</w:t>
      </w:r>
    </w:p>
    <w:p w14:paraId="2D55F13B">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551428D8">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6．联合体各方均为小型、微型企业（残疾人福利单位、监狱企业）的，联合体享受上述同类价格扣除，用扣除后的价格参与评审。</w:t>
      </w:r>
    </w:p>
    <w:p w14:paraId="016FBA18">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7．专门面向中小企业采购的项目或者采购包，不再执行价格评审优惠的扶持政策。</w:t>
      </w:r>
    </w:p>
    <w:p w14:paraId="3642D31B">
      <w:pPr>
        <w:adjustRightInd w:val="0"/>
        <w:snapToGrid w:val="0"/>
        <w:spacing w:line="500" w:lineRule="exact"/>
        <w:ind w:firstLine="570"/>
        <w:rPr>
          <w:rFonts w:hint="eastAsia" w:ascii="宋体" w:hAnsi="宋体" w:cs="宋体"/>
          <w:bCs/>
          <w:sz w:val="28"/>
          <w:szCs w:val="28"/>
        </w:rPr>
      </w:pPr>
      <w:r>
        <w:rPr>
          <w:rFonts w:hint="eastAsia" w:ascii="宋体" w:hAnsi="宋体" w:cs="宋体"/>
          <w:bCs/>
          <w:sz w:val="28"/>
          <w:szCs w:val="28"/>
        </w:rPr>
        <w:t>8．根据《江苏省政府采购信用管理暂行办法》的规定，供应商信用评价结果为三星的扣2分，评价结果为二星的扣3分，评价结果为一星的扣4分。</w:t>
      </w:r>
    </w:p>
    <w:p w14:paraId="3CA988FA">
      <w:pPr>
        <w:spacing w:line="500" w:lineRule="exact"/>
        <w:ind w:firstLine="570"/>
        <w:rPr>
          <w:rFonts w:hint="eastAsia" w:ascii="宋体" w:hAnsi="宋体" w:cs="宋体"/>
          <w:bCs/>
          <w:sz w:val="28"/>
          <w:szCs w:val="28"/>
        </w:rPr>
      </w:pPr>
      <w:r>
        <w:rPr>
          <w:rFonts w:hint="eastAsia" w:ascii="宋体" w:hAnsi="宋体" w:cs="宋体"/>
          <w:b/>
          <w:sz w:val="28"/>
          <w:szCs w:val="28"/>
        </w:rPr>
        <w:t>（六）成交供应商的确定</w:t>
      </w:r>
    </w:p>
    <w:p w14:paraId="4EF8BFC7">
      <w:pPr>
        <w:spacing w:line="500" w:lineRule="exact"/>
        <w:ind w:firstLine="570"/>
        <w:rPr>
          <w:rFonts w:hint="eastAsia" w:ascii="宋体" w:hAnsi="宋体" w:cs="宋体"/>
          <w:sz w:val="28"/>
          <w:szCs w:val="28"/>
        </w:rPr>
      </w:pPr>
      <w:r>
        <w:rPr>
          <w:rFonts w:hint="eastAsia" w:ascii="宋体" w:hAnsi="宋体" w:cs="宋体"/>
          <w:sz w:val="28"/>
          <w:szCs w:val="28"/>
        </w:rPr>
        <w:t>磋商小组汇总各评委评分后，按照评审得分由高到低顺序推荐3名成交候选供应商，并编写评审报告。符合《政府采购竞争性磋商采购方式管理暂行办法》第二十一条第三款或《财政部关于竞争性磋商采购方式管理暂行办法有关问题的补充通知》（财库〔2015〕124号）规定情形的，可以推荐2家成交候选供应商。评审得分相同的，按照最后报价由低到高的顺序推荐。评审得分且最后报价相同的，按照技术指标优劣顺序推荐，如技术指标不能区分优劣顺序的，则通过抽签方式随机确定排名顺序。</w:t>
      </w:r>
    </w:p>
    <w:p w14:paraId="37E210C8">
      <w:pPr>
        <w:spacing w:line="500" w:lineRule="exact"/>
        <w:ind w:firstLine="570"/>
        <w:rPr>
          <w:rFonts w:hint="eastAsia" w:ascii="宋体" w:hAnsi="宋体" w:cs="宋体"/>
          <w:sz w:val="28"/>
          <w:szCs w:val="28"/>
        </w:rPr>
      </w:pPr>
      <w:r>
        <w:rPr>
          <w:rFonts w:hint="eastAsia" w:ascii="宋体" w:hAnsi="宋体" w:cs="宋体"/>
          <w:sz w:val="28"/>
          <w:szCs w:val="28"/>
        </w:rPr>
        <w:t>采购人应根据磋商小组推荐的成交候选供应商确定成交供应商。</w:t>
      </w:r>
    </w:p>
    <w:p w14:paraId="76AA9A2D">
      <w:pPr>
        <w:spacing w:line="500" w:lineRule="exact"/>
        <w:ind w:firstLine="555"/>
        <w:rPr>
          <w:rFonts w:hint="eastAsia" w:ascii="宋体" w:hAnsi="宋体" w:cs="宋体"/>
          <w:b/>
          <w:sz w:val="28"/>
          <w:szCs w:val="28"/>
        </w:rPr>
      </w:pPr>
      <w:r>
        <w:rPr>
          <w:rFonts w:hint="eastAsia" w:ascii="宋体" w:hAnsi="宋体" w:cs="宋体"/>
          <w:b/>
          <w:sz w:val="28"/>
          <w:szCs w:val="28"/>
        </w:rPr>
        <w:t>（七）公告成交结果</w:t>
      </w:r>
    </w:p>
    <w:p w14:paraId="09E9A22B">
      <w:pPr>
        <w:spacing w:line="500" w:lineRule="exact"/>
        <w:ind w:firstLine="570"/>
        <w:rPr>
          <w:rFonts w:hint="eastAsia" w:ascii="宋体" w:hAnsi="宋体" w:cs="宋体"/>
          <w:sz w:val="28"/>
          <w:szCs w:val="28"/>
        </w:rPr>
      </w:pPr>
      <w:r>
        <w:rPr>
          <w:rFonts w:hint="eastAsia" w:ascii="宋体" w:hAnsi="宋体" w:cs="宋体"/>
          <w:sz w:val="28"/>
          <w:szCs w:val="28"/>
        </w:rPr>
        <w:t>自确定成交供应商之日起2个工作日内，在江苏政府采购网公告成交结果，公告期限为1个工作日。</w:t>
      </w:r>
    </w:p>
    <w:p w14:paraId="62FEFBCC">
      <w:pPr>
        <w:spacing w:line="500" w:lineRule="exact"/>
        <w:ind w:firstLine="560"/>
        <w:rPr>
          <w:rFonts w:hint="eastAsia" w:ascii="宋体" w:hAnsi="宋体" w:cs="宋体"/>
          <w:b/>
          <w:bCs/>
          <w:sz w:val="28"/>
          <w:szCs w:val="28"/>
        </w:rPr>
      </w:pPr>
      <w:r>
        <w:rPr>
          <w:rFonts w:hint="eastAsia" w:ascii="宋体" w:hAnsi="宋体" w:cs="宋体"/>
          <w:b/>
          <w:sz w:val="28"/>
          <w:szCs w:val="28"/>
        </w:rPr>
        <w:t>（</w:t>
      </w:r>
      <w:r>
        <w:rPr>
          <w:rFonts w:hint="eastAsia" w:ascii="宋体" w:hAnsi="宋体" w:cs="宋体"/>
          <w:b/>
          <w:bCs/>
          <w:sz w:val="28"/>
          <w:szCs w:val="28"/>
        </w:rPr>
        <w:t>八</w:t>
      </w:r>
      <w:r>
        <w:rPr>
          <w:rFonts w:hint="eastAsia" w:ascii="宋体" w:hAnsi="宋体" w:cs="宋体"/>
          <w:b/>
          <w:sz w:val="28"/>
          <w:szCs w:val="28"/>
        </w:rPr>
        <w:t>）</w:t>
      </w:r>
      <w:r>
        <w:rPr>
          <w:rFonts w:hint="eastAsia" w:ascii="宋体" w:hAnsi="宋体" w:cs="宋体"/>
          <w:b/>
          <w:bCs/>
          <w:sz w:val="28"/>
          <w:szCs w:val="28"/>
        </w:rPr>
        <w:t>发放成交通知书</w:t>
      </w:r>
    </w:p>
    <w:p w14:paraId="6B0EB971">
      <w:pPr>
        <w:spacing w:line="500" w:lineRule="exact"/>
        <w:ind w:firstLine="560"/>
        <w:rPr>
          <w:rFonts w:hint="eastAsia" w:ascii="宋体" w:hAnsi="宋体" w:cs="宋体"/>
          <w:bCs/>
          <w:sz w:val="28"/>
          <w:szCs w:val="28"/>
        </w:rPr>
      </w:pPr>
      <w:r>
        <w:rPr>
          <w:rFonts w:hint="eastAsia" w:ascii="宋体" w:hAnsi="宋体" w:cs="宋体"/>
          <w:sz w:val="28"/>
          <w:szCs w:val="28"/>
        </w:rPr>
        <w:t>公告成交结果的同时，采购代理机构</w:t>
      </w:r>
      <w:r>
        <w:rPr>
          <w:rFonts w:hint="eastAsia" w:ascii="宋体" w:hAnsi="宋体" w:cs="宋体"/>
          <w:bCs/>
          <w:sz w:val="28"/>
          <w:szCs w:val="28"/>
        </w:rPr>
        <w:t>向成交供应商发放成交通知书</w:t>
      </w:r>
      <w:r>
        <w:rPr>
          <w:rFonts w:hint="eastAsia" w:ascii="宋体" w:hAnsi="宋体" w:cs="宋体"/>
          <w:sz w:val="24"/>
        </w:rPr>
        <w:t>。</w:t>
      </w:r>
      <w:r>
        <w:rPr>
          <w:rFonts w:hint="eastAsia" w:ascii="宋体" w:hAnsi="宋体" w:cs="宋体"/>
          <w:bCs/>
          <w:sz w:val="28"/>
          <w:szCs w:val="28"/>
        </w:rPr>
        <w:t>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联系电话：0513-83721688。</w:t>
      </w:r>
    </w:p>
    <w:p w14:paraId="2EED1951">
      <w:pPr>
        <w:spacing w:line="500" w:lineRule="exact"/>
        <w:ind w:firstLine="560"/>
        <w:rPr>
          <w:rFonts w:hint="eastAsia" w:ascii="宋体" w:hAnsi="宋体" w:cs="宋体"/>
          <w:sz w:val="28"/>
          <w:szCs w:val="28"/>
        </w:rPr>
      </w:pPr>
      <w:r>
        <w:rPr>
          <w:rFonts w:hint="eastAsia" w:ascii="宋体" w:hAnsi="宋体" w:cs="宋体"/>
          <w:sz w:val="28"/>
          <w:szCs w:val="28"/>
        </w:rPr>
        <w:t>成交通知书发出后，采购人不得违法改变成交结果，成交供应商无正当理由不得放弃成交。</w:t>
      </w:r>
    </w:p>
    <w:p w14:paraId="58F0F63E">
      <w:pPr>
        <w:spacing w:line="500" w:lineRule="exact"/>
        <w:ind w:firstLine="555"/>
        <w:rPr>
          <w:rFonts w:hint="eastAsia" w:ascii="宋体" w:hAnsi="宋体" w:cs="宋体"/>
          <w:b/>
          <w:sz w:val="28"/>
          <w:szCs w:val="28"/>
        </w:rPr>
      </w:pPr>
      <w:r>
        <w:rPr>
          <w:rFonts w:hint="eastAsia" w:ascii="宋体" w:hAnsi="宋体" w:cs="宋体"/>
          <w:b/>
          <w:sz w:val="28"/>
          <w:szCs w:val="28"/>
        </w:rPr>
        <w:t>特别说明：成交供应商在成交结果公示结束后须提供四套加盖红章的系统内打印的纸质响应文件给采购代理机构，否则不予签订合同。</w:t>
      </w:r>
    </w:p>
    <w:p w14:paraId="2F237CBF">
      <w:pPr>
        <w:spacing w:line="500" w:lineRule="exact"/>
        <w:jc w:val="center"/>
        <w:outlineLvl w:val="0"/>
        <w:rPr>
          <w:rFonts w:hint="eastAsia" w:ascii="宋体" w:hAnsi="宋体" w:cs="宋体"/>
          <w:bCs/>
          <w:sz w:val="36"/>
          <w:szCs w:val="36"/>
        </w:rPr>
      </w:pPr>
      <w:r>
        <w:rPr>
          <w:rFonts w:hint="eastAsia" w:ascii="宋体" w:hAnsi="宋体" w:cs="宋体"/>
          <w:b/>
          <w:sz w:val="36"/>
          <w:szCs w:val="36"/>
        </w:rPr>
        <w:br w:type="page" w:clear="all"/>
      </w:r>
      <w:r>
        <w:rPr>
          <w:rFonts w:hint="eastAsia" w:ascii="宋体" w:hAnsi="宋体" w:cs="宋体"/>
          <w:bCs/>
          <w:sz w:val="36"/>
          <w:szCs w:val="36"/>
        </w:rPr>
        <w:t>第五部分  响应文件格式</w:t>
      </w:r>
    </w:p>
    <w:p w14:paraId="7F756527">
      <w:pPr>
        <w:spacing w:line="500" w:lineRule="exact"/>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响应人符合《中华人民共和国政府采购法》第二十二条规定条件的声明函（格式见附件1）（如分公司参加响应的，另需提供总公司的授权证明）</w:t>
      </w:r>
      <w:r>
        <w:rPr>
          <w:rFonts w:hint="eastAsia" w:ascii="宋体" w:hAnsi="宋体" w:cs="宋体"/>
          <w:sz w:val="28"/>
          <w:szCs w:val="28"/>
          <w:lang w:val="zh-CN"/>
        </w:rPr>
        <w:t>；</w:t>
      </w:r>
    </w:p>
    <w:p w14:paraId="55B68B18">
      <w:pPr>
        <w:spacing w:line="500" w:lineRule="exact"/>
        <w:rPr>
          <w:rFonts w:hint="eastAsia"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.法定代表人身份证明书（格式见附件2）</w:t>
      </w:r>
      <w:r>
        <w:rPr>
          <w:rFonts w:hint="eastAsia" w:ascii="宋体" w:hAnsi="宋体" w:cs="宋体"/>
          <w:sz w:val="28"/>
          <w:szCs w:val="28"/>
        </w:rPr>
        <w:t>及</w:t>
      </w:r>
      <w:r>
        <w:rPr>
          <w:rFonts w:hint="eastAsia" w:ascii="宋体" w:hAnsi="宋体" w:cs="宋体"/>
          <w:b/>
          <w:bCs/>
          <w:sz w:val="28"/>
          <w:szCs w:val="28"/>
          <w:lang w:val="zh-CN"/>
        </w:rPr>
        <w:t>法人或者其他组织的营业执照等证明文件</w:t>
      </w:r>
      <w:r>
        <w:rPr>
          <w:rFonts w:hint="eastAsia" w:ascii="宋体" w:hAnsi="宋体" w:cs="宋体"/>
          <w:sz w:val="28"/>
          <w:szCs w:val="28"/>
          <w:lang w:val="zh-CN"/>
        </w:rPr>
        <w:t>，自然人参加的提供身份证明；</w:t>
      </w:r>
    </w:p>
    <w:p w14:paraId="5702F05C">
      <w:pPr>
        <w:spacing w:line="500" w:lineRule="exact"/>
        <w:rPr>
          <w:rFonts w:hint="eastAsia"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.法定代表人授权委托书原件（格式见附件3，法定代表人参加的，无需提供授权委托书），磋商代表本人身份证正反面复印件；</w:t>
      </w:r>
    </w:p>
    <w:p w14:paraId="26CBCEB1">
      <w:pPr>
        <w:spacing w:line="500" w:lineRule="exact"/>
        <w:rPr>
          <w:rFonts w:hint="eastAsia"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供应商信用承诺书（格式见附件</w:t>
      </w:r>
      <w:r>
        <w:rPr>
          <w:rFonts w:hint="eastAsia" w:ascii="宋体" w:hAnsi="宋体" w:cs="宋体"/>
          <w:sz w:val="28"/>
          <w:szCs w:val="28"/>
        </w:rPr>
        <w:t>4</w:t>
      </w:r>
      <w:r>
        <w:rPr>
          <w:rFonts w:hint="eastAsia" w:ascii="宋体" w:hAnsi="宋体" w:cs="宋体"/>
          <w:sz w:val="28"/>
          <w:szCs w:val="28"/>
          <w:lang w:val="zh-CN"/>
        </w:rPr>
        <w:t>）；</w:t>
      </w:r>
    </w:p>
    <w:p w14:paraId="73C52AE6">
      <w:pPr>
        <w:spacing w:line="500" w:lineRule="exact"/>
        <w:rPr>
          <w:rFonts w:hint="eastAsia"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磋商响应函（格式见附件</w:t>
      </w:r>
      <w:r>
        <w:rPr>
          <w:rFonts w:hint="eastAsia" w:ascii="宋体" w:hAnsi="宋体" w:cs="宋体"/>
          <w:sz w:val="28"/>
          <w:szCs w:val="28"/>
        </w:rPr>
        <w:t>5</w:t>
      </w:r>
      <w:r>
        <w:rPr>
          <w:rFonts w:hint="eastAsia" w:ascii="宋体" w:hAnsi="宋体" w:cs="宋体"/>
          <w:sz w:val="28"/>
          <w:szCs w:val="28"/>
          <w:lang w:val="zh-CN"/>
        </w:rPr>
        <w:t>）；</w:t>
      </w:r>
    </w:p>
    <w:p w14:paraId="6E0BA825">
      <w:pPr>
        <w:spacing w:line="500" w:lineRule="exact"/>
        <w:rPr>
          <w:rFonts w:hint="eastAsia" w:ascii="宋体" w:hAnsi="宋体" w:cs="宋体"/>
          <w:bCs/>
          <w:sz w:val="28"/>
          <w:szCs w:val="28"/>
        </w:rPr>
      </w:pPr>
      <w:r>
        <w:rPr>
          <w:rFonts w:hint="eastAsia" w:ascii="宋体" w:hAnsi="宋体" w:cs="宋体"/>
          <w:bCs/>
          <w:sz w:val="28"/>
          <w:szCs w:val="28"/>
        </w:rPr>
        <w:t>6.投标人有效的《保安服务许可证》（必须含武装守护）证书；</w:t>
      </w:r>
    </w:p>
    <w:p w14:paraId="503E978A">
      <w:pPr>
        <w:spacing w:line="500" w:lineRule="exact"/>
        <w:rPr>
          <w:rFonts w:hint="eastAsia" w:ascii="宋体" w:hAnsi="宋体" w:cs="宋体"/>
          <w:bCs/>
          <w:sz w:val="28"/>
          <w:szCs w:val="28"/>
          <w:lang w:val="zh-CN"/>
        </w:rPr>
      </w:pPr>
      <w:r>
        <w:rPr>
          <w:rFonts w:hint="eastAsia" w:ascii="宋体" w:hAnsi="宋体" w:cs="宋体"/>
          <w:bCs/>
          <w:sz w:val="28"/>
          <w:szCs w:val="28"/>
        </w:rPr>
        <w:t>7</w:t>
      </w:r>
      <w:r>
        <w:rPr>
          <w:rFonts w:hint="eastAsia" w:ascii="宋体" w:hAnsi="宋体" w:cs="宋体"/>
          <w:bCs/>
          <w:sz w:val="28"/>
          <w:szCs w:val="28"/>
          <w:lang w:val="zh-CN"/>
        </w:rPr>
        <w:t>.商务部分正负偏离表（格式见附件6）；</w:t>
      </w:r>
    </w:p>
    <w:p w14:paraId="0C486BF7">
      <w:pPr>
        <w:spacing w:line="500" w:lineRule="exact"/>
        <w:ind w:firstLine="280"/>
        <w:rPr>
          <w:rFonts w:hint="eastAsia" w:ascii="宋体" w:hAnsi="宋体" w:cs="宋体"/>
          <w:bCs/>
          <w:sz w:val="28"/>
          <w:szCs w:val="28"/>
          <w:lang w:val="zh-CN"/>
        </w:rPr>
      </w:pPr>
      <w:r>
        <w:rPr>
          <w:rFonts w:hint="eastAsia" w:ascii="宋体" w:hAnsi="宋体" w:cs="宋体"/>
          <w:bCs/>
          <w:sz w:val="28"/>
          <w:szCs w:val="28"/>
          <w:lang w:val="zh-CN"/>
        </w:rPr>
        <w:t>技术部分正负偏离表（格式见附件7）；</w:t>
      </w:r>
    </w:p>
    <w:p w14:paraId="5162AC9C">
      <w:pPr>
        <w:spacing w:line="500" w:lineRule="exact"/>
        <w:rPr>
          <w:rFonts w:hint="eastAsia" w:ascii="宋体" w:hAnsi="宋体" w:cs="宋体"/>
          <w:bCs/>
          <w:sz w:val="28"/>
          <w:szCs w:val="28"/>
          <w:lang w:val="zh-CN"/>
        </w:rPr>
      </w:pPr>
      <w:r>
        <w:rPr>
          <w:rFonts w:hint="eastAsia" w:ascii="宋体" w:hAnsi="宋体" w:cs="宋体"/>
          <w:bCs/>
          <w:sz w:val="28"/>
          <w:szCs w:val="28"/>
          <w:lang w:val="zh-CN"/>
        </w:rPr>
        <w:t>填制正负偏离表，完全响应的，请以空白表列示。不完全响应的，</w:t>
      </w:r>
    </w:p>
    <w:p w14:paraId="5184BA42">
      <w:pPr>
        <w:spacing w:line="500" w:lineRule="exact"/>
        <w:rPr>
          <w:rFonts w:hint="eastAsia" w:ascii="宋体" w:hAnsi="宋体" w:cs="宋体"/>
          <w:bCs/>
          <w:sz w:val="28"/>
          <w:szCs w:val="28"/>
          <w:lang w:val="zh-CN"/>
        </w:rPr>
      </w:pPr>
      <w:r>
        <w:rPr>
          <w:rFonts w:hint="eastAsia" w:ascii="宋体" w:hAnsi="宋体" w:cs="宋体"/>
          <w:bCs/>
          <w:sz w:val="28"/>
          <w:szCs w:val="28"/>
          <w:lang w:val="zh-CN"/>
        </w:rPr>
        <w:t>必须在偏离表中列示；列示不全的，视同故意隐瞒。</w:t>
      </w:r>
    </w:p>
    <w:p w14:paraId="6BEA4ACB">
      <w:pPr>
        <w:spacing w:line="500" w:lineRule="exact"/>
        <w:rPr>
          <w:rFonts w:hint="eastAsia" w:ascii="宋体" w:hAnsi="宋体" w:cs="宋体"/>
          <w:sz w:val="28"/>
          <w:szCs w:val="28"/>
          <w:lang w:val="zh-CN"/>
        </w:rPr>
      </w:pPr>
      <w:r>
        <w:rPr>
          <w:rFonts w:hint="eastAsia" w:ascii="宋体" w:hAnsi="宋体" w:cs="宋体"/>
          <w:bCs/>
          <w:sz w:val="28"/>
          <w:szCs w:val="28"/>
        </w:rPr>
        <w:t>8</w:t>
      </w:r>
      <w:r>
        <w:rPr>
          <w:rFonts w:hint="eastAsia" w:ascii="宋体" w:hAnsi="宋体" w:cs="宋体"/>
          <w:bCs/>
          <w:sz w:val="28"/>
          <w:szCs w:val="28"/>
          <w:lang w:val="zh-CN"/>
        </w:rPr>
        <w:t>.</w:t>
      </w:r>
      <w:r>
        <w:rPr>
          <w:rFonts w:hint="eastAsia" w:ascii="宋体" w:hAnsi="宋体" w:cs="宋体"/>
          <w:sz w:val="28"/>
          <w:szCs w:val="28"/>
        </w:rPr>
        <w:t>磋商报价表</w:t>
      </w:r>
      <w:r>
        <w:rPr>
          <w:rFonts w:hint="eastAsia" w:ascii="宋体" w:hAnsi="宋体" w:cs="宋体"/>
          <w:sz w:val="28"/>
          <w:szCs w:val="28"/>
          <w:lang w:val="zh-CN"/>
        </w:rPr>
        <w:t xml:space="preserve">（格式见苏采云系统内电子投标(响应)文件中表式）； </w:t>
      </w:r>
    </w:p>
    <w:p w14:paraId="16443F44">
      <w:pPr>
        <w:spacing w:line="500" w:lineRule="exact"/>
        <w:rPr>
          <w:rFonts w:hint="eastAsia" w:ascii="宋体" w:hAnsi="宋体" w:cs="宋体"/>
          <w:sz w:val="28"/>
          <w:szCs w:val="28"/>
          <w:lang w:val="zh-CN"/>
        </w:rPr>
      </w:pPr>
      <w:r>
        <w:rPr>
          <w:rFonts w:hint="eastAsia" w:ascii="宋体" w:hAnsi="宋体" w:cs="宋体"/>
          <w:sz w:val="28"/>
          <w:szCs w:val="28"/>
        </w:rPr>
        <w:t>9</w:t>
      </w:r>
      <w:r>
        <w:rPr>
          <w:rFonts w:hint="eastAsia" w:ascii="宋体" w:hAnsi="宋体" w:cs="宋体"/>
          <w:sz w:val="28"/>
          <w:szCs w:val="28"/>
          <w:lang w:val="zh-CN"/>
        </w:rPr>
        <w:t>.分项报价明细表（格式见附件</w:t>
      </w:r>
      <w:r>
        <w:rPr>
          <w:rFonts w:hint="eastAsia" w:ascii="宋体" w:hAnsi="宋体" w:cs="宋体"/>
          <w:sz w:val="28"/>
          <w:szCs w:val="28"/>
        </w:rPr>
        <w:t>8</w:t>
      </w:r>
      <w:r>
        <w:rPr>
          <w:rFonts w:hint="eastAsia" w:ascii="宋体" w:hAnsi="宋体" w:cs="宋体"/>
          <w:sz w:val="28"/>
          <w:szCs w:val="28"/>
          <w:lang w:val="zh-CN"/>
        </w:rPr>
        <w:t>）；</w:t>
      </w:r>
    </w:p>
    <w:p w14:paraId="533BCE5F">
      <w:pPr>
        <w:spacing w:line="500" w:lineRule="exact"/>
        <w:rPr>
          <w:rFonts w:hint="eastAsia" w:ascii="宋体" w:hAnsi="宋体" w:cs="宋体"/>
          <w:sz w:val="28"/>
          <w:szCs w:val="28"/>
          <w:lang w:val="zh-CN"/>
        </w:rPr>
      </w:pPr>
      <w:r>
        <w:rPr>
          <w:rFonts w:hint="eastAsia" w:ascii="宋体" w:hAnsi="宋体" w:cs="宋体"/>
          <w:sz w:val="28"/>
          <w:szCs w:val="28"/>
        </w:rPr>
        <w:t>10</w:t>
      </w:r>
      <w:r>
        <w:rPr>
          <w:rFonts w:hint="eastAsia" w:ascii="宋体" w:hAnsi="宋体" w:cs="宋体"/>
          <w:sz w:val="28"/>
          <w:szCs w:val="28"/>
          <w:lang w:val="zh-CN"/>
        </w:rPr>
        <w:t>.</w:t>
      </w:r>
      <w:r>
        <w:rPr>
          <w:rFonts w:hint="eastAsia" w:ascii="宋体" w:hAnsi="宋体" w:cs="宋体"/>
          <w:sz w:val="28"/>
          <w:szCs w:val="28"/>
        </w:rPr>
        <w:t>中小企业声明函（</w:t>
      </w:r>
      <w:r>
        <w:rPr>
          <w:rFonts w:hint="eastAsia" w:ascii="宋体" w:hAnsi="宋体" w:cs="宋体"/>
          <w:sz w:val="28"/>
          <w:szCs w:val="28"/>
          <w:lang w:val="zh-CN"/>
        </w:rPr>
        <w:t>格式见附件9）；</w:t>
      </w:r>
    </w:p>
    <w:p w14:paraId="3868F4F8">
      <w:pPr>
        <w:spacing w:line="500" w:lineRule="exact"/>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1</w:t>
      </w:r>
      <w:r>
        <w:rPr>
          <w:rFonts w:hint="eastAsia" w:ascii="宋体" w:hAnsi="宋体" w:cs="宋体"/>
          <w:sz w:val="28"/>
          <w:szCs w:val="28"/>
          <w:lang w:val="zh-CN"/>
        </w:rPr>
        <w:t>.残疾人福利性单位声明函（格式见附件10）；</w:t>
      </w:r>
    </w:p>
    <w:p w14:paraId="2D8A9B7F">
      <w:pPr>
        <w:spacing w:line="500" w:lineRule="exact"/>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2</w:t>
      </w:r>
      <w:r>
        <w:rPr>
          <w:rFonts w:hint="eastAsia" w:ascii="宋体" w:hAnsi="宋体" w:cs="宋体"/>
          <w:sz w:val="28"/>
          <w:szCs w:val="28"/>
          <w:lang w:val="zh-CN"/>
        </w:rPr>
        <w:t>.监狱和戒毒企业证明材料（格式见附件11）。</w:t>
      </w:r>
    </w:p>
    <w:p w14:paraId="397C22F7">
      <w:pPr>
        <w:rPr>
          <w:rFonts w:hint="eastAsia" w:ascii="宋体" w:hAnsi="宋体" w:cs="宋体"/>
          <w:b/>
          <w:color w:val="000000"/>
          <w:sz w:val="30"/>
          <w:szCs w:val="30"/>
        </w:rPr>
      </w:pPr>
      <w:r>
        <w:rPr>
          <w:rFonts w:hint="eastAsia" w:ascii="宋体" w:hAnsi="宋体" w:cs="宋体"/>
          <w:b/>
          <w:color w:val="000000"/>
          <w:sz w:val="30"/>
          <w:szCs w:val="30"/>
        </w:rPr>
        <w:br w:type="page"/>
      </w:r>
    </w:p>
    <w:p w14:paraId="6A5630AD">
      <w:pPr>
        <w:jc w:val="left"/>
        <w:rPr>
          <w:rFonts w:hint="eastAsia" w:ascii="宋体" w:hAnsi="宋体" w:cs="宋体"/>
          <w:b/>
          <w:color w:val="000000"/>
          <w:sz w:val="30"/>
          <w:szCs w:val="30"/>
        </w:rPr>
      </w:pPr>
      <w:r>
        <w:rPr>
          <w:rFonts w:hint="eastAsia" w:ascii="宋体" w:hAnsi="宋体" w:cs="宋体"/>
          <w:b/>
          <w:color w:val="000000"/>
          <w:sz w:val="30"/>
          <w:szCs w:val="30"/>
        </w:rPr>
        <w:t>附件1</w:t>
      </w:r>
    </w:p>
    <w:p w14:paraId="0796399D">
      <w:pPr>
        <w:pStyle w:val="13"/>
        <w:rPr>
          <w:rFonts w:hint="eastAsia" w:ascii="宋体" w:hAnsi="宋体" w:cs="宋体"/>
          <w:lang w:val="zh-CN"/>
        </w:rPr>
      </w:pPr>
    </w:p>
    <w:p w14:paraId="292CEA91">
      <w:pPr>
        <w:jc w:val="center"/>
        <w:rPr>
          <w:rFonts w:hint="eastAsia" w:ascii="宋体" w:hAnsi="宋体"/>
          <w:b/>
          <w:color w:val="000000"/>
          <w:sz w:val="30"/>
          <w:szCs w:val="30"/>
        </w:rPr>
      </w:pPr>
      <w:r>
        <w:rPr>
          <w:rFonts w:hint="eastAsia" w:ascii="宋体" w:hAnsi="宋体"/>
          <w:b/>
          <w:color w:val="000000"/>
          <w:sz w:val="30"/>
          <w:szCs w:val="30"/>
        </w:rPr>
        <w:t>响应人符合《中华人民共和国政府采购法》第二十二条规定条件的声明函</w:t>
      </w:r>
    </w:p>
    <w:p w14:paraId="3B2F8ECC">
      <w:pPr>
        <w:spacing w:line="460" w:lineRule="exact"/>
        <w:rPr>
          <w:rFonts w:hint="eastAsia" w:ascii="宋体" w:hAnsi="宋体"/>
          <w:b/>
          <w:bCs/>
          <w:color w:val="000000"/>
          <w:sz w:val="44"/>
          <w:szCs w:val="44"/>
        </w:rPr>
      </w:pPr>
    </w:p>
    <w:p w14:paraId="2A8604F2">
      <w:pPr>
        <w:spacing w:line="520" w:lineRule="exact"/>
        <w:ind w:firstLine="480" w:firstLineChars="200"/>
        <w:rPr>
          <w:rFonts w:hint="eastAsia"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szCs w:val="21"/>
        </w:rPr>
        <w:t>__________________（项目名称），__________________（项目编号）响应活动。针对《中华人民共和国政府采购法》第二十二条规定做出如下声明：</w:t>
      </w:r>
    </w:p>
    <w:p w14:paraId="727893C6">
      <w:pPr>
        <w:spacing w:line="520" w:lineRule="exact"/>
        <w:ind w:firstLine="482"/>
        <w:rPr>
          <w:rFonts w:hint="eastAsia" w:ascii="宋体" w:hAnsi="宋体"/>
          <w:color w:val="000000"/>
          <w:sz w:val="24"/>
        </w:rPr>
      </w:pPr>
      <w:r>
        <w:rPr>
          <w:rFonts w:hint="eastAsia" w:ascii="宋体" w:hAnsi="宋体"/>
          <w:bCs/>
          <w:color w:val="000000"/>
          <w:sz w:val="24"/>
          <w:szCs w:val="21"/>
        </w:rPr>
        <w:t>1.我单位具有独立承担民事责任的能力；</w:t>
      </w:r>
    </w:p>
    <w:p w14:paraId="16CA074C">
      <w:pPr>
        <w:spacing w:line="520" w:lineRule="exact"/>
        <w:ind w:firstLine="482"/>
        <w:rPr>
          <w:rFonts w:hint="eastAsia" w:ascii="宋体" w:hAnsi="宋体"/>
          <w:color w:val="000000"/>
          <w:sz w:val="24"/>
        </w:rPr>
      </w:pPr>
      <w:r>
        <w:rPr>
          <w:rFonts w:hint="eastAsia" w:ascii="宋体" w:hAnsi="宋体"/>
          <w:color w:val="000000"/>
          <w:sz w:val="24"/>
        </w:rPr>
        <w:t>2.我单位具有良好的商业信誉和健全的财务会计制度；</w:t>
      </w:r>
    </w:p>
    <w:p w14:paraId="5F86A588">
      <w:pPr>
        <w:spacing w:line="520" w:lineRule="exact"/>
        <w:ind w:firstLine="482"/>
        <w:rPr>
          <w:rFonts w:hint="eastAsia" w:ascii="宋体" w:hAnsi="宋体"/>
          <w:color w:val="000000"/>
          <w:sz w:val="24"/>
        </w:rPr>
      </w:pPr>
      <w:r>
        <w:rPr>
          <w:rFonts w:hint="eastAsia" w:ascii="宋体" w:hAnsi="宋体"/>
          <w:color w:val="000000"/>
          <w:sz w:val="24"/>
        </w:rPr>
        <w:t>3.我单位具有履行合同所必需的设备和专业技术能力；</w:t>
      </w:r>
    </w:p>
    <w:p w14:paraId="4B8931B7">
      <w:pPr>
        <w:spacing w:line="520" w:lineRule="exact"/>
        <w:ind w:firstLine="482"/>
        <w:rPr>
          <w:rFonts w:hint="eastAsia" w:ascii="宋体" w:hAnsi="宋体"/>
          <w:color w:val="000000"/>
          <w:sz w:val="24"/>
        </w:rPr>
      </w:pPr>
      <w:r>
        <w:rPr>
          <w:rFonts w:hint="eastAsia" w:ascii="宋体" w:hAnsi="宋体"/>
          <w:color w:val="000000"/>
          <w:sz w:val="24"/>
        </w:rPr>
        <w:t>4.我单位有依法缴纳税收和社会保障资金的良好记录；</w:t>
      </w:r>
    </w:p>
    <w:p w14:paraId="6945151E">
      <w:pPr>
        <w:spacing w:line="520" w:lineRule="exact"/>
        <w:ind w:firstLine="482"/>
        <w:rPr>
          <w:rFonts w:hint="eastAsia"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47FF5C">
      <w:pPr>
        <w:spacing w:line="520" w:lineRule="exact"/>
        <w:ind w:firstLine="482"/>
        <w:rPr>
          <w:rFonts w:hint="eastAsia" w:ascii="宋体" w:hAnsi="宋体" w:cs="宋体"/>
          <w:color w:val="000000"/>
          <w:sz w:val="24"/>
        </w:rPr>
      </w:pPr>
      <w:r>
        <w:rPr>
          <w:rFonts w:hint="eastAsia" w:ascii="宋体" w:hAnsi="宋体"/>
          <w:color w:val="000000"/>
          <w:sz w:val="24"/>
        </w:rPr>
        <w:t>6.我单位满足法律、行政法规规定的其他条件。</w:t>
      </w:r>
    </w:p>
    <w:p w14:paraId="571C2FA2">
      <w:pPr>
        <w:spacing w:line="500" w:lineRule="exact"/>
        <w:ind w:firstLine="482"/>
        <w:rPr>
          <w:rFonts w:hint="eastAsia" w:ascii="宋体" w:hAnsi="宋体" w:cs="宋体"/>
          <w:color w:val="000000"/>
          <w:sz w:val="24"/>
        </w:rPr>
      </w:pPr>
    </w:p>
    <w:p w14:paraId="6F5C3111">
      <w:pPr>
        <w:spacing w:line="500" w:lineRule="exact"/>
        <w:rPr>
          <w:rFonts w:hint="eastAsia" w:ascii="宋体" w:hAnsi="宋体" w:cs="宋体"/>
          <w:color w:val="000000"/>
          <w:sz w:val="24"/>
        </w:rPr>
      </w:pPr>
    </w:p>
    <w:p w14:paraId="3ED34380">
      <w:pPr>
        <w:spacing w:line="500" w:lineRule="exact"/>
        <w:rPr>
          <w:rFonts w:hint="eastAsia" w:ascii="宋体" w:hAnsi="宋体" w:cs="宋体"/>
          <w:bCs/>
          <w:color w:val="000000"/>
          <w:sz w:val="24"/>
          <w:szCs w:val="21"/>
        </w:rPr>
      </w:pPr>
    </w:p>
    <w:p w14:paraId="49D155BF">
      <w:pPr>
        <w:spacing w:line="500" w:lineRule="exact"/>
        <w:rPr>
          <w:rFonts w:hint="eastAsia" w:ascii="宋体" w:hAnsi="宋体" w:cs="宋体"/>
          <w:bCs/>
          <w:color w:val="000000"/>
          <w:sz w:val="24"/>
          <w:szCs w:val="21"/>
        </w:rPr>
      </w:pPr>
    </w:p>
    <w:p w14:paraId="7ED36ED4">
      <w:pPr>
        <w:spacing w:line="500" w:lineRule="exact"/>
        <w:rPr>
          <w:rFonts w:hint="eastAsia" w:ascii="宋体" w:hAnsi="宋体" w:cs="宋体"/>
          <w:bCs/>
          <w:color w:val="000000"/>
          <w:sz w:val="24"/>
          <w:szCs w:val="21"/>
        </w:rPr>
      </w:pPr>
    </w:p>
    <w:p w14:paraId="104FB12E">
      <w:pPr>
        <w:spacing w:line="460" w:lineRule="exact"/>
        <w:jc w:val="center"/>
        <w:rPr>
          <w:rFonts w:hint="eastAsia" w:ascii="宋体" w:hAnsi="宋体" w:cs="宋体"/>
          <w:bCs/>
          <w:color w:val="000000"/>
          <w:sz w:val="24"/>
          <w:szCs w:val="21"/>
        </w:rPr>
      </w:pPr>
      <w:r>
        <w:rPr>
          <w:rFonts w:hint="eastAsia" w:ascii="宋体" w:hAnsi="宋体" w:cs="宋体"/>
          <w:bCs/>
          <w:color w:val="000000"/>
          <w:sz w:val="24"/>
          <w:szCs w:val="21"/>
        </w:rPr>
        <w:t xml:space="preserve">                                             承诺人名称（公章）：</w:t>
      </w:r>
    </w:p>
    <w:p w14:paraId="5C4CF66B">
      <w:pPr>
        <w:spacing w:line="460" w:lineRule="exact"/>
        <w:jc w:val="right"/>
        <w:rPr>
          <w:rFonts w:hint="eastAsia" w:ascii="宋体" w:hAnsi="宋体" w:cs="宋体"/>
          <w:bCs/>
          <w:color w:val="000000"/>
          <w:sz w:val="24"/>
          <w:szCs w:val="21"/>
        </w:rPr>
      </w:pPr>
      <w:r>
        <w:rPr>
          <w:rFonts w:hint="eastAsia" w:ascii="宋体" w:hAnsi="宋体" w:cs="宋体"/>
          <w:bCs/>
          <w:color w:val="000000"/>
          <w:sz w:val="24"/>
          <w:szCs w:val="21"/>
        </w:rPr>
        <w:t xml:space="preserve">    </w:t>
      </w:r>
    </w:p>
    <w:p w14:paraId="0F96565E">
      <w:pPr>
        <w:spacing w:line="460" w:lineRule="exact"/>
        <w:jc w:val="right"/>
        <w:rPr>
          <w:rFonts w:hint="eastAsia" w:ascii="宋体" w:hAnsi="宋体" w:cs="宋体"/>
          <w:bCs/>
          <w:color w:val="000000"/>
          <w:sz w:val="24"/>
          <w:szCs w:val="21"/>
        </w:rPr>
      </w:pPr>
      <w:r>
        <w:rPr>
          <w:rFonts w:hint="eastAsia" w:ascii="宋体" w:hAnsi="宋体" w:cs="宋体"/>
          <w:bCs/>
          <w:color w:val="000000"/>
          <w:sz w:val="24"/>
          <w:szCs w:val="21"/>
        </w:rPr>
        <w:t xml:space="preserve">                                 日期：______年</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月</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日</w:t>
      </w:r>
    </w:p>
    <w:p w14:paraId="157C126B">
      <w:pPr>
        <w:spacing w:line="400" w:lineRule="exact"/>
        <w:ind w:firstLine="540"/>
        <w:contextualSpacing/>
        <w:rPr>
          <w:rFonts w:hint="eastAsia" w:ascii="宋体" w:hAnsi="宋体" w:cs="宋体"/>
          <w:b/>
          <w:sz w:val="28"/>
          <w:szCs w:val="28"/>
        </w:rPr>
      </w:pPr>
    </w:p>
    <w:p w14:paraId="53DB442C">
      <w:pPr>
        <w:spacing w:line="400" w:lineRule="exact"/>
        <w:ind w:firstLine="540"/>
        <w:contextualSpacing/>
        <w:rPr>
          <w:rFonts w:hint="eastAsia" w:ascii="宋体" w:hAnsi="宋体" w:cs="宋体"/>
          <w:b/>
          <w:sz w:val="28"/>
          <w:szCs w:val="28"/>
          <w:lang w:val="zh-CN"/>
        </w:rPr>
      </w:pPr>
    </w:p>
    <w:p w14:paraId="1DD339C2">
      <w:pPr>
        <w:spacing w:line="400" w:lineRule="exact"/>
        <w:contextualSpacing/>
        <w:rPr>
          <w:rFonts w:hint="eastAsia" w:ascii="宋体" w:hAnsi="宋体" w:cs="宋体"/>
          <w:sz w:val="32"/>
          <w:szCs w:val="32"/>
          <w:lang w:val="zh-CN"/>
        </w:rPr>
      </w:pPr>
    </w:p>
    <w:p w14:paraId="4B5B7EEC">
      <w:pPr>
        <w:spacing w:line="400" w:lineRule="exact"/>
        <w:contextualSpacing/>
        <w:rPr>
          <w:rFonts w:hint="eastAsia" w:ascii="宋体" w:hAnsi="宋体" w:cs="宋体"/>
          <w:sz w:val="32"/>
          <w:szCs w:val="32"/>
          <w:lang w:val="zh-CN"/>
        </w:rPr>
      </w:pPr>
      <w:r>
        <w:rPr>
          <w:rFonts w:hint="eastAsia" w:ascii="宋体" w:hAnsi="宋体" w:cs="宋体"/>
          <w:sz w:val="32"/>
          <w:szCs w:val="32"/>
          <w:lang w:val="zh-CN"/>
        </w:rPr>
        <w:t>附件2</w:t>
      </w:r>
    </w:p>
    <w:p w14:paraId="10210D76">
      <w:pPr>
        <w:spacing w:line="56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14:paraId="5F0E26A8">
      <w:pPr>
        <w:spacing w:line="480" w:lineRule="exact"/>
        <w:rPr>
          <w:rFonts w:hint="eastAsia" w:ascii="宋体" w:hAnsi="宋体" w:cs="宋体"/>
          <w:sz w:val="24"/>
        </w:rPr>
      </w:pPr>
    </w:p>
    <w:p w14:paraId="3CEDDD1D">
      <w:pPr>
        <w:spacing w:line="480" w:lineRule="exact"/>
        <w:ind w:firstLine="480"/>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rPr>
        <w:t>先生/女士，身份证号码：</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p>
    <w:p w14:paraId="0C487276">
      <w:pPr>
        <w:spacing w:line="480" w:lineRule="exact"/>
        <w:ind w:firstLine="480"/>
        <w:rPr>
          <w:rFonts w:hint="eastAsia" w:ascii="宋体" w:hAnsi="宋体" w:cs="宋体"/>
          <w:sz w:val="24"/>
        </w:rPr>
      </w:pPr>
      <w:r>
        <w:rPr>
          <w:rFonts w:hint="eastAsia" w:ascii="宋体" w:hAnsi="宋体" w:cs="宋体"/>
          <w:sz w:val="24"/>
        </w:rPr>
        <w:t>现任我单位</w:t>
      </w:r>
      <w:r>
        <w:rPr>
          <w:rFonts w:hint="eastAsia" w:ascii="宋体" w:hAnsi="宋体" w:cs="宋体"/>
          <w:sz w:val="24"/>
          <w:u w:val="single"/>
        </w:rPr>
        <w:t xml:space="preserve">        </w:t>
      </w:r>
      <w:r>
        <w:rPr>
          <w:rFonts w:hint="eastAsia" w:ascii="宋体" w:hAnsi="宋体" w:cs="宋体"/>
          <w:sz w:val="24"/>
        </w:rPr>
        <w:t>职务，为法定代表人，特此证明。</w:t>
      </w:r>
    </w:p>
    <w:p w14:paraId="525BD2F0">
      <w:pPr>
        <w:spacing w:line="480" w:lineRule="exact"/>
        <w:ind w:firstLine="480"/>
        <w:rPr>
          <w:rFonts w:hint="eastAsia" w:ascii="宋体" w:hAnsi="宋体" w:cs="宋体"/>
          <w:sz w:val="24"/>
        </w:rPr>
      </w:pPr>
    </w:p>
    <w:p w14:paraId="27B81243">
      <w:pPr>
        <w:spacing w:after="120"/>
        <w:rPr>
          <w:rFonts w:hint="eastAsia" w:ascii="宋体" w:hAnsi="宋体" w:cs="宋体"/>
          <w:szCs w:val="20"/>
        </w:rPr>
      </w:pPr>
    </w:p>
    <w:p w14:paraId="5BA15C58">
      <w:pPr>
        <w:spacing w:line="480" w:lineRule="auto"/>
        <w:ind w:left="3255" w:firstLine="210"/>
        <w:rPr>
          <w:rFonts w:hint="eastAsia" w:ascii="宋体" w:hAnsi="宋体" w:cs="宋体"/>
          <w:sz w:val="24"/>
        </w:rPr>
      </w:pPr>
      <w:r>
        <w:rPr>
          <w:rFonts w:hint="eastAsia" w:ascii="宋体" w:hAnsi="宋体" w:cs="宋体"/>
        </w:rPr>
        <w:t xml:space="preserve">                                                 </w:t>
      </w:r>
      <w:r>
        <w:rPr>
          <w:rFonts w:hint="eastAsia" w:ascii="宋体" w:hAnsi="宋体" w:cs="宋体"/>
          <w:sz w:val="24"/>
        </w:rPr>
        <w:t>单位名称(盖公章)：</w:t>
      </w:r>
      <w:r>
        <w:rPr>
          <w:rFonts w:hint="eastAsia" w:ascii="宋体" w:hAnsi="宋体" w:cs="宋体"/>
          <w:sz w:val="24"/>
          <w:u w:val="single"/>
        </w:rPr>
        <w:t xml:space="preserve">               </w:t>
      </w:r>
      <w:r>
        <w:rPr>
          <w:rFonts w:hint="eastAsia" w:ascii="宋体" w:hAnsi="宋体" w:cs="宋体"/>
          <w:sz w:val="24"/>
        </w:rPr>
        <w:t xml:space="preserve">   </w:t>
      </w:r>
    </w:p>
    <w:p w14:paraId="58608B29">
      <w:pPr>
        <w:spacing w:line="480" w:lineRule="auto"/>
        <w:ind w:firstLine="3840"/>
        <w:rPr>
          <w:rFonts w:hint="eastAsia" w:ascii="宋体" w:hAnsi="宋体" w:cs="宋体"/>
          <w:sz w:val="24"/>
        </w:rPr>
      </w:pPr>
      <w:r>
        <w:rPr>
          <w:rFonts w:hint="eastAsia" w:ascii="宋体" w:hAnsi="宋体" w:cs="宋体"/>
          <w:sz w:val="24"/>
        </w:rPr>
        <w:t>日 期：     年   月   日</w:t>
      </w:r>
    </w:p>
    <w:p w14:paraId="0AC79304">
      <w:pPr>
        <w:rPr>
          <w:rFonts w:hint="eastAsia" w:ascii="宋体" w:hAnsi="宋体" w:cs="宋体"/>
        </w:rPr>
      </w:pPr>
    </w:p>
    <w:p w14:paraId="255FC23E">
      <w:pPr>
        <w:widowControl/>
        <w:spacing w:line="360" w:lineRule="auto"/>
        <w:rPr>
          <w:rFonts w:hint="eastAsia" w:ascii="宋体" w:hAnsi="宋体" w:cs="宋体"/>
          <w:b/>
          <w:bCs/>
          <w:sz w:val="28"/>
          <w:szCs w:val="28"/>
        </w:rPr>
      </w:pPr>
      <w:r>
        <w:rPr>
          <w:rFonts w:hint="eastAsia" w:ascii="宋体" w:hAnsi="宋体" w:cs="宋体"/>
          <w:b/>
          <w:sz w:val="24"/>
        </w:rPr>
        <w:t>附：法定代表人的身份证正反面复印件盖单位公章</w:t>
      </w:r>
    </w:p>
    <w:p w14:paraId="65AB8A6E">
      <w:pPr>
        <w:spacing w:line="600" w:lineRule="exact"/>
        <w:rPr>
          <w:rFonts w:hint="eastAsia" w:ascii="宋体" w:hAnsi="宋体" w:cs="宋体"/>
          <w:b/>
          <w:sz w:val="24"/>
        </w:rPr>
      </w:pPr>
    </w:p>
    <w:p w14:paraId="00EA89DD">
      <w:pPr>
        <w:spacing w:line="480" w:lineRule="exact"/>
        <w:ind w:firstLine="480"/>
        <w:rPr>
          <w:rFonts w:hint="eastAsia" w:ascii="宋体" w:hAnsi="宋体" w:cs="宋体"/>
          <w:sz w:val="24"/>
        </w:rPr>
      </w:pPr>
    </w:p>
    <w:p w14:paraId="40B785FA">
      <w:pPr>
        <w:rPr>
          <w:rFonts w:hint="eastAsia" w:ascii="宋体" w:hAnsi="宋体" w:cs="宋体"/>
        </w:rPr>
      </w:pPr>
    </w:p>
    <w:p w14:paraId="5B9BA57B">
      <w:pPr>
        <w:spacing w:line="400" w:lineRule="exact"/>
        <w:ind w:firstLine="540"/>
        <w:contextualSpacing/>
        <w:rPr>
          <w:rFonts w:hint="eastAsia" w:ascii="宋体" w:hAnsi="宋体" w:cs="宋体"/>
          <w:b/>
          <w:sz w:val="28"/>
          <w:szCs w:val="28"/>
        </w:rPr>
      </w:pPr>
    </w:p>
    <w:p w14:paraId="7D2846EE">
      <w:pPr>
        <w:spacing w:line="400" w:lineRule="exact"/>
        <w:ind w:firstLine="540"/>
        <w:contextualSpacing/>
        <w:rPr>
          <w:rFonts w:hint="eastAsia" w:ascii="宋体" w:hAnsi="宋体" w:cs="宋体"/>
          <w:b/>
          <w:sz w:val="28"/>
          <w:szCs w:val="28"/>
          <w:lang w:val="zh-CN"/>
        </w:rPr>
      </w:pPr>
    </w:p>
    <w:p w14:paraId="0D362435">
      <w:pPr>
        <w:spacing w:line="400" w:lineRule="exact"/>
        <w:ind w:firstLine="540"/>
        <w:contextualSpacing/>
        <w:rPr>
          <w:rFonts w:hint="eastAsia" w:ascii="宋体" w:hAnsi="宋体" w:cs="宋体"/>
          <w:b/>
          <w:sz w:val="28"/>
          <w:szCs w:val="28"/>
          <w:lang w:val="zh-CN"/>
        </w:rPr>
      </w:pPr>
    </w:p>
    <w:p w14:paraId="7117AF96">
      <w:pPr>
        <w:spacing w:line="400" w:lineRule="exact"/>
        <w:ind w:firstLine="540"/>
        <w:contextualSpacing/>
        <w:rPr>
          <w:rFonts w:hint="eastAsia" w:ascii="宋体" w:hAnsi="宋体" w:cs="宋体"/>
          <w:b/>
          <w:sz w:val="28"/>
          <w:szCs w:val="28"/>
          <w:lang w:val="zh-CN"/>
        </w:rPr>
      </w:pPr>
    </w:p>
    <w:p w14:paraId="34B7FF62">
      <w:pPr>
        <w:spacing w:line="400" w:lineRule="exact"/>
        <w:ind w:firstLine="540"/>
        <w:contextualSpacing/>
        <w:rPr>
          <w:rFonts w:hint="eastAsia" w:ascii="宋体" w:hAnsi="宋体" w:cs="宋体"/>
          <w:b/>
          <w:sz w:val="28"/>
          <w:szCs w:val="28"/>
          <w:lang w:val="zh-CN"/>
        </w:rPr>
      </w:pPr>
    </w:p>
    <w:p w14:paraId="11CD300A">
      <w:pPr>
        <w:spacing w:line="400" w:lineRule="exact"/>
        <w:ind w:firstLine="540"/>
        <w:contextualSpacing/>
        <w:rPr>
          <w:rFonts w:hint="eastAsia" w:ascii="宋体" w:hAnsi="宋体" w:cs="宋体"/>
          <w:b/>
          <w:sz w:val="28"/>
          <w:szCs w:val="28"/>
          <w:lang w:val="zh-CN"/>
        </w:rPr>
      </w:pPr>
    </w:p>
    <w:p w14:paraId="07B8B685">
      <w:pPr>
        <w:spacing w:line="400" w:lineRule="exact"/>
        <w:ind w:firstLine="540"/>
        <w:contextualSpacing/>
        <w:rPr>
          <w:rFonts w:hint="eastAsia" w:ascii="宋体" w:hAnsi="宋体" w:cs="宋体"/>
          <w:b/>
          <w:sz w:val="28"/>
          <w:szCs w:val="28"/>
          <w:lang w:val="zh-CN"/>
        </w:rPr>
      </w:pPr>
    </w:p>
    <w:p w14:paraId="543EB959">
      <w:pPr>
        <w:spacing w:line="400" w:lineRule="exact"/>
        <w:ind w:firstLine="540"/>
        <w:contextualSpacing/>
        <w:rPr>
          <w:rFonts w:hint="eastAsia" w:ascii="宋体" w:hAnsi="宋体" w:cs="宋体"/>
          <w:b/>
          <w:sz w:val="28"/>
          <w:szCs w:val="28"/>
          <w:lang w:val="zh-CN"/>
        </w:rPr>
      </w:pPr>
    </w:p>
    <w:p w14:paraId="05596B8B">
      <w:pPr>
        <w:spacing w:line="400" w:lineRule="exact"/>
        <w:ind w:firstLine="540"/>
        <w:contextualSpacing/>
        <w:rPr>
          <w:rFonts w:hint="eastAsia" w:ascii="宋体" w:hAnsi="宋体" w:cs="宋体"/>
          <w:b/>
          <w:sz w:val="28"/>
          <w:szCs w:val="28"/>
          <w:lang w:val="zh-CN"/>
        </w:rPr>
      </w:pPr>
    </w:p>
    <w:p w14:paraId="527F6FAA">
      <w:pPr>
        <w:spacing w:line="400" w:lineRule="exact"/>
        <w:ind w:firstLine="540"/>
        <w:contextualSpacing/>
        <w:rPr>
          <w:rFonts w:hint="eastAsia" w:ascii="宋体" w:hAnsi="宋体" w:cs="宋体"/>
          <w:b/>
          <w:sz w:val="28"/>
          <w:szCs w:val="28"/>
          <w:lang w:val="zh-CN"/>
        </w:rPr>
      </w:pPr>
    </w:p>
    <w:p w14:paraId="7DEBA120">
      <w:pPr>
        <w:spacing w:line="400" w:lineRule="exact"/>
        <w:ind w:firstLine="540"/>
        <w:contextualSpacing/>
        <w:rPr>
          <w:rFonts w:hint="eastAsia" w:ascii="宋体" w:hAnsi="宋体" w:cs="宋体"/>
          <w:b/>
          <w:sz w:val="28"/>
          <w:szCs w:val="28"/>
          <w:lang w:val="zh-CN"/>
        </w:rPr>
      </w:pPr>
    </w:p>
    <w:p w14:paraId="539136B2">
      <w:pPr>
        <w:spacing w:line="400" w:lineRule="exact"/>
        <w:ind w:firstLine="540"/>
        <w:contextualSpacing/>
        <w:rPr>
          <w:rFonts w:hint="eastAsia" w:ascii="宋体" w:hAnsi="宋体" w:cs="宋体"/>
          <w:b/>
          <w:sz w:val="28"/>
          <w:szCs w:val="28"/>
          <w:lang w:val="zh-CN"/>
        </w:rPr>
      </w:pPr>
    </w:p>
    <w:p w14:paraId="04EC1E10">
      <w:pPr>
        <w:spacing w:line="400" w:lineRule="exact"/>
        <w:ind w:firstLine="540"/>
        <w:contextualSpacing/>
        <w:rPr>
          <w:rFonts w:hint="eastAsia" w:ascii="宋体" w:hAnsi="宋体" w:cs="宋体"/>
          <w:b/>
          <w:sz w:val="28"/>
          <w:szCs w:val="28"/>
          <w:lang w:val="zh-CN"/>
        </w:rPr>
      </w:pPr>
    </w:p>
    <w:p w14:paraId="714A05A8">
      <w:pPr>
        <w:spacing w:line="400" w:lineRule="exact"/>
        <w:ind w:firstLine="540"/>
        <w:contextualSpacing/>
        <w:rPr>
          <w:rFonts w:hint="eastAsia" w:ascii="宋体" w:hAnsi="宋体" w:cs="宋体"/>
          <w:b/>
          <w:sz w:val="28"/>
          <w:szCs w:val="28"/>
          <w:lang w:val="zh-CN"/>
        </w:rPr>
      </w:pPr>
    </w:p>
    <w:p w14:paraId="3FC7E090">
      <w:pPr>
        <w:spacing w:line="400" w:lineRule="exact"/>
        <w:ind w:firstLine="540"/>
        <w:contextualSpacing/>
        <w:rPr>
          <w:rFonts w:hint="eastAsia" w:ascii="宋体" w:hAnsi="宋体" w:cs="宋体"/>
          <w:b/>
          <w:sz w:val="28"/>
          <w:szCs w:val="28"/>
          <w:lang w:val="zh-CN"/>
        </w:rPr>
      </w:pPr>
    </w:p>
    <w:p w14:paraId="71FEC8C1">
      <w:pPr>
        <w:spacing w:line="400" w:lineRule="exact"/>
        <w:ind w:firstLine="540"/>
        <w:contextualSpacing/>
        <w:rPr>
          <w:rFonts w:hint="eastAsia" w:ascii="宋体" w:hAnsi="宋体" w:cs="宋体"/>
          <w:b/>
          <w:sz w:val="28"/>
          <w:szCs w:val="28"/>
          <w:lang w:val="zh-CN"/>
        </w:rPr>
      </w:pPr>
    </w:p>
    <w:p w14:paraId="56688926">
      <w:pPr>
        <w:spacing w:line="400" w:lineRule="exact"/>
        <w:ind w:firstLine="540"/>
        <w:contextualSpacing/>
        <w:rPr>
          <w:rFonts w:hint="eastAsia" w:ascii="宋体" w:hAnsi="宋体" w:cs="宋体"/>
          <w:b/>
          <w:sz w:val="28"/>
          <w:szCs w:val="28"/>
          <w:lang w:val="zh-CN"/>
        </w:rPr>
      </w:pPr>
    </w:p>
    <w:p w14:paraId="03626C85">
      <w:pPr>
        <w:spacing w:line="400" w:lineRule="exact"/>
        <w:contextualSpacing/>
        <w:rPr>
          <w:rFonts w:hint="eastAsia" w:ascii="宋体" w:hAnsi="宋体" w:cs="宋体"/>
          <w:sz w:val="32"/>
          <w:szCs w:val="32"/>
          <w:lang w:val="zh-CN"/>
        </w:rPr>
      </w:pPr>
      <w:r>
        <w:rPr>
          <w:rFonts w:hint="eastAsia" w:ascii="宋体" w:hAnsi="宋体" w:cs="宋体"/>
          <w:sz w:val="32"/>
          <w:szCs w:val="32"/>
          <w:lang w:val="zh-CN"/>
        </w:rPr>
        <w:t>附件3</w:t>
      </w:r>
    </w:p>
    <w:p w14:paraId="71E9EB80">
      <w:pPr>
        <w:jc w:val="center"/>
        <w:rPr>
          <w:rFonts w:ascii="Calibri" w:hAnsi="Calibri"/>
          <w:sz w:val="32"/>
          <w:szCs w:val="32"/>
        </w:rPr>
      </w:pPr>
      <w:r>
        <w:rPr>
          <w:rFonts w:hint="eastAsia" w:ascii="Calibri" w:hAnsi="Calibri"/>
          <w:sz w:val="32"/>
          <w:szCs w:val="32"/>
        </w:rPr>
        <w:t>法定代表人授权委托书</w:t>
      </w:r>
    </w:p>
    <w:p w14:paraId="35FC8EC1">
      <w:pPr>
        <w:rPr>
          <w:rFonts w:ascii="Calibri" w:hAnsi="Calibri"/>
          <w:sz w:val="32"/>
          <w:szCs w:val="32"/>
        </w:rPr>
      </w:pPr>
    </w:p>
    <w:p w14:paraId="34FD4254">
      <w:pPr>
        <w:spacing w:line="500" w:lineRule="exact"/>
        <w:ind w:firstLine="560" w:firstLineChars="200"/>
        <w:rPr>
          <w:rFonts w:hint="eastAsia" w:ascii="宋体" w:hAnsi="宋体"/>
          <w:sz w:val="28"/>
          <w:szCs w:val="28"/>
        </w:rPr>
      </w:pPr>
      <w:r>
        <w:rPr>
          <w:rFonts w:hint="eastAsia" w:ascii="宋体" w:hAnsi="宋体"/>
          <w:sz w:val="28"/>
          <w:szCs w:val="28"/>
        </w:rPr>
        <w:t>本人</w:t>
      </w:r>
      <w:r>
        <w:rPr>
          <w:rFonts w:hint="eastAsia" w:ascii="宋体" w:hAnsi="宋体"/>
          <w:sz w:val="24"/>
          <w:szCs w:val="21"/>
          <w:u w:val="single"/>
        </w:rPr>
        <w:t xml:space="preserve">        </w:t>
      </w:r>
      <w:r>
        <w:rPr>
          <w:rFonts w:hint="eastAsia" w:ascii="宋体" w:hAnsi="宋体"/>
          <w:sz w:val="28"/>
          <w:szCs w:val="28"/>
        </w:rPr>
        <w:t>（姓名）系</w:t>
      </w:r>
      <w:r>
        <w:rPr>
          <w:rFonts w:hint="eastAsia" w:ascii="宋体" w:hAnsi="宋体"/>
          <w:sz w:val="24"/>
          <w:szCs w:val="21"/>
          <w:u w:val="single"/>
        </w:rPr>
        <w:t xml:space="preserve">        </w:t>
      </w:r>
      <w:r>
        <w:rPr>
          <w:rFonts w:hint="eastAsia" w:ascii="宋体" w:hAnsi="宋体"/>
          <w:sz w:val="28"/>
          <w:szCs w:val="28"/>
        </w:rPr>
        <w:t>（授权单位名称）的法定代表人，现委托</w:t>
      </w:r>
      <w:r>
        <w:rPr>
          <w:rFonts w:hint="eastAsia" w:ascii="宋体" w:hAnsi="宋体"/>
          <w:sz w:val="24"/>
          <w:szCs w:val="21"/>
          <w:u w:val="single"/>
        </w:rPr>
        <w:t xml:space="preserve">        </w:t>
      </w:r>
      <w:r>
        <w:rPr>
          <w:rFonts w:hint="eastAsia" w:ascii="宋体" w:hAnsi="宋体"/>
          <w:sz w:val="28"/>
          <w:szCs w:val="28"/>
        </w:rPr>
        <w:t>（姓名）（身份证号</w:t>
      </w:r>
      <w:r>
        <w:rPr>
          <w:rFonts w:hint="eastAsia" w:ascii="宋体" w:hAnsi="宋体"/>
          <w:sz w:val="24"/>
          <w:szCs w:val="21"/>
          <w:u w:val="single"/>
        </w:rPr>
        <w:t xml:space="preserve">           </w:t>
      </w:r>
      <w:r>
        <w:rPr>
          <w:rFonts w:hint="eastAsia" w:ascii="宋体" w:hAnsi="宋体"/>
          <w:sz w:val="28"/>
          <w:szCs w:val="28"/>
        </w:rPr>
        <w:t>）为我方代理人，以我方名义全权处理与</w:t>
      </w:r>
      <w:r>
        <w:rPr>
          <w:rFonts w:hint="eastAsia" w:ascii="宋体" w:hAnsi="宋体"/>
          <w:sz w:val="24"/>
          <w:szCs w:val="21"/>
          <w:u w:val="single"/>
        </w:rPr>
        <w:t xml:space="preserve">        </w:t>
      </w:r>
      <w:r>
        <w:rPr>
          <w:rFonts w:hint="eastAsia" w:ascii="宋体" w:hAnsi="宋体"/>
          <w:sz w:val="28"/>
          <w:szCs w:val="28"/>
        </w:rPr>
        <w:t>（项目名称）（项目编号：</w:t>
      </w:r>
      <w:r>
        <w:rPr>
          <w:rFonts w:hint="eastAsia" w:ascii="宋体" w:hAnsi="宋体"/>
          <w:sz w:val="24"/>
          <w:szCs w:val="21"/>
          <w:u w:val="single"/>
        </w:rPr>
        <w:t xml:space="preserve">        </w:t>
      </w:r>
      <w:r>
        <w:rPr>
          <w:rFonts w:hint="eastAsia" w:ascii="宋体" w:hAnsi="宋体"/>
          <w:sz w:val="28"/>
          <w:szCs w:val="28"/>
        </w:rPr>
        <w:t>）有关的一切事务，其法律后果由我方承担。</w:t>
      </w:r>
    </w:p>
    <w:p w14:paraId="72E65D8A">
      <w:pPr>
        <w:spacing w:line="500" w:lineRule="exact"/>
        <w:ind w:firstLine="560" w:firstLineChars="200"/>
        <w:rPr>
          <w:rFonts w:hint="eastAsia" w:ascii="宋体" w:hAnsi="宋体"/>
          <w:sz w:val="28"/>
          <w:szCs w:val="28"/>
        </w:rPr>
      </w:pPr>
      <w:r>
        <w:rPr>
          <w:rFonts w:hint="eastAsia" w:ascii="宋体" w:hAnsi="宋体"/>
          <w:sz w:val="28"/>
          <w:szCs w:val="28"/>
        </w:rPr>
        <w:t>本授权书于</w:t>
      </w:r>
      <w:r>
        <w:rPr>
          <w:rFonts w:hint="eastAsia" w:ascii="宋体" w:hAnsi="宋体"/>
          <w:sz w:val="24"/>
          <w:szCs w:val="21"/>
          <w:u w:val="single"/>
        </w:rPr>
        <w:t xml:space="preserve">      </w:t>
      </w:r>
      <w:r>
        <w:rPr>
          <w:rFonts w:hint="eastAsia" w:ascii="宋体" w:hAnsi="宋体"/>
          <w:sz w:val="28"/>
          <w:szCs w:val="28"/>
        </w:rPr>
        <w:t>年</w:t>
      </w:r>
      <w:r>
        <w:rPr>
          <w:rFonts w:hint="eastAsia" w:ascii="宋体" w:hAnsi="宋体"/>
          <w:sz w:val="24"/>
          <w:szCs w:val="21"/>
          <w:u w:val="single"/>
        </w:rPr>
        <w:t xml:space="preserve">     </w:t>
      </w:r>
      <w:r>
        <w:rPr>
          <w:rFonts w:hint="eastAsia" w:ascii="宋体" w:hAnsi="宋体"/>
          <w:sz w:val="28"/>
          <w:szCs w:val="28"/>
        </w:rPr>
        <w:t>月</w:t>
      </w:r>
      <w:r>
        <w:rPr>
          <w:rFonts w:hint="eastAsia" w:ascii="宋体" w:hAnsi="宋体"/>
          <w:sz w:val="24"/>
          <w:szCs w:val="21"/>
          <w:u w:val="single"/>
        </w:rPr>
        <w:t xml:space="preserve">     </w:t>
      </w:r>
      <w:r>
        <w:rPr>
          <w:rFonts w:hint="eastAsia" w:ascii="宋体" w:hAnsi="宋体"/>
          <w:sz w:val="28"/>
          <w:szCs w:val="28"/>
        </w:rPr>
        <w:t>日起生效。代理人无转委托权。</w:t>
      </w:r>
    </w:p>
    <w:p w14:paraId="0A9F6CD9">
      <w:pPr>
        <w:spacing w:line="500" w:lineRule="exact"/>
        <w:ind w:firstLine="420" w:firstLineChars="150"/>
        <w:rPr>
          <w:rFonts w:hint="eastAsia" w:ascii="宋体" w:hAnsi="宋体"/>
          <w:sz w:val="28"/>
          <w:szCs w:val="28"/>
        </w:rPr>
      </w:pPr>
      <w:r>
        <w:rPr>
          <w:rFonts w:hint="eastAsia" w:ascii="宋体" w:hAnsi="宋体"/>
          <w:sz w:val="28"/>
          <w:szCs w:val="28"/>
        </w:rPr>
        <w:t>代理人(被授权人)联系电话:</w:t>
      </w:r>
      <w:r>
        <w:rPr>
          <w:rFonts w:hint="eastAsia" w:ascii="宋体" w:hAnsi="宋体"/>
          <w:sz w:val="24"/>
          <w:szCs w:val="21"/>
        </w:rPr>
        <w:t xml:space="preserve"> </w:t>
      </w:r>
      <w:r>
        <w:rPr>
          <w:rFonts w:hint="eastAsia" w:ascii="宋体" w:hAnsi="宋体"/>
          <w:sz w:val="24"/>
          <w:szCs w:val="21"/>
          <w:u w:val="single"/>
        </w:rPr>
        <w:t xml:space="preserve">        </w:t>
      </w:r>
    </w:p>
    <w:p w14:paraId="211F8219">
      <w:pPr>
        <w:spacing w:line="500" w:lineRule="exact"/>
        <w:ind w:firstLine="420" w:firstLineChars="150"/>
        <w:rPr>
          <w:rFonts w:hint="eastAsia" w:ascii="宋体" w:hAnsi="宋体"/>
          <w:sz w:val="28"/>
          <w:szCs w:val="28"/>
        </w:rPr>
      </w:pPr>
      <w:r>
        <w:rPr>
          <w:rFonts w:hint="eastAsia" w:ascii="宋体" w:hAnsi="宋体"/>
          <w:sz w:val="28"/>
          <w:szCs w:val="28"/>
        </w:rPr>
        <w:t>授权单位名称（盖章）：</w:t>
      </w:r>
      <w:r>
        <w:rPr>
          <w:rFonts w:hint="eastAsia" w:ascii="宋体" w:hAnsi="宋体"/>
          <w:sz w:val="24"/>
          <w:szCs w:val="21"/>
          <w:u w:val="single"/>
        </w:rPr>
        <w:t xml:space="preserve">        </w:t>
      </w:r>
    </w:p>
    <w:p w14:paraId="50CEB493">
      <w:pPr>
        <w:spacing w:line="500" w:lineRule="exact"/>
        <w:ind w:firstLine="420" w:firstLineChars="150"/>
        <w:rPr>
          <w:rFonts w:hint="eastAsia" w:ascii="宋体" w:hAnsi="宋体"/>
          <w:sz w:val="28"/>
          <w:szCs w:val="28"/>
        </w:rPr>
      </w:pPr>
      <w:r>
        <w:rPr>
          <w:rFonts w:hint="eastAsia" w:ascii="宋体" w:hAnsi="宋体"/>
          <w:sz w:val="28"/>
          <w:szCs w:val="28"/>
        </w:rPr>
        <w:t>授权单位法定代表人（签字或盖章）：</w:t>
      </w:r>
      <w:r>
        <w:rPr>
          <w:rFonts w:hint="eastAsia" w:ascii="宋体" w:hAnsi="宋体"/>
          <w:sz w:val="24"/>
          <w:szCs w:val="21"/>
          <w:u w:val="single"/>
        </w:rPr>
        <w:t xml:space="preserve">        </w:t>
      </w:r>
    </w:p>
    <w:p w14:paraId="24F24DC9">
      <w:pPr>
        <w:spacing w:line="500" w:lineRule="exact"/>
        <w:jc w:val="right"/>
        <w:rPr>
          <w:rFonts w:hint="eastAsia" w:ascii="宋体" w:hAnsi="宋体"/>
          <w:sz w:val="28"/>
          <w:szCs w:val="28"/>
        </w:rPr>
      </w:pPr>
    </w:p>
    <w:p w14:paraId="7E9EDE73">
      <w:pPr>
        <w:spacing w:line="500" w:lineRule="exact"/>
        <w:jc w:val="right"/>
        <w:rPr>
          <w:rFonts w:hint="eastAsia" w:ascii="宋体" w:hAnsi="宋体" w:cs="宋体"/>
          <w:sz w:val="28"/>
          <w:szCs w:val="28"/>
        </w:rPr>
      </w:pPr>
      <w:r>
        <w:rPr>
          <w:rFonts w:hint="eastAsia" w:ascii="宋体" w:hAnsi="宋体"/>
          <w:sz w:val="24"/>
          <w:szCs w:val="21"/>
          <w:u w:val="single"/>
        </w:rPr>
        <w:t xml:space="preserve">      </w:t>
      </w:r>
      <w:r>
        <w:rPr>
          <w:rFonts w:hint="eastAsia" w:ascii="宋体" w:hAnsi="宋体"/>
          <w:sz w:val="28"/>
          <w:szCs w:val="28"/>
        </w:rPr>
        <w:t>年</w:t>
      </w:r>
      <w:r>
        <w:rPr>
          <w:rFonts w:hint="eastAsia" w:ascii="宋体" w:hAnsi="宋体"/>
          <w:sz w:val="24"/>
          <w:szCs w:val="21"/>
          <w:u w:val="single"/>
        </w:rPr>
        <w:t xml:space="preserve">      </w:t>
      </w:r>
      <w:r>
        <w:rPr>
          <w:rFonts w:hint="eastAsia" w:ascii="宋体" w:hAnsi="宋体"/>
          <w:sz w:val="28"/>
          <w:szCs w:val="28"/>
        </w:rPr>
        <w:t>月</w:t>
      </w:r>
      <w:r>
        <w:rPr>
          <w:rFonts w:hint="eastAsia" w:ascii="宋体" w:hAnsi="宋体"/>
          <w:sz w:val="24"/>
          <w:szCs w:val="21"/>
          <w:u w:val="single"/>
        </w:rPr>
        <w:t xml:space="preserve">      </w:t>
      </w:r>
      <w:r>
        <w:rPr>
          <w:rFonts w:hint="eastAsia" w:ascii="宋体" w:hAnsi="宋体"/>
          <w:sz w:val="28"/>
          <w:szCs w:val="28"/>
        </w:rPr>
        <w:t>日</w:t>
      </w:r>
    </w:p>
    <w:p w14:paraId="2FC8D817">
      <w:pPr>
        <w:spacing w:line="500" w:lineRule="exact"/>
        <w:ind w:firstLine="540"/>
        <w:contextualSpacing/>
        <w:rPr>
          <w:rFonts w:hint="eastAsia" w:ascii="宋体" w:hAnsi="宋体" w:cs="宋体"/>
          <w:b/>
          <w:sz w:val="28"/>
          <w:szCs w:val="28"/>
        </w:rPr>
      </w:pPr>
    </w:p>
    <w:p w14:paraId="4716BD00">
      <w:pPr>
        <w:spacing w:line="500" w:lineRule="exact"/>
        <w:ind w:firstLine="540"/>
        <w:contextualSpacing/>
        <w:rPr>
          <w:rFonts w:hint="eastAsia" w:ascii="宋体" w:hAnsi="宋体" w:cs="宋体"/>
          <w:b/>
          <w:sz w:val="28"/>
          <w:szCs w:val="28"/>
        </w:rPr>
      </w:pPr>
      <w:r>
        <w:rPr>
          <w:rFonts w:hint="eastAsia" w:ascii="宋体" w:hAnsi="宋体" w:cs="宋体"/>
          <w:b/>
          <w:sz w:val="28"/>
          <w:szCs w:val="28"/>
        </w:rPr>
        <w:t>附：代理人(被授权人)身份证正反面复印件盖公章</w:t>
      </w:r>
    </w:p>
    <w:p w14:paraId="4E5D9040">
      <w:pPr>
        <w:spacing w:line="400" w:lineRule="exact"/>
        <w:ind w:firstLine="540"/>
        <w:contextualSpacing/>
        <w:rPr>
          <w:rFonts w:hint="eastAsia" w:ascii="宋体" w:hAnsi="宋体" w:cs="宋体"/>
          <w:b/>
          <w:sz w:val="28"/>
          <w:szCs w:val="28"/>
        </w:rPr>
      </w:pPr>
    </w:p>
    <w:p w14:paraId="7673CCA0">
      <w:pPr>
        <w:spacing w:line="400" w:lineRule="exact"/>
        <w:ind w:firstLine="540"/>
        <w:contextualSpacing/>
        <w:rPr>
          <w:rFonts w:hint="eastAsia" w:ascii="宋体" w:hAnsi="宋体" w:cs="宋体"/>
          <w:b/>
          <w:sz w:val="28"/>
          <w:szCs w:val="28"/>
        </w:rPr>
      </w:pPr>
    </w:p>
    <w:p w14:paraId="537E0D1C">
      <w:pPr>
        <w:spacing w:line="400" w:lineRule="exact"/>
        <w:ind w:firstLine="540"/>
        <w:contextualSpacing/>
        <w:rPr>
          <w:rFonts w:hint="eastAsia" w:ascii="宋体" w:hAnsi="宋体" w:cs="宋体"/>
          <w:b/>
          <w:sz w:val="28"/>
          <w:szCs w:val="28"/>
        </w:rPr>
      </w:pPr>
    </w:p>
    <w:p w14:paraId="25C9D619">
      <w:pPr>
        <w:spacing w:line="400" w:lineRule="exact"/>
        <w:ind w:firstLine="540"/>
        <w:contextualSpacing/>
        <w:rPr>
          <w:rFonts w:hint="eastAsia" w:ascii="宋体" w:hAnsi="宋体" w:cs="宋体"/>
          <w:b/>
          <w:sz w:val="28"/>
          <w:szCs w:val="28"/>
        </w:rPr>
      </w:pPr>
    </w:p>
    <w:p w14:paraId="4B273846">
      <w:pPr>
        <w:spacing w:line="400" w:lineRule="exact"/>
        <w:ind w:firstLine="540"/>
        <w:contextualSpacing/>
        <w:rPr>
          <w:rFonts w:hint="eastAsia" w:ascii="宋体" w:hAnsi="宋体" w:cs="宋体"/>
          <w:b/>
          <w:sz w:val="28"/>
          <w:szCs w:val="28"/>
        </w:rPr>
      </w:pPr>
    </w:p>
    <w:p w14:paraId="3AA6C24D">
      <w:pPr>
        <w:pStyle w:val="210"/>
        <w:rPr>
          <w:rFonts w:hint="eastAsia" w:ascii="宋体" w:hAnsi="宋体" w:cs="宋体"/>
        </w:rPr>
      </w:pPr>
    </w:p>
    <w:p w14:paraId="2A78DAE4">
      <w:pPr>
        <w:rPr>
          <w:rFonts w:hint="eastAsia" w:ascii="宋体" w:hAnsi="宋体" w:cs="宋体"/>
        </w:rPr>
      </w:pPr>
    </w:p>
    <w:p w14:paraId="79722B46">
      <w:pPr>
        <w:pStyle w:val="210"/>
        <w:rPr>
          <w:rFonts w:hint="eastAsia" w:ascii="宋体" w:hAnsi="宋体" w:cs="宋体"/>
        </w:rPr>
      </w:pPr>
    </w:p>
    <w:p w14:paraId="2BF32374">
      <w:pPr>
        <w:rPr>
          <w:rFonts w:hint="eastAsia" w:ascii="宋体" w:hAnsi="宋体" w:cs="宋体"/>
        </w:rPr>
      </w:pPr>
    </w:p>
    <w:p w14:paraId="29A3D8E8">
      <w:pPr>
        <w:pStyle w:val="210"/>
        <w:rPr>
          <w:rFonts w:hint="eastAsia" w:ascii="宋体" w:hAnsi="宋体" w:cs="宋体"/>
        </w:rPr>
      </w:pPr>
    </w:p>
    <w:p w14:paraId="0DC505DD">
      <w:pPr>
        <w:rPr>
          <w:rFonts w:hint="eastAsia" w:ascii="宋体" w:hAnsi="宋体" w:cs="宋体"/>
        </w:rPr>
      </w:pPr>
    </w:p>
    <w:p w14:paraId="5A7EB0FF">
      <w:pPr>
        <w:pStyle w:val="210"/>
        <w:rPr>
          <w:rFonts w:hint="eastAsia" w:ascii="宋体" w:hAnsi="宋体" w:cs="宋体"/>
        </w:rPr>
      </w:pPr>
    </w:p>
    <w:p w14:paraId="49590BF1">
      <w:pPr>
        <w:rPr>
          <w:rFonts w:hint="eastAsia" w:ascii="宋体" w:hAnsi="宋体" w:cs="宋体"/>
        </w:rPr>
      </w:pPr>
    </w:p>
    <w:p w14:paraId="782BE634">
      <w:pPr>
        <w:rPr>
          <w:rFonts w:hint="eastAsia" w:ascii="宋体" w:hAnsi="宋体" w:cs="宋体"/>
        </w:rPr>
        <w:sectPr>
          <w:pgSz w:w="11907" w:h="16839"/>
          <w:pgMar w:top="1440" w:right="1800" w:bottom="1440" w:left="1800" w:header="720" w:footer="737" w:gutter="0"/>
          <w:cols w:space="1701" w:num="1"/>
          <w:docGrid w:linePitch="360" w:charSpace="0"/>
        </w:sectPr>
      </w:pPr>
    </w:p>
    <w:p w14:paraId="472B47EF">
      <w:pPr>
        <w:pStyle w:val="2"/>
      </w:pPr>
    </w:p>
    <w:p w14:paraId="62737D27">
      <w:pPr>
        <w:spacing w:line="400" w:lineRule="exact"/>
        <w:contextualSpacing/>
        <w:rPr>
          <w:rFonts w:hint="eastAsia" w:ascii="宋体" w:hAnsi="宋体" w:cs="宋体"/>
          <w:sz w:val="32"/>
          <w:szCs w:val="32"/>
        </w:rPr>
      </w:pPr>
      <w:r>
        <w:rPr>
          <w:rFonts w:hint="eastAsia" w:ascii="宋体" w:hAnsi="宋体" w:cs="宋体"/>
          <w:sz w:val="32"/>
          <w:szCs w:val="32"/>
        </w:rPr>
        <w:t>附件4</w:t>
      </w:r>
    </w:p>
    <w:p w14:paraId="03953F80">
      <w:pPr>
        <w:spacing w:before="240" w:line="312" w:lineRule="auto"/>
        <w:jc w:val="center"/>
        <w:rPr>
          <w:rFonts w:hint="eastAsia" w:ascii="宋体" w:hAnsi="宋体" w:cs="宋体"/>
          <w:b/>
          <w:sz w:val="32"/>
          <w:szCs w:val="32"/>
          <w:lang w:bidi="ar"/>
        </w:rPr>
      </w:pPr>
      <w:r>
        <w:rPr>
          <w:rFonts w:hint="eastAsia" w:ascii="宋体" w:hAnsi="宋体" w:cs="宋体"/>
          <w:b/>
          <w:sz w:val="32"/>
          <w:szCs w:val="32"/>
          <w:lang w:bidi="ar"/>
        </w:rPr>
        <w:t>供应商信用承诺书</w:t>
      </w:r>
    </w:p>
    <w:p w14:paraId="0FB1CE6C">
      <w:pPr>
        <w:spacing w:line="360" w:lineRule="auto"/>
        <w:ind w:firstLine="480" w:firstLineChars="200"/>
        <w:rPr>
          <w:rFonts w:hint="eastAsia" w:ascii="宋体" w:hAnsi="宋体" w:cs="宋体"/>
          <w:sz w:val="24"/>
          <w:lang w:val="zh-CN"/>
        </w:rPr>
      </w:pPr>
      <w:r>
        <w:rPr>
          <w:rFonts w:hint="eastAsia" w:ascii="宋体" w:hAnsi="宋体" w:cs="宋体"/>
          <w:sz w:val="24"/>
          <w:lang w:val="zh-CN" w:bidi="ar"/>
        </w:rPr>
        <w:t>为营造公开、公平、公正的公共资源交易环境，树立诚信守法的投标（响应）人形象，本人代表本单位作出以下承诺：</w:t>
      </w:r>
    </w:p>
    <w:p w14:paraId="3348AC33">
      <w:pPr>
        <w:spacing w:line="360" w:lineRule="auto"/>
        <w:ind w:firstLine="480" w:firstLineChars="200"/>
        <w:rPr>
          <w:rFonts w:hint="eastAsia" w:ascii="宋体" w:hAnsi="宋体" w:cs="宋体"/>
          <w:sz w:val="24"/>
          <w:lang w:val="zh-CN"/>
        </w:rPr>
      </w:pPr>
      <w:r>
        <w:rPr>
          <w:rFonts w:hint="eastAsia" w:ascii="宋体" w:hAnsi="宋体" w:cs="宋体"/>
          <w:sz w:val="24"/>
          <w:lang w:val="zh-CN" w:bidi="ar"/>
        </w:rPr>
        <w:t>一、本单位对所提交的单位基本信息、单位负责人、项目负责人、技术负责人、从业资质和资格、业绩、财务状况、信誉等所有资料，均合法、真实、准确、有效，无任何伪造、修改、虚假成分；</w:t>
      </w:r>
    </w:p>
    <w:p w14:paraId="0602E564">
      <w:pPr>
        <w:spacing w:line="360" w:lineRule="auto"/>
        <w:ind w:firstLine="480" w:firstLineChars="200"/>
        <w:rPr>
          <w:rFonts w:hint="eastAsia" w:ascii="宋体" w:hAnsi="宋体" w:cs="宋体"/>
          <w:sz w:val="24"/>
          <w:lang w:val="zh-CN"/>
        </w:rPr>
      </w:pPr>
      <w:r>
        <w:rPr>
          <w:rFonts w:hint="eastAsia" w:ascii="宋体" w:hAnsi="宋体" w:cs="宋体"/>
          <w:sz w:val="24"/>
          <w:lang w:val="zh-CN" w:bidi="ar"/>
        </w:rPr>
        <w:t>二、严格依照国家和省、市、县关于招标投标等方面的法律、法规、规章、规范性文件，参加公共资源交易招标投标活动；积极履行社会责任，促进廉政建设；</w:t>
      </w:r>
    </w:p>
    <w:p w14:paraId="3826DE08">
      <w:pPr>
        <w:spacing w:line="360" w:lineRule="auto"/>
        <w:ind w:firstLine="480" w:firstLineChars="200"/>
        <w:rPr>
          <w:rFonts w:hint="eastAsia" w:ascii="宋体" w:hAnsi="宋体" w:cs="宋体"/>
          <w:sz w:val="24"/>
          <w:lang w:val="zh-CN"/>
        </w:rPr>
      </w:pPr>
      <w:r>
        <w:rPr>
          <w:rFonts w:hint="eastAsia" w:ascii="宋体" w:hAnsi="宋体" w:cs="宋体"/>
          <w:sz w:val="24"/>
          <w:lang w:val="zh-CN" w:bidi="ar"/>
        </w:rPr>
        <w:t>三、严格遵守即时信息公示规定，及时更新公共资源交易中心主体信息库中信息；</w:t>
      </w:r>
    </w:p>
    <w:p w14:paraId="4620B54B">
      <w:pPr>
        <w:spacing w:line="360" w:lineRule="auto"/>
        <w:ind w:firstLine="480" w:firstLineChars="200"/>
        <w:rPr>
          <w:rFonts w:hint="eastAsia" w:ascii="宋体" w:hAnsi="宋体" w:cs="宋体"/>
          <w:sz w:val="24"/>
          <w:lang w:val="zh-CN"/>
        </w:rPr>
      </w:pPr>
      <w:r>
        <w:rPr>
          <w:rFonts w:hint="eastAsia" w:ascii="宋体" w:hAnsi="宋体" w:cs="宋体"/>
          <w:sz w:val="24"/>
          <w:lang w:val="zh-CN" w:bidi="ar"/>
        </w:rPr>
        <w:t>四、自我约束、自我管理，守合同、重信用，不参与围标串标、弄虚作假、骗取中标、干扰评标、违约毁约、恶意投诉等行为，主动维护公共资源交易招标投标的良好秩序；</w:t>
      </w:r>
    </w:p>
    <w:p w14:paraId="6FD7D6A9">
      <w:pPr>
        <w:spacing w:line="360" w:lineRule="auto"/>
        <w:ind w:firstLine="480" w:firstLineChars="200"/>
        <w:rPr>
          <w:rFonts w:hint="eastAsia" w:ascii="宋体" w:hAnsi="宋体" w:cs="宋体"/>
          <w:sz w:val="24"/>
          <w:lang w:val="zh-CN"/>
        </w:rPr>
      </w:pPr>
      <w:r>
        <w:rPr>
          <w:rFonts w:hint="eastAsia" w:ascii="宋体" w:hAnsi="宋体" w:cs="宋体"/>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4652F81F">
      <w:pPr>
        <w:spacing w:line="360" w:lineRule="auto"/>
        <w:ind w:firstLine="480" w:firstLineChars="200"/>
        <w:rPr>
          <w:rFonts w:hint="eastAsia" w:ascii="宋体" w:hAnsi="宋体" w:cs="宋体"/>
          <w:sz w:val="24"/>
          <w:lang w:val="zh-CN"/>
        </w:rPr>
      </w:pPr>
      <w:r>
        <w:rPr>
          <w:rFonts w:hint="eastAsia" w:ascii="宋体" w:hAnsi="宋体" w:cs="宋体"/>
          <w:sz w:val="24"/>
          <w:lang w:val="zh-CN" w:bidi="ar"/>
        </w:rPr>
        <w:t>六、自觉接受政府部门、行业组织、社会公众、新闻舆论等监督；</w:t>
      </w:r>
    </w:p>
    <w:p w14:paraId="7805984C">
      <w:pPr>
        <w:spacing w:line="360" w:lineRule="auto"/>
        <w:ind w:firstLine="480" w:firstLineChars="200"/>
        <w:rPr>
          <w:rFonts w:hint="eastAsia" w:ascii="宋体" w:hAnsi="宋体" w:cs="宋体"/>
          <w:sz w:val="24"/>
          <w:lang w:val="zh-CN"/>
        </w:rPr>
      </w:pPr>
      <w:r>
        <w:rPr>
          <w:rFonts w:hint="eastAsia" w:ascii="宋体" w:hAnsi="宋体" w:cs="宋体"/>
          <w:sz w:val="24"/>
          <w:lang w:val="zh-CN" w:bidi="ar"/>
        </w:rPr>
        <w:t>七、上述承诺已向本单位员工作了宣传教育；</w:t>
      </w:r>
    </w:p>
    <w:p w14:paraId="09B0900D">
      <w:pPr>
        <w:spacing w:line="360" w:lineRule="auto"/>
        <w:ind w:firstLine="482" w:firstLineChars="200"/>
        <w:rPr>
          <w:rFonts w:hint="eastAsia" w:ascii="宋体" w:hAnsi="宋体" w:cs="宋体"/>
          <w:b/>
          <w:sz w:val="24"/>
          <w:lang w:val="zh-CN"/>
        </w:rPr>
      </w:pPr>
      <w:r>
        <w:rPr>
          <w:rFonts w:hint="eastAsia" w:ascii="宋体" w:hAnsi="宋体" w:cs="宋体"/>
          <w:b/>
          <w:sz w:val="24"/>
          <w:lang w:val="zh-CN" w:bidi="ar"/>
        </w:rPr>
        <w:t>如有违反上述承诺的不良行为，本单位同意将其予以上网公示。</w:t>
      </w:r>
    </w:p>
    <w:p w14:paraId="559300B0">
      <w:pPr>
        <w:spacing w:line="360" w:lineRule="auto"/>
        <w:rPr>
          <w:rFonts w:hint="eastAsia" w:ascii="宋体" w:hAnsi="宋体" w:cs="宋体"/>
          <w:sz w:val="24"/>
          <w:lang w:val="zh-CN"/>
        </w:rPr>
      </w:pPr>
    </w:p>
    <w:p w14:paraId="038E4219">
      <w:pPr>
        <w:spacing w:line="360" w:lineRule="auto"/>
        <w:ind w:firstLine="4560" w:firstLineChars="1900"/>
        <w:rPr>
          <w:rFonts w:hint="eastAsia" w:ascii="宋体" w:hAnsi="宋体" w:cs="宋体"/>
          <w:sz w:val="24"/>
          <w:lang w:val="zh-CN"/>
        </w:rPr>
      </w:pPr>
    </w:p>
    <w:p w14:paraId="038A6A9D">
      <w:pPr>
        <w:spacing w:line="360" w:lineRule="auto"/>
        <w:ind w:firstLine="4080" w:firstLineChars="1700"/>
        <w:rPr>
          <w:rFonts w:hint="eastAsia" w:ascii="宋体" w:hAnsi="宋体" w:cs="宋体"/>
          <w:sz w:val="24"/>
          <w:lang w:val="zh-CN" w:bidi="ar"/>
        </w:rPr>
      </w:pPr>
      <w:r>
        <w:rPr>
          <w:rFonts w:hint="eastAsia" w:ascii="宋体" w:hAnsi="宋体" w:cs="宋体"/>
          <w:sz w:val="24"/>
          <w:lang w:val="zh-CN" w:bidi="ar"/>
        </w:rPr>
        <w:t>响应供应商全称(盖公章)：</w:t>
      </w:r>
    </w:p>
    <w:p w14:paraId="7028BEFB">
      <w:pPr>
        <w:spacing w:line="360" w:lineRule="auto"/>
        <w:ind w:firstLine="4080" w:firstLineChars="1700"/>
        <w:rPr>
          <w:rFonts w:hint="eastAsia" w:ascii="宋体" w:hAnsi="宋体" w:cs="宋体"/>
          <w:sz w:val="24"/>
          <w:lang w:val="zh-CN" w:bidi="ar"/>
        </w:rPr>
      </w:pPr>
      <w:r>
        <w:rPr>
          <w:rFonts w:hint="eastAsia" w:ascii="宋体" w:hAnsi="宋体" w:cs="宋体"/>
          <w:sz w:val="24"/>
          <w:lang w:val="zh-CN" w:bidi="ar"/>
        </w:rPr>
        <w:t>法定代表人（签字或盖章）：</w:t>
      </w:r>
    </w:p>
    <w:p w14:paraId="66339AFE">
      <w:pPr>
        <w:spacing w:line="360" w:lineRule="auto"/>
        <w:ind w:firstLine="4080" w:firstLineChars="1700"/>
        <w:rPr>
          <w:rFonts w:hint="eastAsia" w:ascii="宋体" w:hAnsi="宋体" w:cs="宋体"/>
          <w:sz w:val="24"/>
          <w:lang w:val="zh-CN" w:bidi="ar"/>
        </w:rPr>
      </w:pPr>
      <w:r>
        <w:rPr>
          <w:rFonts w:hint="eastAsia" w:ascii="宋体" w:hAnsi="宋体" w:cs="宋体"/>
          <w:sz w:val="24"/>
          <w:lang w:val="zh-CN" w:bidi="ar"/>
        </w:rPr>
        <w:t>时间：  年  月   日</w:t>
      </w:r>
    </w:p>
    <w:p w14:paraId="64CDED32">
      <w:pPr>
        <w:spacing w:line="300" w:lineRule="auto"/>
        <w:contextualSpacing/>
        <w:rPr>
          <w:rFonts w:hint="eastAsia" w:ascii="宋体" w:hAnsi="宋体" w:cs="宋体"/>
          <w:sz w:val="28"/>
          <w:szCs w:val="28"/>
        </w:rPr>
      </w:pPr>
    </w:p>
    <w:p w14:paraId="4B1178B8">
      <w:pPr>
        <w:pStyle w:val="210"/>
        <w:rPr>
          <w:rFonts w:hint="eastAsia" w:ascii="宋体" w:hAnsi="宋体" w:cs="宋体"/>
        </w:rPr>
      </w:pPr>
    </w:p>
    <w:p w14:paraId="785117B6">
      <w:pPr>
        <w:spacing w:line="400" w:lineRule="exact"/>
        <w:contextualSpacing/>
        <w:rPr>
          <w:rFonts w:hint="eastAsia" w:ascii="宋体" w:hAnsi="宋体" w:cs="宋体"/>
          <w:sz w:val="32"/>
          <w:szCs w:val="32"/>
        </w:rPr>
      </w:pPr>
      <w:r>
        <w:rPr>
          <w:rFonts w:hint="eastAsia" w:ascii="宋体" w:hAnsi="宋体" w:cs="宋体"/>
          <w:sz w:val="32"/>
          <w:szCs w:val="32"/>
        </w:rPr>
        <w:t>附件5</w:t>
      </w:r>
    </w:p>
    <w:p w14:paraId="5A079E65">
      <w:pPr>
        <w:keepNext/>
        <w:keepLines/>
        <w:spacing w:before="260" w:after="260" w:line="416" w:lineRule="auto"/>
        <w:jc w:val="center"/>
        <w:outlineLvl w:val="1"/>
        <w:rPr>
          <w:rFonts w:hint="eastAsia" w:ascii="宋体" w:hAnsi="宋体" w:cs="宋体"/>
          <w:sz w:val="32"/>
          <w:szCs w:val="32"/>
        </w:rPr>
      </w:pPr>
      <w:r>
        <w:rPr>
          <w:rFonts w:hint="eastAsia" w:ascii="宋体" w:hAnsi="宋体" w:cs="宋体"/>
          <w:sz w:val="32"/>
          <w:szCs w:val="32"/>
        </w:rPr>
        <w:t>磋商响应函</w:t>
      </w:r>
    </w:p>
    <w:p w14:paraId="71547D80">
      <w:pPr>
        <w:adjustRightInd w:val="0"/>
        <w:spacing w:line="420" w:lineRule="exact"/>
        <w:jc w:val="left"/>
        <w:textAlignment w:val="baseline"/>
        <w:rPr>
          <w:rFonts w:hint="eastAsia" w:ascii="宋体" w:hAnsi="宋体" w:cs="宋体"/>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515F9E85">
      <w:pPr>
        <w:adjustRightInd w:val="0"/>
        <w:spacing w:line="420" w:lineRule="exact"/>
        <w:ind w:firstLine="480" w:firstLineChars="200"/>
        <w:jc w:val="left"/>
        <w:textAlignment w:val="baseline"/>
        <w:rPr>
          <w:rFonts w:hint="eastAsia" w:ascii="宋体" w:hAnsi="宋体" w:cs="宋体"/>
          <w:sz w:val="24"/>
          <w:szCs w:val="21"/>
        </w:rPr>
      </w:pPr>
      <w:r>
        <w:rPr>
          <w:rFonts w:hint="eastAsia" w:ascii="宋体" w:hAnsi="宋体" w:cs="宋体"/>
          <w:sz w:val="24"/>
          <w:szCs w:val="21"/>
        </w:rPr>
        <w:t>根据贵方的__________（项目名称、项目编号）磋商文件，正式授权下述______(被授权人姓名)代表我方______________（供应商的名称），全权处理本次项目磋商的有关事宜。</w:t>
      </w:r>
    </w:p>
    <w:p w14:paraId="5C513A71">
      <w:pPr>
        <w:adjustRightInd w:val="0"/>
        <w:spacing w:line="420" w:lineRule="exact"/>
        <w:ind w:firstLine="480" w:firstLineChars="200"/>
        <w:jc w:val="left"/>
        <w:textAlignment w:val="baseline"/>
        <w:rPr>
          <w:rFonts w:hint="eastAsia" w:ascii="宋体" w:hAnsi="宋体" w:cs="宋体"/>
          <w:sz w:val="24"/>
          <w:szCs w:val="21"/>
        </w:rPr>
      </w:pPr>
      <w:r>
        <w:rPr>
          <w:rFonts w:hint="eastAsia" w:ascii="宋体" w:hAnsi="宋体" w:cs="宋体"/>
          <w:sz w:val="24"/>
          <w:szCs w:val="21"/>
        </w:rPr>
        <w:t>据此函，__________（被授权人签字）兹宣布同意如下：</w:t>
      </w:r>
    </w:p>
    <w:p w14:paraId="333BF0FF">
      <w:pPr>
        <w:adjustRightInd w:val="0"/>
        <w:spacing w:line="420" w:lineRule="exact"/>
        <w:ind w:firstLine="480"/>
        <w:jc w:val="left"/>
        <w:textAlignment w:val="baseline"/>
        <w:rPr>
          <w:rFonts w:hint="eastAsia" w:ascii="宋体" w:hAnsi="宋体" w:cs="宋体"/>
          <w:sz w:val="24"/>
          <w:szCs w:val="21"/>
        </w:rPr>
      </w:pPr>
      <w:r>
        <w:rPr>
          <w:rFonts w:hint="eastAsia" w:ascii="宋体" w:hAnsi="宋体" w:cs="宋体"/>
          <w:sz w:val="24"/>
          <w:szCs w:val="21"/>
        </w:rPr>
        <w:t>1.按磋商文件规定的各项要求，向买方提供所需货物、服务（包含与货物相关的服务及与服务相关的货物）。</w:t>
      </w:r>
    </w:p>
    <w:p w14:paraId="1D99285A">
      <w:pPr>
        <w:adjustRightInd w:val="0"/>
        <w:spacing w:line="420" w:lineRule="exact"/>
        <w:ind w:firstLine="480" w:firstLineChars="200"/>
        <w:jc w:val="left"/>
        <w:textAlignment w:val="baseline"/>
        <w:rPr>
          <w:rFonts w:hint="eastAsia" w:ascii="宋体" w:hAnsi="宋体" w:cs="宋体"/>
          <w:sz w:val="24"/>
          <w:szCs w:val="21"/>
        </w:rPr>
      </w:pPr>
      <w:r>
        <w:rPr>
          <w:rFonts w:hint="eastAsia" w:ascii="宋体" w:hAnsi="宋体" w:cs="宋体"/>
          <w:sz w:val="24"/>
          <w:szCs w:val="21"/>
        </w:rPr>
        <w:t>2.我们完全理解贵方不一定将合同授予最低报价的供应商。</w:t>
      </w:r>
    </w:p>
    <w:p w14:paraId="17ADC3A3">
      <w:pPr>
        <w:adjustRightInd w:val="0"/>
        <w:spacing w:line="420" w:lineRule="exact"/>
        <w:ind w:firstLine="480" w:firstLineChars="200"/>
        <w:jc w:val="left"/>
        <w:textAlignment w:val="baseline"/>
        <w:rPr>
          <w:rFonts w:hint="eastAsia" w:ascii="宋体" w:hAnsi="宋体" w:cs="宋体"/>
          <w:sz w:val="24"/>
          <w:szCs w:val="21"/>
        </w:rPr>
      </w:pPr>
      <w:r>
        <w:rPr>
          <w:rFonts w:hint="eastAsia" w:ascii="宋体" w:hAnsi="宋体" w:cs="宋体"/>
          <w:sz w:val="24"/>
          <w:szCs w:val="21"/>
        </w:rPr>
        <w:t>3.我们已详细审核全部磋商文件及其有效补充文件，我们知道必须放弃提出含糊不清或误解问题的权利。</w:t>
      </w:r>
    </w:p>
    <w:p w14:paraId="00370DE0">
      <w:pPr>
        <w:adjustRightInd w:val="0"/>
        <w:spacing w:line="420" w:lineRule="exact"/>
        <w:ind w:firstLine="480"/>
        <w:jc w:val="left"/>
        <w:textAlignment w:val="baseline"/>
        <w:rPr>
          <w:rFonts w:hint="eastAsia" w:ascii="宋体" w:hAnsi="宋体" w:cs="宋体"/>
          <w:sz w:val="24"/>
          <w:szCs w:val="21"/>
        </w:rPr>
      </w:pPr>
      <w:r>
        <w:rPr>
          <w:rFonts w:hint="eastAsia" w:ascii="宋体" w:hAnsi="宋体" w:cs="宋体"/>
          <w:sz w:val="24"/>
          <w:szCs w:val="21"/>
        </w:rPr>
        <w:t>4.我们同意从规定的开标日期起遵循本响应文件，并在规定的磋商有效期期满之前均具有约束力。</w:t>
      </w:r>
    </w:p>
    <w:p w14:paraId="5B1BECB1">
      <w:pPr>
        <w:adjustRightInd w:val="0"/>
        <w:spacing w:line="420" w:lineRule="exact"/>
        <w:ind w:firstLine="480"/>
        <w:jc w:val="left"/>
        <w:textAlignment w:val="baseline"/>
        <w:rPr>
          <w:rFonts w:hint="eastAsia" w:ascii="宋体" w:hAnsi="宋体" w:cs="宋体"/>
          <w:sz w:val="24"/>
          <w:szCs w:val="21"/>
        </w:rPr>
      </w:pPr>
      <w:r>
        <w:rPr>
          <w:rFonts w:hint="eastAsia" w:ascii="宋体" w:hAnsi="宋体" w:cs="宋体"/>
          <w:sz w:val="24"/>
          <w:szCs w:val="21"/>
        </w:rPr>
        <w:t>5.同意向贵方提供贵方可能另外要求的与磋商有关的任何证据或资料，并保证我方已提供和将要提供的文件是真实的、准确的。</w:t>
      </w:r>
    </w:p>
    <w:p w14:paraId="5954237C">
      <w:pPr>
        <w:adjustRightInd w:val="0"/>
        <w:spacing w:line="420" w:lineRule="exact"/>
        <w:ind w:firstLine="480"/>
        <w:jc w:val="left"/>
        <w:textAlignment w:val="baseline"/>
        <w:rPr>
          <w:rFonts w:hint="eastAsia" w:ascii="宋体" w:hAnsi="宋体" w:cs="宋体"/>
          <w:sz w:val="24"/>
          <w:szCs w:val="21"/>
        </w:rPr>
      </w:pPr>
      <w:r>
        <w:rPr>
          <w:rFonts w:hint="eastAsia" w:ascii="宋体" w:hAnsi="宋体" w:cs="宋体"/>
          <w:sz w:val="24"/>
          <w:szCs w:val="21"/>
        </w:rPr>
        <w:t>6.一旦我方成交,我方将根据磋商文件的规定，严格履行合同的责任和义务,并保证在磋商文件规定的时间完成项目，交付买方验收、使用。</w:t>
      </w:r>
    </w:p>
    <w:p w14:paraId="0BE22477">
      <w:pPr>
        <w:adjustRightInd w:val="0"/>
        <w:spacing w:line="420" w:lineRule="exact"/>
        <w:ind w:left="425"/>
        <w:jc w:val="left"/>
        <w:textAlignment w:val="baseline"/>
        <w:rPr>
          <w:rFonts w:hint="eastAsia" w:ascii="宋体" w:hAnsi="宋体" w:cs="宋体"/>
          <w:sz w:val="24"/>
          <w:szCs w:val="21"/>
        </w:rPr>
      </w:pPr>
      <w:r>
        <w:rPr>
          <w:rFonts w:hint="eastAsia" w:ascii="宋体" w:hAnsi="宋体" w:cs="宋体"/>
          <w:sz w:val="24"/>
          <w:szCs w:val="21"/>
        </w:rPr>
        <w:t>7.我方与本磋商有关的正式通讯地址为：</w:t>
      </w:r>
    </w:p>
    <w:p w14:paraId="7D9DA997">
      <w:pPr>
        <w:adjustRightInd w:val="0"/>
        <w:spacing w:line="420" w:lineRule="exact"/>
        <w:ind w:left="420" w:leftChars="200" w:firstLine="480" w:firstLineChars="200"/>
        <w:jc w:val="left"/>
        <w:textAlignment w:val="baseline"/>
        <w:rPr>
          <w:rFonts w:hint="eastAsia" w:ascii="宋体" w:hAnsi="宋体" w:cs="宋体"/>
          <w:sz w:val="24"/>
          <w:szCs w:val="21"/>
        </w:rPr>
      </w:pPr>
      <w:r>
        <w:rPr>
          <w:rFonts w:hint="eastAsia" w:ascii="宋体" w:hAnsi="宋体" w:cs="宋体"/>
          <w:sz w:val="24"/>
          <w:szCs w:val="21"/>
        </w:rPr>
        <w:t>地          址：</w:t>
      </w:r>
    </w:p>
    <w:p w14:paraId="2480072F">
      <w:pPr>
        <w:adjustRightInd w:val="0"/>
        <w:spacing w:line="420" w:lineRule="exact"/>
        <w:ind w:left="420" w:leftChars="200" w:firstLine="480" w:firstLineChars="200"/>
        <w:jc w:val="left"/>
        <w:textAlignment w:val="baseline"/>
        <w:rPr>
          <w:rFonts w:hint="eastAsia" w:ascii="宋体" w:hAnsi="宋体" w:cs="宋体"/>
          <w:sz w:val="24"/>
          <w:szCs w:val="21"/>
        </w:rPr>
      </w:pPr>
      <w:r>
        <w:rPr>
          <w:rFonts w:hint="eastAsia" w:ascii="宋体" w:hAnsi="宋体" w:cs="宋体"/>
          <w:sz w:val="24"/>
          <w:szCs w:val="21"/>
        </w:rPr>
        <w:t>邮          编：</w:t>
      </w:r>
    </w:p>
    <w:p w14:paraId="5EA05D54">
      <w:pPr>
        <w:adjustRightInd w:val="0"/>
        <w:spacing w:line="420" w:lineRule="exact"/>
        <w:ind w:left="420" w:leftChars="200" w:firstLine="480" w:firstLineChars="200"/>
        <w:jc w:val="left"/>
        <w:textAlignment w:val="baseline"/>
        <w:rPr>
          <w:rFonts w:hint="eastAsia" w:ascii="宋体" w:hAnsi="宋体" w:cs="宋体"/>
          <w:sz w:val="24"/>
          <w:szCs w:val="21"/>
        </w:rPr>
      </w:pPr>
      <w:r>
        <w:rPr>
          <w:rFonts w:hint="eastAsia" w:ascii="宋体" w:hAnsi="宋体" w:cs="宋体"/>
          <w:sz w:val="24"/>
          <w:szCs w:val="21"/>
        </w:rPr>
        <w:t>电          话：</w:t>
      </w:r>
    </w:p>
    <w:p w14:paraId="492955C1">
      <w:pPr>
        <w:adjustRightInd w:val="0"/>
        <w:spacing w:line="420" w:lineRule="exact"/>
        <w:ind w:left="420" w:leftChars="200" w:firstLine="480" w:firstLineChars="200"/>
        <w:jc w:val="left"/>
        <w:textAlignment w:val="baseline"/>
        <w:rPr>
          <w:rFonts w:hint="eastAsia" w:ascii="宋体" w:hAnsi="宋体" w:cs="宋体"/>
          <w:sz w:val="24"/>
          <w:szCs w:val="21"/>
        </w:rPr>
      </w:pPr>
      <w:r>
        <w:rPr>
          <w:rFonts w:hint="eastAsia" w:ascii="宋体" w:hAnsi="宋体" w:cs="宋体"/>
          <w:sz w:val="24"/>
          <w:szCs w:val="21"/>
        </w:rPr>
        <w:t>传          真：</w:t>
      </w:r>
    </w:p>
    <w:p w14:paraId="51CB98B7">
      <w:pPr>
        <w:adjustRightInd w:val="0"/>
        <w:spacing w:line="420" w:lineRule="exact"/>
        <w:ind w:left="420" w:leftChars="200" w:firstLine="480" w:firstLineChars="200"/>
        <w:jc w:val="left"/>
        <w:textAlignment w:val="baseline"/>
        <w:rPr>
          <w:rFonts w:hint="eastAsia" w:ascii="宋体" w:hAnsi="宋体" w:cs="宋体"/>
          <w:sz w:val="24"/>
          <w:szCs w:val="21"/>
        </w:rPr>
      </w:pPr>
      <w:r>
        <w:rPr>
          <w:rFonts w:hint="eastAsia" w:ascii="宋体" w:hAnsi="宋体" w:cs="宋体"/>
          <w:sz w:val="24"/>
          <w:szCs w:val="21"/>
        </w:rPr>
        <w:t>供应商开户行：</w:t>
      </w:r>
    </w:p>
    <w:p w14:paraId="0AAE88E3">
      <w:pPr>
        <w:adjustRightInd w:val="0"/>
        <w:spacing w:line="420" w:lineRule="exact"/>
        <w:ind w:left="420" w:leftChars="200" w:firstLine="480" w:firstLineChars="200"/>
        <w:jc w:val="left"/>
        <w:textAlignment w:val="baseline"/>
        <w:rPr>
          <w:rFonts w:hint="eastAsia" w:ascii="宋体" w:hAnsi="宋体" w:cs="宋体"/>
          <w:sz w:val="24"/>
          <w:szCs w:val="21"/>
        </w:rPr>
      </w:pPr>
      <w:r>
        <w:rPr>
          <w:rFonts w:hint="eastAsia" w:ascii="宋体" w:hAnsi="宋体" w:cs="宋体"/>
          <w:sz w:val="24"/>
          <w:szCs w:val="21"/>
        </w:rPr>
        <w:t xml:space="preserve">账          号： </w:t>
      </w:r>
    </w:p>
    <w:p w14:paraId="64C62F39">
      <w:pPr>
        <w:spacing w:line="420" w:lineRule="exact"/>
        <w:ind w:left="420" w:firstLine="480"/>
        <w:contextualSpacing/>
        <w:jc w:val="left"/>
        <w:rPr>
          <w:rFonts w:hint="eastAsia" w:ascii="宋体" w:hAnsi="宋体" w:cs="宋体"/>
          <w:sz w:val="24"/>
          <w:szCs w:val="21"/>
        </w:rPr>
      </w:pPr>
      <w:r>
        <w:rPr>
          <w:rFonts w:hint="eastAsia" w:ascii="宋体" w:hAnsi="宋体" w:cs="宋体"/>
          <w:sz w:val="24"/>
          <w:szCs w:val="21"/>
        </w:rPr>
        <w:t>日           期：________年____月____日</w:t>
      </w:r>
    </w:p>
    <w:p w14:paraId="220E97D8">
      <w:pPr>
        <w:spacing w:line="400" w:lineRule="exact"/>
        <w:contextualSpacing/>
        <w:rPr>
          <w:rFonts w:hint="eastAsia" w:ascii="宋体" w:hAnsi="宋体" w:cs="宋体"/>
          <w:sz w:val="24"/>
          <w:szCs w:val="21"/>
        </w:rPr>
      </w:pPr>
    </w:p>
    <w:p w14:paraId="24E3EFCB">
      <w:pPr>
        <w:spacing w:line="400" w:lineRule="exact"/>
        <w:contextualSpacing/>
        <w:rPr>
          <w:rFonts w:hint="eastAsia" w:ascii="宋体" w:hAnsi="宋体" w:cs="宋体"/>
          <w:sz w:val="24"/>
          <w:szCs w:val="21"/>
        </w:rPr>
      </w:pPr>
    </w:p>
    <w:p w14:paraId="57730CAC">
      <w:pPr>
        <w:spacing w:line="400" w:lineRule="exact"/>
        <w:contextualSpacing/>
        <w:rPr>
          <w:rFonts w:hint="eastAsia" w:ascii="宋体" w:hAnsi="宋体" w:cs="宋体"/>
          <w:sz w:val="24"/>
          <w:szCs w:val="21"/>
        </w:rPr>
      </w:pPr>
    </w:p>
    <w:p w14:paraId="73B9F8B9">
      <w:pPr>
        <w:spacing w:line="400" w:lineRule="exact"/>
        <w:contextualSpacing/>
        <w:rPr>
          <w:rFonts w:hint="eastAsia" w:ascii="宋体" w:hAnsi="宋体" w:cs="宋体"/>
          <w:sz w:val="24"/>
          <w:szCs w:val="21"/>
        </w:rPr>
      </w:pPr>
    </w:p>
    <w:p w14:paraId="4087D408">
      <w:pPr>
        <w:spacing w:line="400" w:lineRule="exact"/>
        <w:contextualSpacing/>
        <w:rPr>
          <w:rFonts w:hint="eastAsia" w:ascii="宋体" w:hAnsi="宋体" w:cs="宋体"/>
          <w:sz w:val="24"/>
          <w:szCs w:val="21"/>
        </w:rPr>
      </w:pPr>
    </w:p>
    <w:p w14:paraId="35DE1671">
      <w:pPr>
        <w:spacing w:line="400" w:lineRule="exact"/>
        <w:contextualSpacing/>
        <w:rPr>
          <w:rFonts w:hint="eastAsia" w:ascii="宋体" w:hAnsi="宋体" w:cs="宋体"/>
          <w:sz w:val="32"/>
          <w:szCs w:val="32"/>
        </w:rPr>
      </w:pPr>
      <w:r>
        <w:rPr>
          <w:rFonts w:hint="eastAsia" w:ascii="宋体" w:hAnsi="宋体" w:cs="宋体"/>
          <w:sz w:val="32"/>
          <w:szCs w:val="32"/>
        </w:rPr>
        <w:t>附件6</w:t>
      </w:r>
    </w:p>
    <w:p w14:paraId="240FB73B">
      <w:pPr>
        <w:spacing w:line="300" w:lineRule="auto"/>
        <w:contextualSpacing/>
        <w:jc w:val="center"/>
        <w:rPr>
          <w:rFonts w:hint="eastAsia" w:ascii="宋体" w:hAnsi="宋体" w:cs="宋体"/>
          <w:b/>
          <w:sz w:val="32"/>
          <w:szCs w:val="32"/>
        </w:rPr>
      </w:pPr>
      <w:r>
        <w:rPr>
          <w:rFonts w:hint="eastAsia" w:ascii="宋体" w:hAnsi="宋体" w:cs="宋体"/>
          <w:b/>
          <w:sz w:val="32"/>
          <w:szCs w:val="32"/>
        </w:rPr>
        <w:t>商务部分正负偏离表</w:t>
      </w:r>
    </w:p>
    <w:p w14:paraId="09F52588">
      <w:pPr>
        <w:ind w:firstLine="560"/>
        <w:jc w:val="center"/>
        <w:rPr>
          <w:rFonts w:hint="eastAsia" w:ascii="宋体" w:hAnsi="宋体" w:cs="宋体"/>
          <w:sz w:val="28"/>
          <w:szCs w:val="28"/>
        </w:rPr>
      </w:pPr>
      <w:r>
        <w:rPr>
          <w:rFonts w:hint="eastAsia" w:ascii="宋体" w:hAnsi="宋体" w:cs="宋体"/>
          <w:sz w:val="28"/>
          <w:szCs w:val="28"/>
        </w:rPr>
        <w:t>（由供应商据实填写，表格不够自行添加）</w:t>
      </w:r>
    </w:p>
    <w:tbl>
      <w:tblPr>
        <w:tblStyle w:val="35"/>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83"/>
        <w:gridCol w:w="2138"/>
        <w:gridCol w:w="1867"/>
        <w:gridCol w:w="2409"/>
        <w:gridCol w:w="1326"/>
      </w:tblGrid>
      <w:tr w14:paraId="49339E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783" w:type="dxa"/>
            <w:vAlign w:val="center"/>
          </w:tcPr>
          <w:p w14:paraId="1CAD96BE">
            <w:pPr>
              <w:spacing w:line="340" w:lineRule="exact"/>
              <w:jc w:val="center"/>
              <w:rPr>
                <w:rFonts w:hint="eastAsia" w:ascii="宋体" w:hAnsi="宋体" w:cs="宋体"/>
                <w:sz w:val="24"/>
              </w:rPr>
            </w:pPr>
            <w:r>
              <w:rPr>
                <w:rFonts w:hint="eastAsia" w:ascii="宋体" w:hAnsi="宋体" w:cs="宋体"/>
                <w:sz w:val="24"/>
              </w:rPr>
              <w:t>序号</w:t>
            </w:r>
          </w:p>
        </w:tc>
        <w:tc>
          <w:tcPr>
            <w:tcW w:w="2138" w:type="dxa"/>
            <w:vAlign w:val="center"/>
          </w:tcPr>
          <w:p w14:paraId="4A7CC3AD">
            <w:pPr>
              <w:spacing w:line="340" w:lineRule="exact"/>
              <w:jc w:val="center"/>
              <w:rPr>
                <w:rFonts w:hint="eastAsia" w:ascii="宋体" w:hAnsi="宋体" w:cs="宋体"/>
                <w:sz w:val="24"/>
              </w:rPr>
            </w:pPr>
            <w:r>
              <w:rPr>
                <w:rFonts w:hint="eastAsia" w:ascii="宋体" w:hAnsi="宋体" w:cs="宋体"/>
                <w:sz w:val="24"/>
              </w:rPr>
              <w:t>货物或服务名称</w:t>
            </w:r>
          </w:p>
        </w:tc>
        <w:tc>
          <w:tcPr>
            <w:tcW w:w="1867" w:type="dxa"/>
            <w:vAlign w:val="center"/>
          </w:tcPr>
          <w:p w14:paraId="2F6B96B8">
            <w:pPr>
              <w:spacing w:line="340" w:lineRule="exact"/>
              <w:jc w:val="center"/>
              <w:rPr>
                <w:rFonts w:hint="eastAsia" w:ascii="宋体" w:hAnsi="宋体" w:cs="宋体"/>
                <w:sz w:val="24"/>
              </w:rPr>
            </w:pPr>
            <w:r>
              <w:rPr>
                <w:rFonts w:hint="eastAsia" w:ascii="宋体" w:hAnsi="宋体" w:cs="宋体"/>
                <w:sz w:val="24"/>
              </w:rPr>
              <w:t>磋商文件要求的商务条款</w:t>
            </w:r>
          </w:p>
        </w:tc>
        <w:tc>
          <w:tcPr>
            <w:tcW w:w="2409" w:type="dxa"/>
            <w:vAlign w:val="center"/>
          </w:tcPr>
          <w:p w14:paraId="4D81E6A3">
            <w:pPr>
              <w:spacing w:line="340" w:lineRule="exact"/>
              <w:jc w:val="center"/>
              <w:rPr>
                <w:rFonts w:hint="eastAsia" w:ascii="宋体" w:hAnsi="宋体" w:cs="宋体"/>
                <w:sz w:val="24"/>
              </w:rPr>
            </w:pPr>
            <w:r>
              <w:rPr>
                <w:rFonts w:hint="eastAsia" w:ascii="宋体" w:hAnsi="宋体" w:cs="宋体"/>
                <w:sz w:val="24"/>
              </w:rPr>
              <w:t>响应文件响应情况</w:t>
            </w:r>
          </w:p>
        </w:tc>
        <w:tc>
          <w:tcPr>
            <w:tcW w:w="1326" w:type="dxa"/>
          </w:tcPr>
          <w:p w14:paraId="0B79D43C">
            <w:pPr>
              <w:spacing w:line="340" w:lineRule="exact"/>
              <w:jc w:val="center"/>
              <w:rPr>
                <w:rFonts w:hint="eastAsia" w:ascii="宋体" w:hAnsi="宋体" w:cs="宋体"/>
                <w:sz w:val="24"/>
              </w:rPr>
            </w:pPr>
          </w:p>
          <w:p w14:paraId="5BCFAD2E">
            <w:pPr>
              <w:spacing w:line="340" w:lineRule="exact"/>
              <w:jc w:val="center"/>
              <w:rPr>
                <w:rFonts w:hint="eastAsia" w:ascii="宋体" w:hAnsi="宋体" w:cs="宋体"/>
                <w:sz w:val="24"/>
              </w:rPr>
            </w:pPr>
            <w:r>
              <w:rPr>
                <w:rFonts w:hint="eastAsia" w:ascii="宋体" w:hAnsi="宋体" w:cs="宋体"/>
                <w:sz w:val="24"/>
              </w:rPr>
              <w:t>偏离说明</w:t>
            </w:r>
          </w:p>
        </w:tc>
      </w:tr>
      <w:tr w14:paraId="294DB2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783" w:type="dxa"/>
          </w:tcPr>
          <w:p w14:paraId="5C43E2A4">
            <w:pPr>
              <w:spacing w:line="340" w:lineRule="exact"/>
              <w:jc w:val="center"/>
              <w:rPr>
                <w:rFonts w:hint="eastAsia" w:ascii="宋体" w:hAnsi="宋体" w:cs="宋体"/>
                <w:sz w:val="24"/>
              </w:rPr>
            </w:pPr>
            <w:r>
              <w:rPr>
                <w:rFonts w:hint="eastAsia" w:ascii="宋体" w:hAnsi="宋体" w:cs="宋体"/>
                <w:sz w:val="24"/>
              </w:rPr>
              <w:t>1</w:t>
            </w:r>
          </w:p>
        </w:tc>
        <w:tc>
          <w:tcPr>
            <w:tcW w:w="2138" w:type="dxa"/>
            <w:vAlign w:val="center"/>
          </w:tcPr>
          <w:p w14:paraId="335AA012">
            <w:pPr>
              <w:spacing w:line="340" w:lineRule="exact"/>
              <w:jc w:val="left"/>
              <w:rPr>
                <w:rFonts w:hint="eastAsia" w:ascii="宋体" w:hAnsi="宋体" w:cs="宋体"/>
                <w:sz w:val="24"/>
              </w:rPr>
            </w:pPr>
          </w:p>
        </w:tc>
        <w:tc>
          <w:tcPr>
            <w:tcW w:w="1867" w:type="dxa"/>
            <w:vAlign w:val="center"/>
          </w:tcPr>
          <w:p w14:paraId="36BB9AFF">
            <w:pPr>
              <w:spacing w:line="340" w:lineRule="exact"/>
              <w:jc w:val="left"/>
              <w:rPr>
                <w:rFonts w:hint="eastAsia" w:ascii="宋体" w:hAnsi="宋体" w:cs="宋体"/>
                <w:sz w:val="24"/>
              </w:rPr>
            </w:pPr>
          </w:p>
        </w:tc>
        <w:tc>
          <w:tcPr>
            <w:tcW w:w="2409" w:type="dxa"/>
            <w:vAlign w:val="center"/>
          </w:tcPr>
          <w:p w14:paraId="5635F4EA">
            <w:pPr>
              <w:spacing w:line="340" w:lineRule="exact"/>
              <w:jc w:val="left"/>
              <w:rPr>
                <w:rFonts w:hint="eastAsia" w:ascii="宋体" w:hAnsi="宋体" w:cs="宋体"/>
                <w:sz w:val="24"/>
              </w:rPr>
            </w:pPr>
          </w:p>
        </w:tc>
        <w:tc>
          <w:tcPr>
            <w:tcW w:w="1326" w:type="dxa"/>
          </w:tcPr>
          <w:p w14:paraId="6F018B66">
            <w:pPr>
              <w:spacing w:line="340" w:lineRule="exact"/>
              <w:jc w:val="left"/>
              <w:rPr>
                <w:rFonts w:hint="eastAsia" w:ascii="宋体" w:hAnsi="宋体" w:cs="宋体"/>
                <w:sz w:val="24"/>
              </w:rPr>
            </w:pPr>
          </w:p>
        </w:tc>
      </w:tr>
      <w:tr w14:paraId="20D4C9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783" w:type="dxa"/>
          </w:tcPr>
          <w:p w14:paraId="24C3E349">
            <w:pPr>
              <w:spacing w:line="340" w:lineRule="exact"/>
              <w:jc w:val="center"/>
              <w:rPr>
                <w:rFonts w:hint="eastAsia" w:ascii="宋体" w:hAnsi="宋体" w:cs="宋体"/>
                <w:sz w:val="24"/>
              </w:rPr>
            </w:pPr>
            <w:r>
              <w:rPr>
                <w:rFonts w:hint="eastAsia" w:ascii="宋体" w:hAnsi="宋体" w:cs="宋体"/>
                <w:sz w:val="24"/>
              </w:rPr>
              <w:t>2</w:t>
            </w:r>
          </w:p>
        </w:tc>
        <w:tc>
          <w:tcPr>
            <w:tcW w:w="2138" w:type="dxa"/>
            <w:vAlign w:val="center"/>
          </w:tcPr>
          <w:p w14:paraId="09F32484">
            <w:pPr>
              <w:spacing w:line="340" w:lineRule="exact"/>
              <w:jc w:val="left"/>
              <w:rPr>
                <w:rFonts w:hint="eastAsia" w:ascii="宋体" w:hAnsi="宋体" w:cs="宋体"/>
                <w:sz w:val="24"/>
              </w:rPr>
            </w:pPr>
          </w:p>
        </w:tc>
        <w:tc>
          <w:tcPr>
            <w:tcW w:w="1867" w:type="dxa"/>
            <w:vAlign w:val="center"/>
          </w:tcPr>
          <w:p w14:paraId="4FCC89E2">
            <w:pPr>
              <w:spacing w:line="340" w:lineRule="exact"/>
              <w:jc w:val="left"/>
              <w:rPr>
                <w:rFonts w:hint="eastAsia" w:ascii="宋体" w:hAnsi="宋体" w:cs="宋体"/>
                <w:sz w:val="24"/>
              </w:rPr>
            </w:pPr>
          </w:p>
        </w:tc>
        <w:tc>
          <w:tcPr>
            <w:tcW w:w="2409" w:type="dxa"/>
            <w:vAlign w:val="center"/>
          </w:tcPr>
          <w:p w14:paraId="74D28A33">
            <w:pPr>
              <w:spacing w:line="340" w:lineRule="exact"/>
              <w:jc w:val="left"/>
              <w:rPr>
                <w:rFonts w:hint="eastAsia" w:ascii="宋体" w:hAnsi="宋体" w:cs="宋体"/>
                <w:sz w:val="24"/>
              </w:rPr>
            </w:pPr>
          </w:p>
        </w:tc>
        <w:tc>
          <w:tcPr>
            <w:tcW w:w="1326" w:type="dxa"/>
          </w:tcPr>
          <w:p w14:paraId="4C0CC455">
            <w:pPr>
              <w:spacing w:line="340" w:lineRule="exact"/>
              <w:jc w:val="left"/>
              <w:rPr>
                <w:rFonts w:hint="eastAsia" w:ascii="宋体" w:hAnsi="宋体" w:cs="宋体"/>
                <w:sz w:val="24"/>
              </w:rPr>
            </w:pPr>
          </w:p>
        </w:tc>
      </w:tr>
      <w:tr w14:paraId="71EF52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83" w:type="dxa"/>
          </w:tcPr>
          <w:p w14:paraId="1E4F4812">
            <w:pPr>
              <w:spacing w:line="340" w:lineRule="exact"/>
              <w:jc w:val="center"/>
              <w:rPr>
                <w:rFonts w:hint="eastAsia" w:ascii="宋体" w:hAnsi="宋体" w:cs="宋体"/>
                <w:sz w:val="24"/>
              </w:rPr>
            </w:pPr>
            <w:r>
              <w:rPr>
                <w:rFonts w:hint="eastAsia" w:ascii="宋体" w:hAnsi="宋体" w:cs="宋体"/>
                <w:sz w:val="24"/>
              </w:rPr>
              <w:t>3</w:t>
            </w:r>
          </w:p>
        </w:tc>
        <w:tc>
          <w:tcPr>
            <w:tcW w:w="2138" w:type="dxa"/>
            <w:vAlign w:val="center"/>
          </w:tcPr>
          <w:p w14:paraId="628C98A7">
            <w:pPr>
              <w:spacing w:line="340" w:lineRule="exact"/>
              <w:jc w:val="left"/>
              <w:rPr>
                <w:rFonts w:hint="eastAsia" w:ascii="宋体" w:hAnsi="宋体" w:cs="宋体"/>
                <w:sz w:val="24"/>
              </w:rPr>
            </w:pPr>
          </w:p>
        </w:tc>
        <w:tc>
          <w:tcPr>
            <w:tcW w:w="1867" w:type="dxa"/>
            <w:vAlign w:val="center"/>
          </w:tcPr>
          <w:p w14:paraId="46C92EC3">
            <w:pPr>
              <w:spacing w:line="340" w:lineRule="exact"/>
              <w:jc w:val="left"/>
              <w:rPr>
                <w:rFonts w:hint="eastAsia" w:ascii="宋体" w:hAnsi="宋体" w:cs="宋体"/>
                <w:sz w:val="24"/>
              </w:rPr>
            </w:pPr>
          </w:p>
        </w:tc>
        <w:tc>
          <w:tcPr>
            <w:tcW w:w="2409" w:type="dxa"/>
            <w:vAlign w:val="center"/>
          </w:tcPr>
          <w:p w14:paraId="2F13BE7D">
            <w:pPr>
              <w:spacing w:line="340" w:lineRule="exact"/>
              <w:jc w:val="left"/>
              <w:rPr>
                <w:rFonts w:hint="eastAsia" w:ascii="宋体" w:hAnsi="宋体" w:cs="宋体"/>
                <w:sz w:val="24"/>
              </w:rPr>
            </w:pPr>
          </w:p>
        </w:tc>
        <w:tc>
          <w:tcPr>
            <w:tcW w:w="1326" w:type="dxa"/>
          </w:tcPr>
          <w:p w14:paraId="237F9E79">
            <w:pPr>
              <w:spacing w:line="340" w:lineRule="exact"/>
              <w:jc w:val="left"/>
              <w:rPr>
                <w:rFonts w:hint="eastAsia" w:ascii="宋体" w:hAnsi="宋体" w:cs="宋体"/>
                <w:sz w:val="24"/>
              </w:rPr>
            </w:pPr>
          </w:p>
        </w:tc>
      </w:tr>
      <w:tr w14:paraId="1FF2B5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783" w:type="dxa"/>
          </w:tcPr>
          <w:p w14:paraId="05377B6D">
            <w:pPr>
              <w:spacing w:line="340" w:lineRule="exact"/>
              <w:jc w:val="center"/>
              <w:rPr>
                <w:rFonts w:hint="eastAsia" w:ascii="宋体" w:hAnsi="宋体" w:cs="宋体"/>
                <w:sz w:val="24"/>
              </w:rPr>
            </w:pPr>
            <w:r>
              <w:rPr>
                <w:rFonts w:hint="eastAsia" w:ascii="宋体" w:hAnsi="宋体" w:cs="宋体"/>
                <w:sz w:val="24"/>
              </w:rPr>
              <w:t>4</w:t>
            </w:r>
          </w:p>
        </w:tc>
        <w:tc>
          <w:tcPr>
            <w:tcW w:w="2138" w:type="dxa"/>
            <w:vAlign w:val="center"/>
          </w:tcPr>
          <w:p w14:paraId="3C86BC92">
            <w:pPr>
              <w:spacing w:line="340" w:lineRule="exact"/>
              <w:jc w:val="left"/>
              <w:rPr>
                <w:rFonts w:hint="eastAsia" w:ascii="宋体" w:hAnsi="宋体" w:cs="宋体"/>
                <w:sz w:val="24"/>
              </w:rPr>
            </w:pPr>
          </w:p>
        </w:tc>
        <w:tc>
          <w:tcPr>
            <w:tcW w:w="1867" w:type="dxa"/>
            <w:vAlign w:val="center"/>
          </w:tcPr>
          <w:p w14:paraId="17FCFAD1">
            <w:pPr>
              <w:spacing w:line="340" w:lineRule="exact"/>
              <w:jc w:val="left"/>
              <w:rPr>
                <w:rFonts w:hint="eastAsia" w:ascii="宋体" w:hAnsi="宋体" w:cs="宋体"/>
                <w:sz w:val="24"/>
              </w:rPr>
            </w:pPr>
          </w:p>
        </w:tc>
        <w:tc>
          <w:tcPr>
            <w:tcW w:w="2409" w:type="dxa"/>
            <w:vAlign w:val="center"/>
          </w:tcPr>
          <w:p w14:paraId="5F2EEC3B">
            <w:pPr>
              <w:spacing w:line="340" w:lineRule="exact"/>
              <w:jc w:val="left"/>
              <w:rPr>
                <w:rFonts w:hint="eastAsia" w:ascii="宋体" w:hAnsi="宋体" w:cs="宋体"/>
                <w:sz w:val="24"/>
              </w:rPr>
            </w:pPr>
          </w:p>
        </w:tc>
        <w:tc>
          <w:tcPr>
            <w:tcW w:w="1326" w:type="dxa"/>
          </w:tcPr>
          <w:p w14:paraId="26297824">
            <w:pPr>
              <w:spacing w:line="340" w:lineRule="exact"/>
              <w:jc w:val="left"/>
              <w:rPr>
                <w:rFonts w:hint="eastAsia" w:ascii="宋体" w:hAnsi="宋体" w:cs="宋体"/>
                <w:sz w:val="24"/>
              </w:rPr>
            </w:pPr>
          </w:p>
        </w:tc>
      </w:tr>
    </w:tbl>
    <w:p w14:paraId="3D2400FB">
      <w:pPr>
        <w:spacing w:line="300" w:lineRule="auto"/>
        <w:contextualSpacing/>
        <w:rPr>
          <w:rFonts w:hint="eastAsia" w:ascii="宋体" w:hAnsi="宋体" w:cs="宋体"/>
          <w:b/>
          <w:sz w:val="24"/>
        </w:rPr>
      </w:pPr>
      <w:r>
        <w:rPr>
          <w:rFonts w:hint="eastAsia" w:ascii="宋体" w:hAnsi="宋体" w:cs="宋体"/>
          <w:b/>
          <w:sz w:val="24"/>
        </w:rPr>
        <w:t>注：</w:t>
      </w:r>
    </w:p>
    <w:p w14:paraId="29467B5F">
      <w:pPr>
        <w:spacing w:line="300" w:lineRule="auto"/>
        <w:ind w:firstLine="480"/>
        <w:contextualSpacing/>
        <w:rPr>
          <w:rFonts w:hint="eastAsia" w:ascii="宋体" w:hAnsi="宋体" w:cs="宋体"/>
          <w:sz w:val="24"/>
        </w:rPr>
      </w:pPr>
      <w:r>
        <w:rPr>
          <w:rFonts w:hint="eastAsia" w:ascii="宋体" w:hAnsi="宋体" w:cs="宋体"/>
          <w:sz w:val="24"/>
        </w:rPr>
        <w:t>1.供应商提交的响应文件中与磋商文件第三部分“项目需求”中的商务部分的要求，应逐条填列在偏离表中。</w:t>
      </w:r>
    </w:p>
    <w:p w14:paraId="0FF7AB5B">
      <w:pPr>
        <w:spacing w:line="300" w:lineRule="auto"/>
        <w:ind w:firstLine="480"/>
        <w:contextualSpacing/>
        <w:rPr>
          <w:rFonts w:hint="eastAsia" w:ascii="宋体" w:hAnsi="宋体" w:cs="宋体"/>
          <w:sz w:val="24"/>
        </w:rPr>
      </w:pPr>
      <w:r>
        <w:rPr>
          <w:rFonts w:hint="eastAsia" w:ascii="宋体" w:hAnsi="宋体" w:cs="宋体"/>
          <w:sz w:val="24"/>
        </w:rPr>
        <w:t>2.“偏离说明”一栏选择“正偏离”、“无偏离”、“负偏离”进行填写。正偏离、无偏离的确认和负偏离的是否响应磋商文件，由磋商小组认定。</w:t>
      </w:r>
    </w:p>
    <w:p w14:paraId="2B756C3F">
      <w:pPr>
        <w:spacing w:line="300" w:lineRule="auto"/>
        <w:ind w:firstLine="48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52C66A7A">
      <w:pPr>
        <w:spacing w:line="400" w:lineRule="exact"/>
        <w:ind w:firstLine="540"/>
        <w:contextualSpacing/>
        <w:rPr>
          <w:rFonts w:hint="eastAsia" w:ascii="宋体" w:hAnsi="宋体" w:cs="宋体"/>
          <w:b/>
          <w:sz w:val="28"/>
          <w:szCs w:val="28"/>
        </w:rPr>
      </w:pPr>
    </w:p>
    <w:p w14:paraId="20EFB000">
      <w:pPr>
        <w:spacing w:line="400" w:lineRule="exact"/>
        <w:ind w:firstLine="540"/>
        <w:contextualSpacing/>
        <w:rPr>
          <w:rFonts w:hint="eastAsia" w:ascii="宋体" w:hAnsi="宋体" w:cs="宋体"/>
          <w:b/>
          <w:sz w:val="28"/>
          <w:szCs w:val="28"/>
        </w:rPr>
      </w:pPr>
    </w:p>
    <w:p w14:paraId="263FB623">
      <w:pPr>
        <w:spacing w:line="400" w:lineRule="exact"/>
        <w:ind w:firstLine="540"/>
        <w:contextualSpacing/>
        <w:rPr>
          <w:rFonts w:hint="eastAsia" w:ascii="宋体" w:hAnsi="宋体" w:cs="宋体"/>
          <w:b/>
          <w:sz w:val="28"/>
          <w:szCs w:val="28"/>
        </w:rPr>
      </w:pPr>
    </w:p>
    <w:p w14:paraId="753B10C9">
      <w:pPr>
        <w:spacing w:line="400" w:lineRule="exact"/>
        <w:ind w:firstLine="540"/>
        <w:contextualSpacing/>
        <w:rPr>
          <w:rFonts w:hint="eastAsia" w:ascii="宋体" w:hAnsi="宋体" w:cs="宋体"/>
          <w:b/>
          <w:sz w:val="28"/>
          <w:szCs w:val="28"/>
        </w:rPr>
      </w:pPr>
    </w:p>
    <w:p w14:paraId="75FFF86F">
      <w:pPr>
        <w:spacing w:line="400" w:lineRule="exact"/>
        <w:ind w:firstLine="540"/>
        <w:contextualSpacing/>
        <w:rPr>
          <w:rFonts w:hint="eastAsia" w:ascii="宋体" w:hAnsi="宋体" w:cs="宋体"/>
          <w:b/>
          <w:sz w:val="28"/>
          <w:szCs w:val="28"/>
        </w:rPr>
      </w:pPr>
    </w:p>
    <w:p w14:paraId="77EABF9E">
      <w:pPr>
        <w:spacing w:line="400" w:lineRule="exact"/>
        <w:ind w:firstLine="540"/>
        <w:contextualSpacing/>
        <w:rPr>
          <w:rFonts w:hint="eastAsia" w:ascii="宋体" w:hAnsi="宋体" w:cs="宋体"/>
          <w:b/>
          <w:sz w:val="28"/>
          <w:szCs w:val="28"/>
        </w:rPr>
      </w:pPr>
    </w:p>
    <w:p w14:paraId="03C61600">
      <w:pPr>
        <w:spacing w:line="400" w:lineRule="exact"/>
        <w:ind w:firstLine="540"/>
        <w:contextualSpacing/>
        <w:rPr>
          <w:rFonts w:hint="eastAsia" w:ascii="宋体" w:hAnsi="宋体" w:cs="宋体"/>
          <w:b/>
          <w:sz w:val="28"/>
          <w:szCs w:val="28"/>
        </w:rPr>
      </w:pPr>
    </w:p>
    <w:p w14:paraId="6146AC61">
      <w:pPr>
        <w:spacing w:line="400" w:lineRule="exact"/>
        <w:ind w:firstLine="540"/>
        <w:contextualSpacing/>
        <w:rPr>
          <w:rFonts w:hint="eastAsia" w:ascii="宋体" w:hAnsi="宋体" w:cs="宋体"/>
          <w:b/>
          <w:sz w:val="28"/>
          <w:szCs w:val="28"/>
        </w:rPr>
      </w:pPr>
    </w:p>
    <w:p w14:paraId="6F4FEFC9">
      <w:pPr>
        <w:spacing w:line="400" w:lineRule="exact"/>
        <w:ind w:firstLine="540"/>
        <w:contextualSpacing/>
        <w:rPr>
          <w:rFonts w:hint="eastAsia" w:ascii="宋体" w:hAnsi="宋体" w:cs="宋体"/>
          <w:b/>
          <w:sz w:val="28"/>
          <w:szCs w:val="28"/>
        </w:rPr>
      </w:pPr>
    </w:p>
    <w:p w14:paraId="68AED718">
      <w:pPr>
        <w:spacing w:line="400" w:lineRule="exact"/>
        <w:ind w:firstLine="540"/>
        <w:contextualSpacing/>
        <w:rPr>
          <w:rFonts w:hint="eastAsia" w:ascii="宋体" w:hAnsi="宋体" w:cs="宋体"/>
          <w:b/>
          <w:sz w:val="28"/>
          <w:szCs w:val="28"/>
        </w:rPr>
      </w:pPr>
    </w:p>
    <w:p w14:paraId="167EB546">
      <w:pPr>
        <w:spacing w:line="400" w:lineRule="exact"/>
        <w:ind w:firstLine="540"/>
        <w:contextualSpacing/>
        <w:rPr>
          <w:rFonts w:hint="eastAsia" w:ascii="宋体" w:hAnsi="宋体" w:cs="宋体"/>
          <w:b/>
          <w:sz w:val="28"/>
          <w:szCs w:val="28"/>
        </w:rPr>
      </w:pPr>
    </w:p>
    <w:p w14:paraId="15FCF415">
      <w:pPr>
        <w:spacing w:line="400" w:lineRule="exact"/>
        <w:ind w:firstLine="540"/>
        <w:contextualSpacing/>
        <w:rPr>
          <w:rFonts w:hint="eastAsia" w:ascii="宋体" w:hAnsi="宋体" w:cs="宋体"/>
          <w:b/>
          <w:sz w:val="28"/>
          <w:szCs w:val="28"/>
        </w:rPr>
      </w:pPr>
    </w:p>
    <w:p w14:paraId="242C7F34">
      <w:pPr>
        <w:pStyle w:val="210"/>
        <w:rPr>
          <w:rFonts w:hint="eastAsia" w:ascii="宋体" w:hAnsi="宋体" w:cs="宋体"/>
        </w:rPr>
      </w:pPr>
    </w:p>
    <w:p w14:paraId="5A18C2DC">
      <w:pPr>
        <w:spacing w:line="400" w:lineRule="exact"/>
        <w:ind w:firstLine="540"/>
        <w:contextualSpacing/>
        <w:rPr>
          <w:rFonts w:hint="eastAsia" w:ascii="宋体" w:hAnsi="宋体" w:cs="宋体"/>
          <w:b/>
          <w:sz w:val="28"/>
          <w:szCs w:val="28"/>
        </w:rPr>
      </w:pPr>
    </w:p>
    <w:p w14:paraId="02F84B04">
      <w:pPr>
        <w:spacing w:line="400" w:lineRule="exact"/>
        <w:ind w:firstLine="540"/>
        <w:contextualSpacing/>
        <w:rPr>
          <w:rFonts w:hint="eastAsia" w:ascii="宋体" w:hAnsi="宋体" w:cs="宋体"/>
          <w:b/>
          <w:sz w:val="28"/>
          <w:szCs w:val="28"/>
        </w:rPr>
      </w:pPr>
    </w:p>
    <w:p w14:paraId="0A628ACF">
      <w:pPr>
        <w:spacing w:line="400" w:lineRule="exact"/>
        <w:ind w:firstLine="540"/>
        <w:contextualSpacing/>
        <w:rPr>
          <w:rFonts w:hint="eastAsia" w:ascii="宋体" w:hAnsi="宋体" w:cs="宋体"/>
          <w:b/>
          <w:sz w:val="28"/>
          <w:szCs w:val="28"/>
        </w:rPr>
      </w:pPr>
    </w:p>
    <w:p w14:paraId="0173DD14">
      <w:pPr>
        <w:spacing w:line="400" w:lineRule="exact"/>
        <w:contextualSpacing/>
        <w:rPr>
          <w:rFonts w:hint="eastAsia" w:ascii="宋体" w:hAnsi="宋体" w:cs="宋体"/>
          <w:sz w:val="28"/>
          <w:szCs w:val="28"/>
        </w:rPr>
      </w:pPr>
    </w:p>
    <w:p w14:paraId="54F50360">
      <w:pPr>
        <w:spacing w:line="400" w:lineRule="exact"/>
        <w:contextualSpacing/>
        <w:rPr>
          <w:rFonts w:hint="eastAsia" w:ascii="宋体" w:hAnsi="宋体" w:cs="宋体"/>
          <w:sz w:val="32"/>
          <w:szCs w:val="32"/>
        </w:rPr>
      </w:pPr>
    </w:p>
    <w:p w14:paraId="568F5085">
      <w:pPr>
        <w:spacing w:line="400" w:lineRule="exact"/>
        <w:contextualSpacing/>
        <w:rPr>
          <w:rFonts w:hint="eastAsia" w:ascii="宋体" w:hAnsi="宋体" w:cs="宋体"/>
          <w:sz w:val="32"/>
          <w:szCs w:val="32"/>
        </w:rPr>
      </w:pPr>
      <w:r>
        <w:rPr>
          <w:rFonts w:hint="eastAsia" w:ascii="宋体" w:hAnsi="宋体" w:cs="宋体"/>
          <w:sz w:val="32"/>
          <w:szCs w:val="32"/>
        </w:rPr>
        <w:t>附件7</w:t>
      </w:r>
    </w:p>
    <w:p w14:paraId="5310EA23">
      <w:pPr>
        <w:spacing w:line="300" w:lineRule="auto"/>
        <w:contextualSpacing/>
        <w:jc w:val="center"/>
        <w:rPr>
          <w:rFonts w:hint="eastAsia" w:ascii="宋体" w:hAnsi="宋体" w:cs="宋体"/>
          <w:b/>
          <w:sz w:val="32"/>
          <w:szCs w:val="32"/>
        </w:rPr>
      </w:pPr>
      <w:r>
        <w:rPr>
          <w:rFonts w:hint="eastAsia" w:ascii="宋体" w:hAnsi="宋体" w:cs="宋体"/>
          <w:b/>
          <w:sz w:val="32"/>
          <w:szCs w:val="32"/>
        </w:rPr>
        <w:t>技术部分正负偏离表</w:t>
      </w:r>
    </w:p>
    <w:p w14:paraId="4AF3292A">
      <w:pPr>
        <w:ind w:firstLine="560"/>
        <w:jc w:val="center"/>
        <w:rPr>
          <w:rFonts w:hint="eastAsia" w:ascii="宋体" w:hAnsi="宋体" w:cs="宋体"/>
          <w:sz w:val="28"/>
          <w:szCs w:val="28"/>
        </w:rPr>
      </w:pPr>
      <w:r>
        <w:rPr>
          <w:rFonts w:hint="eastAsia" w:ascii="宋体" w:hAnsi="宋体" w:cs="宋体"/>
          <w:sz w:val="28"/>
          <w:szCs w:val="28"/>
        </w:rPr>
        <w:t>（由供应商据实填写，表格不够自行添加）</w:t>
      </w:r>
    </w:p>
    <w:tbl>
      <w:tblPr>
        <w:tblStyle w:val="35"/>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83"/>
        <w:gridCol w:w="2138"/>
        <w:gridCol w:w="1867"/>
        <w:gridCol w:w="2409"/>
        <w:gridCol w:w="1326"/>
      </w:tblGrid>
      <w:tr w14:paraId="3703E5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783" w:type="dxa"/>
            <w:vAlign w:val="center"/>
          </w:tcPr>
          <w:p w14:paraId="6D7F1209">
            <w:pPr>
              <w:spacing w:line="340" w:lineRule="exact"/>
              <w:jc w:val="center"/>
              <w:rPr>
                <w:rFonts w:hint="eastAsia" w:ascii="宋体" w:hAnsi="宋体" w:cs="宋体"/>
                <w:sz w:val="24"/>
              </w:rPr>
            </w:pPr>
            <w:r>
              <w:rPr>
                <w:rFonts w:hint="eastAsia" w:ascii="宋体" w:hAnsi="宋体" w:cs="宋体"/>
                <w:sz w:val="24"/>
              </w:rPr>
              <w:t>序号</w:t>
            </w:r>
          </w:p>
        </w:tc>
        <w:tc>
          <w:tcPr>
            <w:tcW w:w="2138" w:type="dxa"/>
            <w:vAlign w:val="center"/>
          </w:tcPr>
          <w:p w14:paraId="3EE3E50C">
            <w:pPr>
              <w:spacing w:line="340" w:lineRule="exact"/>
              <w:jc w:val="center"/>
              <w:rPr>
                <w:rFonts w:hint="eastAsia" w:ascii="宋体" w:hAnsi="宋体" w:cs="宋体"/>
                <w:sz w:val="24"/>
              </w:rPr>
            </w:pPr>
            <w:r>
              <w:rPr>
                <w:rFonts w:hint="eastAsia" w:ascii="宋体" w:hAnsi="宋体" w:cs="宋体"/>
                <w:sz w:val="24"/>
              </w:rPr>
              <w:t>货物或服务名称</w:t>
            </w:r>
          </w:p>
        </w:tc>
        <w:tc>
          <w:tcPr>
            <w:tcW w:w="1867" w:type="dxa"/>
            <w:vAlign w:val="center"/>
          </w:tcPr>
          <w:p w14:paraId="47D6C7EA">
            <w:pPr>
              <w:spacing w:line="340" w:lineRule="exact"/>
              <w:jc w:val="center"/>
              <w:rPr>
                <w:rFonts w:hint="eastAsia" w:ascii="宋体" w:hAnsi="宋体" w:cs="宋体"/>
                <w:sz w:val="24"/>
              </w:rPr>
            </w:pPr>
            <w:r>
              <w:rPr>
                <w:rFonts w:hint="eastAsia" w:ascii="宋体" w:hAnsi="宋体" w:cs="宋体"/>
                <w:sz w:val="24"/>
              </w:rPr>
              <w:t>磋商文件要求的技术要求</w:t>
            </w:r>
          </w:p>
        </w:tc>
        <w:tc>
          <w:tcPr>
            <w:tcW w:w="2409" w:type="dxa"/>
            <w:vAlign w:val="center"/>
          </w:tcPr>
          <w:p w14:paraId="15C02B96">
            <w:pPr>
              <w:spacing w:line="340" w:lineRule="exact"/>
              <w:jc w:val="center"/>
              <w:rPr>
                <w:rFonts w:hint="eastAsia" w:ascii="宋体" w:hAnsi="宋体" w:cs="宋体"/>
                <w:sz w:val="24"/>
              </w:rPr>
            </w:pPr>
            <w:r>
              <w:rPr>
                <w:rFonts w:hint="eastAsia" w:ascii="宋体" w:hAnsi="宋体" w:cs="宋体"/>
                <w:sz w:val="24"/>
              </w:rPr>
              <w:t>响应文件响应情况</w:t>
            </w:r>
          </w:p>
        </w:tc>
        <w:tc>
          <w:tcPr>
            <w:tcW w:w="1326" w:type="dxa"/>
          </w:tcPr>
          <w:p w14:paraId="0854C93A">
            <w:pPr>
              <w:spacing w:line="340" w:lineRule="exact"/>
              <w:jc w:val="center"/>
              <w:rPr>
                <w:rFonts w:hint="eastAsia" w:ascii="宋体" w:hAnsi="宋体" w:cs="宋体"/>
                <w:sz w:val="24"/>
              </w:rPr>
            </w:pPr>
          </w:p>
          <w:p w14:paraId="37B85E3C">
            <w:pPr>
              <w:spacing w:line="340" w:lineRule="exact"/>
              <w:jc w:val="center"/>
              <w:rPr>
                <w:rFonts w:hint="eastAsia" w:ascii="宋体" w:hAnsi="宋体" w:cs="宋体"/>
                <w:sz w:val="24"/>
              </w:rPr>
            </w:pPr>
            <w:r>
              <w:rPr>
                <w:rFonts w:hint="eastAsia" w:ascii="宋体" w:hAnsi="宋体" w:cs="宋体"/>
                <w:sz w:val="24"/>
              </w:rPr>
              <w:t>偏离说明</w:t>
            </w:r>
          </w:p>
        </w:tc>
      </w:tr>
      <w:tr w14:paraId="4066EA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783" w:type="dxa"/>
          </w:tcPr>
          <w:p w14:paraId="2B77524F">
            <w:pPr>
              <w:spacing w:line="340" w:lineRule="exact"/>
              <w:jc w:val="center"/>
              <w:rPr>
                <w:rFonts w:hint="eastAsia" w:ascii="宋体" w:hAnsi="宋体" w:cs="宋体"/>
                <w:sz w:val="24"/>
              </w:rPr>
            </w:pPr>
            <w:r>
              <w:rPr>
                <w:rFonts w:hint="eastAsia" w:ascii="宋体" w:hAnsi="宋体" w:cs="宋体"/>
                <w:sz w:val="24"/>
              </w:rPr>
              <w:t>1</w:t>
            </w:r>
          </w:p>
        </w:tc>
        <w:tc>
          <w:tcPr>
            <w:tcW w:w="2138" w:type="dxa"/>
            <w:vAlign w:val="center"/>
          </w:tcPr>
          <w:p w14:paraId="1B9D5CB8">
            <w:pPr>
              <w:spacing w:line="340" w:lineRule="exact"/>
              <w:jc w:val="left"/>
              <w:rPr>
                <w:rFonts w:hint="eastAsia" w:ascii="宋体" w:hAnsi="宋体" w:cs="宋体"/>
                <w:sz w:val="24"/>
              </w:rPr>
            </w:pPr>
          </w:p>
        </w:tc>
        <w:tc>
          <w:tcPr>
            <w:tcW w:w="1867" w:type="dxa"/>
            <w:vAlign w:val="center"/>
          </w:tcPr>
          <w:p w14:paraId="7EFAC546">
            <w:pPr>
              <w:spacing w:line="340" w:lineRule="exact"/>
              <w:jc w:val="left"/>
              <w:rPr>
                <w:rFonts w:hint="eastAsia" w:ascii="宋体" w:hAnsi="宋体" w:cs="宋体"/>
                <w:sz w:val="24"/>
              </w:rPr>
            </w:pPr>
          </w:p>
        </w:tc>
        <w:tc>
          <w:tcPr>
            <w:tcW w:w="2409" w:type="dxa"/>
            <w:vAlign w:val="center"/>
          </w:tcPr>
          <w:p w14:paraId="756F04BD">
            <w:pPr>
              <w:spacing w:line="340" w:lineRule="exact"/>
              <w:jc w:val="left"/>
              <w:rPr>
                <w:rFonts w:hint="eastAsia" w:ascii="宋体" w:hAnsi="宋体" w:cs="宋体"/>
                <w:sz w:val="24"/>
              </w:rPr>
            </w:pPr>
          </w:p>
        </w:tc>
        <w:tc>
          <w:tcPr>
            <w:tcW w:w="1326" w:type="dxa"/>
          </w:tcPr>
          <w:p w14:paraId="3F15BFAB">
            <w:pPr>
              <w:spacing w:line="340" w:lineRule="exact"/>
              <w:jc w:val="left"/>
              <w:rPr>
                <w:rFonts w:hint="eastAsia" w:ascii="宋体" w:hAnsi="宋体" w:cs="宋体"/>
                <w:sz w:val="24"/>
              </w:rPr>
            </w:pPr>
          </w:p>
        </w:tc>
      </w:tr>
      <w:tr w14:paraId="67CE77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783" w:type="dxa"/>
          </w:tcPr>
          <w:p w14:paraId="473D03C3">
            <w:pPr>
              <w:spacing w:line="340" w:lineRule="exact"/>
              <w:jc w:val="center"/>
              <w:rPr>
                <w:rFonts w:hint="eastAsia" w:ascii="宋体" w:hAnsi="宋体" w:cs="宋体"/>
                <w:sz w:val="24"/>
              </w:rPr>
            </w:pPr>
            <w:r>
              <w:rPr>
                <w:rFonts w:hint="eastAsia" w:ascii="宋体" w:hAnsi="宋体" w:cs="宋体"/>
                <w:sz w:val="24"/>
              </w:rPr>
              <w:t>2</w:t>
            </w:r>
          </w:p>
        </w:tc>
        <w:tc>
          <w:tcPr>
            <w:tcW w:w="2138" w:type="dxa"/>
            <w:vAlign w:val="center"/>
          </w:tcPr>
          <w:p w14:paraId="0AC61C58">
            <w:pPr>
              <w:spacing w:line="340" w:lineRule="exact"/>
              <w:jc w:val="left"/>
              <w:rPr>
                <w:rFonts w:hint="eastAsia" w:ascii="宋体" w:hAnsi="宋体" w:cs="宋体"/>
                <w:sz w:val="24"/>
              </w:rPr>
            </w:pPr>
          </w:p>
        </w:tc>
        <w:tc>
          <w:tcPr>
            <w:tcW w:w="1867" w:type="dxa"/>
            <w:vAlign w:val="center"/>
          </w:tcPr>
          <w:p w14:paraId="6D3A20E6">
            <w:pPr>
              <w:spacing w:line="340" w:lineRule="exact"/>
              <w:jc w:val="left"/>
              <w:rPr>
                <w:rFonts w:hint="eastAsia" w:ascii="宋体" w:hAnsi="宋体" w:cs="宋体"/>
                <w:sz w:val="24"/>
              </w:rPr>
            </w:pPr>
          </w:p>
        </w:tc>
        <w:tc>
          <w:tcPr>
            <w:tcW w:w="2409" w:type="dxa"/>
            <w:vAlign w:val="center"/>
          </w:tcPr>
          <w:p w14:paraId="6A0D1BF3">
            <w:pPr>
              <w:spacing w:line="340" w:lineRule="exact"/>
              <w:jc w:val="left"/>
              <w:rPr>
                <w:rFonts w:hint="eastAsia" w:ascii="宋体" w:hAnsi="宋体" w:cs="宋体"/>
                <w:sz w:val="24"/>
              </w:rPr>
            </w:pPr>
          </w:p>
        </w:tc>
        <w:tc>
          <w:tcPr>
            <w:tcW w:w="1326" w:type="dxa"/>
          </w:tcPr>
          <w:p w14:paraId="13F637FC">
            <w:pPr>
              <w:spacing w:line="340" w:lineRule="exact"/>
              <w:jc w:val="left"/>
              <w:rPr>
                <w:rFonts w:hint="eastAsia" w:ascii="宋体" w:hAnsi="宋体" w:cs="宋体"/>
                <w:sz w:val="24"/>
              </w:rPr>
            </w:pPr>
          </w:p>
        </w:tc>
      </w:tr>
      <w:tr w14:paraId="7A6FA0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83" w:type="dxa"/>
          </w:tcPr>
          <w:p w14:paraId="76DC37A2">
            <w:pPr>
              <w:spacing w:line="340" w:lineRule="exact"/>
              <w:jc w:val="center"/>
              <w:rPr>
                <w:rFonts w:hint="eastAsia" w:ascii="宋体" w:hAnsi="宋体" w:cs="宋体"/>
                <w:sz w:val="24"/>
              </w:rPr>
            </w:pPr>
            <w:r>
              <w:rPr>
                <w:rFonts w:hint="eastAsia" w:ascii="宋体" w:hAnsi="宋体" w:cs="宋体"/>
                <w:sz w:val="24"/>
              </w:rPr>
              <w:t>3</w:t>
            </w:r>
          </w:p>
        </w:tc>
        <w:tc>
          <w:tcPr>
            <w:tcW w:w="2138" w:type="dxa"/>
            <w:vAlign w:val="center"/>
          </w:tcPr>
          <w:p w14:paraId="794F2EF2">
            <w:pPr>
              <w:spacing w:line="340" w:lineRule="exact"/>
              <w:jc w:val="left"/>
              <w:rPr>
                <w:rFonts w:hint="eastAsia" w:ascii="宋体" w:hAnsi="宋体" w:cs="宋体"/>
                <w:sz w:val="24"/>
              </w:rPr>
            </w:pPr>
          </w:p>
        </w:tc>
        <w:tc>
          <w:tcPr>
            <w:tcW w:w="1867" w:type="dxa"/>
            <w:vAlign w:val="center"/>
          </w:tcPr>
          <w:p w14:paraId="6DC8E5BC">
            <w:pPr>
              <w:spacing w:line="340" w:lineRule="exact"/>
              <w:jc w:val="left"/>
              <w:rPr>
                <w:rFonts w:hint="eastAsia" w:ascii="宋体" w:hAnsi="宋体" w:cs="宋体"/>
                <w:sz w:val="24"/>
              </w:rPr>
            </w:pPr>
          </w:p>
        </w:tc>
        <w:tc>
          <w:tcPr>
            <w:tcW w:w="2409" w:type="dxa"/>
            <w:vAlign w:val="center"/>
          </w:tcPr>
          <w:p w14:paraId="4F2245D2">
            <w:pPr>
              <w:spacing w:line="340" w:lineRule="exact"/>
              <w:jc w:val="left"/>
              <w:rPr>
                <w:rFonts w:hint="eastAsia" w:ascii="宋体" w:hAnsi="宋体" w:cs="宋体"/>
                <w:sz w:val="24"/>
              </w:rPr>
            </w:pPr>
          </w:p>
        </w:tc>
        <w:tc>
          <w:tcPr>
            <w:tcW w:w="1326" w:type="dxa"/>
          </w:tcPr>
          <w:p w14:paraId="70DD721C">
            <w:pPr>
              <w:spacing w:line="340" w:lineRule="exact"/>
              <w:jc w:val="left"/>
              <w:rPr>
                <w:rFonts w:hint="eastAsia" w:ascii="宋体" w:hAnsi="宋体" w:cs="宋体"/>
                <w:sz w:val="24"/>
              </w:rPr>
            </w:pPr>
          </w:p>
        </w:tc>
      </w:tr>
      <w:tr w14:paraId="02DFD3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783" w:type="dxa"/>
          </w:tcPr>
          <w:p w14:paraId="27787911">
            <w:pPr>
              <w:spacing w:line="340" w:lineRule="exact"/>
              <w:jc w:val="center"/>
              <w:rPr>
                <w:rFonts w:hint="eastAsia" w:ascii="宋体" w:hAnsi="宋体" w:cs="宋体"/>
                <w:sz w:val="24"/>
              </w:rPr>
            </w:pPr>
            <w:r>
              <w:rPr>
                <w:rFonts w:hint="eastAsia" w:ascii="宋体" w:hAnsi="宋体" w:cs="宋体"/>
                <w:sz w:val="24"/>
              </w:rPr>
              <w:t>4</w:t>
            </w:r>
          </w:p>
        </w:tc>
        <w:tc>
          <w:tcPr>
            <w:tcW w:w="2138" w:type="dxa"/>
            <w:vAlign w:val="center"/>
          </w:tcPr>
          <w:p w14:paraId="53C95B9D">
            <w:pPr>
              <w:spacing w:line="340" w:lineRule="exact"/>
              <w:jc w:val="left"/>
              <w:rPr>
                <w:rFonts w:hint="eastAsia" w:ascii="宋体" w:hAnsi="宋体" w:cs="宋体"/>
                <w:sz w:val="24"/>
              </w:rPr>
            </w:pPr>
          </w:p>
        </w:tc>
        <w:tc>
          <w:tcPr>
            <w:tcW w:w="1867" w:type="dxa"/>
            <w:vAlign w:val="center"/>
          </w:tcPr>
          <w:p w14:paraId="6ECC7916">
            <w:pPr>
              <w:spacing w:line="340" w:lineRule="exact"/>
              <w:jc w:val="left"/>
              <w:rPr>
                <w:rFonts w:hint="eastAsia" w:ascii="宋体" w:hAnsi="宋体" w:cs="宋体"/>
                <w:sz w:val="24"/>
              </w:rPr>
            </w:pPr>
          </w:p>
        </w:tc>
        <w:tc>
          <w:tcPr>
            <w:tcW w:w="2409" w:type="dxa"/>
            <w:vAlign w:val="center"/>
          </w:tcPr>
          <w:p w14:paraId="354E4624">
            <w:pPr>
              <w:spacing w:line="340" w:lineRule="exact"/>
              <w:jc w:val="left"/>
              <w:rPr>
                <w:rFonts w:hint="eastAsia" w:ascii="宋体" w:hAnsi="宋体" w:cs="宋体"/>
                <w:sz w:val="24"/>
              </w:rPr>
            </w:pPr>
          </w:p>
        </w:tc>
        <w:tc>
          <w:tcPr>
            <w:tcW w:w="1326" w:type="dxa"/>
          </w:tcPr>
          <w:p w14:paraId="16E5A461">
            <w:pPr>
              <w:spacing w:line="340" w:lineRule="exact"/>
              <w:jc w:val="left"/>
              <w:rPr>
                <w:rFonts w:hint="eastAsia" w:ascii="宋体" w:hAnsi="宋体" w:cs="宋体"/>
                <w:sz w:val="24"/>
              </w:rPr>
            </w:pPr>
          </w:p>
        </w:tc>
      </w:tr>
    </w:tbl>
    <w:p w14:paraId="5FCCA8D9">
      <w:pPr>
        <w:spacing w:line="300" w:lineRule="auto"/>
        <w:contextualSpacing/>
        <w:rPr>
          <w:rFonts w:hint="eastAsia" w:ascii="宋体" w:hAnsi="宋体" w:cs="宋体"/>
          <w:b/>
          <w:sz w:val="24"/>
        </w:rPr>
      </w:pPr>
      <w:r>
        <w:rPr>
          <w:rFonts w:hint="eastAsia" w:ascii="宋体" w:hAnsi="宋体" w:cs="宋体"/>
          <w:b/>
          <w:sz w:val="24"/>
        </w:rPr>
        <w:t>注：</w:t>
      </w:r>
    </w:p>
    <w:p w14:paraId="49767D14">
      <w:pPr>
        <w:spacing w:line="300" w:lineRule="auto"/>
        <w:ind w:firstLine="480"/>
        <w:contextualSpacing/>
        <w:rPr>
          <w:rFonts w:hint="eastAsia" w:ascii="宋体" w:hAnsi="宋体" w:cs="宋体"/>
          <w:sz w:val="24"/>
        </w:rPr>
      </w:pPr>
      <w:r>
        <w:rPr>
          <w:rFonts w:hint="eastAsia" w:ascii="宋体" w:hAnsi="宋体" w:cs="宋体"/>
          <w:sz w:val="24"/>
        </w:rPr>
        <w:t>1.供应商提交的响应文件中与磋商文件第三部分“项目需求”中的技术部分的要求，应逐条填列在偏离表中。</w:t>
      </w:r>
    </w:p>
    <w:p w14:paraId="61A9367D">
      <w:pPr>
        <w:spacing w:line="300" w:lineRule="auto"/>
        <w:ind w:firstLine="480"/>
        <w:contextualSpacing/>
        <w:rPr>
          <w:rFonts w:hint="eastAsia" w:ascii="宋体" w:hAnsi="宋体" w:cs="宋体"/>
          <w:sz w:val="24"/>
        </w:rPr>
      </w:pPr>
      <w:r>
        <w:rPr>
          <w:rFonts w:hint="eastAsia" w:ascii="宋体" w:hAnsi="宋体" w:cs="宋体"/>
          <w:sz w:val="24"/>
        </w:rPr>
        <w:t>2.“偏离说明”一栏选择“正偏离”、“无偏离”、“负偏离”进行填写。正偏离、无偏离的确认和负偏离的是否响应磋商文件，由磋商小组认定。</w:t>
      </w:r>
    </w:p>
    <w:p w14:paraId="339C4B87">
      <w:pPr>
        <w:spacing w:line="300" w:lineRule="auto"/>
        <w:ind w:firstLine="48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0E0A4606">
      <w:pPr>
        <w:spacing w:line="400" w:lineRule="exact"/>
        <w:ind w:firstLine="540"/>
        <w:contextualSpacing/>
        <w:rPr>
          <w:rFonts w:hint="eastAsia" w:ascii="宋体" w:hAnsi="宋体" w:cs="宋体"/>
          <w:b/>
          <w:sz w:val="28"/>
          <w:szCs w:val="28"/>
        </w:rPr>
      </w:pPr>
    </w:p>
    <w:p w14:paraId="3B2D0EB3">
      <w:pPr>
        <w:spacing w:line="400" w:lineRule="exact"/>
        <w:ind w:firstLine="540"/>
        <w:contextualSpacing/>
        <w:rPr>
          <w:rFonts w:hint="eastAsia" w:ascii="宋体" w:hAnsi="宋体" w:cs="宋体"/>
          <w:b/>
          <w:sz w:val="28"/>
          <w:szCs w:val="28"/>
        </w:rPr>
      </w:pPr>
    </w:p>
    <w:p w14:paraId="4A99BD8C">
      <w:pPr>
        <w:spacing w:line="400" w:lineRule="exact"/>
        <w:ind w:firstLine="540"/>
        <w:contextualSpacing/>
        <w:rPr>
          <w:rFonts w:hint="eastAsia" w:ascii="宋体" w:hAnsi="宋体" w:cs="宋体"/>
          <w:b/>
          <w:sz w:val="28"/>
          <w:szCs w:val="28"/>
        </w:rPr>
      </w:pPr>
    </w:p>
    <w:p w14:paraId="07097982">
      <w:pPr>
        <w:spacing w:line="400" w:lineRule="exact"/>
        <w:ind w:firstLine="540"/>
        <w:contextualSpacing/>
        <w:rPr>
          <w:rFonts w:hint="eastAsia" w:ascii="宋体" w:hAnsi="宋体" w:cs="宋体"/>
          <w:b/>
          <w:sz w:val="28"/>
          <w:szCs w:val="28"/>
        </w:rPr>
      </w:pPr>
    </w:p>
    <w:p w14:paraId="118714F2">
      <w:pPr>
        <w:spacing w:line="400" w:lineRule="exact"/>
        <w:ind w:firstLine="540"/>
        <w:contextualSpacing/>
        <w:rPr>
          <w:rFonts w:hint="eastAsia" w:ascii="宋体" w:hAnsi="宋体" w:cs="宋体"/>
          <w:b/>
          <w:sz w:val="28"/>
          <w:szCs w:val="28"/>
        </w:rPr>
      </w:pPr>
    </w:p>
    <w:p w14:paraId="063B3B8B">
      <w:pPr>
        <w:spacing w:line="400" w:lineRule="exact"/>
        <w:ind w:firstLine="540"/>
        <w:contextualSpacing/>
        <w:rPr>
          <w:rFonts w:hint="eastAsia" w:ascii="宋体" w:hAnsi="宋体" w:cs="宋体"/>
          <w:b/>
          <w:sz w:val="28"/>
          <w:szCs w:val="28"/>
        </w:rPr>
      </w:pPr>
    </w:p>
    <w:p w14:paraId="2967FCBE">
      <w:pPr>
        <w:spacing w:line="400" w:lineRule="exact"/>
        <w:ind w:firstLine="540"/>
        <w:contextualSpacing/>
        <w:rPr>
          <w:rFonts w:hint="eastAsia" w:ascii="宋体" w:hAnsi="宋体" w:cs="宋体"/>
          <w:b/>
          <w:sz w:val="28"/>
          <w:szCs w:val="28"/>
        </w:rPr>
      </w:pPr>
    </w:p>
    <w:p w14:paraId="1557D62C">
      <w:pPr>
        <w:spacing w:line="400" w:lineRule="exact"/>
        <w:ind w:firstLine="540"/>
        <w:contextualSpacing/>
        <w:rPr>
          <w:rFonts w:hint="eastAsia" w:ascii="宋体" w:hAnsi="宋体" w:cs="宋体"/>
          <w:b/>
          <w:sz w:val="28"/>
          <w:szCs w:val="28"/>
        </w:rPr>
      </w:pPr>
    </w:p>
    <w:p w14:paraId="65C024F5">
      <w:pPr>
        <w:spacing w:line="400" w:lineRule="exact"/>
        <w:ind w:firstLine="540"/>
        <w:contextualSpacing/>
        <w:rPr>
          <w:rFonts w:hint="eastAsia" w:ascii="宋体" w:hAnsi="宋体" w:cs="宋体"/>
          <w:b/>
          <w:sz w:val="28"/>
          <w:szCs w:val="28"/>
        </w:rPr>
      </w:pPr>
    </w:p>
    <w:p w14:paraId="1756B614">
      <w:pPr>
        <w:spacing w:line="400" w:lineRule="exact"/>
        <w:ind w:firstLine="540"/>
        <w:contextualSpacing/>
        <w:rPr>
          <w:rFonts w:hint="eastAsia" w:ascii="宋体" w:hAnsi="宋体" w:cs="宋体"/>
          <w:b/>
          <w:sz w:val="28"/>
          <w:szCs w:val="28"/>
        </w:rPr>
      </w:pPr>
    </w:p>
    <w:p w14:paraId="7493E665">
      <w:pPr>
        <w:spacing w:line="400" w:lineRule="exact"/>
        <w:ind w:firstLine="540"/>
        <w:contextualSpacing/>
        <w:rPr>
          <w:rFonts w:hint="eastAsia" w:ascii="宋体" w:hAnsi="宋体" w:cs="宋体"/>
          <w:b/>
          <w:sz w:val="28"/>
          <w:szCs w:val="28"/>
        </w:rPr>
      </w:pPr>
    </w:p>
    <w:p w14:paraId="68FA9551">
      <w:pPr>
        <w:spacing w:line="400" w:lineRule="exact"/>
        <w:ind w:firstLine="540"/>
        <w:contextualSpacing/>
        <w:rPr>
          <w:rFonts w:hint="eastAsia" w:ascii="宋体" w:hAnsi="宋体" w:cs="宋体"/>
          <w:b/>
          <w:sz w:val="28"/>
          <w:szCs w:val="28"/>
        </w:rPr>
      </w:pPr>
    </w:p>
    <w:p w14:paraId="703F4287">
      <w:pPr>
        <w:spacing w:line="400" w:lineRule="exact"/>
        <w:ind w:firstLine="540"/>
        <w:contextualSpacing/>
        <w:rPr>
          <w:rFonts w:hint="eastAsia" w:ascii="宋体" w:hAnsi="宋体" w:cs="宋体"/>
          <w:b/>
          <w:sz w:val="28"/>
          <w:szCs w:val="28"/>
        </w:rPr>
      </w:pPr>
    </w:p>
    <w:p w14:paraId="45E829C8">
      <w:pPr>
        <w:spacing w:line="400" w:lineRule="exact"/>
        <w:ind w:firstLine="540"/>
        <w:contextualSpacing/>
        <w:rPr>
          <w:rFonts w:hint="eastAsia" w:ascii="宋体" w:hAnsi="宋体" w:cs="宋体"/>
          <w:b/>
          <w:sz w:val="28"/>
          <w:szCs w:val="28"/>
        </w:rPr>
      </w:pPr>
    </w:p>
    <w:p w14:paraId="7697B77E">
      <w:pPr>
        <w:spacing w:line="400" w:lineRule="exact"/>
        <w:ind w:firstLine="540"/>
        <w:contextualSpacing/>
        <w:rPr>
          <w:rFonts w:hint="eastAsia" w:ascii="宋体" w:hAnsi="宋体" w:cs="宋体"/>
          <w:b/>
          <w:sz w:val="28"/>
          <w:szCs w:val="28"/>
        </w:rPr>
      </w:pPr>
    </w:p>
    <w:p w14:paraId="356754CF">
      <w:pPr>
        <w:spacing w:line="400" w:lineRule="exact"/>
        <w:ind w:firstLine="540"/>
        <w:contextualSpacing/>
        <w:rPr>
          <w:rFonts w:hint="eastAsia" w:ascii="宋体" w:hAnsi="宋体" w:cs="宋体"/>
          <w:b/>
          <w:sz w:val="28"/>
          <w:szCs w:val="28"/>
        </w:rPr>
      </w:pPr>
    </w:p>
    <w:p w14:paraId="582D62BD">
      <w:pPr>
        <w:spacing w:line="400" w:lineRule="exact"/>
        <w:contextualSpacing/>
        <w:rPr>
          <w:rFonts w:hint="eastAsia" w:ascii="宋体" w:hAnsi="宋体" w:cs="宋体"/>
          <w:sz w:val="32"/>
          <w:szCs w:val="32"/>
        </w:rPr>
      </w:pPr>
    </w:p>
    <w:p w14:paraId="6031C8D2">
      <w:pPr>
        <w:spacing w:line="400" w:lineRule="exact"/>
        <w:ind w:firstLine="540"/>
        <w:contextualSpacing/>
        <w:rPr>
          <w:rFonts w:hint="eastAsia" w:ascii="宋体" w:hAnsi="宋体" w:cs="宋体"/>
          <w:b/>
          <w:sz w:val="28"/>
          <w:szCs w:val="28"/>
        </w:rPr>
      </w:pPr>
    </w:p>
    <w:p w14:paraId="70F20A29">
      <w:pPr>
        <w:spacing w:line="400" w:lineRule="exact"/>
        <w:contextualSpacing/>
        <w:rPr>
          <w:rFonts w:hint="eastAsia" w:ascii="宋体" w:hAnsi="宋体" w:cs="宋体"/>
          <w:sz w:val="32"/>
          <w:szCs w:val="32"/>
        </w:rPr>
      </w:pPr>
      <w:r>
        <w:rPr>
          <w:rFonts w:hint="eastAsia" w:ascii="宋体" w:hAnsi="宋体" w:cs="宋体"/>
          <w:sz w:val="32"/>
          <w:szCs w:val="32"/>
        </w:rPr>
        <w:t>附件8</w:t>
      </w:r>
    </w:p>
    <w:p w14:paraId="107CB9FD">
      <w:pPr>
        <w:spacing w:line="400" w:lineRule="exact"/>
        <w:contextualSpacing/>
        <w:rPr>
          <w:rFonts w:hint="eastAsia" w:ascii="宋体" w:hAnsi="宋体" w:cs="宋体"/>
          <w:sz w:val="28"/>
          <w:szCs w:val="28"/>
        </w:rPr>
      </w:pPr>
    </w:p>
    <w:p w14:paraId="1BF7D263">
      <w:pPr>
        <w:spacing w:line="400" w:lineRule="exact"/>
        <w:jc w:val="center"/>
        <w:rPr>
          <w:rFonts w:ascii="Calibri" w:hAnsi="Calibri"/>
          <w:b/>
          <w:bCs/>
          <w:sz w:val="32"/>
          <w:szCs w:val="32"/>
          <w:highlight w:val="none"/>
        </w:rPr>
      </w:pPr>
      <w:r>
        <w:rPr>
          <w:rFonts w:hint="eastAsia" w:ascii="Calibri" w:hAnsi="Calibri"/>
          <w:b/>
          <w:bCs/>
          <w:sz w:val="32"/>
          <w:szCs w:val="32"/>
          <w:highlight w:val="none"/>
        </w:rPr>
        <w:t>分项报价明细表</w:t>
      </w:r>
    </w:p>
    <w:p w14:paraId="0D4EF1A4">
      <w:pPr>
        <w:snapToGrid w:val="0"/>
        <w:spacing w:line="400" w:lineRule="exact"/>
        <w:rPr>
          <w:rFonts w:hint="eastAsia" w:ascii="宋体" w:hAnsi="宋体" w:cs="宋体"/>
          <w:sz w:val="28"/>
          <w:szCs w:val="28"/>
        </w:rPr>
      </w:pPr>
    </w:p>
    <w:p w14:paraId="2898D39B">
      <w:pPr>
        <w:snapToGrid w:val="0"/>
        <w:spacing w:line="400" w:lineRule="exact"/>
        <w:rPr>
          <w:rFonts w:hint="eastAsia" w:ascii="宋体" w:hAnsi="宋体" w:cs="宋体"/>
          <w:sz w:val="28"/>
          <w:szCs w:val="28"/>
        </w:rPr>
      </w:pPr>
      <w:r>
        <w:rPr>
          <w:rFonts w:hint="eastAsia" w:ascii="宋体" w:hAnsi="宋体" w:cs="宋体"/>
          <w:b/>
          <w:bCs/>
          <w:sz w:val="28"/>
          <w:szCs w:val="28"/>
        </w:rPr>
        <w:t>项目名称：启东市行政中心保安服务项目</w:t>
      </w:r>
    </w:p>
    <w:p w14:paraId="09FAAF8A">
      <w:pPr>
        <w:pStyle w:val="2"/>
      </w:pPr>
    </w:p>
    <w:tbl>
      <w:tblPr>
        <w:tblStyle w:val="35"/>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9"/>
        <w:gridCol w:w="2722"/>
        <w:gridCol w:w="1866"/>
        <w:gridCol w:w="1611"/>
        <w:gridCol w:w="832"/>
      </w:tblGrid>
      <w:tr w14:paraId="612A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712CE685">
            <w:pPr>
              <w:snapToGrid w:val="0"/>
              <w:spacing w:line="240" w:lineRule="atLeast"/>
              <w:jc w:val="center"/>
              <w:rPr>
                <w:rFonts w:hint="eastAsia" w:ascii="宋体" w:hAnsi="宋体"/>
                <w:b/>
                <w:bCs/>
                <w:szCs w:val="21"/>
              </w:rPr>
            </w:pPr>
            <w:r>
              <w:rPr>
                <w:rFonts w:hint="eastAsia" w:ascii="宋体" w:hAnsi="宋体"/>
                <w:b/>
                <w:bCs/>
                <w:szCs w:val="21"/>
              </w:rPr>
              <w:t>采购单位</w:t>
            </w:r>
          </w:p>
        </w:tc>
        <w:tc>
          <w:tcPr>
            <w:tcW w:w="2722" w:type="dxa"/>
            <w:tcBorders>
              <w:top w:val="single" w:color="auto" w:sz="4" w:space="0"/>
              <w:left w:val="single" w:color="auto" w:sz="4" w:space="0"/>
              <w:bottom w:val="single" w:color="auto" w:sz="4" w:space="0"/>
              <w:right w:val="single" w:color="auto" w:sz="4" w:space="0"/>
            </w:tcBorders>
            <w:vAlign w:val="center"/>
          </w:tcPr>
          <w:p w14:paraId="62946EA8">
            <w:pPr>
              <w:snapToGrid w:val="0"/>
              <w:spacing w:line="240" w:lineRule="atLeast"/>
              <w:jc w:val="center"/>
              <w:rPr>
                <w:rFonts w:hint="eastAsia" w:ascii="宋体" w:hAnsi="宋体"/>
                <w:b/>
                <w:bCs/>
                <w:szCs w:val="21"/>
              </w:rPr>
            </w:pPr>
            <w:r>
              <w:rPr>
                <w:rFonts w:hint="eastAsia" w:ascii="宋体" w:hAnsi="宋体"/>
                <w:b/>
                <w:bCs/>
                <w:szCs w:val="21"/>
              </w:rPr>
              <w:t>报价分项名称</w:t>
            </w:r>
          </w:p>
        </w:tc>
        <w:tc>
          <w:tcPr>
            <w:tcW w:w="1866" w:type="dxa"/>
            <w:tcBorders>
              <w:top w:val="single" w:color="auto" w:sz="4" w:space="0"/>
              <w:left w:val="single" w:color="auto" w:sz="4" w:space="0"/>
              <w:bottom w:val="single" w:color="auto" w:sz="4" w:space="0"/>
              <w:right w:val="single" w:color="auto" w:sz="4" w:space="0"/>
            </w:tcBorders>
            <w:vAlign w:val="center"/>
          </w:tcPr>
          <w:p w14:paraId="73660410">
            <w:pPr>
              <w:snapToGrid w:val="0"/>
              <w:spacing w:line="240" w:lineRule="atLeast"/>
              <w:jc w:val="center"/>
              <w:rPr>
                <w:rFonts w:hint="eastAsia" w:ascii="宋体" w:hAnsi="宋体"/>
                <w:b/>
                <w:bCs/>
                <w:szCs w:val="21"/>
              </w:rPr>
            </w:pPr>
            <w:r>
              <w:rPr>
                <w:rFonts w:hint="eastAsia" w:ascii="宋体" w:hAnsi="宋体"/>
                <w:b/>
                <w:bCs/>
                <w:szCs w:val="21"/>
              </w:rPr>
              <w:t>服务期限</w:t>
            </w:r>
          </w:p>
        </w:tc>
        <w:tc>
          <w:tcPr>
            <w:tcW w:w="1611" w:type="dxa"/>
            <w:tcBorders>
              <w:top w:val="single" w:color="auto" w:sz="4" w:space="0"/>
              <w:left w:val="single" w:color="auto" w:sz="4" w:space="0"/>
              <w:bottom w:val="single" w:color="auto" w:sz="4" w:space="0"/>
              <w:right w:val="single" w:color="auto" w:sz="4" w:space="0"/>
            </w:tcBorders>
            <w:vAlign w:val="center"/>
          </w:tcPr>
          <w:p w14:paraId="2BB6BC45">
            <w:pPr>
              <w:snapToGrid w:val="0"/>
              <w:spacing w:line="240" w:lineRule="atLeast"/>
              <w:jc w:val="center"/>
              <w:rPr>
                <w:rFonts w:hint="eastAsia" w:ascii="宋体" w:hAnsi="宋体"/>
                <w:b/>
                <w:bCs/>
                <w:szCs w:val="21"/>
              </w:rPr>
            </w:pPr>
            <w:r>
              <w:rPr>
                <w:rFonts w:hint="eastAsia" w:ascii="宋体" w:hAnsi="宋体"/>
                <w:b/>
                <w:bCs/>
                <w:szCs w:val="21"/>
              </w:rPr>
              <w:t xml:space="preserve">金额（元/年） </w:t>
            </w:r>
          </w:p>
        </w:tc>
        <w:tc>
          <w:tcPr>
            <w:tcW w:w="832" w:type="dxa"/>
            <w:tcBorders>
              <w:top w:val="single" w:color="auto" w:sz="4" w:space="0"/>
              <w:left w:val="single" w:color="auto" w:sz="4" w:space="0"/>
              <w:bottom w:val="single" w:color="auto" w:sz="4" w:space="0"/>
              <w:right w:val="single" w:color="auto" w:sz="4" w:space="0"/>
            </w:tcBorders>
            <w:vAlign w:val="center"/>
          </w:tcPr>
          <w:p w14:paraId="1C61709F">
            <w:pPr>
              <w:snapToGrid w:val="0"/>
              <w:spacing w:line="240" w:lineRule="atLeast"/>
              <w:jc w:val="center"/>
              <w:rPr>
                <w:rFonts w:hint="eastAsia" w:ascii="宋体" w:hAnsi="宋体"/>
                <w:b/>
                <w:bCs/>
                <w:szCs w:val="21"/>
              </w:rPr>
            </w:pPr>
            <w:r>
              <w:rPr>
                <w:rFonts w:hint="eastAsia" w:ascii="宋体" w:hAnsi="宋体"/>
                <w:b/>
                <w:bCs/>
                <w:szCs w:val="21"/>
              </w:rPr>
              <w:t>备注</w:t>
            </w:r>
          </w:p>
        </w:tc>
      </w:tr>
      <w:tr w14:paraId="4970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559" w:type="dxa"/>
            <w:tcBorders>
              <w:left w:val="single" w:color="auto" w:sz="4" w:space="0"/>
              <w:right w:val="single" w:color="auto" w:sz="4" w:space="0"/>
            </w:tcBorders>
            <w:vAlign w:val="center"/>
          </w:tcPr>
          <w:p w14:paraId="2B9310F7">
            <w:pPr>
              <w:snapToGrid w:val="0"/>
              <w:spacing w:line="240" w:lineRule="atLeast"/>
              <w:jc w:val="center"/>
              <w:rPr>
                <w:rFonts w:hint="eastAsia" w:ascii="宋体" w:hAnsi="宋体"/>
                <w:szCs w:val="21"/>
              </w:rPr>
            </w:pPr>
            <w:r>
              <w:rPr>
                <w:rFonts w:hint="eastAsia" w:ascii="宋体" w:hAnsi="宋体"/>
                <w:szCs w:val="21"/>
              </w:rPr>
              <w:t>启东市机关事务服务中心</w:t>
            </w:r>
          </w:p>
        </w:tc>
        <w:tc>
          <w:tcPr>
            <w:tcW w:w="2722" w:type="dxa"/>
            <w:tcBorders>
              <w:top w:val="single" w:color="auto" w:sz="4" w:space="0"/>
              <w:left w:val="single" w:color="auto" w:sz="4" w:space="0"/>
              <w:bottom w:val="single" w:color="auto" w:sz="4" w:space="0"/>
              <w:right w:val="single" w:color="auto" w:sz="4" w:space="0"/>
            </w:tcBorders>
            <w:vAlign w:val="center"/>
          </w:tcPr>
          <w:p w14:paraId="43FE8AE1">
            <w:pPr>
              <w:snapToGrid w:val="0"/>
              <w:spacing w:line="240" w:lineRule="atLeast"/>
              <w:ind w:firstLine="105" w:firstLineChars="50"/>
              <w:jc w:val="center"/>
              <w:rPr>
                <w:rFonts w:hint="eastAsia" w:ascii="宋体" w:hAnsi="宋体"/>
                <w:szCs w:val="21"/>
              </w:rPr>
            </w:pPr>
            <w:r>
              <w:rPr>
                <w:rFonts w:hint="eastAsia" w:ascii="宋体" w:hAnsi="宋体"/>
                <w:szCs w:val="21"/>
              </w:rPr>
              <w:t>启东市行政中心、人武部及其下属单位的保安服务</w:t>
            </w:r>
          </w:p>
        </w:tc>
        <w:tc>
          <w:tcPr>
            <w:tcW w:w="1866" w:type="dxa"/>
            <w:tcBorders>
              <w:top w:val="single" w:color="auto" w:sz="4" w:space="0"/>
              <w:left w:val="single" w:color="auto" w:sz="4" w:space="0"/>
              <w:bottom w:val="single" w:color="auto" w:sz="4" w:space="0"/>
              <w:right w:val="single" w:color="auto" w:sz="4" w:space="0"/>
            </w:tcBorders>
            <w:vAlign w:val="center"/>
          </w:tcPr>
          <w:p w14:paraId="1722A797">
            <w:pPr>
              <w:spacing w:line="500" w:lineRule="exact"/>
              <w:jc w:val="center"/>
              <w:rPr>
                <w:rFonts w:hint="eastAsia" w:ascii="宋体" w:hAnsi="宋体"/>
                <w:sz w:val="20"/>
                <w:szCs w:val="20"/>
              </w:rPr>
            </w:pPr>
            <w:r>
              <w:rPr>
                <w:rFonts w:hint="eastAsia" w:ascii="宋体" w:hAnsi="宋体"/>
                <w:sz w:val="20"/>
                <w:szCs w:val="20"/>
              </w:rPr>
              <w:t>1年</w:t>
            </w:r>
          </w:p>
        </w:tc>
        <w:tc>
          <w:tcPr>
            <w:tcW w:w="1611" w:type="dxa"/>
            <w:tcBorders>
              <w:top w:val="single" w:color="auto" w:sz="4" w:space="0"/>
              <w:left w:val="single" w:color="auto" w:sz="4" w:space="0"/>
              <w:bottom w:val="single" w:color="auto" w:sz="4" w:space="0"/>
              <w:right w:val="single" w:color="auto" w:sz="4" w:space="0"/>
            </w:tcBorders>
            <w:vAlign w:val="center"/>
          </w:tcPr>
          <w:p w14:paraId="27841B22">
            <w:pPr>
              <w:snapToGrid w:val="0"/>
              <w:spacing w:line="240" w:lineRule="atLeast"/>
              <w:jc w:val="center"/>
              <w:rPr>
                <w:rFonts w:hint="eastAsia" w:ascii="宋体" w:hAnsi="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1211A193">
            <w:pPr>
              <w:snapToGrid w:val="0"/>
              <w:spacing w:line="240" w:lineRule="atLeast"/>
              <w:jc w:val="center"/>
              <w:rPr>
                <w:rFonts w:hint="eastAsia" w:ascii="宋体" w:hAnsi="宋体"/>
                <w:szCs w:val="21"/>
              </w:rPr>
            </w:pPr>
          </w:p>
        </w:tc>
      </w:tr>
      <w:tr w14:paraId="412B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1559" w:type="dxa"/>
            <w:vMerge w:val="restart"/>
            <w:tcBorders>
              <w:left w:val="single" w:color="auto" w:sz="4" w:space="0"/>
              <w:right w:val="single" w:color="auto" w:sz="4" w:space="0"/>
            </w:tcBorders>
            <w:vAlign w:val="center"/>
          </w:tcPr>
          <w:p w14:paraId="1FEB5014">
            <w:pPr>
              <w:snapToGrid w:val="0"/>
              <w:spacing w:line="240" w:lineRule="atLeast"/>
              <w:jc w:val="center"/>
              <w:rPr>
                <w:rFonts w:hint="eastAsia" w:ascii="宋体" w:hAnsi="宋体"/>
                <w:szCs w:val="21"/>
              </w:rPr>
            </w:pPr>
            <w:r>
              <w:rPr>
                <w:rFonts w:hint="eastAsia" w:ascii="宋体" w:hAnsi="宋体"/>
                <w:szCs w:val="21"/>
              </w:rPr>
              <w:t>合计</w:t>
            </w:r>
          </w:p>
        </w:tc>
        <w:tc>
          <w:tcPr>
            <w:tcW w:w="7031" w:type="dxa"/>
            <w:gridSpan w:val="4"/>
            <w:tcBorders>
              <w:top w:val="single" w:color="auto" w:sz="4" w:space="0"/>
              <w:left w:val="single" w:color="auto" w:sz="4" w:space="0"/>
              <w:right w:val="single" w:color="auto" w:sz="4" w:space="0"/>
            </w:tcBorders>
            <w:vAlign w:val="center"/>
          </w:tcPr>
          <w:p w14:paraId="216BD733">
            <w:pPr>
              <w:snapToGrid w:val="0"/>
              <w:spacing w:line="240" w:lineRule="atLeast"/>
              <w:jc w:val="left"/>
              <w:rPr>
                <w:rFonts w:hint="eastAsia" w:ascii="宋体" w:hAnsi="宋体"/>
                <w:szCs w:val="21"/>
              </w:rPr>
            </w:pPr>
            <w:r>
              <w:rPr>
                <w:rFonts w:hint="eastAsia" w:ascii="宋体" w:hAnsi="宋体"/>
                <w:szCs w:val="21"/>
              </w:rPr>
              <w:t>大写（人民币）：</w:t>
            </w:r>
          </w:p>
        </w:tc>
      </w:tr>
      <w:tr w14:paraId="5CEE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559" w:type="dxa"/>
            <w:vMerge w:val="continue"/>
            <w:tcBorders>
              <w:left w:val="single" w:color="auto" w:sz="4" w:space="0"/>
              <w:right w:val="single" w:color="auto" w:sz="4" w:space="0"/>
            </w:tcBorders>
            <w:vAlign w:val="center"/>
          </w:tcPr>
          <w:p w14:paraId="3D0FA634">
            <w:pPr>
              <w:snapToGrid w:val="0"/>
              <w:spacing w:line="240" w:lineRule="atLeast"/>
              <w:jc w:val="center"/>
              <w:rPr>
                <w:rFonts w:hint="eastAsia" w:ascii="宋体" w:hAnsi="宋体"/>
                <w:szCs w:val="21"/>
              </w:rPr>
            </w:pPr>
          </w:p>
        </w:tc>
        <w:tc>
          <w:tcPr>
            <w:tcW w:w="7031" w:type="dxa"/>
            <w:gridSpan w:val="4"/>
            <w:tcBorders>
              <w:left w:val="single" w:color="auto" w:sz="4" w:space="0"/>
              <w:bottom w:val="single" w:color="auto" w:sz="4" w:space="0"/>
              <w:right w:val="single" w:color="auto" w:sz="4" w:space="0"/>
            </w:tcBorders>
            <w:vAlign w:val="center"/>
          </w:tcPr>
          <w:p w14:paraId="1C6800AB">
            <w:pPr>
              <w:snapToGrid w:val="0"/>
              <w:spacing w:line="240" w:lineRule="atLeast"/>
              <w:jc w:val="left"/>
              <w:rPr>
                <w:rFonts w:hint="eastAsia" w:ascii="宋体" w:hAnsi="宋体"/>
                <w:szCs w:val="21"/>
              </w:rPr>
            </w:pPr>
            <w:r>
              <w:rPr>
                <w:rFonts w:hint="eastAsia" w:ascii="宋体" w:hAnsi="宋体"/>
                <w:szCs w:val="21"/>
              </w:rPr>
              <w:t>小写（人民币）：</w:t>
            </w:r>
          </w:p>
        </w:tc>
      </w:tr>
    </w:tbl>
    <w:p w14:paraId="4154205D">
      <w:pPr>
        <w:snapToGrid w:val="0"/>
        <w:spacing w:line="300" w:lineRule="auto"/>
        <w:ind w:firstLine="562" w:firstLineChars="200"/>
        <w:outlineLvl w:val="0"/>
        <w:rPr>
          <w:rFonts w:hint="eastAsia" w:ascii="宋体" w:hAnsi="宋体" w:eastAsia="宋体" w:cs="宋体"/>
          <w:b/>
          <w:sz w:val="28"/>
          <w:szCs w:val="28"/>
          <w:lang w:eastAsia="zh-CN"/>
        </w:rPr>
      </w:pPr>
      <w:r>
        <w:rPr>
          <w:rFonts w:hint="eastAsia" w:ascii="宋体" w:hAnsi="宋体" w:cs="宋体"/>
          <w:b/>
          <w:sz w:val="28"/>
          <w:szCs w:val="28"/>
        </w:rPr>
        <w:t>附：费用明细组成表</w:t>
      </w:r>
      <w:r>
        <w:rPr>
          <w:rFonts w:hint="eastAsia" w:ascii="宋体" w:hAnsi="宋体" w:cs="宋体"/>
          <w:b/>
          <w:sz w:val="28"/>
          <w:szCs w:val="28"/>
          <w:lang w:eastAsia="zh-CN"/>
        </w:rPr>
        <w:t>。</w:t>
      </w:r>
    </w:p>
    <w:p w14:paraId="536A56F7">
      <w:pPr>
        <w:pStyle w:val="42"/>
        <w:rPr>
          <w:rFonts w:hint="eastAsia" w:ascii="仿宋_GB2312" w:hAnsi="宋体" w:eastAsia="仿宋_GB2312"/>
          <w:sz w:val="28"/>
          <w:szCs w:val="28"/>
        </w:rPr>
      </w:pPr>
    </w:p>
    <w:p w14:paraId="3B6290E9">
      <w:pPr>
        <w:tabs>
          <w:tab w:val="left" w:pos="0"/>
        </w:tabs>
        <w:spacing w:line="600" w:lineRule="exact"/>
        <w:jc w:val="left"/>
        <w:rPr>
          <w:rFonts w:ascii="宋体" w:cs="宋体"/>
          <w:color w:val="000000"/>
          <w:sz w:val="24"/>
        </w:rPr>
      </w:pPr>
      <w:r>
        <w:rPr>
          <w:rFonts w:hint="eastAsia" w:ascii="宋体" w:hAnsi="宋体" w:cs="宋体"/>
          <w:color w:val="000000"/>
          <w:sz w:val="24"/>
        </w:rPr>
        <w:t>供应商名称（公章）：</w:t>
      </w:r>
      <w:r>
        <w:rPr>
          <w:rFonts w:hint="eastAsia" w:ascii="宋体" w:hAnsi="宋体" w:cs="宋体"/>
          <w:color w:val="000000"/>
          <w:sz w:val="24"/>
          <w:u w:val="single"/>
        </w:rPr>
        <w:t xml:space="preserve">                  </w:t>
      </w:r>
    </w:p>
    <w:p w14:paraId="0C50F2D3">
      <w:pPr>
        <w:spacing w:line="600" w:lineRule="exact"/>
        <w:jc w:val="left"/>
        <w:rPr>
          <w:rFonts w:ascii="宋体" w:cs="宋体"/>
          <w:color w:val="000000"/>
          <w:sz w:val="24"/>
        </w:rPr>
      </w:pPr>
      <w:r>
        <w:rPr>
          <w:rFonts w:hint="eastAsia" w:ascii="宋体" w:hAnsi="宋体" w:cs="宋体"/>
          <w:color w:val="000000"/>
          <w:sz w:val="24"/>
        </w:rPr>
        <w:t>法定代表人或被授权人（签字或盖章）：</w:t>
      </w:r>
      <w:r>
        <w:rPr>
          <w:rFonts w:hint="eastAsia" w:ascii="宋体" w:hAnsi="宋体" w:cs="宋体"/>
          <w:color w:val="000000"/>
          <w:sz w:val="24"/>
          <w:u w:val="single"/>
        </w:rPr>
        <w:t xml:space="preserve">             </w:t>
      </w:r>
    </w:p>
    <w:p w14:paraId="1008ABED">
      <w:pPr>
        <w:rPr>
          <w:lang w:val="zh-CN"/>
        </w:rPr>
      </w:pPr>
    </w:p>
    <w:p w14:paraId="0C4B0A82">
      <w:pPr>
        <w:snapToGrid w:val="0"/>
        <w:spacing w:line="500" w:lineRule="exact"/>
        <w:ind w:firstLine="480" w:firstLineChars="200"/>
        <w:rPr>
          <w:rFonts w:hint="eastAsia" w:ascii="宋体" w:hAnsi="宋体" w:cs="宋体"/>
          <w:b/>
          <w:sz w:val="24"/>
          <w:lang w:val="zh-CN"/>
        </w:rPr>
      </w:pPr>
      <w:r>
        <w:rPr>
          <w:rFonts w:hint="eastAsia" w:ascii="宋体" w:hAnsi="宋体" w:cs="宋体"/>
          <w:color w:val="000000"/>
          <w:sz w:val="24"/>
        </w:rPr>
        <w:t>年   月   日</w:t>
      </w:r>
    </w:p>
    <w:p w14:paraId="766D63BB">
      <w:pPr>
        <w:pStyle w:val="2"/>
        <w:rPr>
          <w:rFonts w:hint="eastAsia"/>
          <w:lang w:val="zh-CN"/>
        </w:rPr>
      </w:pPr>
    </w:p>
    <w:p w14:paraId="736C493C">
      <w:pPr>
        <w:pStyle w:val="2"/>
        <w:rPr>
          <w:lang w:val="zh-CN"/>
        </w:rPr>
      </w:pPr>
    </w:p>
    <w:p w14:paraId="1C426F72">
      <w:pPr>
        <w:snapToGrid w:val="0"/>
        <w:spacing w:line="500" w:lineRule="exact"/>
        <w:rPr>
          <w:rFonts w:hint="eastAsia" w:ascii="宋体" w:hAnsi="宋体" w:cs="宋体"/>
          <w:b/>
          <w:sz w:val="24"/>
          <w:lang w:val="zh-CN"/>
        </w:rPr>
      </w:pPr>
    </w:p>
    <w:p w14:paraId="3BBA2A94">
      <w:pPr>
        <w:pStyle w:val="42"/>
        <w:rPr>
          <w:rFonts w:hint="eastAsia" w:ascii="仿宋_GB2312" w:hAnsi="宋体" w:eastAsia="仿宋_GB2312"/>
          <w:sz w:val="28"/>
          <w:szCs w:val="28"/>
        </w:rPr>
        <w:sectPr>
          <w:pgSz w:w="11907" w:h="16839"/>
          <w:pgMar w:top="1440" w:right="1800" w:bottom="1440" w:left="1800" w:header="720" w:footer="737" w:gutter="0"/>
          <w:cols w:space="1701" w:num="1"/>
          <w:docGrid w:linePitch="360" w:charSpace="0"/>
        </w:sectPr>
      </w:pPr>
    </w:p>
    <w:p w14:paraId="70003226">
      <w:pPr>
        <w:pStyle w:val="42"/>
        <w:rPr>
          <w:rFonts w:hint="eastAsia" w:ascii="宋体" w:hAnsi="宋体" w:cs="宋体"/>
          <w:b/>
          <w:bCs/>
          <w:sz w:val="28"/>
          <w:szCs w:val="28"/>
        </w:rPr>
      </w:pPr>
      <w:r>
        <w:rPr>
          <w:rFonts w:hint="eastAsia" w:ascii="宋体" w:hAnsi="宋体" w:cs="宋体"/>
          <w:b/>
          <w:bCs/>
          <w:sz w:val="28"/>
          <w:szCs w:val="28"/>
        </w:rPr>
        <w:t>附表：</w:t>
      </w:r>
    </w:p>
    <w:p w14:paraId="5290D975">
      <w:pPr>
        <w:pStyle w:val="42"/>
        <w:jc w:val="center"/>
        <w:rPr>
          <w:rFonts w:hint="eastAsia" w:ascii="宋体" w:hAnsi="宋体" w:cs="宋体"/>
          <w:b/>
          <w:bCs/>
          <w:sz w:val="28"/>
          <w:szCs w:val="28"/>
        </w:rPr>
      </w:pPr>
      <w:r>
        <w:rPr>
          <w:rFonts w:hint="eastAsia" w:ascii="Calibri" w:hAnsi="Calibri"/>
          <w:b/>
          <w:bCs/>
          <w:sz w:val="32"/>
          <w:szCs w:val="32"/>
        </w:rPr>
        <w:t>费用明细组成表</w:t>
      </w:r>
    </w:p>
    <w:p w14:paraId="19F34EE0">
      <w:pPr>
        <w:pStyle w:val="42"/>
        <w:rPr>
          <w:rFonts w:hint="eastAsia" w:ascii="宋体" w:hAnsi="宋体" w:cs="宋体"/>
          <w:b/>
          <w:bCs/>
          <w:sz w:val="28"/>
          <w:szCs w:val="28"/>
        </w:rPr>
      </w:pPr>
    </w:p>
    <w:p w14:paraId="26259409">
      <w:pPr>
        <w:pStyle w:val="42"/>
        <w:rPr>
          <w:rFonts w:hint="eastAsia" w:ascii="宋体" w:hAnsi="宋体" w:cs="宋体"/>
          <w:b/>
          <w:bCs/>
          <w:sz w:val="28"/>
          <w:szCs w:val="28"/>
        </w:rPr>
      </w:pPr>
      <w:r>
        <w:rPr>
          <w:rFonts w:hint="eastAsia" w:ascii="宋体" w:hAnsi="宋体" w:cs="宋体"/>
          <w:b/>
          <w:bCs/>
          <w:sz w:val="28"/>
          <w:szCs w:val="28"/>
        </w:rPr>
        <w:t>项目名称：启东市行政中心保安服务项目</w:t>
      </w:r>
    </w:p>
    <w:tbl>
      <w:tblPr>
        <w:tblStyle w:val="35"/>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575"/>
        <w:gridCol w:w="859"/>
        <w:gridCol w:w="1329"/>
        <w:gridCol w:w="1340"/>
        <w:gridCol w:w="1794"/>
      </w:tblGrid>
      <w:tr w14:paraId="3828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96" w:type="pct"/>
            <w:vAlign w:val="center"/>
          </w:tcPr>
          <w:p w14:paraId="0AACDAA4">
            <w:pPr>
              <w:adjustRightInd w:val="0"/>
              <w:snapToGrid w:val="0"/>
              <w:spacing w:line="300" w:lineRule="exact"/>
              <w:jc w:val="center"/>
              <w:textAlignment w:val="baseline"/>
              <w:rPr>
                <w:rFonts w:hint="eastAsia" w:ascii="宋体" w:hAnsi="宋体" w:cs="宋体"/>
                <w:b/>
                <w:sz w:val="24"/>
              </w:rPr>
            </w:pPr>
            <w:r>
              <w:rPr>
                <w:rFonts w:hint="eastAsia" w:ascii="宋体" w:hAnsi="宋体" w:cs="宋体"/>
                <w:b/>
                <w:sz w:val="24"/>
              </w:rPr>
              <w:t>序号</w:t>
            </w:r>
          </w:p>
        </w:tc>
        <w:tc>
          <w:tcPr>
            <w:tcW w:w="1501" w:type="pct"/>
            <w:vAlign w:val="center"/>
          </w:tcPr>
          <w:p w14:paraId="244C6FFD">
            <w:pPr>
              <w:adjustRightInd w:val="0"/>
              <w:snapToGrid w:val="0"/>
              <w:spacing w:line="300" w:lineRule="exact"/>
              <w:ind w:firstLine="241" w:firstLineChars="100"/>
              <w:jc w:val="center"/>
              <w:textAlignment w:val="baseline"/>
              <w:rPr>
                <w:rFonts w:hint="eastAsia" w:ascii="宋体" w:hAnsi="宋体" w:cs="宋体"/>
                <w:b/>
                <w:sz w:val="24"/>
              </w:rPr>
            </w:pPr>
            <w:r>
              <w:rPr>
                <w:rFonts w:hint="eastAsia" w:ascii="宋体" w:hAnsi="宋体" w:cs="宋体"/>
                <w:b/>
                <w:sz w:val="24"/>
              </w:rPr>
              <w:t>岗位</w:t>
            </w:r>
          </w:p>
        </w:tc>
        <w:tc>
          <w:tcPr>
            <w:tcW w:w="501" w:type="pct"/>
            <w:vAlign w:val="center"/>
          </w:tcPr>
          <w:p w14:paraId="23710F69">
            <w:pPr>
              <w:adjustRightInd w:val="0"/>
              <w:snapToGrid w:val="0"/>
              <w:spacing w:line="300" w:lineRule="exact"/>
              <w:jc w:val="center"/>
              <w:textAlignment w:val="baseline"/>
              <w:rPr>
                <w:rFonts w:hint="eastAsia" w:ascii="宋体" w:hAnsi="宋体" w:cs="宋体"/>
                <w:b/>
                <w:sz w:val="24"/>
              </w:rPr>
            </w:pPr>
            <w:r>
              <w:rPr>
                <w:rFonts w:hint="eastAsia" w:ascii="宋体" w:hAnsi="宋体" w:cs="宋体"/>
                <w:b/>
                <w:sz w:val="24"/>
              </w:rPr>
              <w:t>人数</w:t>
            </w:r>
          </w:p>
        </w:tc>
        <w:tc>
          <w:tcPr>
            <w:tcW w:w="775" w:type="pct"/>
            <w:vAlign w:val="center"/>
          </w:tcPr>
          <w:p w14:paraId="4368E219">
            <w:pPr>
              <w:adjustRightInd w:val="0"/>
              <w:snapToGrid w:val="0"/>
              <w:spacing w:line="300" w:lineRule="exact"/>
              <w:jc w:val="center"/>
              <w:textAlignment w:val="baseline"/>
              <w:rPr>
                <w:rFonts w:hint="eastAsia" w:ascii="宋体" w:hAnsi="宋体" w:cs="宋体"/>
                <w:b/>
                <w:sz w:val="24"/>
              </w:rPr>
            </w:pPr>
            <w:r>
              <w:rPr>
                <w:rFonts w:hint="eastAsia" w:ascii="宋体" w:hAnsi="宋体" w:cs="宋体"/>
                <w:b/>
                <w:sz w:val="24"/>
              </w:rPr>
              <w:t>月度工资</w:t>
            </w:r>
          </w:p>
          <w:p w14:paraId="29B6A057">
            <w:pPr>
              <w:adjustRightInd w:val="0"/>
              <w:snapToGrid w:val="0"/>
              <w:spacing w:line="300" w:lineRule="exact"/>
              <w:jc w:val="center"/>
              <w:textAlignment w:val="baseline"/>
              <w:rPr>
                <w:rFonts w:hint="eastAsia" w:ascii="宋体" w:hAnsi="宋体" w:cs="宋体"/>
                <w:b/>
                <w:sz w:val="24"/>
              </w:rPr>
            </w:pPr>
            <w:r>
              <w:rPr>
                <w:rFonts w:hint="eastAsia" w:ascii="宋体" w:hAnsi="宋体" w:cs="宋体"/>
                <w:b/>
                <w:sz w:val="24"/>
              </w:rPr>
              <w:t>（元）</w:t>
            </w:r>
          </w:p>
        </w:tc>
        <w:tc>
          <w:tcPr>
            <w:tcW w:w="781" w:type="pct"/>
            <w:vAlign w:val="center"/>
          </w:tcPr>
          <w:p w14:paraId="5E31F97A">
            <w:pPr>
              <w:adjustRightInd w:val="0"/>
              <w:snapToGrid w:val="0"/>
              <w:spacing w:line="300" w:lineRule="exact"/>
              <w:jc w:val="center"/>
              <w:textAlignment w:val="baseline"/>
              <w:rPr>
                <w:rFonts w:hint="eastAsia" w:ascii="宋体" w:hAnsi="宋体" w:cs="宋体"/>
                <w:b/>
                <w:sz w:val="24"/>
              </w:rPr>
            </w:pPr>
            <w:r>
              <w:rPr>
                <w:rFonts w:hint="eastAsia" w:ascii="宋体" w:hAnsi="宋体" w:cs="宋体"/>
                <w:b/>
                <w:sz w:val="24"/>
              </w:rPr>
              <w:t>年度工资</w:t>
            </w:r>
          </w:p>
          <w:p w14:paraId="3E3CAF49">
            <w:pPr>
              <w:adjustRightInd w:val="0"/>
              <w:snapToGrid w:val="0"/>
              <w:spacing w:line="300" w:lineRule="exact"/>
              <w:jc w:val="center"/>
              <w:textAlignment w:val="baseline"/>
              <w:rPr>
                <w:rFonts w:hint="eastAsia" w:ascii="宋体" w:hAnsi="宋体" w:cs="宋体"/>
                <w:b/>
                <w:sz w:val="24"/>
              </w:rPr>
            </w:pPr>
            <w:r>
              <w:rPr>
                <w:rFonts w:hint="eastAsia" w:ascii="宋体" w:hAnsi="宋体" w:cs="宋体"/>
                <w:b/>
                <w:sz w:val="24"/>
              </w:rPr>
              <w:t>（元）</w:t>
            </w:r>
          </w:p>
        </w:tc>
        <w:tc>
          <w:tcPr>
            <w:tcW w:w="1041" w:type="pct"/>
            <w:vAlign w:val="center"/>
          </w:tcPr>
          <w:p w14:paraId="391D67ED">
            <w:pPr>
              <w:adjustRightInd w:val="0"/>
              <w:snapToGrid w:val="0"/>
              <w:spacing w:line="300" w:lineRule="exact"/>
              <w:jc w:val="center"/>
              <w:textAlignment w:val="baseline"/>
              <w:rPr>
                <w:rFonts w:hint="eastAsia" w:ascii="宋体" w:hAnsi="宋体" w:cs="宋体"/>
                <w:b/>
                <w:sz w:val="24"/>
                <w:szCs w:val="22"/>
              </w:rPr>
            </w:pPr>
            <w:r>
              <w:rPr>
                <w:rFonts w:hint="eastAsia" w:ascii="宋体" w:hAnsi="宋体" w:cs="宋体"/>
                <w:b/>
                <w:sz w:val="24"/>
              </w:rPr>
              <w:t>备注</w:t>
            </w:r>
          </w:p>
        </w:tc>
      </w:tr>
      <w:tr w14:paraId="247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96" w:type="pct"/>
            <w:vAlign w:val="center"/>
          </w:tcPr>
          <w:p w14:paraId="0C3C18B2">
            <w:pPr>
              <w:adjustRightInd w:val="0"/>
              <w:snapToGrid w:val="0"/>
              <w:spacing w:line="300" w:lineRule="exact"/>
              <w:jc w:val="center"/>
              <w:textAlignment w:val="baseline"/>
              <w:rPr>
                <w:rFonts w:hint="eastAsia" w:ascii="宋体" w:hAnsi="宋体" w:cs="宋体"/>
                <w:sz w:val="24"/>
              </w:rPr>
            </w:pPr>
            <w:r>
              <w:rPr>
                <w:rFonts w:hint="eastAsia" w:ascii="宋体" w:hAnsi="宋体" w:cs="宋体"/>
                <w:sz w:val="24"/>
              </w:rPr>
              <w:t>1</w:t>
            </w:r>
          </w:p>
        </w:tc>
        <w:tc>
          <w:tcPr>
            <w:tcW w:w="1501" w:type="pct"/>
            <w:vAlign w:val="center"/>
          </w:tcPr>
          <w:p w14:paraId="788C1AFC">
            <w:pPr>
              <w:adjustRightInd w:val="0"/>
              <w:snapToGrid w:val="0"/>
              <w:spacing w:line="300" w:lineRule="exact"/>
              <w:jc w:val="center"/>
              <w:textAlignment w:val="baseline"/>
              <w:rPr>
                <w:rFonts w:hint="eastAsia" w:ascii="宋体" w:hAnsi="宋体" w:cs="宋体"/>
                <w:szCs w:val="21"/>
              </w:rPr>
            </w:pPr>
          </w:p>
        </w:tc>
        <w:tc>
          <w:tcPr>
            <w:tcW w:w="501" w:type="pct"/>
            <w:vAlign w:val="center"/>
          </w:tcPr>
          <w:p w14:paraId="31F429D6">
            <w:pPr>
              <w:adjustRightInd w:val="0"/>
              <w:snapToGrid w:val="0"/>
              <w:spacing w:line="300" w:lineRule="exact"/>
              <w:jc w:val="center"/>
              <w:textAlignment w:val="baseline"/>
              <w:rPr>
                <w:rFonts w:hint="eastAsia" w:ascii="宋体" w:hAnsi="宋体" w:cs="宋体"/>
                <w:szCs w:val="21"/>
              </w:rPr>
            </w:pPr>
          </w:p>
        </w:tc>
        <w:tc>
          <w:tcPr>
            <w:tcW w:w="775" w:type="pct"/>
            <w:vAlign w:val="center"/>
          </w:tcPr>
          <w:p w14:paraId="7EF5CCFB">
            <w:pPr>
              <w:adjustRightInd w:val="0"/>
              <w:snapToGrid w:val="0"/>
              <w:spacing w:line="300" w:lineRule="exact"/>
              <w:jc w:val="center"/>
              <w:textAlignment w:val="baseline"/>
              <w:rPr>
                <w:rFonts w:hint="eastAsia" w:ascii="宋体" w:hAnsi="宋体" w:cs="宋体"/>
                <w:szCs w:val="21"/>
              </w:rPr>
            </w:pPr>
          </w:p>
        </w:tc>
        <w:tc>
          <w:tcPr>
            <w:tcW w:w="781" w:type="pct"/>
            <w:vAlign w:val="center"/>
          </w:tcPr>
          <w:p w14:paraId="36C5BC02">
            <w:pPr>
              <w:adjustRightInd w:val="0"/>
              <w:snapToGrid w:val="0"/>
              <w:spacing w:line="300" w:lineRule="exact"/>
              <w:jc w:val="center"/>
              <w:textAlignment w:val="baseline"/>
              <w:rPr>
                <w:rFonts w:hint="eastAsia" w:ascii="宋体" w:hAnsi="宋体" w:cs="宋体"/>
                <w:szCs w:val="21"/>
              </w:rPr>
            </w:pPr>
          </w:p>
        </w:tc>
        <w:tc>
          <w:tcPr>
            <w:tcW w:w="1041" w:type="pct"/>
            <w:vAlign w:val="center"/>
          </w:tcPr>
          <w:p w14:paraId="5ACA7842">
            <w:pPr>
              <w:adjustRightInd w:val="0"/>
              <w:snapToGrid w:val="0"/>
              <w:spacing w:line="300" w:lineRule="exact"/>
              <w:jc w:val="center"/>
              <w:textAlignment w:val="baseline"/>
              <w:rPr>
                <w:rFonts w:hint="eastAsia" w:ascii="宋体" w:hAnsi="宋体" w:cs="宋体"/>
                <w:szCs w:val="21"/>
              </w:rPr>
            </w:pPr>
          </w:p>
        </w:tc>
      </w:tr>
      <w:tr w14:paraId="7A50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96" w:type="pct"/>
            <w:vAlign w:val="center"/>
          </w:tcPr>
          <w:p w14:paraId="2173FD6A">
            <w:pPr>
              <w:adjustRightInd w:val="0"/>
              <w:snapToGrid w:val="0"/>
              <w:spacing w:line="300" w:lineRule="exact"/>
              <w:jc w:val="center"/>
              <w:textAlignment w:val="baseline"/>
              <w:rPr>
                <w:rFonts w:hint="eastAsia" w:ascii="宋体" w:hAnsi="宋体" w:cs="宋体"/>
                <w:sz w:val="24"/>
              </w:rPr>
            </w:pPr>
            <w:r>
              <w:rPr>
                <w:rFonts w:hint="eastAsia" w:ascii="宋体" w:hAnsi="宋体" w:cs="宋体"/>
                <w:sz w:val="24"/>
              </w:rPr>
              <w:t>2</w:t>
            </w:r>
          </w:p>
        </w:tc>
        <w:tc>
          <w:tcPr>
            <w:tcW w:w="1501" w:type="pct"/>
            <w:vAlign w:val="center"/>
          </w:tcPr>
          <w:p w14:paraId="79CD8FD7">
            <w:pPr>
              <w:adjustRightInd w:val="0"/>
              <w:snapToGrid w:val="0"/>
              <w:spacing w:line="300" w:lineRule="exact"/>
              <w:jc w:val="center"/>
              <w:textAlignment w:val="baseline"/>
              <w:rPr>
                <w:rFonts w:hint="eastAsia" w:ascii="宋体" w:hAnsi="宋体" w:cs="宋体"/>
                <w:szCs w:val="21"/>
              </w:rPr>
            </w:pPr>
          </w:p>
        </w:tc>
        <w:tc>
          <w:tcPr>
            <w:tcW w:w="501" w:type="pct"/>
            <w:vAlign w:val="center"/>
          </w:tcPr>
          <w:p w14:paraId="5E141E1E">
            <w:pPr>
              <w:adjustRightInd w:val="0"/>
              <w:snapToGrid w:val="0"/>
              <w:spacing w:line="300" w:lineRule="exact"/>
              <w:jc w:val="center"/>
              <w:textAlignment w:val="baseline"/>
              <w:rPr>
                <w:rFonts w:hint="eastAsia" w:ascii="宋体" w:hAnsi="宋体" w:cs="宋体"/>
                <w:szCs w:val="21"/>
              </w:rPr>
            </w:pPr>
          </w:p>
        </w:tc>
        <w:tc>
          <w:tcPr>
            <w:tcW w:w="775" w:type="pct"/>
            <w:vAlign w:val="center"/>
          </w:tcPr>
          <w:p w14:paraId="44D45E35">
            <w:pPr>
              <w:adjustRightInd w:val="0"/>
              <w:snapToGrid w:val="0"/>
              <w:spacing w:line="300" w:lineRule="exact"/>
              <w:jc w:val="center"/>
              <w:textAlignment w:val="baseline"/>
              <w:rPr>
                <w:rFonts w:hint="eastAsia" w:ascii="宋体" w:hAnsi="宋体" w:cs="宋体"/>
                <w:szCs w:val="21"/>
              </w:rPr>
            </w:pPr>
          </w:p>
        </w:tc>
        <w:tc>
          <w:tcPr>
            <w:tcW w:w="781" w:type="pct"/>
            <w:vAlign w:val="center"/>
          </w:tcPr>
          <w:p w14:paraId="222EF404">
            <w:pPr>
              <w:adjustRightInd w:val="0"/>
              <w:snapToGrid w:val="0"/>
              <w:spacing w:line="300" w:lineRule="exact"/>
              <w:jc w:val="center"/>
              <w:textAlignment w:val="baseline"/>
              <w:rPr>
                <w:rFonts w:hint="eastAsia" w:ascii="宋体" w:hAnsi="宋体" w:cs="宋体"/>
                <w:szCs w:val="21"/>
              </w:rPr>
            </w:pPr>
          </w:p>
        </w:tc>
        <w:tc>
          <w:tcPr>
            <w:tcW w:w="1041" w:type="pct"/>
            <w:vAlign w:val="center"/>
          </w:tcPr>
          <w:p w14:paraId="7E541258">
            <w:pPr>
              <w:adjustRightInd w:val="0"/>
              <w:snapToGrid w:val="0"/>
              <w:spacing w:line="300" w:lineRule="exact"/>
              <w:jc w:val="center"/>
              <w:textAlignment w:val="baseline"/>
              <w:rPr>
                <w:rFonts w:hint="eastAsia" w:ascii="宋体" w:hAnsi="宋体" w:cs="宋体"/>
                <w:szCs w:val="21"/>
              </w:rPr>
            </w:pPr>
          </w:p>
        </w:tc>
      </w:tr>
      <w:tr w14:paraId="7161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96" w:type="pct"/>
            <w:vAlign w:val="center"/>
          </w:tcPr>
          <w:p w14:paraId="04DAE8FB">
            <w:pPr>
              <w:adjustRightInd w:val="0"/>
              <w:snapToGrid w:val="0"/>
              <w:spacing w:line="300" w:lineRule="exact"/>
              <w:jc w:val="center"/>
              <w:textAlignment w:val="baseline"/>
              <w:rPr>
                <w:rFonts w:hint="eastAsia" w:ascii="宋体" w:hAnsi="宋体" w:cs="宋体"/>
                <w:sz w:val="24"/>
              </w:rPr>
            </w:pPr>
            <w:r>
              <w:rPr>
                <w:rFonts w:hint="eastAsia" w:ascii="宋体" w:hAnsi="宋体" w:cs="宋体"/>
                <w:sz w:val="24"/>
              </w:rPr>
              <w:t>3</w:t>
            </w:r>
          </w:p>
        </w:tc>
        <w:tc>
          <w:tcPr>
            <w:tcW w:w="1501" w:type="pct"/>
            <w:vAlign w:val="center"/>
          </w:tcPr>
          <w:p w14:paraId="5D289AC2">
            <w:pPr>
              <w:adjustRightInd w:val="0"/>
              <w:snapToGrid w:val="0"/>
              <w:spacing w:line="300" w:lineRule="exact"/>
              <w:jc w:val="center"/>
              <w:textAlignment w:val="baseline"/>
              <w:rPr>
                <w:rFonts w:hint="eastAsia" w:ascii="宋体" w:hAnsi="宋体" w:cs="宋体"/>
                <w:szCs w:val="21"/>
              </w:rPr>
            </w:pPr>
          </w:p>
        </w:tc>
        <w:tc>
          <w:tcPr>
            <w:tcW w:w="501" w:type="pct"/>
            <w:vAlign w:val="center"/>
          </w:tcPr>
          <w:p w14:paraId="79C5D971">
            <w:pPr>
              <w:adjustRightInd w:val="0"/>
              <w:snapToGrid w:val="0"/>
              <w:spacing w:line="300" w:lineRule="exact"/>
              <w:jc w:val="center"/>
              <w:textAlignment w:val="baseline"/>
              <w:rPr>
                <w:rFonts w:hint="eastAsia" w:ascii="宋体" w:hAnsi="宋体" w:cs="宋体"/>
                <w:szCs w:val="21"/>
              </w:rPr>
            </w:pPr>
          </w:p>
        </w:tc>
        <w:tc>
          <w:tcPr>
            <w:tcW w:w="775" w:type="pct"/>
            <w:vAlign w:val="center"/>
          </w:tcPr>
          <w:p w14:paraId="3633C381">
            <w:pPr>
              <w:adjustRightInd w:val="0"/>
              <w:snapToGrid w:val="0"/>
              <w:spacing w:line="300" w:lineRule="exact"/>
              <w:jc w:val="center"/>
              <w:textAlignment w:val="baseline"/>
              <w:rPr>
                <w:rFonts w:hint="eastAsia" w:ascii="宋体" w:hAnsi="宋体" w:cs="宋体"/>
                <w:szCs w:val="21"/>
              </w:rPr>
            </w:pPr>
          </w:p>
        </w:tc>
        <w:tc>
          <w:tcPr>
            <w:tcW w:w="781" w:type="pct"/>
            <w:vAlign w:val="center"/>
          </w:tcPr>
          <w:p w14:paraId="7AE004A6">
            <w:pPr>
              <w:adjustRightInd w:val="0"/>
              <w:snapToGrid w:val="0"/>
              <w:spacing w:line="300" w:lineRule="exact"/>
              <w:jc w:val="center"/>
              <w:textAlignment w:val="baseline"/>
              <w:rPr>
                <w:rFonts w:hint="eastAsia" w:ascii="宋体" w:hAnsi="宋体" w:cs="宋体"/>
                <w:szCs w:val="21"/>
              </w:rPr>
            </w:pPr>
          </w:p>
        </w:tc>
        <w:tc>
          <w:tcPr>
            <w:tcW w:w="1041" w:type="pct"/>
            <w:vAlign w:val="center"/>
          </w:tcPr>
          <w:p w14:paraId="7F1F5DDF">
            <w:pPr>
              <w:adjustRightInd w:val="0"/>
              <w:snapToGrid w:val="0"/>
              <w:spacing w:line="300" w:lineRule="exact"/>
              <w:jc w:val="center"/>
              <w:textAlignment w:val="baseline"/>
              <w:rPr>
                <w:rFonts w:hint="eastAsia" w:ascii="宋体" w:hAnsi="宋体" w:cs="宋体"/>
                <w:szCs w:val="21"/>
              </w:rPr>
            </w:pPr>
          </w:p>
        </w:tc>
      </w:tr>
      <w:tr w14:paraId="1815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96" w:type="pct"/>
            <w:vAlign w:val="center"/>
          </w:tcPr>
          <w:p w14:paraId="3631955A">
            <w:pPr>
              <w:adjustRightInd w:val="0"/>
              <w:snapToGrid w:val="0"/>
              <w:spacing w:line="300" w:lineRule="exact"/>
              <w:jc w:val="center"/>
              <w:textAlignment w:val="baseline"/>
              <w:rPr>
                <w:rFonts w:hint="eastAsia" w:ascii="宋体" w:hAnsi="宋体" w:cs="宋体"/>
                <w:sz w:val="24"/>
              </w:rPr>
            </w:pPr>
            <w:r>
              <w:rPr>
                <w:rFonts w:hint="eastAsia" w:ascii="宋体" w:hAnsi="宋体" w:cs="宋体"/>
                <w:sz w:val="24"/>
              </w:rPr>
              <w:t>4</w:t>
            </w:r>
          </w:p>
        </w:tc>
        <w:tc>
          <w:tcPr>
            <w:tcW w:w="1501" w:type="pct"/>
            <w:vAlign w:val="center"/>
          </w:tcPr>
          <w:p w14:paraId="273B7B6F">
            <w:pPr>
              <w:adjustRightInd w:val="0"/>
              <w:snapToGrid w:val="0"/>
              <w:spacing w:line="300" w:lineRule="exact"/>
              <w:jc w:val="center"/>
              <w:textAlignment w:val="baseline"/>
              <w:rPr>
                <w:rFonts w:hint="eastAsia" w:ascii="宋体" w:hAnsi="宋体" w:cs="宋体"/>
                <w:szCs w:val="21"/>
              </w:rPr>
            </w:pPr>
          </w:p>
        </w:tc>
        <w:tc>
          <w:tcPr>
            <w:tcW w:w="501" w:type="pct"/>
            <w:vAlign w:val="center"/>
          </w:tcPr>
          <w:p w14:paraId="2FFB0DB8">
            <w:pPr>
              <w:adjustRightInd w:val="0"/>
              <w:snapToGrid w:val="0"/>
              <w:spacing w:line="300" w:lineRule="exact"/>
              <w:jc w:val="center"/>
              <w:textAlignment w:val="baseline"/>
              <w:rPr>
                <w:rFonts w:hint="eastAsia" w:ascii="宋体" w:hAnsi="宋体" w:cs="宋体"/>
                <w:szCs w:val="21"/>
              </w:rPr>
            </w:pPr>
          </w:p>
        </w:tc>
        <w:tc>
          <w:tcPr>
            <w:tcW w:w="775" w:type="pct"/>
            <w:vAlign w:val="center"/>
          </w:tcPr>
          <w:p w14:paraId="4D4A0EC1">
            <w:pPr>
              <w:adjustRightInd w:val="0"/>
              <w:snapToGrid w:val="0"/>
              <w:spacing w:line="300" w:lineRule="exact"/>
              <w:jc w:val="center"/>
              <w:textAlignment w:val="baseline"/>
              <w:rPr>
                <w:rFonts w:hint="eastAsia" w:ascii="宋体" w:hAnsi="宋体" w:cs="宋体"/>
                <w:szCs w:val="21"/>
              </w:rPr>
            </w:pPr>
          </w:p>
        </w:tc>
        <w:tc>
          <w:tcPr>
            <w:tcW w:w="781" w:type="pct"/>
            <w:vAlign w:val="center"/>
          </w:tcPr>
          <w:p w14:paraId="2D24E3D2">
            <w:pPr>
              <w:adjustRightInd w:val="0"/>
              <w:snapToGrid w:val="0"/>
              <w:spacing w:line="300" w:lineRule="exact"/>
              <w:jc w:val="center"/>
              <w:textAlignment w:val="baseline"/>
              <w:rPr>
                <w:rFonts w:hint="eastAsia" w:ascii="宋体" w:hAnsi="宋体" w:cs="宋体"/>
                <w:szCs w:val="21"/>
              </w:rPr>
            </w:pPr>
          </w:p>
        </w:tc>
        <w:tc>
          <w:tcPr>
            <w:tcW w:w="1041" w:type="pct"/>
            <w:vAlign w:val="center"/>
          </w:tcPr>
          <w:p w14:paraId="7B44C3BB">
            <w:pPr>
              <w:adjustRightInd w:val="0"/>
              <w:snapToGrid w:val="0"/>
              <w:spacing w:line="300" w:lineRule="exact"/>
              <w:jc w:val="center"/>
              <w:textAlignment w:val="baseline"/>
              <w:rPr>
                <w:rFonts w:hint="eastAsia" w:ascii="宋体" w:hAnsi="宋体" w:cs="宋体"/>
                <w:szCs w:val="21"/>
              </w:rPr>
            </w:pPr>
          </w:p>
        </w:tc>
      </w:tr>
      <w:tr w14:paraId="0582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96" w:type="pct"/>
            <w:vAlign w:val="center"/>
          </w:tcPr>
          <w:p w14:paraId="18250CCF">
            <w:pPr>
              <w:adjustRightInd w:val="0"/>
              <w:snapToGrid w:val="0"/>
              <w:spacing w:line="300" w:lineRule="exact"/>
              <w:jc w:val="center"/>
              <w:textAlignment w:val="baseline"/>
              <w:rPr>
                <w:rFonts w:hint="eastAsia" w:ascii="宋体" w:hAnsi="宋体" w:cs="宋体"/>
                <w:sz w:val="24"/>
              </w:rPr>
            </w:pPr>
            <w:r>
              <w:rPr>
                <w:rFonts w:hint="eastAsia" w:ascii="宋体" w:hAnsi="宋体" w:cs="宋体"/>
                <w:sz w:val="24"/>
              </w:rPr>
              <w:t>5</w:t>
            </w:r>
          </w:p>
        </w:tc>
        <w:tc>
          <w:tcPr>
            <w:tcW w:w="1501" w:type="pct"/>
            <w:vAlign w:val="center"/>
          </w:tcPr>
          <w:p w14:paraId="60692263">
            <w:pPr>
              <w:adjustRightInd w:val="0"/>
              <w:snapToGrid w:val="0"/>
              <w:spacing w:line="300" w:lineRule="exact"/>
              <w:jc w:val="center"/>
              <w:textAlignment w:val="baseline"/>
              <w:rPr>
                <w:rFonts w:hint="eastAsia" w:ascii="宋体" w:hAnsi="宋体" w:cs="宋体"/>
                <w:szCs w:val="21"/>
              </w:rPr>
            </w:pPr>
          </w:p>
        </w:tc>
        <w:tc>
          <w:tcPr>
            <w:tcW w:w="501" w:type="pct"/>
            <w:vAlign w:val="center"/>
          </w:tcPr>
          <w:p w14:paraId="3C590ADA">
            <w:pPr>
              <w:adjustRightInd w:val="0"/>
              <w:snapToGrid w:val="0"/>
              <w:spacing w:line="300" w:lineRule="exact"/>
              <w:jc w:val="center"/>
              <w:textAlignment w:val="baseline"/>
              <w:rPr>
                <w:rFonts w:hint="eastAsia" w:ascii="宋体" w:hAnsi="宋体" w:cs="宋体"/>
                <w:szCs w:val="21"/>
              </w:rPr>
            </w:pPr>
          </w:p>
        </w:tc>
        <w:tc>
          <w:tcPr>
            <w:tcW w:w="775" w:type="pct"/>
            <w:vAlign w:val="center"/>
          </w:tcPr>
          <w:p w14:paraId="3F0233B3">
            <w:pPr>
              <w:adjustRightInd w:val="0"/>
              <w:snapToGrid w:val="0"/>
              <w:spacing w:line="300" w:lineRule="exact"/>
              <w:jc w:val="center"/>
              <w:textAlignment w:val="baseline"/>
              <w:rPr>
                <w:rFonts w:hint="eastAsia" w:ascii="宋体" w:hAnsi="宋体" w:cs="宋体"/>
                <w:szCs w:val="21"/>
              </w:rPr>
            </w:pPr>
          </w:p>
        </w:tc>
        <w:tc>
          <w:tcPr>
            <w:tcW w:w="781" w:type="pct"/>
            <w:vAlign w:val="center"/>
          </w:tcPr>
          <w:p w14:paraId="52862016">
            <w:pPr>
              <w:adjustRightInd w:val="0"/>
              <w:snapToGrid w:val="0"/>
              <w:spacing w:line="300" w:lineRule="exact"/>
              <w:jc w:val="center"/>
              <w:textAlignment w:val="baseline"/>
              <w:rPr>
                <w:rFonts w:hint="eastAsia" w:ascii="宋体" w:hAnsi="宋体" w:cs="宋体"/>
                <w:szCs w:val="21"/>
              </w:rPr>
            </w:pPr>
          </w:p>
        </w:tc>
        <w:tc>
          <w:tcPr>
            <w:tcW w:w="1041" w:type="pct"/>
            <w:vAlign w:val="center"/>
          </w:tcPr>
          <w:p w14:paraId="7E89BF75">
            <w:pPr>
              <w:adjustRightInd w:val="0"/>
              <w:snapToGrid w:val="0"/>
              <w:spacing w:line="300" w:lineRule="exact"/>
              <w:jc w:val="center"/>
              <w:textAlignment w:val="baseline"/>
              <w:rPr>
                <w:rFonts w:hint="eastAsia" w:ascii="宋体" w:hAnsi="宋体" w:cs="宋体"/>
                <w:szCs w:val="21"/>
              </w:rPr>
            </w:pPr>
          </w:p>
        </w:tc>
      </w:tr>
      <w:tr w14:paraId="37E5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96" w:type="pct"/>
            <w:vAlign w:val="center"/>
          </w:tcPr>
          <w:p w14:paraId="0C98F97C">
            <w:pPr>
              <w:adjustRightInd w:val="0"/>
              <w:snapToGrid w:val="0"/>
              <w:spacing w:line="300" w:lineRule="exact"/>
              <w:jc w:val="center"/>
              <w:textAlignment w:val="baseline"/>
              <w:rPr>
                <w:rFonts w:hint="eastAsia" w:ascii="宋体" w:hAnsi="宋体" w:cs="宋体"/>
                <w:sz w:val="24"/>
              </w:rPr>
            </w:pPr>
            <w:r>
              <w:rPr>
                <w:rFonts w:hint="eastAsia" w:ascii="宋体" w:hAnsi="宋体" w:cs="宋体"/>
                <w:sz w:val="24"/>
              </w:rPr>
              <w:t>…</w:t>
            </w:r>
          </w:p>
        </w:tc>
        <w:tc>
          <w:tcPr>
            <w:tcW w:w="1501" w:type="pct"/>
            <w:vAlign w:val="center"/>
          </w:tcPr>
          <w:p w14:paraId="63A7BF65">
            <w:pPr>
              <w:adjustRightInd w:val="0"/>
              <w:snapToGrid w:val="0"/>
              <w:spacing w:line="300" w:lineRule="exact"/>
              <w:jc w:val="center"/>
              <w:textAlignment w:val="baseline"/>
              <w:rPr>
                <w:rFonts w:hint="eastAsia" w:ascii="宋体" w:hAnsi="宋体" w:cs="宋体"/>
                <w:szCs w:val="21"/>
              </w:rPr>
            </w:pPr>
            <w:r>
              <w:rPr>
                <w:rFonts w:hint="eastAsia" w:ascii="宋体" w:hAnsi="宋体" w:cs="宋体"/>
                <w:sz w:val="24"/>
              </w:rPr>
              <w:t>……</w:t>
            </w:r>
          </w:p>
        </w:tc>
        <w:tc>
          <w:tcPr>
            <w:tcW w:w="501" w:type="pct"/>
            <w:vAlign w:val="center"/>
          </w:tcPr>
          <w:p w14:paraId="35666C1F">
            <w:pPr>
              <w:adjustRightInd w:val="0"/>
              <w:snapToGrid w:val="0"/>
              <w:spacing w:line="300" w:lineRule="exact"/>
              <w:jc w:val="center"/>
              <w:textAlignment w:val="baseline"/>
              <w:rPr>
                <w:rFonts w:hint="eastAsia" w:ascii="宋体" w:hAnsi="宋体" w:cs="宋体"/>
                <w:szCs w:val="21"/>
              </w:rPr>
            </w:pPr>
          </w:p>
        </w:tc>
        <w:tc>
          <w:tcPr>
            <w:tcW w:w="775" w:type="pct"/>
            <w:vAlign w:val="center"/>
          </w:tcPr>
          <w:p w14:paraId="354EA05A">
            <w:pPr>
              <w:adjustRightInd w:val="0"/>
              <w:snapToGrid w:val="0"/>
              <w:spacing w:line="300" w:lineRule="exact"/>
              <w:jc w:val="center"/>
              <w:textAlignment w:val="baseline"/>
              <w:rPr>
                <w:rFonts w:hint="eastAsia" w:ascii="宋体" w:hAnsi="宋体" w:cs="宋体"/>
                <w:szCs w:val="21"/>
              </w:rPr>
            </w:pPr>
          </w:p>
        </w:tc>
        <w:tc>
          <w:tcPr>
            <w:tcW w:w="781" w:type="pct"/>
            <w:vAlign w:val="center"/>
          </w:tcPr>
          <w:p w14:paraId="246A744A">
            <w:pPr>
              <w:adjustRightInd w:val="0"/>
              <w:snapToGrid w:val="0"/>
              <w:spacing w:line="300" w:lineRule="exact"/>
              <w:jc w:val="center"/>
              <w:textAlignment w:val="baseline"/>
              <w:rPr>
                <w:rFonts w:hint="eastAsia" w:ascii="宋体" w:hAnsi="宋体" w:cs="宋体"/>
                <w:szCs w:val="21"/>
              </w:rPr>
            </w:pPr>
          </w:p>
        </w:tc>
        <w:tc>
          <w:tcPr>
            <w:tcW w:w="1041" w:type="pct"/>
            <w:vAlign w:val="center"/>
          </w:tcPr>
          <w:p w14:paraId="22FBFB53">
            <w:pPr>
              <w:adjustRightInd w:val="0"/>
              <w:snapToGrid w:val="0"/>
              <w:spacing w:line="300" w:lineRule="exact"/>
              <w:jc w:val="center"/>
              <w:textAlignment w:val="baseline"/>
              <w:rPr>
                <w:rFonts w:hint="eastAsia" w:ascii="宋体" w:hAnsi="宋体" w:cs="宋体"/>
                <w:szCs w:val="21"/>
              </w:rPr>
            </w:pPr>
          </w:p>
        </w:tc>
      </w:tr>
      <w:tr w14:paraId="57B6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000" w:type="pct"/>
            <w:gridSpan w:val="6"/>
            <w:vAlign w:val="center"/>
          </w:tcPr>
          <w:p w14:paraId="74D62E31">
            <w:pPr>
              <w:adjustRightInd w:val="0"/>
              <w:snapToGrid w:val="0"/>
              <w:spacing w:line="300" w:lineRule="exact"/>
              <w:jc w:val="left"/>
              <w:textAlignment w:val="baseline"/>
              <w:rPr>
                <w:rFonts w:hint="eastAsia" w:ascii="宋体" w:hAnsi="宋体" w:cs="宋体"/>
                <w:szCs w:val="21"/>
              </w:rPr>
            </w:pPr>
            <w:r>
              <w:rPr>
                <w:rFonts w:hint="eastAsia" w:ascii="宋体" w:hAnsi="宋体" w:cs="宋体"/>
                <w:szCs w:val="21"/>
              </w:rPr>
              <w:t>总计大写：                       小写：</w:t>
            </w:r>
          </w:p>
        </w:tc>
      </w:tr>
    </w:tbl>
    <w:p w14:paraId="211A76B8">
      <w:pPr>
        <w:pStyle w:val="2"/>
        <w:rPr>
          <w:rFonts w:hint="eastAsia" w:ascii="宋体" w:hAnsi="宋体" w:cs="宋体"/>
          <w:b/>
          <w:sz w:val="28"/>
          <w:szCs w:val="28"/>
          <w:lang w:val="zh-CN"/>
        </w:rPr>
      </w:pPr>
    </w:p>
    <w:p w14:paraId="0F4946DD">
      <w:pPr>
        <w:tabs>
          <w:tab w:val="left" w:pos="0"/>
        </w:tabs>
        <w:spacing w:line="600" w:lineRule="exact"/>
        <w:jc w:val="left"/>
        <w:rPr>
          <w:rFonts w:ascii="宋体" w:cs="宋体"/>
          <w:color w:val="000000"/>
          <w:sz w:val="24"/>
        </w:rPr>
      </w:pPr>
      <w:r>
        <w:rPr>
          <w:rFonts w:hint="eastAsia" w:ascii="宋体" w:hAnsi="宋体" w:cs="宋体"/>
          <w:color w:val="000000"/>
          <w:sz w:val="24"/>
        </w:rPr>
        <w:t>供应商名称（公章）：</w:t>
      </w:r>
      <w:r>
        <w:rPr>
          <w:rFonts w:hint="eastAsia" w:ascii="宋体" w:hAnsi="宋体" w:cs="宋体"/>
          <w:color w:val="000000"/>
          <w:sz w:val="24"/>
          <w:u w:val="single"/>
        </w:rPr>
        <w:t xml:space="preserve">                  </w:t>
      </w:r>
    </w:p>
    <w:p w14:paraId="093053D8">
      <w:pPr>
        <w:spacing w:line="600" w:lineRule="exact"/>
        <w:jc w:val="left"/>
        <w:rPr>
          <w:rFonts w:ascii="宋体" w:cs="宋体"/>
          <w:color w:val="000000"/>
          <w:sz w:val="24"/>
        </w:rPr>
      </w:pPr>
      <w:r>
        <w:rPr>
          <w:rFonts w:hint="eastAsia" w:ascii="宋体" w:hAnsi="宋体" w:cs="宋体"/>
          <w:color w:val="000000"/>
          <w:sz w:val="24"/>
        </w:rPr>
        <w:t>法定代表人或被授权人（签字或盖章）：</w:t>
      </w:r>
      <w:r>
        <w:rPr>
          <w:rFonts w:hint="eastAsia" w:ascii="宋体" w:hAnsi="宋体" w:cs="宋体"/>
          <w:color w:val="000000"/>
          <w:sz w:val="24"/>
          <w:u w:val="single"/>
        </w:rPr>
        <w:t xml:space="preserve">             </w:t>
      </w:r>
    </w:p>
    <w:p w14:paraId="1E0D4ADB">
      <w:pPr>
        <w:rPr>
          <w:lang w:val="zh-CN"/>
        </w:rPr>
      </w:pPr>
    </w:p>
    <w:p w14:paraId="7EFD6EAC">
      <w:pPr>
        <w:snapToGrid w:val="0"/>
        <w:spacing w:line="500" w:lineRule="exact"/>
        <w:ind w:firstLine="480" w:firstLineChars="200"/>
        <w:rPr>
          <w:rFonts w:hint="eastAsia" w:ascii="宋体" w:hAnsi="宋体" w:cs="宋体"/>
          <w:b/>
          <w:sz w:val="24"/>
          <w:lang w:val="zh-CN"/>
        </w:rPr>
      </w:pPr>
      <w:r>
        <w:rPr>
          <w:rFonts w:hint="eastAsia" w:ascii="宋体" w:hAnsi="宋体" w:cs="宋体"/>
          <w:color w:val="000000"/>
          <w:sz w:val="24"/>
        </w:rPr>
        <w:t>年   月   日</w:t>
      </w:r>
    </w:p>
    <w:p w14:paraId="5B8BC8C0">
      <w:pPr>
        <w:spacing w:line="500" w:lineRule="exact"/>
        <w:ind w:firstLine="640" w:firstLineChars="200"/>
        <w:outlineLvl w:val="0"/>
        <w:rPr>
          <w:rFonts w:hint="eastAsia" w:ascii="宋体" w:hAnsi="宋体" w:cs="宋体"/>
          <w:sz w:val="32"/>
          <w:szCs w:val="32"/>
        </w:rPr>
      </w:pPr>
    </w:p>
    <w:p w14:paraId="1CA148CA">
      <w:pPr>
        <w:spacing w:line="300" w:lineRule="auto"/>
        <w:outlineLvl w:val="0"/>
        <w:rPr>
          <w:rFonts w:hint="eastAsia" w:ascii="宋体" w:hAnsi="宋体" w:cs="宋体"/>
          <w:sz w:val="32"/>
          <w:szCs w:val="32"/>
        </w:rPr>
      </w:pPr>
    </w:p>
    <w:p w14:paraId="72723B75">
      <w:pPr>
        <w:spacing w:line="300" w:lineRule="auto"/>
        <w:outlineLvl w:val="0"/>
        <w:rPr>
          <w:rFonts w:hint="eastAsia" w:ascii="宋体" w:hAnsi="宋体" w:cs="宋体"/>
          <w:sz w:val="32"/>
          <w:szCs w:val="32"/>
        </w:rPr>
      </w:pPr>
    </w:p>
    <w:p w14:paraId="235FDBAF">
      <w:pPr>
        <w:spacing w:line="300" w:lineRule="auto"/>
        <w:outlineLvl w:val="0"/>
        <w:rPr>
          <w:rFonts w:hint="eastAsia" w:ascii="宋体" w:hAnsi="宋体" w:cs="宋体"/>
          <w:sz w:val="32"/>
          <w:szCs w:val="32"/>
        </w:rPr>
        <w:sectPr>
          <w:pgSz w:w="11907" w:h="16839"/>
          <w:pgMar w:top="1440" w:right="1800" w:bottom="1440" w:left="1800" w:header="720" w:footer="737" w:gutter="0"/>
          <w:cols w:space="1701" w:num="1"/>
          <w:docGrid w:linePitch="360" w:charSpace="0"/>
        </w:sectPr>
      </w:pPr>
    </w:p>
    <w:p w14:paraId="2F7B9CDF">
      <w:pPr>
        <w:spacing w:line="300" w:lineRule="auto"/>
        <w:outlineLvl w:val="0"/>
        <w:rPr>
          <w:rFonts w:hint="eastAsia" w:ascii="宋体" w:hAnsi="宋体" w:cs="宋体"/>
          <w:sz w:val="32"/>
          <w:szCs w:val="32"/>
        </w:rPr>
      </w:pPr>
      <w:r>
        <w:rPr>
          <w:rFonts w:hint="eastAsia" w:ascii="宋体" w:hAnsi="宋体" w:cs="宋体"/>
          <w:sz w:val="32"/>
          <w:szCs w:val="32"/>
        </w:rPr>
        <w:t>附件9</w:t>
      </w:r>
    </w:p>
    <w:p w14:paraId="343DD7C0">
      <w:pPr>
        <w:snapToGrid w:val="0"/>
        <w:spacing w:line="300" w:lineRule="auto"/>
        <w:jc w:val="center"/>
        <w:outlineLvl w:val="0"/>
        <w:rPr>
          <w:b/>
          <w:bCs/>
          <w:sz w:val="28"/>
          <w:szCs w:val="28"/>
          <w:lang w:bidi="zh-CN"/>
        </w:rPr>
      </w:pPr>
      <w:r>
        <w:rPr>
          <w:b/>
          <w:bCs/>
          <w:sz w:val="28"/>
          <w:szCs w:val="28"/>
          <w:lang w:bidi="zh-CN"/>
        </w:rPr>
        <w:t>中小企业声明函（货物）</w:t>
      </w:r>
    </w:p>
    <w:p w14:paraId="438AB831">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采购活动，提供的货物全部由符合政策要求的中小</w:t>
      </w:r>
      <w:r>
        <w:rPr>
          <w:rFonts w:hint="eastAsia"/>
          <w:sz w:val="28"/>
          <w:szCs w:val="28"/>
          <w:lang w:bidi="zh-CN"/>
        </w:rPr>
        <w:t>微</w:t>
      </w:r>
      <w:r>
        <w:rPr>
          <w:sz w:val="28"/>
          <w:szCs w:val="28"/>
          <w:lang w:bidi="zh-CN"/>
        </w:rPr>
        <w:t>企业制造。相关企业（含联合体中的中小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 的具体情况如下：</w:t>
      </w:r>
    </w:p>
    <w:p w14:paraId="3BC908AB">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 xml:space="preserve"> （标的名称）</w:t>
      </w:r>
      <w:r>
        <w:rPr>
          <w:sz w:val="28"/>
          <w:szCs w:val="28"/>
          <w:lang w:bidi="zh-CN"/>
        </w:rPr>
        <w:t xml:space="preserve"> ，属于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14:paraId="2A5E4BEF">
      <w:pPr>
        <w:snapToGrid w:val="0"/>
        <w:spacing w:line="360" w:lineRule="auto"/>
        <w:outlineLvl w:val="0"/>
        <w:rPr>
          <w:sz w:val="28"/>
          <w:szCs w:val="28"/>
          <w:lang w:bidi="zh-CN"/>
        </w:rPr>
      </w:pPr>
      <w:r>
        <w:rPr>
          <w:rFonts w:hint="eastAsia"/>
          <w:sz w:val="28"/>
          <w:szCs w:val="28"/>
          <w:lang w:bidi="zh-CN"/>
        </w:rPr>
        <w:t>2.</w:t>
      </w:r>
      <w:r>
        <w:rPr>
          <w:i/>
          <w:sz w:val="28"/>
          <w:szCs w:val="28"/>
          <w:u w:val="single"/>
          <w:lang w:bidi="zh-CN"/>
        </w:rPr>
        <w:t xml:space="preserve"> </w:t>
      </w:r>
      <w:r>
        <w:rPr>
          <w:sz w:val="28"/>
          <w:szCs w:val="28"/>
          <w:u w:val="single"/>
          <w:lang w:bidi="zh-CN"/>
        </w:rPr>
        <w:t xml:space="preserve">（标的名称） </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14:paraId="7E93D20F">
      <w:pPr>
        <w:snapToGrid w:val="0"/>
        <w:spacing w:line="360" w:lineRule="auto"/>
        <w:outlineLvl w:val="0"/>
        <w:rPr>
          <w:sz w:val="28"/>
          <w:szCs w:val="28"/>
          <w:lang w:bidi="zh-CN"/>
        </w:rPr>
      </w:pPr>
      <w:r>
        <w:rPr>
          <w:sz w:val="28"/>
          <w:szCs w:val="28"/>
          <w:lang w:bidi="zh-CN"/>
        </w:rPr>
        <w:t>……</w:t>
      </w:r>
    </w:p>
    <w:p w14:paraId="07EE792C">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62AB39DD">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5DD7CBEB">
      <w:pPr>
        <w:snapToGrid w:val="0"/>
        <w:spacing w:line="300" w:lineRule="auto"/>
        <w:outlineLvl w:val="0"/>
        <w:rPr>
          <w:sz w:val="28"/>
          <w:szCs w:val="28"/>
          <w:lang w:bidi="zh-CN"/>
        </w:rPr>
      </w:pPr>
    </w:p>
    <w:p w14:paraId="3AB6E125">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注：1.如项目属性为“货物”，请按本表填写。</w:t>
      </w:r>
    </w:p>
    <w:p w14:paraId="14E81C10">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27896090">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3.投标供应商须根据上述要求，详细列明货物清单中所有产品制造商的具体情况，否则不能享受中小微企业扶持政策。</w:t>
      </w:r>
    </w:p>
    <w:p w14:paraId="5C4A4A7B">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4.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2918262E">
      <w:pPr>
        <w:snapToGrid w:val="0"/>
        <w:spacing w:line="300" w:lineRule="auto"/>
        <w:jc w:val="center"/>
        <w:outlineLvl w:val="0"/>
        <w:rPr>
          <w:sz w:val="28"/>
          <w:szCs w:val="28"/>
          <w:lang w:bidi="zh-CN"/>
        </w:rPr>
      </w:pPr>
      <w:r>
        <w:rPr>
          <w:rFonts w:hint="eastAsia"/>
          <w:sz w:val="28"/>
          <w:szCs w:val="28"/>
          <w:lang w:bidi="zh-CN"/>
        </w:rPr>
        <w:t xml:space="preserve">                      </w:t>
      </w:r>
      <w:r>
        <w:rPr>
          <w:sz w:val="28"/>
          <w:szCs w:val="28"/>
          <w:lang w:bidi="zh-CN"/>
        </w:rPr>
        <w:t>企业名称（盖章）：</w:t>
      </w:r>
    </w:p>
    <w:p w14:paraId="1E7D6FDB">
      <w:pPr>
        <w:snapToGrid w:val="0"/>
        <w:spacing w:line="300" w:lineRule="auto"/>
        <w:jc w:val="center"/>
        <w:outlineLvl w:val="0"/>
        <w:rPr>
          <w:sz w:val="28"/>
          <w:szCs w:val="28"/>
          <w:lang w:bidi="zh-CN"/>
        </w:rPr>
      </w:pPr>
      <w:r>
        <w:rPr>
          <w:rFonts w:hint="eastAsia"/>
          <w:sz w:val="28"/>
          <w:szCs w:val="28"/>
          <w:lang w:bidi="zh-CN"/>
        </w:rPr>
        <w:t xml:space="preserve">          </w:t>
      </w:r>
      <w:r>
        <w:rPr>
          <w:sz w:val="28"/>
          <w:szCs w:val="28"/>
          <w:lang w:bidi="zh-CN"/>
        </w:rPr>
        <w:t>日期：</w:t>
      </w:r>
    </w:p>
    <w:p w14:paraId="4D38E06D">
      <w:pPr>
        <w:snapToGrid w:val="0"/>
        <w:spacing w:line="300" w:lineRule="auto"/>
        <w:jc w:val="center"/>
        <w:outlineLvl w:val="0"/>
        <w:rPr>
          <w:b/>
          <w:bCs/>
          <w:sz w:val="28"/>
          <w:szCs w:val="28"/>
          <w:lang w:bidi="zh-CN"/>
        </w:rPr>
      </w:pPr>
      <w:r>
        <w:rPr>
          <w:b/>
          <w:bCs/>
          <w:sz w:val="28"/>
          <w:szCs w:val="28"/>
          <w:lang w:bidi="zh-CN"/>
        </w:rPr>
        <w:t>中小企业声明函（工程、服务）</w:t>
      </w:r>
    </w:p>
    <w:p w14:paraId="1A069476">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采购活动，工程的施工单位全部为符合政策要求的中小</w:t>
      </w:r>
      <w:r>
        <w:rPr>
          <w:rFonts w:hint="eastAsia"/>
          <w:sz w:val="28"/>
          <w:szCs w:val="28"/>
          <w:lang w:bidi="zh-CN"/>
        </w:rPr>
        <w:t>微</w:t>
      </w:r>
      <w:r>
        <w:rPr>
          <w:sz w:val="28"/>
          <w:szCs w:val="28"/>
          <w:lang w:bidi="zh-CN"/>
        </w:rPr>
        <w:t>企业（或者：服务全部由符合政策要求的中小</w:t>
      </w:r>
      <w:r>
        <w:rPr>
          <w:rFonts w:hint="eastAsia"/>
          <w:sz w:val="28"/>
          <w:szCs w:val="28"/>
          <w:lang w:bidi="zh-CN"/>
        </w:rPr>
        <w:t>微</w:t>
      </w:r>
      <w:r>
        <w:rPr>
          <w:sz w:val="28"/>
          <w:szCs w:val="28"/>
          <w:lang w:bidi="zh-CN"/>
        </w:rPr>
        <w:t>企业承接）。相关企业（含联合体中的中小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097A24B3">
      <w:pPr>
        <w:snapToGrid w:val="0"/>
        <w:spacing w:line="360" w:lineRule="auto"/>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14:paraId="2DDE927D">
      <w:pPr>
        <w:snapToGrid w:val="0"/>
        <w:spacing w:line="360" w:lineRule="auto"/>
        <w:jc w:val="left"/>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14:paraId="4EA6865F">
      <w:pPr>
        <w:snapToGrid w:val="0"/>
        <w:spacing w:line="360" w:lineRule="auto"/>
        <w:jc w:val="left"/>
        <w:outlineLvl w:val="0"/>
        <w:rPr>
          <w:sz w:val="28"/>
          <w:szCs w:val="28"/>
          <w:lang w:bidi="zh-CN"/>
        </w:rPr>
      </w:pPr>
      <w:r>
        <w:rPr>
          <w:sz w:val="28"/>
          <w:szCs w:val="28"/>
          <w:lang w:bidi="zh-CN"/>
        </w:rPr>
        <w:t>……</w:t>
      </w:r>
    </w:p>
    <w:p w14:paraId="657DD6DB">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27A8826D">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06A05489">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注：1.如项目属性为“服务”或“工程”，请按本表填写。</w:t>
      </w:r>
    </w:p>
    <w:p w14:paraId="4FD7C371">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23719E52">
      <w:pPr>
        <w:snapToGrid w:val="0"/>
        <w:spacing w:line="300" w:lineRule="auto"/>
        <w:ind w:firstLine="420" w:firstLineChars="200"/>
        <w:outlineLvl w:val="0"/>
        <w:rPr>
          <w:sz w:val="28"/>
          <w:szCs w:val="28"/>
          <w:lang w:bidi="zh-CN"/>
        </w:rPr>
      </w:pPr>
      <w:r>
        <w:rPr>
          <w:rFonts w:hint="eastAsia" w:ascii="宋体" w:hAnsi="宋体" w:cs="宋体"/>
          <w:szCs w:val="21"/>
          <w:lang w:bidi="zh-CN"/>
        </w:rPr>
        <w:t>3.中标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结果公告进行公示。供应商按照本办法规定提供声明函内容不实的，属于提供虚假材料谋取中标、成交，依照《中华人民共和国政府采购法》等国家有关规定追究相应责任。</w:t>
      </w:r>
    </w:p>
    <w:p w14:paraId="58D36237">
      <w:pPr>
        <w:snapToGrid w:val="0"/>
        <w:spacing w:line="300" w:lineRule="auto"/>
        <w:ind w:firstLine="4900" w:firstLineChars="1750"/>
        <w:outlineLvl w:val="0"/>
        <w:rPr>
          <w:sz w:val="28"/>
          <w:szCs w:val="28"/>
          <w:lang w:bidi="zh-CN"/>
        </w:rPr>
      </w:pPr>
      <w:r>
        <w:rPr>
          <w:sz w:val="28"/>
          <w:szCs w:val="28"/>
          <w:lang w:bidi="zh-CN"/>
        </w:rPr>
        <w:t>企业名称（盖章）：</w:t>
      </w:r>
    </w:p>
    <w:p w14:paraId="406BBB30">
      <w:pPr>
        <w:snapToGrid w:val="0"/>
        <w:spacing w:line="300" w:lineRule="auto"/>
        <w:ind w:firstLine="4900" w:firstLineChars="1750"/>
        <w:outlineLvl w:val="0"/>
        <w:rPr>
          <w:sz w:val="28"/>
          <w:szCs w:val="28"/>
          <w:lang w:bidi="zh-CN"/>
        </w:rPr>
      </w:pPr>
      <w:r>
        <w:rPr>
          <w:sz w:val="28"/>
          <w:szCs w:val="28"/>
          <w:lang w:bidi="zh-CN"/>
        </w:rPr>
        <w:t>日期：</w:t>
      </w:r>
    </w:p>
    <w:p w14:paraId="7FF8E6CB">
      <w:pPr>
        <w:snapToGrid w:val="0"/>
        <w:spacing w:line="300" w:lineRule="auto"/>
        <w:outlineLvl w:val="0"/>
        <w:rPr>
          <w:rFonts w:eastAsia="方正黑体_GBK"/>
          <w:sz w:val="32"/>
          <w:szCs w:val="32"/>
        </w:rPr>
      </w:pPr>
    </w:p>
    <w:p w14:paraId="0ABAE918">
      <w:pPr>
        <w:snapToGrid w:val="0"/>
        <w:spacing w:line="300" w:lineRule="auto"/>
        <w:outlineLvl w:val="0"/>
        <w:rPr>
          <w:rFonts w:eastAsia="方正黑体_GBK"/>
          <w:sz w:val="32"/>
          <w:szCs w:val="32"/>
        </w:rPr>
      </w:pPr>
    </w:p>
    <w:p w14:paraId="3F8CEE33">
      <w:pPr>
        <w:snapToGrid w:val="0"/>
        <w:spacing w:line="300" w:lineRule="auto"/>
        <w:outlineLvl w:val="0"/>
        <w:rPr>
          <w:rFonts w:eastAsia="方正黑体_GBK"/>
          <w:sz w:val="32"/>
          <w:szCs w:val="32"/>
        </w:rPr>
      </w:pPr>
      <w:r>
        <w:rPr>
          <w:rFonts w:eastAsia="方正黑体_GBK"/>
          <w:sz w:val="32"/>
          <w:szCs w:val="32"/>
        </w:rPr>
        <w:t>附件10</w:t>
      </w:r>
    </w:p>
    <w:p w14:paraId="1C9AE203">
      <w:pPr>
        <w:spacing w:line="460" w:lineRule="exact"/>
        <w:jc w:val="center"/>
        <w:rPr>
          <w:rFonts w:hint="eastAsia" w:ascii="宋体" w:hAnsi="宋体"/>
          <w:b/>
          <w:sz w:val="32"/>
          <w:szCs w:val="32"/>
        </w:rPr>
      </w:pPr>
      <w:r>
        <w:rPr>
          <w:rFonts w:hint="eastAsia" w:ascii="宋体" w:hAnsi="宋体"/>
          <w:b/>
          <w:sz w:val="32"/>
          <w:szCs w:val="32"/>
        </w:rPr>
        <w:t>残疾人福利性单位声明函</w:t>
      </w:r>
    </w:p>
    <w:p w14:paraId="7CDD4B80">
      <w:pPr>
        <w:spacing w:line="588" w:lineRule="exact"/>
        <w:ind w:firstLine="560" w:firstLineChars="200"/>
        <w:rPr>
          <w:rFonts w:hint="eastAsia"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8"/>
          <w:szCs w:val="28"/>
          <w:u w:val="single"/>
        </w:rPr>
        <w:t xml:space="preserve">       </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50A67977">
      <w:pPr>
        <w:spacing w:line="588" w:lineRule="exact"/>
        <w:ind w:firstLine="560" w:firstLineChars="200"/>
        <w:rPr>
          <w:rFonts w:hint="eastAsia" w:ascii="宋体" w:hAnsi="宋体"/>
          <w:sz w:val="28"/>
          <w:szCs w:val="28"/>
        </w:rPr>
      </w:pPr>
      <w:r>
        <w:rPr>
          <w:rFonts w:hint="eastAsia" w:ascii="宋体" w:hAnsi="宋体"/>
          <w:sz w:val="28"/>
          <w:szCs w:val="28"/>
        </w:rPr>
        <w:t>本单位对上述声明的真实性负责。如有虚假，将依法承担相应责任。</w:t>
      </w:r>
    </w:p>
    <w:p w14:paraId="1D8EAFC3">
      <w:pPr>
        <w:spacing w:line="588" w:lineRule="exact"/>
        <w:ind w:firstLine="560" w:firstLineChars="200"/>
        <w:rPr>
          <w:rFonts w:hint="eastAsia" w:ascii="宋体" w:hAnsi="宋体"/>
          <w:sz w:val="28"/>
          <w:szCs w:val="28"/>
        </w:rPr>
      </w:pPr>
    </w:p>
    <w:p w14:paraId="05F9840A">
      <w:pPr>
        <w:snapToGrid w:val="0"/>
        <w:spacing w:line="300" w:lineRule="auto"/>
        <w:outlineLvl w:val="0"/>
        <w:rPr>
          <w:rFonts w:hint="eastAsia" w:ascii="宋体" w:hAnsi="宋体" w:cs="宋体"/>
          <w:sz w:val="28"/>
          <w:szCs w:val="28"/>
          <w:lang w:bidi="zh-CN"/>
        </w:rPr>
      </w:pPr>
    </w:p>
    <w:p w14:paraId="504B2FF3">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6F7B5F95">
      <w:pPr>
        <w:spacing w:line="588" w:lineRule="exact"/>
        <w:ind w:firstLine="560" w:firstLineChars="200"/>
        <w:rPr>
          <w:rFonts w:ascii="仿宋_GB2312" w:eastAsia="仿宋_GB2312"/>
          <w:spacing w:val="6"/>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供应商为残疾人福利单位的，此声明函将随中标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6B0EBCF4">
      <w:pPr>
        <w:spacing w:line="588" w:lineRule="exact"/>
        <w:ind w:firstLine="584" w:firstLineChars="200"/>
        <w:rPr>
          <w:rFonts w:ascii="仿宋_GB2312" w:eastAsia="仿宋_GB2312"/>
          <w:spacing w:val="6"/>
          <w:sz w:val="28"/>
          <w:szCs w:val="28"/>
        </w:rPr>
      </w:pPr>
    </w:p>
    <w:p w14:paraId="2F73D726">
      <w:pPr>
        <w:tabs>
          <w:tab w:val="left" w:pos="4860"/>
        </w:tabs>
        <w:spacing w:line="588" w:lineRule="exact"/>
        <w:ind w:right="1560" w:firstLine="584" w:firstLineChars="200"/>
        <w:jc w:val="center"/>
        <w:rPr>
          <w:rFonts w:hint="eastAsia" w:ascii="宋体" w:hAnsi="宋体"/>
          <w:sz w:val="28"/>
          <w:szCs w:val="28"/>
        </w:rPr>
      </w:pPr>
      <w:r>
        <w:rPr>
          <w:rFonts w:hint="eastAsia" w:ascii="仿宋_GB2312" w:eastAsia="仿宋_GB2312"/>
          <w:spacing w:val="6"/>
          <w:sz w:val="28"/>
          <w:szCs w:val="28"/>
        </w:rPr>
        <w:t xml:space="preserve">             </w:t>
      </w:r>
      <w:r>
        <w:rPr>
          <w:rFonts w:hint="eastAsia" w:ascii="宋体" w:hAnsi="宋体"/>
          <w:sz w:val="28"/>
          <w:szCs w:val="28"/>
        </w:rPr>
        <w:t xml:space="preserve">           供应商全称（盖章）：</w:t>
      </w:r>
    </w:p>
    <w:p w14:paraId="0A11A60C">
      <w:pPr>
        <w:tabs>
          <w:tab w:val="left" w:pos="4860"/>
        </w:tabs>
        <w:spacing w:line="588" w:lineRule="exact"/>
        <w:ind w:right="1560" w:firstLine="560" w:firstLineChars="200"/>
        <w:jc w:val="center"/>
        <w:rPr>
          <w:rFonts w:hint="eastAsia" w:ascii="宋体" w:hAnsi="宋体"/>
          <w:sz w:val="28"/>
          <w:szCs w:val="28"/>
        </w:rPr>
      </w:pPr>
      <w:r>
        <w:rPr>
          <w:rFonts w:hint="eastAsia" w:ascii="宋体" w:hAnsi="宋体"/>
          <w:sz w:val="28"/>
          <w:szCs w:val="28"/>
        </w:rPr>
        <w:t xml:space="preserve">              日  期：</w:t>
      </w:r>
    </w:p>
    <w:p w14:paraId="621BDAA5">
      <w:pPr>
        <w:ind w:firstLine="420"/>
        <w:rPr>
          <w:rFonts w:hint="eastAsia" w:ascii="仿宋_GB2312" w:hAnsi="宋体" w:eastAsia="仿宋_GB2312"/>
          <w:sz w:val="28"/>
          <w:szCs w:val="28"/>
        </w:rPr>
      </w:pPr>
    </w:p>
    <w:p w14:paraId="619FE64C">
      <w:pPr>
        <w:snapToGrid w:val="0"/>
        <w:spacing w:line="300" w:lineRule="auto"/>
        <w:outlineLvl w:val="0"/>
        <w:rPr>
          <w:sz w:val="28"/>
          <w:szCs w:val="28"/>
        </w:rPr>
      </w:pPr>
    </w:p>
    <w:p w14:paraId="4E52E333">
      <w:pPr>
        <w:pStyle w:val="2"/>
      </w:pPr>
    </w:p>
    <w:p w14:paraId="5CE30374"/>
    <w:p w14:paraId="0C085083">
      <w:pPr>
        <w:pStyle w:val="2"/>
      </w:pPr>
    </w:p>
    <w:p w14:paraId="36055D20">
      <w:pPr>
        <w:snapToGrid w:val="0"/>
        <w:spacing w:line="300" w:lineRule="auto"/>
        <w:outlineLvl w:val="0"/>
        <w:rPr>
          <w:sz w:val="28"/>
          <w:szCs w:val="28"/>
        </w:rPr>
      </w:pPr>
    </w:p>
    <w:p w14:paraId="06D25C8F">
      <w:pPr>
        <w:snapToGrid w:val="0"/>
        <w:spacing w:line="300" w:lineRule="auto"/>
        <w:outlineLvl w:val="0"/>
        <w:rPr>
          <w:rFonts w:eastAsia="方正黑体_GBK"/>
          <w:sz w:val="32"/>
          <w:szCs w:val="32"/>
        </w:rPr>
      </w:pPr>
      <w:r>
        <w:rPr>
          <w:rFonts w:eastAsia="方正黑体_GBK"/>
          <w:sz w:val="32"/>
          <w:szCs w:val="32"/>
        </w:rPr>
        <w:t>附件11</w:t>
      </w:r>
    </w:p>
    <w:p w14:paraId="4F359BD0">
      <w:pPr>
        <w:snapToGrid w:val="0"/>
        <w:spacing w:line="420" w:lineRule="exact"/>
        <w:jc w:val="center"/>
        <w:outlineLvl w:val="3"/>
        <w:rPr>
          <w:rFonts w:ascii="Calibri" w:hAnsi="Calibri"/>
          <w:b/>
          <w:bCs/>
          <w:sz w:val="32"/>
          <w:szCs w:val="32"/>
        </w:rPr>
      </w:pPr>
      <w:r>
        <w:rPr>
          <w:rFonts w:hint="eastAsia" w:ascii="Calibri" w:hAnsi="Calibri"/>
          <w:b/>
          <w:bCs/>
          <w:sz w:val="32"/>
          <w:szCs w:val="32"/>
        </w:rPr>
        <w:t>监狱和戒毒企业证明材料</w:t>
      </w:r>
    </w:p>
    <w:p w14:paraId="56A74770">
      <w:pPr>
        <w:snapToGrid w:val="0"/>
        <w:spacing w:line="420" w:lineRule="exact"/>
        <w:ind w:firstLine="495" w:firstLineChars="177"/>
        <w:rPr>
          <w:rFonts w:hint="eastAsia" w:ascii="宋体" w:hAnsi="宋体" w:cs="宋体"/>
          <w:sz w:val="28"/>
          <w:szCs w:val="28"/>
        </w:rPr>
      </w:pPr>
    </w:p>
    <w:p w14:paraId="6A6C7B76">
      <w:pPr>
        <w:snapToGrid w:val="0"/>
        <w:spacing w:line="420" w:lineRule="exact"/>
        <w:ind w:firstLine="498" w:firstLineChars="177"/>
        <w:rPr>
          <w:rFonts w:hint="eastAsia" w:ascii="宋体" w:hAnsi="宋体" w:cs="宋体"/>
          <w:b/>
          <w:sz w:val="28"/>
          <w:szCs w:val="28"/>
        </w:rPr>
      </w:pPr>
      <w:r>
        <w:rPr>
          <w:rFonts w:hint="eastAsia" w:ascii="宋体" w:hAnsi="宋体" w:cs="宋体"/>
          <w:b/>
          <w:sz w:val="28"/>
          <w:szCs w:val="28"/>
        </w:rPr>
        <w:t>（格式自拟）</w:t>
      </w:r>
    </w:p>
    <w:p w14:paraId="5EC94DA9">
      <w:pPr>
        <w:snapToGrid w:val="0"/>
        <w:spacing w:line="420" w:lineRule="exact"/>
        <w:ind w:firstLine="495" w:firstLineChars="177"/>
        <w:rPr>
          <w:rFonts w:hint="eastAsia" w:ascii="宋体" w:hAnsi="宋体" w:cs="宋体"/>
          <w:sz w:val="28"/>
          <w:szCs w:val="28"/>
        </w:rPr>
      </w:pPr>
    </w:p>
    <w:p w14:paraId="6BB52688">
      <w:pPr>
        <w:snapToGrid w:val="0"/>
        <w:spacing w:line="420" w:lineRule="exact"/>
        <w:ind w:firstLine="660" w:firstLineChars="236"/>
        <w:rPr>
          <w:rFonts w:hint="eastAsia"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F941CF4">
      <w:pPr>
        <w:snapToGrid w:val="0"/>
        <w:spacing w:line="300" w:lineRule="auto"/>
        <w:outlineLvl w:val="0"/>
        <w:rPr>
          <w:sz w:val="28"/>
          <w:szCs w:val="28"/>
        </w:rPr>
      </w:pPr>
    </w:p>
    <w:p w14:paraId="102785B3">
      <w:pPr>
        <w:snapToGrid w:val="0"/>
        <w:spacing w:line="300" w:lineRule="auto"/>
        <w:outlineLvl w:val="0"/>
        <w:rPr>
          <w:sz w:val="28"/>
          <w:szCs w:val="28"/>
        </w:rPr>
      </w:pPr>
    </w:p>
    <w:p w14:paraId="5740DB53">
      <w:pPr>
        <w:snapToGrid w:val="0"/>
        <w:spacing w:line="300" w:lineRule="auto"/>
        <w:outlineLvl w:val="0"/>
        <w:rPr>
          <w:sz w:val="28"/>
          <w:szCs w:val="28"/>
        </w:rPr>
      </w:pPr>
    </w:p>
    <w:p w14:paraId="6E2ADAF0">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7D1E1694">
      <w:pPr>
        <w:spacing w:line="300" w:lineRule="auto"/>
        <w:ind w:firstLine="560"/>
        <w:outlineLvl w:val="0"/>
        <w:rPr>
          <w:rFonts w:hint="eastAsia" w:ascii="宋体" w:hAnsi="宋体" w:cs="宋体"/>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供应商为监狱企业的，此声明函将随中标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06553377">
      <w:pPr>
        <w:spacing w:line="300" w:lineRule="auto"/>
        <w:outlineLvl w:val="0"/>
        <w:rPr>
          <w:rFonts w:hint="eastAsia" w:ascii="宋体" w:hAnsi="宋体" w:cs="宋体"/>
          <w:sz w:val="28"/>
          <w:szCs w:val="28"/>
        </w:rPr>
      </w:pPr>
    </w:p>
    <w:p w14:paraId="0DA40DE9">
      <w:pPr>
        <w:spacing w:line="300" w:lineRule="auto"/>
        <w:outlineLvl w:val="0"/>
        <w:rPr>
          <w:rFonts w:hint="eastAsia" w:ascii="宋体" w:hAnsi="宋体" w:cs="宋体"/>
          <w:sz w:val="28"/>
          <w:szCs w:val="28"/>
        </w:rPr>
      </w:pPr>
    </w:p>
    <w:p w14:paraId="69B66787">
      <w:pPr>
        <w:spacing w:line="300" w:lineRule="auto"/>
        <w:outlineLvl w:val="0"/>
        <w:rPr>
          <w:rFonts w:hint="eastAsia" w:ascii="宋体" w:hAnsi="宋体" w:cs="宋体"/>
          <w:sz w:val="28"/>
          <w:szCs w:val="28"/>
        </w:rPr>
      </w:pPr>
    </w:p>
    <w:p w14:paraId="15AE959D">
      <w:pPr>
        <w:spacing w:line="300" w:lineRule="auto"/>
        <w:outlineLvl w:val="0"/>
        <w:rPr>
          <w:rFonts w:hint="eastAsia" w:ascii="宋体" w:hAnsi="宋体" w:cs="宋体"/>
          <w:sz w:val="28"/>
          <w:szCs w:val="28"/>
        </w:rPr>
      </w:pPr>
    </w:p>
    <w:p w14:paraId="65AE6D44">
      <w:pPr>
        <w:spacing w:line="300" w:lineRule="auto"/>
        <w:outlineLvl w:val="0"/>
        <w:rPr>
          <w:rFonts w:hint="eastAsia" w:ascii="宋体" w:hAnsi="宋体" w:cs="宋体"/>
          <w:sz w:val="28"/>
          <w:szCs w:val="28"/>
        </w:rPr>
      </w:pPr>
    </w:p>
    <w:p w14:paraId="6FA2C39C">
      <w:pPr>
        <w:spacing w:line="300" w:lineRule="auto"/>
        <w:outlineLvl w:val="0"/>
        <w:rPr>
          <w:rFonts w:hint="eastAsia" w:ascii="宋体" w:hAnsi="宋体" w:cs="宋体"/>
          <w:sz w:val="28"/>
          <w:szCs w:val="28"/>
        </w:rPr>
      </w:pPr>
    </w:p>
    <w:p w14:paraId="523725D1">
      <w:pPr>
        <w:spacing w:line="300" w:lineRule="auto"/>
        <w:outlineLvl w:val="0"/>
        <w:rPr>
          <w:rFonts w:hint="eastAsia" w:ascii="宋体" w:hAnsi="宋体" w:cs="宋体"/>
          <w:sz w:val="28"/>
          <w:szCs w:val="28"/>
        </w:rPr>
      </w:pPr>
    </w:p>
    <w:p w14:paraId="28B29D5E">
      <w:pPr>
        <w:spacing w:line="300" w:lineRule="auto"/>
        <w:outlineLvl w:val="0"/>
        <w:rPr>
          <w:rFonts w:hint="eastAsia" w:ascii="宋体" w:hAnsi="宋体" w:cs="宋体"/>
          <w:sz w:val="28"/>
          <w:szCs w:val="28"/>
        </w:rPr>
      </w:pPr>
    </w:p>
    <w:p w14:paraId="674BDBD7">
      <w:pPr>
        <w:pStyle w:val="210"/>
        <w:rPr>
          <w:rFonts w:hint="eastAsia" w:ascii="宋体" w:hAnsi="宋体" w:cs="宋体"/>
        </w:rPr>
      </w:pPr>
    </w:p>
    <w:p w14:paraId="643DA5E3">
      <w:pPr>
        <w:rPr>
          <w:rFonts w:hint="eastAsia" w:ascii="宋体" w:hAnsi="宋体" w:cs="宋体"/>
        </w:rPr>
      </w:pPr>
    </w:p>
    <w:p w14:paraId="2C11ED0D">
      <w:pPr>
        <w:pStyle w:val="210"/>
        <w:rPr>
          <w:rFonts w:hint="eastAsia" w:ascii="宋体" w:hAnsi="宋体" w:cs="宋体"/>
        </w:rPr>
      </w:pPr>
    </w:p>
    <w:p w14:paraId="46BFE1AA">
      <w:pPr>
        <w:rPr>
          <w:rFonts w:hint="eastAsia" w:ascii="宋体" w:hAnsi="宋体" w:cs="宋体"/>
        </w:rPr>
      </w:pPr>
    </w:p>
    <w:p w14:paraId="4A411DB5">
      <w:pPr>
        <w:pStyle w:val="210"/>
        <w:rPr>
          <w:rFonts w:hint="eastAsia" w:ascii="宋体" w:hAnsi="宋体" w:cs="宋体"/>
        </w:rPr>
      </w:pPr>
    </w:p>
    <w:p w14:paraId="3F1D989F">
      <w:pPr>
        <w:spacing w:line="300" w:lineRule="auto"/>
        <w:outlineLvl w:val="0"/>
        <w:rPr>
          <w:rFonts w:hint="eastAsia" w:ascii="宋体" w:hAnsi="宋体" w:cs="宋体"/>
          <w:sz w:val="28"/>
          <w:szCs w:val="28"/>
        </w:rPr>
      </w:pPr>
    </w:p>
    <w:p w14:paraId="6D74ECDE">
      <w:pPr>
        <w:spacing w:line="300" w:lineRule="auto"/>
        <w:outlineLvl w:val="0"/>
        <w:rPr>
          <w:rFonts w:hint="eastAsia" w:ascii="宋体" w:hAnsi="宋体" w:cs="宋体"/>
          <w:sz w:val="28"/>
          <w:szCs w:val="28"/>
        </w:rPr>
      </w:pPr>
    </w:p>
    <w:p w14:paraId="39AFEA13">
      <w:pPr>
        <w:rPr>
          <w:rFonts w:hint="eastAsia" w:ascii="宋体" w:hAnsi="宋体" w:cs="宋体"/>
          <w:bCs/>
          <w:sz w:val="32"/>
          <w:szCs w:val="32"/>
          <w:lang w:bidi="ar"/>
        </w:rPr>
      </w:pPr>
      <w:r>
        <w:rPr>
          <w:rFonts w:hint="eastAsia" w:ascii="宋体" w:hAnsi="宋体" w:cs="宋体"/>
          <w:bCs/>
          <w:sz w:val="32"/>
          <w:szCs w:val="32"/>
          <w:lang w:bidi="ar"/>
        </w:rPr>
        <w:t>附件12</w:t>
      </w:r>
    </w:p>
    <w:p w14:paraId="2CB3A442">
      <w:pPr>
        <w:jc w:val="center"/>
        <w:rPr>
          <w:rFonts w:hint="eastAsia" w:ascii="宋体" w:hAnsi="宋体" w:cs="宋体"/>
          <w:bCs/>
          <w:sz w:val="44"/>
          <w:szCs w:val="44"/>
        </w:rPr>
      </w:pPr>
      <w:r>
        <w:rPr>
          <w:rFonts w:hint="eastAsia" w:ascii="宋体" w:hAnsi="宋体" w:cs="宋体"/>
          <w:bCs/>
          <w:sz w:val="44"/>
          <w:szCs w:val="44"/>
        </w:rPr>
        <w:t>质疑函范本</w:t>
      </w:r>
    </w:p>
    <w:p w14:paraId="02B14B27">
      <w:pPr>
        <w:spacing w:before="240" w:line="360" w:lineRule="auto"/>
        <w:rPr>
          <w:rFonts w:hint="eastAsia" w:ascii="宋体" w:hAnsi="宋体" w:cs="宋体"/>
          <w:bCs/>
          <w:sz w:val="32"/>
          <w:szCs w:val="32"/>
        </w:rPr>
      </w:pPr>
      <w:r>
        <w:rPr>
          <w:rFonts w:hint="eastAsia" w:ascii="宋体" w:hAnsi="宋体" w:cs="宋体"/>
          <w:bCs/>
          <w:sz w:val="32"/>
          <w:szCs w:val="32"/>
        </w:rPr>
        <w:t>一、质疑供应商基本信息</w:t>
      </w:r>
    </w:p>
    <w:p w14:paraId="669CBC1B">
      <w:pPr>
        <w:spacing w:line="360" w:lineRule="auto"/>
        <w:rPr>
          <w:rFonts w:hint="eastAsia" w:ascii="宋体" w:hAnsi="宋体" w:cs="宋体"/>
          <w:sz w:val="32"/>
          <w:szCs w:val="32"/>
          <w:u w:val="single"/>
        </w:rPr>
      </w:pPr>
      <w:r>
        <w:rPr>
          <w:rFonts w:hint="eastAsia" w:ascii="宋体" w:hAnsi="宋体" w:cs="宋体"/>
          <w:sz w:val="32"/>
          <w:szCs w:val="32"/>
        </w:rPr>
        <w:t>质疑供应商：</w:t>
      </w:r>
    </w:p>
    <w:p w14:paraId="25E946B5">
      <w:pPr>
        <w:spacing w:line="360" w:lineRule="auto"/>
        <w:rPr>
          <w:rFonts w:hint="eastAsia" w:ascii="宋体" w:hAnsi="宋体" w:cs="宋体"/>
          <w:sz w:val="32"/>
          <w:szCs w:val="32"/>
        </w:rPr>
      </w:pPr>
      <w:r>
        <w:rPr>
          <w:rFonts w:hint="eastAsia" w:ascii="宋体" w:hAnsi="宋体" w:cs="宋体"/>
          <w:sz w:val="32"/>
          <w:szCs w:val="32"/>
        </w:rPr>
        <w:t>地址：邮编：</w:t>
      </w:r>
    </w:p>
    <w:p w14:paraId="014A51A5">
      <w:pPr>
        <w:spacing w:line="360" w:lineRule="auto"/>
        <w:rPr>
          <w:rFonts w:hint="eastAsia" w:ascii="宋体" w:hAnsi="宋体" w:cs="宋体"/>
          <w:sz w:val="32"/>
          <w:szCs w:val="32"/>
        </w:rPr>
      </w:pPr>
      <w:r>
        <w:rPr>
          <w:rFonts w:hint="eastAsia" w:ascii="宋体" w:hAnsi="宋体" w:cs="宋体"/>
          <w:sz w:val="32"/>
          <w:szCs w:val="32"/>
        </w:rPr>
        <w:t>联系人：联系电话：</w:t>
      </w:r>
    </w:p>
    <w:p w14:paraId="1B2AC9C9">
      <w:pPr>
        <w:spacing w:line="360" w:lineRule="auto"/>
        <w:rPr>
          <w:rFonts w:hint="eastAsia" w:ascii="宋体" w:hAnsi="宋体" w:cs="宋体"/>
          <w:sz w:val="32"/>
          <w:szCs w:val="32"/>
          <w:u w:val="single"/>
        </w:rPr>
      </w:pPr>
      <w:r>
        <w:rPr>
          <w:rFonts w:hint="eastAsia" w:ascii="宋体" w:hAnsi="宋体" w:cs="宋体"/>
          <w:sz w:val="32"/>
          <w:szCs w:val="32"/>
        </w:rPr>
        <w:t>授权代表：</w:t>
      </w:r>
    </w:p>
    <w:p w14:paraId="538BE941">
      <w:pPr>
        <w:spacing w:line="360" w:lineRule="auto"/>
        <w:rPr>
          <w:rFonts w:hint="eastAsia" w:ascii="宋体" w:hAnsi="宋体" w:cs="宋体"/>
          <w:sz w:val="32"/>
          <w:szCs w:val="32"/>
        </w:rPr>
      </w:pPr>
      <w:r>
        <w:rPr>
          <w:rFonts w:hint="eastAsia" w:ascii="宋体" w:hAnsi="宋体" w:cs="宋体"/>
          <w:sz w:val="32"/>
          <w:szCs w:val="32"/>
        </w:rPr>
        <w:t>联系电话：</w:t>
      </w:r>
    </w:p>
    <w:p w14:paraId="398041A9">
      <w:pPr>
        <w:spacing w:line="360" w:lineRule="auto"/>
        <w:rPr>
          <w:rFonts w:hint="eastAsia" w:ascii="宋体" w:hAnsi="宋体" w:cs="宋体"/>
          <w:sz w:val="32"/>
          <w:szCs w:val="32"/>
        </w:rPr>
      </w:pPr>
      <w:r>
        <w:rPr>
          <w:rFonts w:hint="eastAsia" w:ascii="宋体" w:hAnsi="宋体" w:cs="宋体"/>
          <w:sz w:val="32"/>
          <w:szCs w:val="32"/>
        </w:rPr>
        <w:t>地址：邮编：</w:t>
      </w:r>
    </w:p>
    <w:p w14:paraId="0863C6DE">
      <w:pPr>
        <w:spacing w:line="360" w:lineRule="auto"/>
        <w:rPr>
          <w:rFonts w:hint="eastAsia" w:ascii="宋体" w:hAnsi="宋体" w:cs="宋体"/>
          <w:bCs/>
          <w:sz w:val="32"/>
          <w:szCs w:val="32"/>
        </w:rPr>
      </w:pPr>
      <w:r>
        <w:rPr>
          <w:rFonts w:hint="eastAsia" w:ascii="宋体" w:hAnsi="宋体" w:cs="宋体"/>
          <w:bCs/>
          <w:sz w:val="32"/>
          <w:szCs w:val="32"/>
        </w:rPr>
        <w:t>二、质疑项目基本情况</w:t>
      </w:r>
    </w:p>
    <w:p w14:paraId="76D0D749">
      <w:pPr>
        <w:spacing w:line="360" w:lineRule="auto"/>
        <w:rPr>
          <w:rFonts w:hint="eastAsia" w:ascii="宋体" w:hAnsi="宋体" w:cs="宋体"/>
          <w:sz w:val="32"/>
          <w:szCs w:val="32"/>
        </w:rPr>
      </w:pPr>
      <w:r>
        <w:rPr>
          <w:rFonts w:hint="eastAsia" w:ascii="宋体" w:hAnsi="宋体" w:cs="宋体"/>
          <w:sz w:val="32"/>
          <w:szCs w:val="32"/>
        </w:rPr>
        <w:t>质疑项目的名称：</w:t>
      </w:r>
    </w:p>
    <w:p w14:paraId="44E004E7">
      <w:pPr>
        <w:spacing w:line="360" w:lineRule="auto"/>
        <w:rPr>
          <w:rFonts w:hint="eastAsia" w:ascii="宋体" w:hAnsi="宋体" w:cs="宋体"/>
          <w:sz w:val="32"/>
          <w:szCs w:val="32"/>
        </w:rPr>
      </w:pPr>
      <w:r>
        <w:rPr>
          <w:rFonts w:hint="eastAsia" w:ascii="宋体" w:hAnsi="宋体" w:cs="宋体"/>
          <w:sz w:val="32"/>
          <w:szCs w:val="32"/>
        </w:rPr>
        <w:t>质疑项目的编号：包号：</w:t>
      </w:r>
    </w:p>
    <w:p w14:paraId="6128F5A5">
      <w:pPr>
        <w:spacing w:line="360" w:lineRule="auto"/>
        <w:rPr>
          <w:rFonts w:hint="eastAsia" w:ascii="宋体" w:hAnsi="宋体" w:cs="宋体"/>
          <w:sz w:val="32"/>
          <w:szCs w:val="32"/>
          <w:u w:val="single"/>
        </w:rPr>
      </w:pPr>
      <w:r>
        <w:rPr>
          <w:rFonts w:hint="eastAsia" w:ascii="宋体" w:hAnsi="宋体" w:cs="宋体"/>
          <w:sz w:val="32"/>
          <w:szCs w:val="32"/>
        </w:rPr>
        <w:t>采购人名称：</w:t>
      </w:r>
    </w:p>
    <w:p w14:paraId="7B64B213">
      <w:pPr>
        <w:spacing w:line="360" w:lineRule="auto"/>
        <w:rPr>
          <w:rFonts w:hint="eastAsia" w:ascii="宋体" w:hAnsi="宋体" w:cs="宋体"/>
          <w:sz w:val="32"/>
          <w:szCs w:val="32"/>
        </w:rPr>
      </w:pPr>
      <w:r>
        <w:rPr>
          <w:rFonts w:hint="eastAsia" w:ascii="宋体" w:hAnsi="宋体" w:cs="宋体"/>
          <w:sz w:val="32"/>
          <w:szCs w:val="32"/>
        </w:rPr>
        <w:t>采购文件获取日期：</w:t>
      </w:r>
    </w:p>
    <w:p w14:paraId="61107BC3">
      <w:pPr>
        <w:spacing w:line="360" w:lineRule="auto"/>
        <w:rPr>
          <w:rFonts w:hint="eastAsia" w:ascii="宋体" w:hAnsi="宋体" w:cs="宋体"/>
          <w:bCs/>
          <w:sz w:val="32"/>
          <w:szCs w:val="32"/>
        </w:rPr>
      </w:pPr>
      <w:r>
        <w:rPr>
          <w:rFonts w:hint="eastAsia" w:ascii="宋体" w:hAnsi="宋体" w:cs="宋体"/>
          <w:bCs/>
          <w:sz w:val="32"/>
          <w:szCs w:val="32"/>
        </w:rPr>
        <w:t>三、质疑事项具体内容</w:t>
      </w:r>
    </w:p>
    <w:p w14:paraId="5068C13B">
      <w:pPr>
        <w:spacing w:line="360" w:lineRule="auto"/>
        <w:rPr>
          <w:rFonts w:hint="eastAsia" w:ascii="宋体" w:hAnsi="宋体" w:cs="宋体"/>
          <w:sz w:val="32"/>
          <w:szCs w:val="32"/>
          <w:u w:val="single"/>
        </w:rPr>
      </w:pPr>
      <w:r>
        <w:rPr>
          <w:rFonts w:hint="eastAsia" w:ascii="宋体" w:hAnsi="宋体" w:cs="宋体"/>
          <w:sz w:val="32"/>
          <w:szCs w:val="32"/>
        </w:rPr>
        <w:t>质疑事项1：</w:t>
      </w:r>
    </w:p>
    <w:p w14:paraId="5DC9C2A8">
      <w:pPr>
        <w:spacing w:line="360" w:lineRule="auto"/>
        <w:rPr>
          <w:rFonts w:hint="eastAsia" w:ascii="宋体" w:hAnsi="宋体" w:cs="宋体"/>
          <w:sz w:val="32"/>
          <w:szCs w:val="32"/>
          <w:u w:val="single"/>
        </w:rPr>
      </w:pPr>
      <w:r>
        <w:rPr>
          <w:rFonts w:hint="eastAsia" w:ascii="宋体" w:hAnsi="宋体" w:cs="宋体"/>
          <w:sz w:val="32"/>
          <w:szCs w:val="32"/>
        </w:rPr>
        <w:t>事实依据：</w:t>
      </w:r>
    </w:p>
    <w:p w14:paraId="203D9926">
      <w:pPr>
        <w:spacing w:line="360" w:lineRule="auto"/>
        <w:rPr>
          <w:rFonts w:hint="eastAsia" w:ascii="宋体" w:hAnsi="宋体" w:cs="宋体"/>
          <w:sz w:val="32"/>
          <w:szCs w:val="32"/>
        </w:rPr>
      </w:pPr>
    </w:p>
    <w:p w14:paraId="762912C7">
      <w:pPr>
        <w:spacing w:line="360" w:lineRule="auto"/>
        <w:rPr>
          <w:rFonts w:hint="eastAsia" w:ascii="宋体" w:hAnsi="宋体" w:cs="宋体"/>
          <w:sz w:val="32"/>
          <w:szCs w:val="32"/>
          <w:u w:val="single"/>
        </w:rPr>
      </w:pPr>
      <w:r>
        <w:rPr>
          <w:rFonts w:hint="eastAsia" w:ascii="宋体" w:hAnsi="宋体" w:cs="宋体"/>
          <w:sz w:val="32"/>
          <w:szCs w:val="32"/>
        </w:rPr>
        <w:t>法律依据：</w:t>
      </w:r>
    </w:p>
    <w:p w14:paraId="20C2638A">
      <w:pPr>
        <w:spacing w:line="360" w:lineRule="auto"/>
        <w:rPr>
          <w:rFonts w:hint="eastAsia" w:ascii="宋体" w:hAnsi="宋体" w:cs="宋体"/>
          <w:sz w:val="32"/>
          <w:szCs w:val="32"/>
          <w:u w:val="single"/>
        </w:rPr>
      </w:pPr>
    </w:p>
    <w:p w14:paraId="5C7179BA">
      <w:pPr>
        <w:spacing w:line="360" w:lineRule="auto"/>
        <w:rPr>
          <w:rFonts w:hint="eastAsia" w:ascii="宋体" w:hAnsi="宋体" w:cs="宋体"/>
          <w:sz w:val="32"/>
          <w:szCs w:val="32"/>
          <w:u w:val="single"/>
        </w:rPr>
      </w:pPr>
      <w:r>
        <w:rPr>
          <w:rFonts w:hint="eastAsia" w:ascii="宋体" w:hAnsi="宋体" w:cs="宋体"/>
          <w:sz w:val="32"/>
          <w:szCs w:val="32"/>
        </w:rPr>
        <w:t>质疑事项2</w:t>
      </w:r>
    </w:p>
    <w:p w14:paraId="0857B12F">
      <w:pPr>
        <w:spacing w:line="360" w:lineRule="auto"/>
        <w:rPr>
          <w:rFonts w:hint="eastAsia" w:ascii="宋体" w:hAnsi="宋体" w:cs="宋体"/>
          <w:sz w:val="32"/>
          <w:szCs w:val="32"/>
        </w:rPr>
      </w:pPr>
      <w:r>
        <w:rPr>
          <w:rFonts w:hint="eastAsia" w:ascii="宋体" w:hAnsi="宋体" w:cs="宋体"/>
          <w:sz w:val="32"/>
          <w:szCs w:val="32"/>
        </w:rPr>
        <w:t>……</w:t>
      </w:r>
    </w:p>
    <w:p w14:paraId="27351F08">
      <w:pPr>
        <w:spacing w:line="360" w:lineRule="auto"/>
        <w:rPr>
          <w:rFonts w:hint="eastAsia" w:ascii="宋体" w:hAnsi="宋体" w:cs="宋体"/>
          <w:bCs/>
          <w:sz w:val="32"/>
          <w:szCs w:val="32"/>
        </w:rPr>
      </w:pPr>
      <w:r>
        <w:rPr>
          <w:rFonts w:hint="eastAsia" w:ascii="宋体" w:hAnsi="宋体" w:cs="宋体"/>
          <w:bCs/>
          <w:sz w:val="32"/>
          <w:szCs w:val="32"/>
        </w:rPr>
        <w:t>四、与质疑事项相关的质疑请求</w:t>
      </w:r>
    </w:p>
    <w:p w14:paraId="3BF45045">
      <w:pPr>
        <w:spacing w:line="360" w:lineRule="auto"/>
        <w:rPr>
          <w:rFonts w:hint="eastAsia" w:ascii="宋体" w:hAnsi="宋体" w:cs="宋体"/>
          <w:sz w:val="32"/>
          <w:szCs w:val="32"/>
          <w:u w:val="single"/>
        </w:rPr>
      </w:pPr>
      <w:r>
        <w:rPr>
          <w:rFonts w:hint="eastAsia" w:ascii="宋体" w:hAnsi="宋体" w:cs="宋体"/>
          <w:sz w:val="32"/>
          <w:szCs w:val="32"/>
        </w:rPr>
        <w:t>请求：</w:t>
      </w:r>
    </w:p>
    <w:p w14:paraId="26B84328">
      <w:pPr>
        <w:rPr>
          <w:rFonts w:hint="eastAsia" w:ascii="宋体" w:hAnsi="宋体" w:cs="宋体"/>
          <w:sz w:val="30"/>
          <w:szCs w:val="30"/>
        </w:rPr>
      </w:pPr>
      <w:r>
        <w:rPr>
          <w:rFonts w:hint="eastAsia" w:ascii="宋体" w:hAnsi="宋体" w:cs="宋体"/>
          <w:sz w:val="30"/>
          <w:szCs w:val="30"/>
        </w:rPr>
        <w:t xml:space="preserve">签字(签章)：                   公章：                      </w:t>
      </w:r>
    </w:p>
    <w:p w14:paraId="05F51214">
      <w:pPr>
        <w:rPr>
          <w:rFonts w:hint="eastAsia" w:ascii="宋体" w:hAnsi="宋体" w:cs="宋体"/>
          <w:sz w:val="30"/>
          <w:szCs w:val="30"/>
        </w:rPr>
      </w:pPr>
      <w:r>
        <w:rPr>
          <w:rFonts w:hint="eastAsia" w:ascii="宋体" w:hAnsi="宋体" w:cs="宋体"/>
          <w:sz w:val="30"/>
          <w:szCs w:val="30"/>
        </w:rPr>
        <w:t xml:space="preserve">日期：    </w:t>
      </w:r>
    </w:p>
    <w:p w14:paraId="25C333C0">
      <w:pPr>
        <w:spacing w:line="360" w:lineRule="auto"/>
        <w:rPr>
          <w:rFonts w:hint="eastAsia" w:ascii="宋体" w:hAnsi="宋体" w:cs="宋体"/>
          <w:sz w:val="32"/>
          <w:szCs w:val="32"/>
        </w:rPr>
      </w:pPr>
    </w:p>
    <w:p w14:paraId="4CA52637">
      <w:pPr>
        <w:rPr>
          <w:rFonts w:hint="eastAsia" w:ascii="宋体" w:hAnsi="宋体" w:cs="宋体"/>
          <w:b/>
          <w:sz w:val="32"/>
          <w:szCs w:val="32"/>
        </w:rPr>
      </w:pPr>
    </w:p>
    <w:p w14:paraId="76B7E12C">
      <w:pPr>
        <w:rPr>
          <w:rFonts w:hint="eastAsia" w:ascii="宋体" w:hAnsi="宋体" w:cs="宋体"/>
          <w:b/>
          <w:sz w:val="32"/>
          <w:szCs w:val="32"/>
        </w:rPr>
      </w:pPr>
      <w:r>
        <w:rPr>
          <w:rFonts w:hint="eastAsia" w:ascii="宋体" w:hAnsi="宋体" w:cs="宋体"/>
          <w:b/>
          <w:sz w:val="32"/>
          <w:szCs w:val="32"/>
        </w:rPr>
        <w:t>质疑函制作说明：</w:t>
      </w:r>
    </w:p>
    <w:p w14:paraId="074642FC">
      <w:pPr>
        <w:widowControl/>
        <w:ind w:firstLine="640"/>
        <w:jc w:val="left"/>
        <w:rPr>
          <w:rFonts w:hint="eastAsia" w:ascii="宋体" w:hAnsi="宋体" w:cs="宋体"/>
          <w:sz w:val="32"/>
          <w:szCs w:val="32"/>
        </w:rPr>
      </w:pPr>
      <w:r>
        <w:rPr>
          <w:rFonts w:hint="eastAsia" w:ascii="宋体" w:hAnsi="宋体" w:cs="宋体"/>
          <w:sz w:val="32"/>
          <w:szCs w:val="32"/>
        </w:rPr>
        <w:t>1.供应商提出质疑时，应提交质疑函和必要的证明材料。</w:t>
      </w:r>
    </w:p>
    <w:p w14:paraId="2D846389">
      <w:pPr>
        <w:widowControl/>
        <w:ind w:firstLine="640"/>
        <w:jc w:val="left"/>
        <w:rPr>
          <w:rFonts w:hint="eastAsia"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AEB5C21">
      <w:pPr>
        <w:widowControl/>
        <w:ind w:firstLine="640"/>
        <w:jc w:val="left"/>
        <w:rPr>
          <w:rFonts w:hint="eastAsia" w:ascii="宋体" w:hAnsi="宋体" w:cs="宋体"/>
          <w:sz w:val="32"/>
          <w:szCs w:val="32"/>
        </w:rPr>
      </w:pPr>
      <w:r>
        <w:rPr>
          <w:rFonts w:hint="eastAsia" w:ascii="宋体" w:hAnsi="宋体" w:cs="宋体"/>
          <w:sz w:val="32"/>
          <w:szCs w:val="32"/>
        </w:rPr>
        <w:t>3.质疑供应商若对项目的某一分包进行质疑，质疑函中应列明具体分包号。</w:t>
      </w:r>
    </w:p>
    <w:p w14:paraId="423A4444">
      <w:pPr>
        <w:widowControl/>
        <w:ind w:firstLine="640"/>
        <w:jc w:val="left"/>
        <w:rPr>
          <w:rFonts w:hint="eastAsia" w:ascii="宋体" w:hAnsi="宋体" w:cs="宋体"/>
          <w:sz w:val="32"/>
          <w:szCs w:val="32"/>
        </w:rPr>
      </w:pPr>
      <w:r>
        <w:rPr>
          <w:rFonts w:hint="eastAsia" w:ascii="宋体" w:hAnsi="宋体" w:cs="宋体"/>
          <w:sz w:val="32"/>
          <w:szCs w:val="32"/>
        </w:rPr>
        <w:t>4.质疑函的质疑事项应具体、明确，并有必要的事实依据和法律依据。</w:t>
      </w:r>
    </w:p>
    <w:p w14:paraId="5059BC38">
      <w:pPr>
        <w:widowControl/>
        <w:ind w:firstLine="640"/>
        <w:jc w:val="left"/>
        <w:rPr>
          <w:rFonts w:hint="eastAsia" w:ascii="宋体" w:hAnsi="宋体" w:cs="宋体"/>
          <w:sz w:val="32"/>
          <w:szCs w:val="32"/>
        </w:rPr>
      </w:pPr>
      <w:r>
        <w:rPr>
          <w:rFonts w:hint="eastAsia" w:ascii="宋体" w:hAnsi="宋体" w:cs="宋体"/>
          <w:sz w:val="32"/>
          <w:szCs w:val="32"/>
        </w:rPr>
        <w:t>5.质疑函的质疑请求应与质疑事项相关。</w:t>
      </w:r>
    </w:p>
    <w:p w14:paraId="1D96902E">
      <w:pPr>
        <w:widowControl/>
        <w:ind w:firstLine="640"/>
        <w:jc w:val="left"/>
        <w:rPr>
          <w:rFonts w:hint="eastAsia" w:ascii="宋体" w:hAnsi="宋体" w:cs="宋体"/>
          <w:sz w:val="32"/>
          <w:szCs w:val="32"/>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p w14:paraId="3425F467">
      <w:pPr>
        <w:spacing w:line="300" w:lineRule="auto"/>
        <w:outlineLvl w:val="0"/>
        <w:rPr>
          <w:rFonts w:hint="eastAsia" w:ascii="宋体" w:hAnsi="宋体" w:cs="宋体"/>
          <w:sz w:val="28"/>
          <w:szCs w:val="28"/>
        </w:rPr>
      </w:pPr>
    </w:p>
    <w:p w14:paraId="2F1DD608">
      <w:pPr>
        <w:spacing w:line="300" w:lineRule="auto"/>
        <w:outlineLvl w:val="0"/>
        <w:rPr>
          <w:rFonts w:hint="eastAsia" w:ascii="宋体" w:hAnsi="宋体" w:cs="宋体"/>
          <w:sz w:val="28"/>
          <w:szCs w:val="28"/>
        </w:rPr>
      </w:pPr>
    </w:p>
    <w:p w14:paraId="26A8B6BE">
      <w:pPr>
        <w:spacing w:line="500" w:lineRule="exact"/>
        <w:rPr>
          <w:rFonts w:hint="eastAsia" w:ascii="宋体" w:hAnsi="宋体" w:cs="宋体"/>
          <w:b/>
          <w:sz w:val="28"/>
          <w:szCs w:val="28"/>
        </w:rPr>
      </w:pPr>
    </w:p>
    <w:p w14:paraId="31775597">
      <w:pPr>
        <w:spacing w:line="500" w:lineRule="exact"/>
        <w:contextualSpacing/>
        <w:rPr>
          <w:rFonts w:hint="eastAsia" w:ascii="宋体" w:hAnsi="宋体" w:cs="宋体"/>
          <w:b/>
          <w:bCs/>
          <w:sz w:val="28"/>
          <w:szCs w:val="28"/>
        </w:rPr>
      </w:pPr>
    </w:p>
    <w:p w14:paraId="4A1B4F08">
      <w:pPr>
        <w:spacing w:line="500" w:lineRule="exact"/>
        <w:ind w:firstLine="562"/>
        <w:contextualSpacing/>
        <w:outlineLvl w:val="0"/>
        <w:rPr>
          <w:rFonts w:hint="eastAsia" w:ascii="宋体" w:hAnsi="宋体" w:cs="宋体"/>
          <w:b/>
          <w:sz w:val="28"/>
          <w:szCs w:val="28"/>
        </w:rPr>
      </w:pPr>
    </w:p>
    <w:p w14:paraId="14B3C332">
      <w:pPr>
        <w:spacing w:line="500" w:lineRule="exact"/>
        <w:ind w:firstLine="562"/>
        <w:contextualSpacing/>
        <w:outlineLvl w:val="0"/>
        <w:rPr>
          <w:rFonts w:hint="eastAsia" w:ascii="宋体" w:hAnsi="宋体" w:cs="宋体"/>
          <w:b/>
          <w:sz w:val="28"/>
          <w:szCs w:val="28"/>
        </w:rPr>
      </w:pPr>
    </w:p>
    <w:sectPr>
      <w:pgSz w:w="11907" w:h="16839"/>
      <w:pgMar w:top="1440" w:right="1800" w:bottom="1440" w:left="1800" w:header="720" w:footer="737"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8452B">
    <w:pPr>
      <w:pStyle w:val="217"/>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ADA19">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79ADA1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CCE5C">
    <w:pPr>
      <w:pStyle w:val="217"/>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1502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B31502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E52F">
    <w:pPr>
      <w:pStyle w:val="217"/>
      <w:rPr>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23B1652">
                          <w:pPr>
                            <w:pStyle w:val="217"/>
                            <w:tabs>
                              <w:tab w:val="clear" w:pos="4153"/>
                              <w:tab w:val="clear" w:pos="8306"/>
                            </w:tabs>
                          </w:pPr>
                          <w:r>
                            <w:fldChar w:fldCharType="begin"/>
                          </w:r>
                          <w:r>
                            <w:instrText xml:space="preserve"> PAGE  \* MERGEFORMAT </w:instrText>
                          </w:r>
                          <w:r>
                            <w:fldChar w:fldCharType="separate"/>
                          </w:r>
                          <w:r>
                            <w:t>5</w:t>
                          </w:r>
                          <w:r>
                            <w:fldChar w:fldCharType="end"/>
                          </w:r>
                        </w:p>
                        <w:p w14:paraId="0FD42348"/>
                      </w:txbxContent>
                    </wps:txbx>
                    <wps:bodyPr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jBT+5+UBAADOAwAA&#10;DgAAAAAAAAABACAAAAAeAQAAZHJzL2Uyb0RvYy54bWxQSwUGAAAAAAYABgBZAQAAdQUAAAAA&#10;">
              <v:fill on="f" focussize="0,0"/>
              <v:stroke on="f"/>
              <v:imagedata o:title=""/>
              <o:lock v:ext="edit" aspectratio="f"/>
              <v:textbox inset="0mm,0mm,0mm,0mm" style="mso-fit-shape-to-text:t;">
                <w:txbxContent>
                  <w:p w14:paraId="623B1652">
                    <w:pPr>
                      <w:pStyle w:val="217"/>
                      <w:tabs>
                        <w:tab w:val="clear" w:pos="4153"/>
                        <w:tab w:val="clear" w:pos="8306"/>
                      </w:tabs>
                    </w:pPr>
                    <w:r>
                      <w:fldChar w:fldCharType="begin"/>
                    </w:r>
                    <w:r>
                      <w:instrText xml:space="preserve"> PAGE  \* MERGEFORMAT </w:instrText>
                    </w:r>
                    <w:r>
                      <w:fldChar w:fldCharType="separate"/>
                    </w:r>
                    <w:r>
                      <w:t>5</w:t>
                    </w:r>
                    <w:r>
                      <w:fldChar w:fldCharType="end"/>
                    </w:r>
                  </w:p>
                  <w:p w14:paraId="0FD4234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26A6">
    <w:pPr>
      <w:pStyle w:val="217"/>
      <w:rPr>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1662EAE2">
                          <w:pPr>
                            <w:pStyle w:val="217"/>
                            <w:tabs>
                              <w:tab w:val="clear" w:pos="4153"/>
                              <w:tab w:val="clear" w:pos="8306"/>
                            </w:tabs>
                          </w:pPr>
                          <w:r>
                            <w:fldChar w:fldCharType="begin"/>
                          </w:r>
                          <w:r>
                            <w:instrText xml:space="preserve"> PAGE  \* MERGEFORMAT </w:instrText>
                          </w:r>
                          <w:r>
                            <w:fldChar w:fldCharType="separate"/>
                          </w:r>
                          <w:r>
                            <w:t>6</w:t>
                          </w:r>
                          <w:r>
                            <w:fldChar w:fldCharType="end"/>
                          </w:r>
                        </w:p>
                        <w:p w14:paraId="6BD99034"/>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J9AtreUBAADOAwAA&#10;DgAAAAAAAAABACAAAAAeAQAAZHJzL2Uyb0RvYy54bWxQSwUGAAAAAAYABgBZAQAAdQUAAAAA&#10;">
              <v:fill on="f" focussize="0,0"/>
              <v:stroke on="f"/>
              <v:imagedata o:title=""/>
              <o:lock v:ext="edit" aspectratio="f"/>
              <v:textbox inset="0mm,0mm,0mm,0mm" style="mso-fit-shape-to-text:t;">
                <w:txbxContent>
                  <w:p w14:paraId="1662EAE2">
                    <w:pPr>
                      <w:pStyle w:val="217"/>
                      <w:tabs>
                        <w:tab w:val="clear" w:pos="4153"/>
                        <w:tab w:val="clear" w:pos="8306"/>
                      </w:tabs>
                    </w:pPr>
                    <w:r>
                      <w:fldChar w:fldCharType="begin"/>
                    </w:r>
                    <w:r>
                      <w:instrText xml:space="preserve"> PAGE  \* MERGEFORMAT </w:instrText>
                    </w:r>
                    <w:r>
                      <w:fldChar w:fldCharType="separate"/>
                    </w:r>
                    <w:r>
                      <w:t>6</w:t>
                    </w:r>
                    <w:r>
                      <w:fldChar w:fldCharType="end"/>
                    </w:r>
                  </w:p>
                  <w:p w14:paraId="6BD9903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3DC4">
    <w:pPr>
      <w:pStyle w:val="219"/>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4D71">
    <w:pPr>
      <w:pStyle w:val="219"/>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NotTrackMoves/>
  <w:documentProtection w:enforcement="0"/>
  <w:defaultTabStop w:val="420"/>
  <w:evenAndOddHeaders w:val="1"/>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37"/>
    <w:rsid w:val="00146E66"/>
    <w:rsid w:val="0036037F"/>
    <w:rsid w:val="004E4A5A"/>
    <w:rsid w:val="00560050"/>
    <w:rsid w:val="00813210"/>
    <w:rsid w:val="00861875"/>
    <w:rsid w:val="008E2C6C"/>
    <w:rsid w:val="009F322F"/>
    <w:rsid w:val="00A21E21"/>
    <w:rsid w:val="00A8618E"/>
    <w:rsid w:val="00AA4537"/>
    <w:rsid w:val="00C84172"/>
    <w:rsid w:val="00CC173C"/>
    <w:rsid w:val="017B7436"/>
    <w:rsid w:val="01B218A5"/>
    <w:rsid w:val="01EE63F4"/>
    <w:rsid w:val="02070CCA"/>
    <w:rsid w:val="021F7DC1"/>
    <w:rsid w:val="02225B04"/>
    <w:rsid w:val="026F7379"/>
    <w:rsid w:val="02BE3A7E"/>
    <w:rsid w:val="034D4E02"/>
    <w:rsid w:val="04DA26C6"/>
    <w:rsid w:val="04FE4606"/>
    <w:rsid w:val="051060E7"/>
    <w:rsid w:val="05852631"/>
    <w:rsid w:val="05D15877"/>
    <w:rsid w:val="05F31C91"/>
    <w:rsid w:val="0612468B"/>
    <w:rsid w:val="06233BF8"/>
    <w:rsid w:val="06620BC5"/>
    <w:rsid w:val="066B5CCB"/>
    <w:rsid w:val="068648B3"/>
    <w:rsid w:val="06C4362D"/>
    <w:rsid w:val="06EE4206"/>
    <w:rsid w:val="075158E7"/>
    <w:rsid w:val="075E7818"/>
    <w:rsid w:val="076241C2"/>
    <w:rsid w:val="079C42F6"/>
    <w:rsid w:val="07DE071F"/>
    <w:rsid w:val="07FB6BDB"/>
    <w:rsid w:val="08016DD3"/>
    <w:rsid w:val="0865674A"/>
    <w:rsid w:val="08EB4EA1"/>
    <w:rsid w:val="09322AD0"/>
    <w:rsid w:val="099A0675"/>
    <w:rsid w:val="09B01C47"/>
    <w:rsid w:val="0A03621B"/>
    <w:rsid w:val="0A09040F"/>
    <w:rsid w:val="0A9F4195"/>
    <w:rsid w:val="0B7A075E"/>
    <w:rsid w:val="0BAA20CC"/>
    <w:rsid w:val="0C175FAD"/>
    <w:rsid w:val="0C37664F"/>
    <w:rsid w:val="0C965124"/>
    <w:rsid w:val="0CB3217A"/>
    <w:rsid w:val="0CBB4B8B"/>
    <w:rsid w:val="0CC021A1"/>
    <w:rsid w:val="0CEF0CD8"/>
    <w:rsid w:val="0CF307C8"/>
    <w:rsid w:val="0D556D8D"/>
    <w:rsid w:val="0D7E3F70"/>
    <w:rsid w:val="0D8458C4"/>
    <w:rsid w:val="0DA6583B"/>
    <w:rsid w:val="0DB8556E"/>
    <w:rsid w:val="0DBC6E0C"/>
    <w:rsid w:val="0E4F1A2E"/>
    <w:rsid w:val="0E6F0323"/>
    <w:rsid w:val="0EB83A78"/>
    <w:rsid w:val="0EEF24D5"/>
    <w:rsid w:val="0F4B48EC"/>
    <w:rsid w:val="0FB66128"/>
    <w:rsid w:val="0FF26B15"/>
    <w:rsid w:val="10622227"/>
    <w:rsid w:val="10A67900"/>
    <w:rsid w:val="11A16A45"/>
    <w:rsid w:val="11B20C52"/>
    <w:rsid w:val="12490E8B"/>
    <w:rsid w:val="13936861"/>
    <w:rsid w:val="13DF1AA7"/>
    <w:rsid w:val="13E56991"/>
    <w:rsid w:val="143A0A8B"/>
    <w:rsid w:val="14D01F4C"/>
    <w:rsid w:val="14D709D0"/>
    <w:rsid w:val="152F6F59"/>
    <w:rsid w:val="153674A4"/>
    <w:rsid w:val="15B036FB"/>
    <w:rsid w:val="15BD1974"/>
    <w:rsid w:val="15EA64E1"/>
    <w:rsid w:val="15F66C34"/>
    <w:rsid w:val="1606156C"/>
    <w:rsid w:val="16B74615"/>
    <w:rsid w:val="17312619"/>
    <w:rsid w:val="17EB6C6C"/>
    <w:rsid w:val="1800023D"/>
    <w:rsid w:val="18CE5C46"/>
    <w:rsid w:val="192835A8"/>
    <w:rsid w:val="197762DD"/>
    <w:rsid w:val="19882350"/>
    <w:rsid w:val="1A5B175B"/>
    <w:rsid w:val="1C8651B5"/>
    <w:rsid w:val="1CD777BF"/>
    <w:rsid w:val="1D036806"/>
    <w:rsid w:val="1E360515"/>
    <w:rsid w:val="1E566E09"/>
    <w:rsid w:val="1EAF2075"/>
    <w:rsid w:val="1F1C595D"/>
    <w:rsid w:val="1F242A63"/>
    <w:rsid w:val="1F271888"/>
    <w:rsid w:val="1F38206B"/>
    <w:rsid w:val="1F5A559F"/>
    <w:rsid w:val="1FDF7539"/>
    <w:rsid w:val="20937EA1"/>
    <w:rsid w:val="20C757F3"/>
    <w:rsid w:val="22B61C24"/>
    <w:rsid w:val="22C06C83"/>
    <w:rsid w:val="22D075AD"/>
    <w:rsid w:val="233D5EA2"/>
    <w:rsid w:val="235A2061"/>
    <w:rsid w:val="23EB7FF4"/>
    <w:rsid w:val="24B228BF"/>
    <w:rsid w:val="25207829"/>
    <w:rsid w:val="254554E2"/>
    <w:rsid w:val="25493224"/>
    <w:rsid w:val="25496D80"/>
    <w:rsid w:val="256E4A38"/>
    <w:rsid w:val="25C66622"/>
    <w:rsid w:val="25EE5B79"/>
    <w:rsid w:val="26884BF0"/>
    <w:rsid w:val="26F156EA"/>
    <w:rsid w:val="270F224B"/>
    <w:rsid w:val="27787D8C"/>
    <w:rsid w:val="2829733C"/>
    <w:rsid w:val="2858552C"/>
    <w:rsid w:val="2907072B"/>
    <w:rsid w:val="2907142C"/>
    <w:rsid w:val="29F574D6"/>
    <w:rsid w:val="2A9B32B6"/>
    <w:rsid w:val="2AAB5DE7"/>
    <w:rsid w:val="2AE01F34"/>
    <w:rsid w:val="2B165956"/>
    <w:rsid w:val="2BF47386"/>
    <w:rsid w:val="2BF612E4"/>
    <w:rsid w:val="2C22657D"/>
    <w:rsid w:val="2C300C99"/>
    <w:rsid w:val="2C864D5D"/>
    <w:rsid w:val="2D2F768D"/>
    <w:rsid w:val="2D5C786C"/>
    <w:rsid w:val="2D684463"/>
    <w:rsid w:val="2DB80F46"/>
    <w:rsid w:val="2E5073D1"/>
    <w:rsid w:val="2E6F7878"/>
    <w:rsid w:val="2EB13A56"/>
    <w:rsid w:val="2FC838A8"/>
    <w:rsid w:val="30511EFC"/>
    <w:rsid w:val="307A0735"/>
    <w:rsid w:val="31603DCF"/>
    <w:rsid w:val="31833619"/>
    <w:rsid w:val="319C67C8"/>
    <w:rsid w:val="31C0486E"/>
    <w:rsid w:val="321307B9"/>
    <w:rsid w:val="32566F80"/>
    <w:rsid w:val="327F58AA"/>
    <w:rsid w:val="32D85BE7"/>
    <w:rsid w:val="32F702F5"/>
    <w:rsid w:val="33353039"/>
    <w:rsid w:val="33370B5F"/>
    <w:rsid w:val="33604C72"/>
    <w:rsid w:val="33EF143A"/>
    <w:rsid w:val="344C063B"/>
    <w:rsid w:val="345614B9"/>
    <w:rsid w:val="347F62B4"/>
    <w:rsid w:val="34F8431E"/>
    <w:rsid w:val="35981906"/>
    <w:rsid w:val="359F29EC"/>
    <w:rsid w:val="35A118E2"/>
    <w:rsid w:val="35AA386B"/>
    <w:rsid w:val="36032F7B"/>
    <w:rsid w:val="361138EA"/>
    <w:rsid w:val="36154A5C"/>
    <w:rsid w:val="363B0967"/>
    <w:rsid w:val="36642124"/>
    <w:rsid w:val="367125DA"/>
    <w:rsid w:val="36EE3C2B"/>
    <w:rsid w:val="36FA437E"/>
    <w:rsid w:val="375C0B95"/>
    <w:rsid w:val="37A92245"/>
    <w:rsid w:val="38361D6B"/>
    <w:rsid w:val="388125EE"/>
    <w:rsid w:val="38996AAA"/>
    <w:rsid w:val="389E342F"/>
    <w:rsid w:val="38E9625A"/>
    <w:rsid w:val="3905700A"/>
    <w:rsid w:val="3969292A"/>
    <w:rsid w:val="39A139C2"/>
    <w:rsid w:val="39B12CEE"/>
    <w:rsid w:val="3A086DB2"/>
    <w:rsid w:val="3A4F2C33"/>
    <w:rsid w:val="3A873BF4"/>
    <w:rsid w:val="3B273268"/>
    <w:rsid w:val="3B912DD7"/>
    <w:rsid w:val="3C053C7B"/>
    <w:rsid w:val="3C447851"/>
    <w:rsid w:val="3D1837B0"/>
    <w:rsid w:val="3D193084"/>
    <w:rsid w:val="3D70539A"/>
    <w:rsid w:val="3D9170BE"/>
    <w:rsid w:val="3DAC214A"/>
    <w:rsid w:val="3E067AAC"/>
    <w:rsid w:val="3E2E7003"/>
    <w:rsid w:val="3E583E65"/>
    <w:rsid w:val="3EC534C3"/>
    <w:rsid w:val="3F6F342F"/>
    <w:rsid w:val="3F827606"/>
    <w:rsid w:val="3FB35A12"/>
    <w:rsid w:val="3FB52D16"/>
    <w:rsid w:val="40DB6B06"/>
    <w:rsid w:val="412D79B9"/>
    <w:rsid w:val="41547434"/>
    <w:rsid w:val="41FB71FC"/>
    <w:rsid w:val="42562684"/>
    <w:rsid w:val="42664FBD"/>
    <w:rsid w:val="43601A0D"/>
    <w:rsid w:val="437E4CEB"/>
    <w:rsid w:val="43D85116"/>
    <w:rsid w:val="442A3DC9"/>
    <w:rsid w:val="444A6219"/>
    <w:rsid w:val="45126D36"/>
    <w:rsid w:val="45505AB1"/>
    <w:rsid w:val="45CF69D6"/>
    <w:rsid w:val="46455192"/>
    <w:rsid w:val="466E2692"/>
    <w:rsid w:val="46AE2A8F"/>
    <w:rsid w:val="46DC3AA0"/>
    <w:rsid w:val="46F661E4"/>
    <w:rsid w:val="474927B8"/>
    <w:rsid w:val="475C698F"/>
    <w:rsid w:val="476A2E5A"/>
    <w:rsid w:val="47B40579"/>
    <w:rsid w:val="47C54534"/>
    <w:rsid w:val="48147269"/>
    <w:rsid w:val="48284AC3"/>
    <w:rsid w:val="486F19CC"/>
    <w:rsid w:val="49663AF5"/>
    <w:rsid w:val="49B303BC"/>
    <w:rsid w:val="49C376F0"/>
    <w:rsid w:val="49FB423D"/>
    <w:rsid w:val="4A3025E3"/>
    <w:rsid w:val="4A3A3117"/>
    <w:rsid w:val="4A6A33AA"/>
    <w:rsid w:val="4A771F49"/>
    <w:rsid w:val="4AAC13D6"/>
    <w:rsid w:val="4AC87009"/>
    <w:rsid w:val="4B7428E1"/>
    <w:rsid w:val="4B9C55AC"/>
    <w:rsid w:val="4C433C79"/>
    <w:rsid w:val="4CF65190"/>
    <w:rsid w:val="4D6B792C"/>
    <w:rsid w:val="4D6E2F78"/>
    <w:rsid w:val="4E504366"/>
    <w:rsid w:val="4E8E1C08"/>
    <w:rsid w:val="4EA604F0"/>
    <w:rsid w:val="4EE51BEE"/>
    <w:rsid w:val="4F3124AF"/>
    <w:rsid w:val="4F455F5A"/>
    <w:rsid w:val="4FEB249B"/>
    <w:rsid w:val="5051105B"/>
    <w:rsid w:val="50597F0F"/>
    <w:rsid w:val="505F3B89"/>
    <w:rsid w:val="506863A4"/>
    <w:rsid w:val="507F3C4C"/>
    <w:rsid w:val="50D75728"/>
    <w:rsid w:val="51600E2A"/>
    <w:rsid w:val="52034B0D"/>
    <w:rsid w:val="52134EB2"/>
    <w:rsid w:val="524424F9"/>
    <w:rsid w:val="5268268C"/>
    <w:rsid w:val="5325232B"/>
    <w:rsid w:val="539052B7"/>
    <w:rsid w:val="53BB67EB"/>
    <w:rsid w:val="53C75190"/>
    <w:rsid w:val="53D61877"/>
    <w:rsid w:val="547F5A6B"/>
    <w:rsid w:val="548C61D8"/>
    <w:rsid w:val="54E63D3C"/>
    <w:rsid w:val="54EA382C"/>
    <w:rsid w:val="55292282"/>
    <w:rsid w:val="5540169E"/>
    <w:rsid w:val="55480552"/>
    <w:rsid w:val="558C6691"/>
    <w:rsid w:val="55ED772C"/>
    <w:rsid w:val="56010E2D"/>
    <w:rsid w:val="561A0928"/>
    <w:rsid w:val="56D227CA"/>
    <w:rsid w:val="5747738E"/>
    <w:rsid w:val="579161E1"/>
    <w:rsid w:val="58240E03"/>
    <w:rsid w:val="583354EA"/>
    <w:rsid w:val="59030A18"/>
    <w:rsid w:val="595079D6"/>
    <w:rsid w:val="598F49A2"/>
    <w:rsid w:val="5ABD233C"/>
    <w:rsid w:val="5B01367D"/>
    <w:rsid w:val="5BA86FC7"/>
    <w:rsid w:val="5BBB7CD0"/>
    <w:rsid w:val="5C4E46A0"/>
    <w:rsid w:val="5C8E0F41"/>
    <w:rsid w:val="5D323FC2"/>
    <w:rsid w:val="5DA36C6E"/>
    <w:rsid w:val="5DCA5FA9"/>
    <w:rsid w:val="5E056FE1"/>
    <w:rsid w:val="5F17346F"/>
    <w:rsid w:val="5F8E1258"/>
    <w:rsid w:val="600D6620"/>
    <w:rsid w:val="606D0B9E"/>
    <w:rsid w:val="60DB04CD"/>
    <w:rsid w:val="615F10FE"/>
    <w:rsid w:val="616C7377"/>
    <w:rsid w:val="61BD4FA5"/>
    <w:rsid w:val="61C91190"/>
    <w:rsid w:val="6220263B"/>
    <w:rsid w:val="62740BD9"/>
    <w:rsid w:val="62A3501A"/>
    <w:rsid w:val="63041F5D"/>
    <w:rsid w:val="63275C4B"/>
    <w:rsid w:val="635602DE"/>
    <w:rsid w:val="63676048"/>
    <w:rsid w:val="64760C38"/>
    <w:rsid w:val="64F12C43"/>
    <w:rsid w:val="64FF0C2E"/>
    <w:rsid w:val="65006754"/>
    <w:rsid w:val="65D379C4"/>
    <w:rsid w:val="662D5327"/>
    <w:rsid w:val="66482CFA"/>
    <w:rsid w:val="66EA76BB"/>
    <w:rsid w:val="66F9345B"/>
    <w:rsid w:val="675B4115"/>
    <w:rsid w:val="677D22DE"/>
    <w:rsid w:val="67987117"/>
    <w:rsid w:val="67D31EFE"/>
    <w:rsid w:val="68A00374"/>
    <w:rsid w:val="68A37B22"/>
    <w:rsid w:val="68DA686F"/>
    <w:rsid w:val="68EE2E29"/>
    <w:rsid w:val="69350E12"/>
    <w:rsid w:val="6A6E23B2"/>
    <w:rsid w:val="6A7F45BF"/>
    <w:rsid w:val="6ABF304A"/>
    <w:rsid w:val="6AD77F57"/>
    <w:rsid w:val="6B2807B2"/>
    <w:rsid w:val="6B797260"/>
    <w:rsid w:val="6C5F0204"/>
    <w:rsid w:val="6C97174C"/>
    <w:rsid w:val="6CF070AE"/>
    <w:rsid w:val="6D0D7C60"/>
    <w:rsid w:val="6D5C4743"/>
    <w:rsid w:val="6DEA61F3"/>
    <w:rsid w:val="6EAD16FA"/>
    <w:rsid w:val="6EC802E2"/>
    <w:rsid w:val="6F40256E"/>
    <w:rsid w:val="6F59436A"/>
    <w:rsid w:val="6FAF3A2A"/>
    <w:rsid w:val="6FC0720B"/>
    <w:rsid w:val="6FEF7AF1"/>
    <w:rsid w:val="70A27315"/>
    <w:rsid w:val="71092E34"/>
    <w:rsid w:val="716024DB"/>
    <w:rsid w:val="71E573FD"/>
    <w:rsid w:val="72A72905"/>
    <w:rsid w:val="72FC7B3F"/>
    <w:rsid w:val="73DB2866"/>
    <w:rsid w:val="74600FBD"/>
    <w:rsid w:val="74F87447"/>
    <w:rsid w:val="753D12FE"/>
    <w:rsid w:val="75501031"/>
    <w:rsid w:val="75A44ED9"/>
    <w:rsid w:val="76592168"/>
    <w:rsid w:val="76796366"/>
    <w:rsid w:val="774249AA"/>
    <w:rsid w:val="7782124A"/>
    <w:rsid w:val="77D0645A"/>
    <w:rsid w:val="783C589D"/>
    <w:rsid w:val="78915BE9"/>
    <w:rsid w:val="793547C6"/>
    <w:rsid w:val="796B643A"/>
    <w:rsid w:val="79C63670"/>
    <w:rsid w:val="79FC1788"/>
    <w:rsid w:val="7A066163"/>
    <w:rsid w:val="7A28257D"/>
    <w:rsid w:val="7AA5597C"/>
    <w:rsid w:val="7AD87AFF"/>
    <w:rsid w:val="7B38059E"/>
    <w:rsid w:val="7B4F7695"/>
    <w:rsid w:val="7B6B52C3"/>
    <w:rsid w:val="7BE77A70"/>
    <w:rsid w:val="7C436A73"/>
    <w:rsid w:val="7D242708"/>
    <w:rsid w:val="7D365F6D"/>
    <w:rsid w:val="7DAB14FB"/>
    <w:rsid w:val="7DBE1C84"/>
    <w:rsid w:val="7DF85EAF"/>
    <w:rsid w:val="7E2E3EDA"/>
    <w:rsid w:val="7E8B30DA"/>
    <w:rsid w:val="7F0F1615"/>
    <w:rsid w:val="7F1C1F84"/>
    <w:rsid w:val="7FA53D28"/>
    <w:rsid w:val="7FE9630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4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5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1"/>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5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5"/>
    <w:unhideWhenUsed/>
    <w:qFormat/>
    <w:uiPriority w:val="9"/>
    <w:pPr>
      <w:keepNext/>
      <w:keepLines/>
      <w:spacing w:before="320" w:after="200"/>
      <w:outlineLvl w:val="8"/>
    </w:pPr>
    <w:rPr>
      <w:rFonts w:ascii="Arial" w:hAnsi="Arial" w:eastAsia="Arial" w:cs="Arial"/>
      <w:i/>
      <w:iCs/>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24"/>
      <w:szCs w:val="20"/>
    </w:rPr>
  </w:style>
  <w:style w:type="paragraph" w:styleId="12">
    <w:name w:val="toc 7"/>
    <w:basedOn w:val="1"/>
    <w:next w:val="1"/>
    <w:unhideWhenUsed/>
    <w:qFormat/>
    <w:uiPriority w:val="39"/>
    <w:pPr>
      <w:spacing w:after="57"/>
      <w:ind w:left="1701"/>
    </w:pPr>
  </w:style>
  <w:style w:type="paragraph" w:styleId="13">
    <w:name w:val="Normal Indent"/>
    <w:basedOn w:val="1"/>
    <w:qFormat/>
    <w:uiPriority w:val="99"/>
    <w:pPr>
      <w:ind w:firstLine="420"/>
    </w:pPr>
  </w:style>
  <w:style w:type="paragraph" w:styleId="14">
    <w:name w:val="caption"/>
    <w:basedOn w:val="1"/>
    <w:next w:val="1"/>
    <w:unhideWhenUsed/>
    <w:qFormat/>
    <w:uiPriority w:val="35"/>
    <w:pPr>
      <w:spacing w:line="276" w:lineRule="auto"/>
    </w:pPr>
    <w:rPr>
      <w:b/>
      <w:bCs/>
      <w:color w:val="4F81BD"/>
      <w:sz w:val="18"/>
      <w:szCs w:val="18"/>
    </w:rPr>
  </w:style>
  <w:style w:type="paragraph" w:styleId="15">
    <w:name w:val="annotation text"/>
    <w:basedOn w:val="1"/>
    <w:unhideWhenUsed/>
    <w:qFormat/>
    <w:uiPriority w:val="99"/>
    <w:pPr>
      <w:jc w:val="left"/>
    </w:pPr>
  </w:style>
  <w:style w:type="paragraph" w:styleId="16">
    <w:name w:val="Body Text Indent"/>
    <w:basedOn w:val="1"/>
    <w:qFormat/>
    <w:uiPriority w:val="0"/>
    <w:pPr>
      <w:spacing w:after="120"/>
      <w:ind w:left="420" w:leftChars="200"/>
    </w:pPr>
  </w:style>
  <w:style w:type="paragraph" w:styleId="17">
    <w:name w:val="index 4"/>
    <w:basedOn w:val="1"/>
    <w:next w:val="1"/>
    <w:qFormat/>
    <w:uiPriority w:val="99"/>
    <w:pPr>
      <w:ind w:left="1260"/>
    </w:pPr>
    <w:rPr>
      <w:szCs w:val="20"/>
    </w:r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toc 8"/>
    <w:basedOn w:val="1"/>
    <w:next w:val="1"/>
    <w:unhideWhenUsed/>
    <w:qFormat/>
    <w:uiPriority w:val="39"/>
    <w:pPr>
      <w:spacing w:after="57"/>
      <w:ind w:left="1984"/>
    </w:pPr>
  </w:style>
  <w:style w:type="paragraph" w:styleId="21">
    <w:name w:val="endnote text"/>
    <w:basedOn w:val="1"/>
    <w:link w:val="193"/>
    <w:unhideWhenUsed/>
    <w:qFormat/>
    <w:uiPriority w:val="99"/>
    <w:rPr>
      <w:sz w:val="20"/>
    </w:rPr>
  </w:style>
  <w:style w:type="paragraph" w:styleId="22">
    <w:name w:val="footer"/>
    <w:basedOn w:val="1"/>
    <w:link w:val="66"/>
    <w:unhideWhenUsed/>
    <w:qFormat/>
    <w:uiPriority w:val="99"/>
    <w:pPr>
      <w:tabs>
        <w:tab w:val="center" w:pos="7143"/>
        <w:tab w:val="right" w:pos="14287"/>
      </w:tabs>
    </w:pPr>
  </w:style>
  <w:style w:type="paragraph" w:styleId="23">
    <w:name w:val="header"/>
    <w:basedOn w:val="1"/>
    <w:link w:val="64"/>
    <w:unhideWhenUsed/>
    <w:qFormat/>
    <w:uiPriority w:val="99"/>
    <w:pPr>
      <w:tabs>
        <w:tab w:val="center" w:pos="7143"/>
        <w:tab w:val="right" w:pos="14287"/>
      </w:tabs>
    </w:pPr>
  </w:style>
  <w:style w:type="paragraph" w:styleId="24">
    <w:name w:val="toc 1"/>
    <w:basedOn w:val="1"/>
    <w:next w:val="1"/>
    <w:unhideWhenUsed/>
    <w:qFormat/>
    <w:uiPriority w:val="39"/>
    <w:pPr>
      <w:spacing w:after="57"/>
    </w:pPr>
  </w:style>
  <w:style w:type="paragraph" w:styleId="25">
    <w:name w:val="toc 4"/>
    <w:basedOn w:val="1"/>
    <w:next w:val="1"/>
    <w:unhideWhenUsed/>
    <w:qFormat/>
    <w:uiPriority w:val="39"/>
    <w:pPr>
      <w:spacing w:after="57"/>
      <w:ind w:left="850"/>
    </w:pPr>
  </w:style>
  <w:style w:type="paragraph" w:styleId="26">
    <w:name w:val="Subtitle"/>
    <w:basedOn w:val="1"/>
    <w:next w:val="1"/>
    <w:link w:val="59"/>
    <w:qFormat/>
    <w:uiPriority w:val="11"/>
    <w:pPr>
      <w:spacing w:before="200" w:after="200"/>
    </w:pPr>
    <w:rPr>
      <w:sz w:val="24"/>
    </w:rPr>
  </w:style>
  <w:style w:type="paragraph" w:styleId="27">
    <w:name w:val="footnote text"/>
    <w:basedOn w:val="1"/>
    <w:link w:val="192"/>
    <w:unhideWhenUsed/>
    <w:qFormat/>
    <w:uiPriority w:val="99"/>
    <w:pPr>
      <w:spacing w:after="40"/>
    </w:pPr>
    <w:rPr>
      <w:sz w:val="18"/>
    </w:r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2"/>
    <w:basedOn w:val="1"/>
    <w:next w:val="1"/>
    <w:unhideWhenUsed/>
    <w:qFormat/>
    <w:uiPriority w:val="39"/>
    <w:pPr>
      <w:spacing w:after="57"/>
      <w:ind w:left="283"/>
    </w:pPr>
  </w:style>
  <w:style w:type="paragraph" w:styleId="31">
    <w:name w:val="toc 9"/>
    <w:basedOn w:val="1"/>
    <w:next w:val="1"/>
    <w:unhideWhenUsed/>
    <w:qFormat/>
    <w:uiPriority w:val="39"/>
    <w:pPr>
      <w:spacing w:after="57"/>
      <w:ind w:left="2268"/>
    </w:pPr>
  </w:style>
  <w:style w:type="paragraph" w:styleId="32">
    <w:name w:val="Normal (Web)"/>
    <w:basedOn w:val="1"/>
    <w:unhideWhenUsed/>
    <w:qFormat/>
    <w:uiPriority w:val="0"/>
    <w:pPr>
      <w:widowControl/>
      <w:spacing w:before="100" w:beforeAutospacing="1" w:after="100" w:afterAutospacing="1"/>
      <w:jc w:val="left"/>
    </w:pPr>
    <w:rPr>
      <w:rFonts w:ascii="宋体" w:hAnsi="宋体" w:cs="宋体"/>
      <w:sz w:val="24"/>
    </w:rPr>
  </w:style>
  <w:style w:type="paragraph" w:styleId="33">
    <w:name w:val="Title"/>
    <w:basedOn w:val="1"/>
    <w:next w:val="1"/>
    <w:link w:val="58"/>
    <w:qFormat/>
    <w:uiPriority w:val="10"/>
    <w:pPr>
      <w:spacing w:before="300" w:after="200"/>
      <w:contextualSpacing/>
    </w:pPr>
    <w:rPr>
      <w:sz w:val="48"/>
      <w:szCs w:val="48"/>
    </w:rPr>
  </w:style>
  <w:style w:type="paragraph" w:styleId="34">
    <w:name w:val="Body Text First Indent 2"/>
    <w:basedOn w:val="16"/>
    <w:unhideWhenUsed/>
    <w:qFormat/>
    <w:uiPriority w:val="99"/>
    <w:pPr>
      <w:ind w:firstLine="200" w:firstLineChars="200"/>
    </w:pPr>
  </w:style>
  <w:style w:type="table" w:styleId="3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99"/>
    <w:rPr>
      <w:rFonts w:cs="Times New Roman"/>
      <w:b/>
    </w:rPr>
  </w:style>
  <w:style w:type="character" w:styleId="39">
    <w:name w:val="endnote reference"/>
    <w:unhideWhenUsed/>
    <w:qFormat/>
    <w:uiPriority w:val="99"/>
    <w:rPr>
      <w:vertAlign w:val="superscript"/>
    </w:rPr>
  </w:style>
  <w:style w:type="character" w:styleId="40">
    <w:name w:val="Hyperlink"/>
    <w:unhideWhenUsed/>
    <w:qFormat/>
    <w:uiPriority w:val="99"/>
    <w:rPr>
      <w:color w:val="0000FF"/>
      <w:u w:val="single"/>
    </w:rPr>
  </w:style>
  <w:style w:type="character" w:styleId="41">
    <w:name w:val="footnote reference"/>
    <w:unhideWhenUsed/>
    <w:qFormat/>
    <w:uiPriority w:val="99"/>
    <w:rPr>
      <w:vertAlign w:val="superscript"/>
    </w:rPr>
  </w:style>
  <w:style w:type="paragraph" w:customStyle="1" w:styleId="42">
    <w:name w:val="表格文字"/>
    <w:basedOn w:val="43"/>
    <w:next w:val="2"/>
    <w:qFormat/>
    <w:uiPriority w:val="0"/>
  </w:style>
  <w:style w:type="paragraph" w:customStyle="1" w:styleId="43">
    <w:name w:val="表格文字（两侧对齐）"/>
    <w:basedOn w:val="1"/>
    <w:qFormat/>
    <w:uiPriority w:val="0"/>
    <w:pPr>
      <w:snapToGrid w:val="0"/>
    </w:pPr>
    <w:rPr>
      <w:sz w:val="20"/>
    </w:rPr>
  </w:style>
  <w:style w:type="paragraph" w:customStyle="1" w:styleId="44">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45">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46">
    <w:name w:val="标题 11"/>
    <w:basedOn w:val="1"/>
    <w:next w:val="1"/>
    <w:link w:val="201"/>
    <w:qFormat/>
    <w:uiPriority w:val="0"/>
    <w:pPr>
      <w:keepNext/>
      <w:keepLines/>
      <w:spacing w:before="340" w:after="330" w:line="578" w:lineRule="auto"/>
      <w:outlineLvl w:val="0"/>
    </w:pPr>
    <w:rPr>
      <w:b/>
      <w:bCs/>
      <w:sz w:val="44"/>
      <w:szCs w:val="44"/>
    </w:rPr>
  </w:style>
  <w:style w:type="character" w:customStyle="1" w:styleId="47">
    <w:name w:val="标题 1 字符"/>
    <w:link w:val="3"/>
    <w:qFormat/>
    <w:uiPriority w:val="9"/>
    <w:rPr>
      <w:rFonts w:ascii="Arial" w:hAnsi="Arial" w:eastAsia="Arial" w:cs="Arial"/>
      <w:sz w:val="40"/>
      <w:szCs w:val="40"/>
    </w:rPr>
  </w:style>
  <w:style w:type="character" w:customStyle="1" w:styleId="48">
    <w:name w:val="标题 2 字符"/>
    <w:link w:val="4"/>
    <w:qFormat/>
    <w:uiPriority w:val="9"/>
    <w:rPr>
      <w:rFonts w:ascii="Arial" w:hAnsi="Arial" w:eastAsia="Arial" w:cs="Arial"/>
      <w:sz w:val="34"/>
    </w:rPr>
  </w:style>
  <w:style w:type="character" w:customStyle="1" w:styleId="49">
    <w:name w:val="标题 3 字符"/>
    <w:link w:val="5"/>
    <w:qFormat/>
    <w:uiPriority w:val="9"/>
    <w:rPr>
      <w:rFonts w:ascii="Arial" w:hAnsi="Arial" w:eastAsia="Arial" w:cs="Arial"/>
      <w:sz w:val="30"/>
      <w:szCs w:val="30"/>
    </w:rPr>
  </w:style>
  <w:style w:type="character" w:customStyle="1" w:styleId="50">
    <w:name w:val="标题 4 字符"/>
    <w:link w:val="6"/>
    <w:qFormat/>
    <w:uiPriority w:val="9"/>
    <w:rPr>
      <w:rFonts w:ascii="Arial" w:hAnsi="Arial" w:eastAsia="Arial" w:cs="Arial"/>
      <w:b/>
      <w:bCs/>
      <w:sz w:val="26"/>
      <w:szCs w:val="26"/>
    </w:rPr>
  </w:style>
  <w:style w:type="character" w:customStyle="1" w:styleId="51">
    <w:name w:val="标题 5 字符"/>
    <w:link w:val="7"/>
    <w:qFormat/>
    <w:uiPriority w:val="9"/>
    <w:rPr>
      <w:rFonts w:ascii="Arial" w:hAnsi="Arial" w:eastAsia="Arial" w:cs="Arial"/>
      <w:b/>
      <w:bCs/>
      <w:sz w:val="24"/>
      <w:szCs w:val="24"/>
    </w:rPr>
  </w:style>
  <w:style w:type="character" w:customStyle="1" w:styleId="52">
    <w:name w:val="标题 6 字符"/>
    <w:link w:val="8"/>
    <w:qFormat/>
    <w:uiPriority w:val="9"/>
    <w:rPr>
      <w:rFonts w:ascii="Arial" w:hAnsi="Arial" w:eastAsia="Arial" w:cs="Arial"/>
      <w:b/>
      <w:bCs/>
      <w:sz w:val="22"/>
      <w:szCs w:val="22"/>
    </w:rPr>
  </w:style>
  <w:style w:type="character" w:customStyle="1" w:styleId="53">
    <w:name w:val="标题 7 字符"/>
    <w:link w:val="9"/>
    <w:qFormat/>
    <w:uiPriority w:val="9"/>
    <w:rPr>
      <w:rFonts w:ascii="Arial" w:hAnsi="Arial" w:eastAsia="Arial" w:cs="Arial"/>
      <w:b/>
      <w:bCs/>
      <w:i/>
      <w:iCs/>
      <w:sz w:val="22"/>
      <w:szCs w:val="22"/>
    </w:rPr>
  </w:style>
  <w:style w:type="character" w:customStyle="1" w:styleId="54">
    <w:name w:val="标题 8 字符"/>
    <w:link w:val="10"/>
    <w:qFormat/>
    <w:uiPriority w:val="9"/>
    <w:rPr>
      <w:rFonts w:ascii="Arial" w:hAnsi="Arial" w:eastAsia="Arial" w:cs="Arial"/>
      <w:i/>
      <w:iCs/>
      <w:sz w:val="22"/>
      <w:szCs w:val="22"/>
    </w:rPr>
  </w:style>
  <w:style w:type="character" w:customStyle="1" w:styleId="55">
    <w:name w:val="标题 9 字符"/>
    <w:link w:val="11"/>
    <w:qFormat/>
    <w:uiPriority w:val="9"/>
    <w:rPr>
      <w:rFonts w:ascii="Arial" w:hAnsi="Arial" w:eastAsia="Arial" w:cs="Arial"/>
      <w:i/>
      <w:iCs/>
      <w:sz w:val="21"/>
      <w:szCs w:val="21"/>
    </w:rPr>
  </w:style>
  <w:style w:type="paragraph" w:customStyle="1" w:styleId="56">
    <w:name w:val="列表段落1"/>
    <w:basedOn w:val="1"/>
    <w:qFormat/>
    <w:uiPriority w:val="34"/>
    <w:pPr>
      <w:ind w:left="720"/>
      <w:contextualSpacing/>
    </w:pPr>
  </w:style>
  <w:style w:type="paragraph" w:customStyle="1" w:styleId="57">
    <w:name w:val="无间隔1"/>
    <w:qFormat/>
    <w:uiPriority w:val="1"/>
    <w:rPr>
      <w:rFonts w:ascii="Times New Roman" w:hAnsi="Times New Roman" w:eastAsia="宋体" w:cs="Times New Roman"/>
      <w:lang w:val="en-US" w:eastAsia="zh-CN" w:bidi="ar-SA"/>
    </w:rPr>
  </w:style>
  <w:style w:type="character" w:customStyle="1" w:styleId="58">
    <w:name w:val="标题 字符"/>
    <w:link w:val="33"/>
    <w:qFormat/>
    <w:uiPriority w:val="10"/>
    <w:rPr>
      <w:sz w:val="48"/>
      <w:szCs w:val="48"/>
    </w:rPr>
  </w:style>
  <w:style w:type="character" w:customStyle="1" w:styleId="59">
    <w:name w:val="副标题 字符"/>
    <w:link w:val="26"/>
    <w:qFormat/>
    <w:uiPriority w:val="11"/>
    <w:rPr>
      <w:sz w:val="24"/>
      <w:szCs w:val="24"/>
    </w:rPr>
  </w:style>
  <w:style w:type="paragraph" w:customStyle="1" w:styleId="60">
    <w:name w:val="引用1"/>
    <w:basedOn w:val="1"/>
    <w:next w:val="1"/>
    <w:link w:val="61"/>
    <w:qFormat/>
    <w:uiPriority w:val="29"/>
    <w:pPr>
      <w:ind w:left="720" w:right="720"/>
    </w:pPr>
    <w:rPr>
      <w:i/>
    </w:rPr>
  </w:style>
  <w:style w:type="character" w:customStyle="1" w:styleId="61">
    <w:name w:val="引用 字符"/>
    <w:link w:val="60"/>
    <w:qFormat/>
    <w:uiPriority w:val="29"/>
    <w:rPr>
      <w:i/>
    </w:rPr>
  </w:style>
  <w:style w:type="paragraph" w:customStyle="1" w:styleId="62">
    <w:name w:val="明显引用1"/>
    <w:basedOn w:val="1"/>
    <w:next w:val="1"/>
    <w:link w:val="6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3">
    <w:name w:val="明显引用 字符"/>
    <w:link w:val="62"/>
    <w:qFormat/>
    <w:uiPriority w:val="30"/>
    <w:rPr>
      <w:i/>
    </w:rPr>
  </w:style>
  <w:style w:type="character" w:customStyle="1" w:styleId="64">
    <w:name w:val="页眉 字符"/>
    <w:link w:val="23"/>
    <w:qFormat/>
    <w:uiPriority w:val="99"/>
  </w:style>
  <w:style w:type="character" w:customStyle="1" w:styleId="65">
    <w:name w:val="Footer Char"/>
    <w:qFormat/>
    <w:uiPriority w:val="99"/>
  </w:style>
  <w:style w:type="character" w:customStyle="1" w:styleId="66">
    <w:name w:val="页脚 字符1"/>
    <w:link w:val="22"/>
    <w:qFormat/>
    <w:uiPriority w:val="99"/>
  </w:style>
  <w:style w:type="table" w:customStyle="1" w:styleId="67">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8">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9">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70">
    <w:name w:val="无格式表格 31"/>
    <w:qFormat/>
    <w:uiPriority w:val="99"/>
    <w:tblPr>
      <w:tblCellMar>
        <w:top w:w="0" w:type="dxa"/>
        <w:left w:w="0" w:type="dxa"/>
        <w:bottom w:w="0" w:type="dxa"/>
        <w:right w:w="0" w:type="dxa"/>
      </w:tblCellMar>
    </w:tblPr>
  </w:style>
  <w:style w:type="table" w:customStyle="1" w:styleId="71">
    <w:name w:val="无格式表格 41"/>
    <w:qFormat/>
    <w:uiPriority w:val="99"/>
    <w:tblPr>
      <w:tblCellMar>
        <w:top w:w="0" w:type="dxa"/>
        <w:left w:w="0" w:type="dxa"/>
        <w:bottom w:w="0" w:type="dxa"/>
        <w:right w:w="0" w:type="dxa"/>
      </w:tblCellMar>
    </w:tblPr>
  </w:style>
  <w:style w:type="table" w:customStyle="1" w:styleId="72">
    <w:name w:val="无格式表格 51"/>
    <w:qFormat/>
    <w:uiPriority w:val="99"/>
    <w:tblPr>
      <w:tblCellMar>
        <w:top w:w="0" w:type="dxa"/>
        <w:left w:w="0" w:type="dxa"/>
        <w:bottom w:w="0" w:type="dxa"/>
        <w:right w:w="0" w:type="dxa"/>
      </w:tblCellMar>
    </w:tblPr>
  </w:style>
  <w:style w:type="table" w:customStyle="1" w:styleId="73">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74">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75">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76">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77">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78">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79">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80">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7">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8">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9">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0">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1">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2">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3">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4">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95">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96">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97">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98">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99">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00">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01">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2">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3">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4">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5">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6">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7">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8">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9">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0">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1">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2">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3">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4">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5">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16">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7">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8">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9">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0">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1">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2">
    <w:name w:val="清单表 1 浅色1"/>
    <w:qFormat/>
    <w:uiPriority w:val="99"/>
    <w:tblPr>
      <w:tblCellMar>
        <w:top w:w="0" w:type="dxa"/>
        <w:left w:w="0" w:type="dxa"/>
        <w:bottom w:w="0" w:type="dxa"/>
        <w:right w:w="0" w:type="dxa"/>
      </w:tblCellMar>
    </w:tblPr>
  </w:style>
  <w:style w:type="table" w:customStyle="1" w:styleId="123">
    <w:name w:val="List Table 1 Light - Accent 1"/>
    <w:qFormat/>
    <w:uiPriority w:val="99"/>
    <w:tblPr>
      <w:tblCellMar>
        <w:top w:w="0" w:type="dxa"/>
        <w:left w:w="0" w:type="dxa"/>
        <w:bottom w:w="0" w:type="dxa"/>
        <w:right w:w="0" w:type="dxa"/>
      </w:tblCellMar>
    </w:tblPr>
  </w:style>
  <w:style w:type="table" w:customStyle="1" w:styleId="124">
    <w:name w:val="List Table 1 Light - Accent 2"/>
    <w:qFormat/>
    <w:uiPriority w:val="99"/>
    <w:tblPr>
      <w:tblCellMar>
        <w:top w:w="0" w:type="dxa"/>
        <w:left w:w="0" w:type="dxa"/>
        <w:bottom w:w="0" w:type="dxa"/>
        <w:right w:w="0" w:type="dxa"/>
      </w:tblCellMar>
    </w:tblPr>
  </w:style>
  <w:style w:type="table" w:customStyle="1" w:styleId="125">
    <w:name w:val="List Table 1 Light - Accent 3"/>
    <w:qFormat/>
    <w:uiPriority w:val="99"/>
    <w:tblPr>
      <w:tblCellMar>
        <w:top w:w="0" w:type="dxa"/>
        <w:left w:w="0" w:type="dxa"/>
        <w:bottom w:w="0" w:type="dxa"/>
        <w:right w:w="0" w:type="dxa"/>
      </w:tblCellMar>
    </w:tblPr>
  </w:style>
  <w:style w:type="table" w:customStyle="1" w:styleId="126">
    <w:name w:val="List Table 1 Light - Accent 4"/>
    <w:qFormat/>
    <w:uiPriority w:val="99"/>
    <w:tblPr>
      <w:tblCellMar>
        <w:top w:w="0" w:type="dxa"/>
        <w:left w:w="0" w:type="dxa"/>
        <w:bottom w:w="0" w:type="dxa"/>
        <w:right w:w="0" w:type="dxa"/>
      </w:tblCellMar>
    </w:tblPr>
  </w:style>
  <w:style w:type="table" w:customStyle="1" w:styleId="127">
    <w:name w:val="List Table 1 Light - Accent 5"/>
    <w:qFormat/>
    <w:uiPriority w:val="99"/>
    <w:tblPr>
      <w:tblCellMar>
        <w:top w:w="0" w:type="dxa"/>
        <w:left w:w="0" w:type="dxa"/>
        <w:bottom w:w="0" w:type="dxa"/>
        <w:right w:w="0" w:type="dxa"/>
      </w:tblCellMar>
    </w:tblPr>
  </w:style>
  <w:style w:type="table" w:customStyle="1" w:styleId="128">
    <w:name w:val="List Table 1 Light - Accent 6"/>
    <w:qFormat/>
    <w:uiPriority w:val="99"/>
    <w:tblPr>
      <w:tblCellMar>
        <w:top w:w="0" w:type="dxa"/>
        <w:left w:w="0" w:type="dxa"/>
        <w:bottom w:w="0" w:type="dxa"/>
        <w:right w:w="0" w:type="dxa"/>
      </w:tblCellMar>
    </w:tblPr>
  </w:style>
  <w:style w:type="table" w:customStyle="1" w:styleId="129">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30">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31">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32">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33">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34">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35">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36">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37">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38">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39">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40">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41">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42">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43">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44">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45">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46">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47">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48">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49">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50">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5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5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5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5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5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5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57">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58">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59">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60">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61">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62">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63">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64">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65">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66">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67">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68">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69">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70">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71">
    <w:name w:val="Lined - Accent"/>
    <w:qFormat/>
    <w:uiPriority w:val="99"/>
    <w:rPr>
      <w:color w:val="404040"/>
    </w:rPr>
    <w:tblPr>
      <w:tblCellMar>
        <w:top w:w="0" w:type="dxa"/>
        <w:left w:w="0" w:type="dxa"/>
        <w:bottom w:w="0" w:type="dxa"/>
        <w:right w:w="0" w:type="dxa"/>
      </w:tblCellMar>
    </w:tblPr>
  </w:style>
  <w:style w:type="table" w:customStyle="1" w:styleId="172">
    <w:name w:val="Lined - Accent 1"/>
    <w:qFormat/>
    <w:uiPriority w:val="99"/>
    <w:rPr>
      <w:color w:val="404040"/>
    </w:rPr>
    <w:tblPr>
      <w:tblCellMar>
        <w:top w:w="0" w:type="dxa"/>
        <w:left w:w="0" w:type="dxa"/>
        <w:bottom w:w="0" w:type="dxa"/>
        <w:right w:w="0" w:type="dxa"/>
      </w:tblCellMar>
    </w:tblPr>
  </w:style>
  <w:style w:type="table" w:customStyle="1" w:styleId="173">
    <w:name w:val="Lined - Accent 2"/>
    <w:qFormat/>
    <w:uiPriority w:val="99"/>
    <w:rPr>
      <w:color w:val="404040"/>
    </w:rPr>
    <w:tblPr>
      <w:tblCellMar>
        <w:top w:w="0" w:type="dxa"/>
        <w:left w:w="0" w:type="dxa"/>
        <w:bottom w:w="0" w:type="dxa"/>
        <w:right w:w="0" w:type="dxa"/>
      </w:tblCellMar>
    </w:tblPr>
  </w:style>
  <w:style w:type="table" w:customStyle="1" w:styleId="174">
    <w:name w:val="Lined - Accent 3"/>
    <w:qFormat/>
    <w:uiPriority w:val="99"/>
    <w:rPr>
      <w:color w:val="404040"/>
    </w:rPr>
    <w:tblPr>
      <w:tblCellMar>
        <w:top w:w="0" w:type="dxa"/>
        <w:left w:w="0" w:type="dxa"/>
        <w:bottom w:w="0" w:type="dxa"/>
        <w:right w:w="0" w:type="dxa"/>
      </w:tblCellMar>
    </w:tblPr>
  </w:style>
  <w:style w:type="table" w:customStyle="1" w:styleId="175">
    <w:name w:val="Lined - Accent 4"/>
    <w:qFormat/>
    <w:uiPriority w:val="99"/>
    <w:rPr>
      <w:color w:val="404040"/>
    </w:rPr>
    <w:tblPr>
      <w:tblCellMar>
        <w:top w:w="0" w:type="dxa"/>
        <w:left w:w="0" w:type="dxa"/>
        <w:bottom w:w="0" w:type="dxa"/>
        <w:right w:w="0" w:type="dxa"/>
      </w:tblCellMar>
    </w:tblPr>
  </w:style>
  <w:style w:type="table" w:customStyle="1" w:styleId="176">
    <w:name w:val="Lined - Accent 5"/>
    <w:qFormat/>
    <w:uiPriority w:val="99"/>
    <w:rPr>
      <w:color w:val="404040"/>
    </w:rPr>
    <w:tblPr>
      <w:tblCellMar>
        <w:top w:w="0" w:type="dxa"/>
        <w:left w:w="0" w:type="dxa"/>
        <w:bottom w:w="0" w:type="dxa"/>
        <w:right w:w="0" w:type="dxa"/>
      </w:tblCellMar>
    </w:tblPr>
  </w:style>
  <w:style w:type="table" w:customStyle="1" w:styleId="177">
    <w:name w:val="Lined - Accent 6"/>
    <w:qFormat/>
    <w:uiPriority w:val="99"/>
    <w:rPr>
      <w:color w:val="404040"/>
    </w:rPr>
    <w:tblPr>
      <w:tblCellMar>
        <w:top w:w="0" w:type="dxa"/>
        <w:left w:w="0" w:type="dxa"/>
        <w:bottom w:w="0" w:type="dxa"/>
        <w:right w:w="0" w:type="dxa"/>
      </w:tblCellMar>
    </w:tblPr>
  </w:style>
  <w:style w:type="table" w:customStyle="1" w:styleId="178">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79">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80">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81">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82">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83">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84">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85">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86">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87">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88">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89">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90">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91">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192">
    <w:name w:val="脚注文本 字符"/>
    <w:link w:val="27"/>
    <w:qFormat/>
    <w:uiPriority w:val="99"/>
    <w:rPr>
      <w:sz w:val="18"/>
    </w:rPr>
  </w:style>
  <w:style w:type="character" w:customStyle="1" w:styleId="193">
    <w:name w:val="尾注文本 字符"/>
    <w:link w:val="21"/>
    <w:qFormat/>
    <w:uiPriority w:val="99"/>
    <w:rPr>
      <w:sz w:val="20"/>
    </w:rPr>
  </w:style>
  <w:style w:type="paragraph" w:customStyle="1" w:styleId="194">
    <w:name w:val="TOC 标题1"/>
    <w:unhideWhenUsed/>
    <w:qFormat/>
    <w:uiPriority w:val="39"/>
    <w:rPr>
      <w:rFonts w:ascii="Times New Roman" w:hAnsi="Times New Roman" w:eastAsia="宋体" w:cs="Times New Roman"/>
      <w:lang w:val="en-US" w:eastAsia="zh-CN" w:bidi="ar-SA"/>
    </w:rPr>
  </w:style>
  <w:style w:type="paragraph" w:customStyle="1" w:styleId="195">
    <w:name w:val="标题 21"/>
    <w:basedOn w:val="1"/>
    <w:next w:val="196"/>
    <w:link w:val="202"/>
    <w:qFormat/>
    <w:uiPriority w:val="0"/>
    <w:pPr>
      <w:keepNext/>
      <w:keepLines/>
      <w:spacing w:before="260" w:after="260" w:line="416" w:lineRule="auto"/>
      <w:outlineLvl w:val="1"/>
    </w:pPr>
    <w:rPr>
      <w:rFonts w:ascii="Arial" w:hAnsi="Arial" w:eastAsia="黑体"/>
      <w:b/>
      <w:bCs/>
      <w:sz w:val="32"/>
      <w:szCs w:val="32"/>
    </w:rPr>
  </w:style>
  <w:style w:type="paragraph" w:customStyle="1" w:styleId="196">
    <w:name w:val="纯文本1"/>
    <w:basedOn w:val="1"/>
    <w:qFormat/>
    <w:uiPriority w:val="99"/>
    <w:rPr>
      <w:rFonts w:ascii="宋体" w:hAnsi="Courier New"/>
      <w:szCs w:val="20"/>
    </w:rPr>
  </w:style>
  <w:style w:type="paragraph" w:customStyle="1" w:styleId="197">
    <w:name w:val="标题 31"/>
    <w:basedOn w:val="1"/>
    <w:next w:val="1"/>
    <w:link w:val="203"/>
    <w:qFormat/>
    <w:uiPriority w:val="0"/>
    <w:pPr>
      <w:keepNext/>
      <w:keepLines/>
      <w:spacing w:before="260" w:after="260" w:line="416" w:lineRule="auto"/>
      <w:outlineLvl w:val="2"/>
    </w:pPr>
    <w:rPr>
      <w:b/>
      <w:bCs/>
      <w:sz w:val="32"/>
      <w:szCs w:val="32"/>
    </w:rPr>
  </w:style>
  <w:style w:type="paragraph" w:customStyle="1" w:styleId="198">
    <w:name w:val="标题 41"/>
    <w:basedOn w:val="1"/>
    <w:next w:val="1"/>
    <w:link w:val="204"/>
    <w:qFormat/>
    <w:uiPriority w:val="0"/>
    <w:pPr>
      <w:keepNext/>
      <w:jc w:val="center"/>
      <w:outlineLvl w:val="3"/>
    </w:pPr>
    <w:rPr>
      <w:rFonts w:eastAsia="新宋体"/>
      <w:sz w:val="30"/>
      <w:szCs w:val="21"/>
    </w:rPr>
  </w:style>
  <w:style w:type="character" w:customStyle="1" w:styleId="199">
    <w:name w:val="默认段落字体1"/>
    <w:unhideWhenUsed/>
    <w:qFormat/>
    <w:uiPriority w:val="1"/>
  </w:style>
  <w:style w:type="table" w:customStyle="1" w:styleId="200">
    <w:name w:val="普通表格1"/>
    <w:unhideWhenUsed/>
    <w:qFormat/>
    <w:uiPriority w:val="99"/>
    <w:tblPr>
      <w:tblCellMar>
        <w:top w:w="0" w:type="dxa"/>
        <w:left w:w="0" w:type="dxa"/>
        <w:bottom w:w="0" w:type="dxa"/>
        <w:right w:w="0" w:type="dxa"/>
      </w:tblCellMar>
    </w:tblPr>
  </w:style>
  <w:style w:type="character" w:customStyle="1" w:styleId="201">
    <w:name w:val="标题 1 Char"/>
    <w:link w:val="46"/>
    <w:qFormat/>
    <w:uiPriority w:val="0"/>
    <w:rPr>
      <w:b/>
      <w:bCs/>
      <w:sz w:val="44"/>
      <w:szCs w:val="44"/>
    </w:rPr>
  </w:style>
  <w:style w:type="character" w:customStyle="1" w:styleId="202">
    <w:name w:val="标题 2 Char"/>
    <w:link w:val="195"/>
    <w:qFormat/>
    <w:uiPriority w:val="0"/>
    <w:rPr>
      <w:rFonts w:ascii="Arial" w:hAnsi="Arial" w:eastAsia="黑体"/>
      <w:b/>
      <w:bCs/>
      <w:sz w:val="32"/>
      <w:szCs w:val="32"/>
    </w:rPr>
  </w:style>
  <w:style w:type="character" w:customStyle="1" w:styleId="203">
    <w:name w:val="标题 3 Char"/>
    <w:link w:val="197"/>
    <w:qFormat/>
    <w:uiPriority w:val="0"/>
    <w:rPr>
      <w:b/>
      <w:bCs/>
      <w:sz w:val="32"/>
      <w:szCs w:val="32"/>
    </w:rPr>
  </w:style>
  <w:style w:type="character" w:customStyle="1" w:styleId="204">
    <w:name w:val="标题 4 Char"/>
    <w:link w:val="198"/>
    <w:qFormat/>
    <w:uiPriority w:val="0"/>
    <w:rPr>
      <w:rFonts w:eastAsia="新宋体"/>
      <w:sz w:val="30"/>
      <w:szCs w:val="21"/>
    </w:rPr>
  </w:style>
  <w:style w:type="paragraph" w:customStyle="1" w:styleId="205">
    <w:name w:val="正文缩进1"/>
    <w:basedOn w:val="1"/>
    <w:link w:val="206"/>
    <w:qFormat/>
    <w:uiPriority w:val="0"/>
    <w:pPr>
      <w:ind w:firstLine="420"/>
    </w:pPr>
    <w:rPr>
      <w:szCs w:val="20"/>
    </w:rPr>
  </w:style>
  <w:style w:type="character" w:customStyle="1" w:styleId="206">
    <w:name w:val="正文缩进 Char"/>
    <w:link w:val="205"/>
    <w:qFormat/>
    <w:uiPriority w:val="0"/>
    <w:rPr>
      <w:sz w:val="21"/>
    </w:rPr>
  </w:style>
  <w:style w:type="paragraph" w:customStyle="1" w:styleId="207">
    <w:name w:val="文档结构图1"/>
    <w:basedOn w:val="1"/>
    <w:link w:val="208"/>
    <w:semiHidden/>
    <w:qFormat/>
    <w:uiPriority w:val="0"/>
    <w:pPr>
      <w:shd w:val="clear" w:color="auto" w:fill="000080"/>
    </w:pPr>
  </w:style>
  <w:style w:type="character" w:customStyle="1" w:styleId="208">
    <w:name w:val="文档结构图 Char"/>
    <w:link w:val="207"/>
    <w:semiHidden/>
    <w:qFormat/>
    <w:uiPriority w:val="0"/>
    <w:rPr>
      <w:sz w:val="21"/>
      <w:szCs w:val="24"/>
      <w:shd w:val="clear" w:color="auto" w:fill="000080"/>
    </w:rPr>
  </w:style>
  <w:style w:type="paragraph" w:customStyle="1" w:styleId="209">
    <w:name w:val="批注文字1"/>
    <w:basedOn w:val="1"/>
    <w:unhideWhenUsed/>
    <w:qFormat/>
    <w:uiPriority w:val="99"/>
    <w:pPr>
      <w:jc w:val="left"/>
    </w:pPr>
  </w:style>
  <w:style w:type="paragraph" w:customStyle="1" w:styleId="210">
    <w:name w:val="正文文本1"/>
    <w:basedOn w:val="1"/>
    <w:next w:val="1"/>
    <w:qFormat/>
    <w:uiPriority w:val="0"/>
    <w:pPr>
      <w:spacing w:after="120"/>
    </w:pPr>
    <w:rPr>
      <w:szCs w:val="20"/>
    </w:rPr>
  </w:style>
  <w:style w:type="paragraph" w:customStyle="1" w:styleId="211">
    <w:name w:val="正文文本缩进1"/>
    <w:basedOn w:val="1"/>
    <w:link w:val="212"/>
    <w:qFormat/>
    <w:uiPriority w:val="0"/>
    <w:pPr>
      <w:spacing w:after="120"/>
      <w:ind w:left="420"/>
    </w:pPr>
  </w:style>
  <w:style w:type="character" w:customStyle="1" w:styleId="212">
    <w:name w:val="正文文本缩进 Char"/>
    <w:link w:val="211"/>
    <w:qFormat/>
    <w:uiPriority w:val="0"/>
    <w:rPr>
      <w:sz w:val="21"/>
      <w:szCs w:val="24"/>
    </w:rPr>
  </w:style>
  <w:style w:type="paragraph" w:customStyle="1" w:styleId="213">
    <w:name w:val="日期1"/>
    <w:basedOn w:val="1"/>
    <w:next w:val="1"/>
    <w:link w:val="214"/>
    <w:qFormat/>
    <w:uiPriority w:val="0"/>
    <w:pPr>
      <w:ind w:left="100"/>
    </w:pPr>
  </w:style>
  <w:style w:type="character" w:customStyle="1" w:styleId="214">
    <w:name w:val="日期 Char"/>
    <w:link w:val="213"/>
    <w:qFormat/>
    <w:uiPriority w:val="0"/>
    <w:rPr>
      <w:sz w:val="21"/>
      <w:szCs w:val="24"/>
    </w:rPr>
  </w:style>
  <w:style w:type="paragraph" w:customStyle="1" w:styleId="215">
    <w:name w:val="批注框文本1"/>
    <w:basedOn w:val="1"/>
    <w:link w:val="216"/>
    <w:semiHidden/>
    <w:qFormat/>
    <w:uiPriority w:val="0"/>
    <w:rPr>
      <w:sz w:val="18"/>
      <w:szCs w:val="18"/>
    </w:rPr>
  </w:style>
  <w:style w:type="character" w:customStyle="1" w:styleId="216">
    <w:name w:val="批注框文本 Char"/>
    <w:link w:val="215"/>
    <w:semiHidden/>
    <w:qFormat/>
    <w:uiPriority w:val="0"/>
    <w:rPr>
      <w:sz w:val="18"/>
      <w:szCs w:val="18"/>
    </w:rPr>
  </w:style>
  <w:style w:type="paragraph" w:customStyle="1" w:styleId="217">
    <w:name w:val="页脚1"/>
    <w:basedOn w:val="1"/>
    <w:link w:val="218"/>
    <w:qFormat/>
    <w:uiPriority w:val="99"/>
    <w:pPr>
      <w:tabs>
        <w:tab w:val="center" w:pos="4153"/>
        <w:tab w:val="right" w:pos="8306"/>
      </w:tabs>
      <w:jc w:val="left"/>
    </w:pPr>
    <w:rPr>
      <w:sz w:val="18"/>
      <w:szCs w:val="18"/>
    </w:rPr>
  </w:style>
  <w:style w:type="character" w:customStyle="1" w:styleId="218">
    <w:name w:val="页脚 Char"/>
    <w:link w:val="217"/>
    <w:qFormat/>
    <w:uiPriority w:val="99"/>
    <w:rPr>
      <w:sz w:val="18"/>
      <w:szCs w:val="18"/>
    </w:rPr>
  </w:style>
  <w:style w:type="paragraph" w:customStyle="1" w:styleId="219">
    <w:name w:val="页眉1"/>
    <w:basedOn w:val="1"/>
    <w:link w:val="220"/>
    <w:qFormat/>
    <w:uiPriority w:val="0"/>
    <w:pPr>
      <w:pBdr>
        <w:bottom w:val="single" w:color="000000" w:sz="6" w:space="1"/>
      </w:pBdr>
      <w:tabs>
        <w:tab w:val="center" w:pos="4153"/>
        <w:tab w:val="right" w:pos="8306"/>
      </w:tabs>
      <w:jc w:val="center"/>
    </w:pPr>
    <w:rPr>
      <w:sz w:val="18"/>
      <w:szCs w:val="18"/>
    </w:rPr>
  </w:style>
  <w:style w:type="character" w:customStyle="1" w:styleId="220">
    <w:name w:val="页眉 Char"/>
    <w:link w:val="219"/>
    <w:qFormat/>
    <w:uiPriority w:val="0"/>
    <w:rPr>
      <w:sz w:val="18"/>
      <w:szCs w:val="18"/>
    </w:rPr>
  </w:style>
  <w:style w:type="paragraph" w:customStyle="1" w:styleId="221">
    <w:name w:val="正文文本缩进 31"/>
    <w:basedOn w:val="1"/>
    <w:link w:val="222"/>
    <w:qFormat/>
    <w:uiPriority w:val="0"/>
    <w:pPr>
      <w:spacing w:line="520" w:lineRule="exact"/>
      <w:ind w:firstLine="539"/>
    </w:pPr>
    <w:rPr>
      <w:rFonts w:ascii="宋体"/>
      <w:b/>
      <w:spacing w:val="6"/>
      <w:sz w:val="28"/>
    </w:rPr>
  </w:style>
  <w:style w:type="character" w:customStyle="1" w:styleId="222">
    <w:name w:val="正文文本缩进 3 Char"/>
    <w:link w:val="221"/>
    <w:qFormat/>
    <w:uiPriority w:val="0"/>
    <w:rPr>
      <w:rFonts w:ascii="宋体"/>
      <w:b/>
      <w:spacing w:val="6"/>
      <w:sz w:val="28"/>
      <w:szCs w:val="24"/>
    </w:rPr>
  </w:style>
  <w:style w:type="paragraph" w:customStyle="1" w:styleId="223">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224">
    <w:name w:val="正文首行缩进1"/>
    <w:basedOn w:val="210"/>
    <w:unhideWhenUsed/>
    <w:qFormat/>
    <w:uiPriority w:val="99"/>
    <w:pPr>
      <w:ind w:firstLine="420"/>
    </w:pPr>
  </w:style>
  <w:style w:type="table" w:customStyle="1" w:styleId="225">
    <w:name w:val="网格型1"/>
    <w:basedOn w:val="200"/>
    <w:qFormat/>
    <w:uiPriority w:val="0"/>
    <w:pPr>
      <w:widowControl w:val="0"/>
      <w:jc w:val="both"/>
    </w:pPr>
  </w:style>
  <w:style w:type="character" w:customStyle="1" w:styleId="226">
    <w:name w:val="要点1"/>
    <w:qFormat/>
    <w:uiPriority w:val="22"/>
    <w:rPr>
      <w:b/>
      <w:bCs/>
    </w:rPr>
  </w:style>
  <w:style w:type="character" w:customStyle="1" w:styleId="227">
    <w:name w:val="页码1"/>
    <w:qFormat/>
    <w:uiPriority w:val="0"/>
  </w:style>
  <w:style w:type="character" w:customStyle="1" w:styleId="228">
    <w:name w:val="已访问的超链接1"/>
    <w:unhideWhenUsed/>
    <w:qFormat/>
    <w:uiPriority w:val="99"/>
    <w:rPr>
      <w:color w:val="800080"/>
      <w:u w:val="none"/>
    </w:rPr>
  </w:style>
  <w:style w:type="character" w:customStyle="1" w:styleId="229">
    <w:name w:val="强调1"/>
    <w:qFormat/>
    <w:uiPriority w:val="0"/>
    <w:rPr>
      <w:b/>
      <w:bCs/>
    </w:rPr>
  </w:style>
  <w:style w:type="character" w:customStyle="1" w:styleId="230">
    <w:name w:val="HTML 定义1"/>
    <w:unhideWhenUsed/>
    <w:qFormat/>
    <w:uiPriority w:val="99"/>
  </w:style>
  <w:style w:type="character" w:customStyle="1" w:styleId="231">
    <w:name w:val="HTML 打字机1"/>
    <w:unhideWhenUsed/>
    <w:qFormat/>
    <w:uiPriority w:val="99"/>
    <w:rPr>
      <w:rFonts w:ascii="monospace" w:hAnsi="monospace" w:eastAsia="monospace" w:cs="monospace"/>
      <w:sz w:val="20"/>
    </w:rPr>
  </w:style>
  <w:style w:type="character" w:customStyle="1" w:styleId="232">
    <w:name w:val="HTML 缩写1"/>
    <w:unhideWhenUsed/>
    <w:qFormat/>
    <w:uiPriority w:val="99"/>
  </w:style>
  <w:style w:type="character" w:customStyle="1" w:styleId="233">
    <w:name w:val="HTML 变量1"/>
    <w:unhideWhenUsed/>
    <w:qFormat/>
    <w:uiPriority w:val="99"/>
  </w:style>
  <w:style w:type="character" w:customStyle="1" w:styleId="234">
    <w:name w:val="超链接1"/>
    <w:unhideWhenUsed/>
    <w:qFormat/>
    <w:uiPriority w:val="99"/>
    <w:rPr>
      <w:color w:val="0000FF"/>
      <w:u w:val="none"/>
    </w:rPr>
  </w:style>
  <w:style w:type="character" w:customStyle="1" w:styleId="235">
    <w:name w:val="HTML 代码1"/>
    <w:unhideWhenUsed/>
    <w:qFormat/>
    <w:uiPriority w:val="99"/>
    <w:rPr>
      <w:rFonts w:ascii="monospace" w:hAnsi="monospace" w:eastAsia="monospace" w:cs="monospace"/>
      <w:sz w:val="20"/>
    </w:rPr>
  </w:style>
  <w:style w:type="character" w:customStyle="1" w:styleId="236">
    <w:name w:val="HTML 引文1"/>
    <w:unhideWhenUsed/>
    <w:qFormat/>
    <w:uiPriority w:val="99"/>
  </w:style>
  <w:style w:type="character" w:customStyle="1" w:styleId="237">
    <w:name w:val="HTML 键盘1"/>
    <w:unhideWhenUsed/>
    <w:qFormat/>
    <w:uiPriority w:val="99"/>
    <w:rPr>
      <w:rFonts w:ascii="monospace" w:hAnsi="monospace" w:eastAsia="monospace" w:cs="monospace"/>
      <w:sz w:val="20"/>
    </w:rPr>
  </w:style>
  <w:style w:type="character" w:customStyle="1" w:styleId="238">
    <w:name w:val="HTML 样本1"/>
    <w:unhideWhenUsed/>
    <w:qFormat/>
    <w:uiPriority w:val="99"/>
    <w:rPr>
      <w:rFonts w:ascii="monospace" w:hAnsi="monospace" w:eastAsia="monospace" w:cs="monospace"/>
    </w:rPr>
  </w:style>
  <w:style w:type="character" w:customStyle="1" w:styleId="239">
    <w:name w:val="正文缩进2格 Char"/>
    <w:link w:val="240"/>
    <w:qFormat/>
    <w:uiPriority w:val="0"/>
    <w:rPr>
      <w:rFonts w:ascii="仿宋_GB2312" w:hAnsi="宋体" w:eastAsia="仿宋_GB2312"/>
      <w:sz w:val="31"/>
      <w:szCs w:val="28"/>
    </w:rPr>
  </w:style>
  <w:style w:type="paragraph" w:customStyle="1" w:styleId="240">
    <w:name w:val="正文缩进2格"/>
    <w:basedOn w:val="1"/>
    <w:link w:val="239"/>
    <w:qFormat/>
    <w:uiPriority w:val="0"/>
    <w:pPr>
      <w:spacing w:line="600" w:lineRule="exact"/>
      <w:ind w:firstLine="639"/>
    </w:pPr>
    <w:rPr>
      <w:rFonts w:ascii="仿宋_GB2312" w:hAnsi="宋体" w:eastAsia="仿宋_GB2312"/>
      <w:sz w:val="31"/>
      <w:szCs w:val="28"/>
    </w:rPr>
  </w:style>
  <w:style w:type="character" w:customStyle="1" w:styleId="241">
    <w:name w:val="标题 3.1 Char"/>
    <w:link w:val="242"/>
    <w:qFormat/>
    <w:uiPriority w:val="0"/>
    <w:rPr>
      <w:rFonts w:ascii="宋体" w:hAnsi="宋体"/>
      <w:b/>
      <w:bCs/>
      <w:color w:val="000000"/>
      <w:sz w:val="32"/>
      <w:szCs w:val="32"/>
    </w:rPr>
  </w:style>
  <w:style w:type="paragraph" w:customStyle="1" w:styleId="242">
    <w:name w:val="标题 3.1"/>
    <w:basedOn w:val="197"/>
    <w:link w:val="241"/>
    <w:qFormat/>
    <w:uiPriority w:val="0"/>
    <w:pPr>
      <w:tabs>
        <w:tab w:val="left" w:pos="1440"/>
        <w:tab w:val="left" w:pos="1620"/>
      </w:tabs>
      <w:spacing w:line="600" w:lineRule="exact"/>
    </w:pPr>
    <w:rPr>
      <w:rFonts w:ascii="宋体" w:hAnsi="宋体"/>
      <w:color w:val="000000"/>
    </w:rPr>
  </w:style>
  <w:style w:type="paragraph" w:customStyle="1" w:styleId="243">
    <w:name w:val="Char"/>
    <w:basedOn w:val="1"/>
    <w:qFormat/>
    <w:uiPriority w:val="0"/>
    <w:rPr>
      <w:rFonts w:ascii="Tahoma" w:hAnsi="Tahoma"/>
      <w:sz w:val="24"/>
      <w:szCs w:val="20"/>
    </w:rPr>
  </w:style>
  <w:style w:type="paragraph" w:customStyle="1" w:styleId="244">
    <w:name w:val="正文缩进4格"/>
    <w:basedOn w:val="240"/>
    <w:qFormat/>
    <w:uiPriority w:val="0"/>
    <w:pPr>
      <w:ind w:left="2" w:firstLine="538"/>
    </w:pPr>
    <w:rPr>
      <w:color w:val="000000"/>
      <w:sz w:val="28"/>
    </w:rPr>
  </w:style>
  <w:style w:type="paragraph" w:customStyle="1" w:styleId="245">
    <w:name w:val="Char Char Char Char"/>
    <w:basedOn w:val="1"/>
    <w:qFormat/>
    <w:uiPriority w:val="0"/>
    <w:rPr>
      <w:rFonts w:ascii="Tahoma" w:hAnsi="Tahoma"/>
      <w:sz w:val="24"/>
      <w:szCs w:val="20"/>
    </w:rPr>
  </w:style>
  <w:style w:type="paragraph" w:customStyle="1" w:styleId="246">
    <w:name w:val="Char1"/>
    <w:basedOn w:val="1"/>
    <w:qFormat/>
    <w:uiPriority w:val="0"/>
    <w:pPr>
      <w:tabs>
        <w:tab w:val="left" w:pos="840"/>
      </w:tabs>
      <w:ind w:left="840" w:hanging="420"/>
    </w:pPr>
    <w:rPr>
      <w:sz w:val="24"/>
    </w:rPr>
  </w:style>
  <w:style w:type="paragraph" w:customStyle="1" w:styleId="247">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48">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49">
    <w:name w:val="Char Char 字元 字元 字元 Char Char Char Char"/>
    <w:basedOn w:val="1"/>
    <w:qFormat/>
    <w:uiPriority w:val="0"/>
    <w:pPr>
      <w:spacing w:line="360" w:lineRule="auto"/>
    </w:pPr>
    <w:rPr>
      <w:sz w:val="24"/>
      <w:szCs w:val="20"/>
    </w:rPr>
  </w:style>
  <w:style w:type="paragraph" w:customStyle="1" w:styleId="250">
    <w:name w:val="para"/>
    <w:basedOn w:val="1"/>
    <w:qFormat/>
    <w:uiPriority w:val="0"/>
    <w:pPr>
      <w:widowControl/>
      <w:spacing w:before="100" w:beforeAutospacing="1" w:after="100" w:afterAutospacing="1"/>
      <w:jc w:val="left"/>
    </w:pPr>
    <w:rPr>
      <w:rFonts w:ascii="Arial" w:hAnsi="Arial" w:cs="Arial"/>
      <w:sz w:val="18"/>
      <w:szCs w:val="18"/>
    </w:rPr>
  </w:style>
  <w:style w:type="paragraph" w:customStyle="1" w:styleId="251">
    <w:name w:val="Char2"/>
    <w:basedOn w:val="1"/>
    <w:qFormat/>
    <w:uiPriority w:val="0"/>
    <w:rPr>
      <w:rFonts w:ascii="Tahoma" w:hAnsi="Tahoma"/>
      <w:sz w:val="24"/>
      <w:szCs w:val="20"/>
    </w:rPr>
  </w:style>
  <w:style w:type="paragraph" w:customStyle="1" w:styleId="252">
    <w:name w:val="msonormalcxsplast"/>
    <w:basedOn w:val="1"/>
    <w:qFormat/>
    <w:uiPriority w:val="0"/>
    <w:pPr>
      <w:widowControl/>
      <w:spacing w:before="100" w:beforeAutospacing="1" w:after="100" w:afterAutospacing="1"/>
      <w:jc w:val="left"/>
    </w:pPr>
    <w:rPr>
      <w:rFonts w:ascii="宋体" w:hAnsi="宋体" w:cs="宋体"/>
      <w:sz w:val="24"/>
    </w:rPr>
  </w:style>
  <w:style w:type="character" w:customStyle="1" w:styleId="253">
    <w:name w:val="普通正文 Char"/>
    <w:link w:val="254"/>
    <w:qFormat/>
    <w:uiPriority w:val="0"/>
    <w:rPr>
      <w:rFonts w:ascii="Arial" w:hAnsi="Arial"/>
      <w:sz w:val="24"/>
      <w:szCs w:val="24"/>
    </w:rPr>
  </w:style>
  <w:style w:type="paragraph" w:customStyle="1" w:styleId="254">
    <w:name w:val="普通正文"/>
    <w:basedOn w:val="1"/>
    <w:link w:val="253"/>
    <w:qFormat/>
    <w:uiPriority w:val="0"/>
    <w:pPr>
      <w:spacing w:before="120" w:after="120" w:line="360" w:lineRule="auto"/>
      <w:ind w:left="-2" w:right="120" w:firstLine="480"/>
      <w:jc w:val="center"/>
    </w:pPr>
    <w:rPr>
      <w:rFonts w:ascii="Arial" w:hAnsi="Arial"/>
      <w:sz w:val="24"/>
    </w:rPr>
  </w:style>
  <w:style w:type="character" w:customStyle="1" w:styleId="255">
    <w:name w:val="mini-outputtext1"/>
    <w:qFormat/>
    <w:uiPriority w:val="0"/>
  </w:style>
  <w:style w:type="character" w:customStyle="1" w:styleId="256">
    <w:name w:val="font31"/>
    <w:qFormat/>
    <w:uiPriority w:val="0"/>
    <w:rPr>
      <w:rFonts w:hint="eastAsia" w:ascii="宋体" w:hAnsi="宋体" w:eastAsia="宋体" w:cs="宋体"/>
      <w:color w:val="000000"/>
      <w:sz w:val="21"/>
      <w:szCs w:val="21"/>
      <w:u w:val="none"/>
    </w:rPr>
  </w:style>
  <w:style w:type="character" w:customStyle="1" w:styleId="257">
    <w:name w:val="font61"/>
    <w:qFormat/>
    <w:uiPriority w:val="0"/>
    <w:rPr>
      <w:rFonts w:ascii="Times New Roman" w:hAnsi="Times New Roman" w:cs="Times New Roman"/>
      <w:color w:val="000000"/>
      <w:sz w:val="21"/>
      <w:szCs w:val="21"/>
      <w:u w:val="none"/>
    </w:rPr>
  </w:style>
  <w:style w:type="character" w:customStyle="1" w:styleId="258">
    <w:name w:val="font01"/>
    <w:qFormat/>
    <w:uiPriority w:val="0"/>
    <w:rPr>
      <w:rFonts w:ascii="等线" w:hAnsi="等线" w:eastAsia="等线" w:cs="等线"/>
      <w:color w:val="000000"/>
      <w:sz w:val="22"/>
      <w:szCs w:val="22"/>
      <w:u w:val="none"/>
    </w:rPr>
  </w:style>
  <w:style w:type="character" w:customStyle="1" w:styleId="259">
    <w:name w:val="font51"/>
    <w:qFormat/>
    <w:uiPriority w:val="0"/>
    <w:rPr>
      <w:rFonts w:ascii="等线" w:hAnsi="等线" w:eastAsia="等线" w:cs="等线"/>
      <w:b/>
      <w:bCs/>
      <w:color w:val="000000"/>
      <w:sz w:val="22"/>
      <w:szCs w:val="22"/>
      <w:u w:val="none"/>
    </w:rPr>
  </w:style>
  <w:style w:type="paragraph" w:customStyle="1" w:styleId="260">
    <w:name w:val="普通(网站) Char"/>
    <w:basedOn w:val="1"/>
    <w:qFormat/>
    <w:uiPriority w:val="0"/>
    <w:pPr>
      <w:widowControl/>
      <w:spacing w:before="100" w:beforeAutospacing="1" w:after="100" w:afterAutospacing="1"/>
      <w:jc w:val="left"/>
    </w:pPr>
    <w:rPr>
      <w:rFonts w:hint="eastAsia" w:ascii="宋体" w:hAnsi="宋体"/>
      <w:sz w:val="24"/>
    </w:rPr>
  </w:style>
  <w:style w:type="character" w:customStyle="1" w:styleId="261">
    <w:name w:val="页脚 字符"/>
    <w:qFormat/>
    <w:uiPriority w:val="99"/>
  </w:style>
  <w:style w:type="paragraph" w:customStyle="1" w:styleId="262">
    <w:name w:val="样式 行距: 1.5 倍行距 左  1.71 字符 首行缩进:  1.35 字符"/>
    <w:basedOn w:val="1"/>
    <w:qFormat/>
    <w:uiPriority w:val="0"/>
    <w:pPr>
      <w:spacing w:line="360" w:lineRule="auto"/>
      <w:ind w:firstLine="200"/>
    </w:pPr>
    <w:rPr>
      <w:sz w:val="24"/>
      <w:szCs w:val="21"/>
    </w:rPr>
  </w:style>
  <w:style w:type="paragraph" w:customStyle="1" w:styleId="263">
    <w:name w:val="_Style 3"/>
    <w:next w:val="22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264">
    <w:name w:val="Body text|1"/>
    <w:basedOn w:val="1"/>
    <w:qFormat/>
    <w:uiPriority w:val="0"/>
    <w:pPr>
      <w:spacing w:line="432" w:lineRule="auto"/>
      <w:ind w:firstLine="280"/>
    </w:pPr>
    <w:rPr>
      <w:rFonts w:ascii="宋体" w:hAnsi="宋体" w:cs="宋体"/>
      <w:sz w:val="17"/>
      <w:szCs w:val="17"/>
      <w:lang w:val="zh-CN" w:bidi="zh-CN"/>
    </w:rPr>
  </w:style>
  <w:style w:type="paragraph" w:customStyle="1" w:styleId="265">
    <w:name w:val="1"/>
    <w:basedOn w:val="1"/>
    <w:qFormat/>
    <w:uiPriority w:val="0"/>
    <w:pPr>
      <w:widowControl/>
      <w:spacing w:before="40" w:after="160" w:line="288" w:lineRule="auto"/>
      <w:ind w:firstLine="420"/>
      <w:jc w:val="left"/>
    </w:pPr>
    <w:rPr>
      <w:rFonts w:ascii="宋体" w:hAnsi="宋体"/>
      <w:color w:val="000000"/>
      <w:kern w:val="20"/>
      <w:szCs w:val="20"/>
      <w:lang w:val="zh-CN"/>
    </w:rPr>
  </w:style>
  <w:style w:type="paragraph" w:customStyle="1" w:styleId="266">
    <w:name w:val="Normal_2"/>
    <w:qFormat/>
    <w:uiPriority w:val="0"/>
    <w:rPr>
      <w:rFonts w:ascii="Times New Roman" w:hAnsi="Times New Roman" w:eastAsia="宋体" w:cs="Times New Roman"/>
      <w:sz w:val="24"/>
      <w:szCs w:val="24"/>
      <w:lang w:val="en-US" w:eastAsia="zh-CN" w:bidi="ar-SA"/>
    </w:rPr>
  </w:style>
  <w:style w:type="paragraph" w:customStyle="1" w:styleId="267">
    <w:name w:val="Normal_5"/>
    <w:qFormat/>
    <w:uiPriority w:val="0"/>
    <w:rPr>
      <w:rFonts w:ascii="Times New Roman" w:hAnsi="Times New Roman" w:eastAsia="Times New Roman" w:cs="Times New Roman"/>
      <w:sz w:val="24"/>
      <w:szCs w:val="24"/>
      <w:lang w:val="en-US" w:eastAsia="zh-CN" w:bidi="ar-SA"/>
    </w:rPr>
  </w:style>
  <w:style w:type="table" w:customStyle="1" w:styleId="268">
    <w:name w:val="Table Normal"/>
    <w:unhideWhenUsed/>
    <w:qFormat/>
    <w:uiPriority w:val="0"/>
    <w:tblPr>
      <w:tblCellMar>
        <w:top w:w="0" w:type="dxa"/>
        <w:left w:w="0" w:type="dxa"/>
        <w:bottom w:w="0" w:type="dxa"/>
        <w:right w:w="0" w:type="dxa"/>
      </w:tblCellMar>
    </w:tblPr>
  </w:style>
  <w:style w:type="character" w:customStyle="1" w:styleId="269">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13590</Words>
  <Characters>14335</Characters>
  <Lines>1229</Lines>
  <Paragraphs>981</Paragraphs>
  <TotalTime>30</TotalTime>
  <ScaleCrop>false</ScaleCrop>
  <LinksUpToDate>false</LinksUpToDate>
  <CharactersWithSpaces>14541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2021-11-26T13:03:00Z</dcterms:created>
  <dc:creator>Administrator</dc:creator>
  <cp:lastModifiedBy>晨西</cp:lastModifiedBy>
  <cp:lastPrinted>2025-03-12T16:44:00Z</cp:lastPrinted>
  <dcterms:modified xsi:type="dcterms:W3CDTF">2025-11-29T01:11:34Z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6A0270F8C4BC4A34B06A59792FF25EE4_13</vt:lpwstr>
  </property>
  <property fmtid="{D5CDD505-2E9C-101B-9397-08002B2CF9AE}" pid="4" name="KSOTemplateDocerSaveRecord">
    <vt:lpwstr>eyJoZGlkIjoiMzVkN2E3MzAyNjU0NjQ4ODE5YWUwZjJiN2U0MDhiMjAiLCJ1c2VySWQiOiI1MTkyNzEzMTgifQ==</vt:lpwstr>
  </property>
</Properties>
</file>