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79707">
      <w:pPr>
        <w:jc w:val="center"/>
        <w:rPr>
          <w:rFonts w:ascii="方正小标宋简体" w:hAnsi="方正小标宋简体" w:eastAsia="方正小标宋简体"/>
          <w:sz w:val="44"/>
          <w:szCs w:val="44"/>
        </w:rPr>
      </w:pPr>
    </w:p>
    <w:p w14:paraId="4E57515C">
      <w:pPr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供应商报价、得分和排名一览表</w:t>
      </w:r>
    </w:p>
    <w:p w14:paraId="1647DB6F">
      <w:pPr>
        <w:spacing w:line="500" w:lineRule="exact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2025年公路水运工程质量监督检测（采购包2）</w:t>
      </w:r>
    </w:p>
    <w:p w14:paraId="741E9816">
      <w:pPr>
        <w:spacing w:line="500" w:lineRule="exact"/>
        <w:rPr>
          <w:rFonts w:hint="eastAsia" w:ascii="仿宋" w:hAnsi="仿宋" w:eastAsia="仿宋" w:cs="Times New Roman"/>
          <w:szCs w:val="21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  <w:lang w:eastAsia="zh-CN"/>
        </w:rPr>
        <w:t>JSZC-320682-NTJW-C2025-0111</w:t>
      </w:r>
      <w:r>
        <w:rPr>
          <w:rFonts w:hint="eastAsia" w:ascii="仿宋" w:hAnsi="仿宋" w:eastAsia="仿宋"/>
          <w:sz w:val="28"/>
          <w:szCs w:val="28"/>
        </w:rPr>
        <w:t xml:space="preserve"> 评审日期：202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09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/>
          <w:sz w:val="28"/>
          <w:szCs w:val="28"/>
        </w:rPr>
        <w:t>日</w:t>
      </w:r>
    </w:p>
    <w:p w14:paraId="1E47A106">
      <w:pPr>
        <w:adjustRightInd w:val="0"/>
        <w:snapToGrid w:val="0"/>
        <w:jc w:val="center"/>
        <w:rPr>
          <w:rFonts w:hint="eastAsia" w:ascii="仿宋" w:hAnsi="仿宋" w:eastAsia="仿宋" w:cs="Times New Roman"/>
          <w:szCs w:val="21"/>
        </w:rPr>
      </w:pPr>
    </w:p>
    <w:tbl>
      <w:tblPr>
        <w:tblStyle w:val="5"/>
        <w:tblpPr w:leftFromText="180" w:rightFromText="180" w:vertAnchor="text" w:horzAnchor="page" w:tblpX="1342" w:tblpY="282"/>
        <w:tblOverlap w:val="never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4965"/>
        <w:gridCol w:w="1440"/>
        <w:gridCol w:w="1031"/>
        <w:gridCol w:w="1042"/>
      </w:tblGrid>
      <w:tr w14:paraId="50674F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Align w:val="center"/>
          </w:tcPr>
          <w:p w14:paraId="6CB3F5F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4965" w:type="dxa"/>
            <w:vAlign w:val="center"/>
          </w:tcPr>
          <w:p w14:paraId="0A8B96A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供应商名称</w:t>
            </w:r>
          </w:p>
        </w:tc>
        <w:tc>
          <w:tcPr>
            <w:tcW w:w="1440" w:type="dxa"/>
            <w:vAlign w:val="center"/>
          </w:tcPr>
          <w:p w14:paraId="195685E6">
            <w:pPr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最后报价</w:t>
            </w:r>
          </w:p>
          <w:p w14:paraId="51898F53"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费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率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%</w:t>
            </w:r>
            <w:r>
              <w:rPr>
                <w:rFonts w:ascii="仿宋" w:hAnsi="仿宋" w:eastAsia="仿宋"/>
                <w:sz w:val="24"/>
                <w:szCs w:val="24"/>
              </w:rPr>
              <w:t>）</w:t>
            </w:r>
          </w:p>
        </w:tc>
        <w:tc>
          <w:tcPr>
            <w:tcW w:w="1031" w:type="dxa"/>
            <w:vAlign w:val="center"/>
          </w:tcPr>
          <w:p w14:paraId="065C956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总得分</w:t>
            </w:r>
          </w:p>
        </w:tc>
        <w:tc>
          <w:tcPr>
            <w:tcW w:w="1042" w:type="dxa"/>
            <w:vAlign w:val="center"/>
          </w:tcPr>
          <w:p w14:paraId="7D77C6B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排名</w:t>
            </w:r>
          </w:p>
        </w:tc>
      </w:tr>
      <w:tr w14:paraId="5F6B5C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52" w:type="dxa"/>
            <w:vAlign w:val="center"/>
          </w:tcPr>
          <w:p w14:paraId="44D7075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1</w:t>
            </w:r>
          </w:p>
        </w:tc>
        <w:tc>
          <w:tcPr>
            <w:tcW w:w="4965" w:type="dxa"/>
            <w:vAlign w:val="center"/>
          </w:tcPr>
          <w:p w14:paraId="5C13D16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江苏中基工程技术研究有限公司</w:t>
            </w:r>
          </w:p>
        </w:tc>
        <w:tc>
          <w:tcPr>
            <w:tcW w:w="1440" w:type="dxa"/>
            <w:vAlign w:val="center"/>
          </w:tcPr>
          <w:p w14:paraId="589A8CC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28.00</w:t>
            </w:r>
          </w:p>
        </w:tc>
        <w:tc>
          <w:tcPr>
            <w:tcW w:w="1031" w:type="dxa"/>
            <w:vAlign w:val="center"/>
          </w:tcPr>
          <w:p w14:paraId="5285D124"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 xml:space="preserve">97.00 </w:t>
            </w:r>
          </w:p>
        </w:tc>
        <w:tc>
          <w:tcPr>
            <w:tcW w:w="1042" w:type="dxa"/>
            <w:vAlign w:val="center"/>
          </w:tcPr>
          <w:p w14:paraId="27AD9592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2</w:t>
            </w:r>
          </w:p>
        </w:tc>
      </w:tr>
      <w:tr w14:paraId="1BC9D8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52" w:type="dxa"/>
            <w:vAlign w:val="center"/>
          </w:tcPr>
          <w:p w14:paraId="56BB73E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2</w:t>
            </w:r>
          </w:p>
        </w:tc>
        <w:tc>
          <w:tcPr>
            <w:tcW w:w="4965" w:type="dxa"/>
            <w:vAlign w:val="center"/>
          </w:tcPr>
          <w:p w14:paraId="411D07D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江苏省交通工程集团百润工程检测有限公司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BF55DA8"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35.00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69D00E29">
            <w:pPr>
              <w:jc w:val="right"/>
              <w:rPr>
                <w:rFonts w:ascii="仿宋" w:hAnsi="仿宋" w:eastAsia="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 xml:space="preserve">93.40 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1B0D9988">
            <w:pPr>
              <w:snapToGrid w:val="0"/>
              <w:jc w:val="center"/>
              <w:rPr>
                <w:rFonts w:ascii="仿宋" w:hAnsi="仿宋" w:eastAsia="仿宋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4BF08E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52" w:type="dxa"/>
            <w:vAlign w:val="center"/>
          </w:tcPr>
          <w:p w14:paraId="11C221B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3</w:t>
            </w:r>
          </w:p>
        </w:tc>
        <w:tc>
          <w:tcPr>
            <w:tcW w:w="4965" w:type="dxa"/>
            <w:vAlign w:val="center"/>
          </w:tcPr>
          <w:p w14:paraId="6F33F25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江苏省永谊工程咨询有限公司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58EE5CB"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36.00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258840F4">
            <w:pPr>
              <w:jc w:val="right"/>
              <w:rPr>
                <w:rFonts w:ascii="仿宋" w:hAnsi="仿宋" w:eastAsia="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 xml:space="preserve">94.56 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1A611C42">
            <w:pPr>
              <w:snapToGrid w:val="0"/>
              <w:jc w:val="center"/>
              <w:rPr>
                <w:rFonts w:ascii="仿宋" w:hAnsi="仿宋" w:eastAsia="仿宋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36765C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Align w:val="center"/>
          </w:tcPr>
          <w:p w14:paraId="11C4B859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965" w:type="dxa"/>
            <w:vAlign w:val="center"/>
          </w:tcPr>
          <w:p w14:paraId="30AF794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江苏腾达工程检测有限公司</w:t>
            </w:r>
          </w:p>
        </w:tc>
        <w:tc>
          <w:tcPr>
            <w:tcW w:w="1440" w:type="dxa"/>
            <w:vAlign w:val="center"/>
          </w:tcPr>
          <w:p w14:paraId="4E73B82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36.00</w:t>
            </w:r>
          </w:p>
        </w:tc>
        <w:tc>
          <w:tcPr>
            <w:tcW w:w="1031" w:type="dxa"/>
            <w:vAlign w:val="center"/>
          </w:tcPr>
          <w:p w14:paraId="186D1D10"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 xml:space="preserve">94.56 </w:t>
            </w:r>
          </w:p>
        </w:tc>
        <w:tc>
          <w:tcPr>
            <w:tcW w:w="1042" w:type="dxa"/>
            <w:vAlign w:val="center"/>
          </w:tcPr>
          <w:p w14:paraId="4A7C787E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8D831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Align w:val="center"/>
          </w:tcPr>
          <w:p w14:paraId="62AB4BC5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965" w:type="dxa"/>
            <w:shd w:val="clear" w:color="auto" w:fill="auto"/>
            <w:vAlign w:val="center"/>
          </w:tcPr>
          <w:p w14:paraId="75009DCA"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昆山市交通工程试验检测中心有限公司</w:t>
            </w:r>
          </w:p>
        </w:tc>
        <w:tc>
          <w:tcPr>
            <w:tcW w:w="1440" w:type="dxa"/>
            <w:vAlign w:val="center"/>
          </w:tcPr>
          <w:p w14:paraId="75BB9DF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40.00</w:t>
            </w:r>
          </w:p>
        </w:tc>
        <w:tc>
          <w:tcPr>
            <w:tcW w:w="1031" w:type="dxa"/>
            <w:vAlign w:val="center"/>
          </w:tcPr>
          <w:p w14:paraId="47944093"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 xml:space="preserve">93.00 </w:t>
            </w:r>
          </w:p>
        </w:tc>
        <w:tc>
          <w:tcPr>
            <w:tcW w:w="1042" w:type="dxa"/>
            <w:vAlign w:val="center"/>
          </w:tcPr>
          <w:p w14:paraId="310E4D78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819EC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Align w:val="center"/>
          </w:tcPr>
          <w:p w14:paraId="7708FA1C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965" w:type="dxa"/>
            <w:shd w:val="clear" w:color="auto" w:fill="auto"/>
            <w:vAlign w:val="center"/>
          </w:tcPr>
          <w:p w14:paraId="14A30053"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南通市顺通公路交通工程检测有限公司</w:t>
            </w:r>
          </w:p>
        </w:tc>
        <w:tc>
          <w:tcPr>
            <w:tcW w:w="1440" w:type="dxa"/>
            <w:vAlign w:val="center"/>
          </w:tcPr>
          <w:p w14:paraId="54FC6C3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36.00</w:t>
            </w:r>
          </w:p>
        </w:tc>
        <w:tc>
          <w:tcPr>
            <w:tcW w:w="1031" w:type="dxa"/>
            <w:vAlign w:val="center"/>
          </w:tcPr>
          <w:p w14:paraId="527D1715"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 xml:space="preserve">95.06 </w:t>
            </w:r>
          </w:p>
        </w:tc>
        <w:tc>
          <w:tcPr>
            <w:tcW w:w="1042" w:type="dxa"/>
            <w:vAlign w:val="center"/>
          </w:tcPr>
          <w:p w14:paraId="42071009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3</w:t>
            </w:r>
          </w:p>
        </w:tc>
      </w:tr>
      <w:tr w14:paraId="2746D9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Align w:val="center"/>
          </w:tcPr>
          <w:p w14:paraId="3AAA51B0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965" w:type="dxa"/>
            <w:shd w:val="clear" w:color="auto" w:fill="auto"/>
            <w:vAlign w:val="center"/>
          </w:tcPr>
          <w:p w14:paraId="4787EC3D"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安徽盛威工程检测有限公司</w:t>
            </w:r>
          </w:p>
        </w:tc>
        <w:tc>
          <w:tcPr>
            <w:tcW w:w="1440" w:type="dxa"/>
            <w:vAlign w:val="center"/>
          </w:tcPr>
          <w:p w14:paraId="66C03D4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29.50</w:t>
            </w:r>
          </w:p>
        </w:tc>
        <w:tc>
          <w:tcPr>
            <w:tcW w:w="1031" w:type="dxa"/>
            <w:vAlign w:val="center"/>
          </w:tcPr>
          <w:p w14:paraId="292342B9"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 xml:space="preserve">98.48 </w:t>
            </w:r>
          </w:p>
        </w:tc>
        <w:tc>
          <w:tcPr>
            <w:tcW w:w="1042" w:type="dxa"/>
            <w:vAlign w:val="center"/>
          </w:tcPr>
          <w:p w14:paraId="2DEBDEC3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1</w:t>
            </w:r>
          </w:p>
        </w:tc>
      </w:tr>
      <w:tr w14:paraId="49D274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Align w:val="center"/>
          </w:tcPr>
          <w:p w14:paraId="654E0C84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965" w:type="dxa"/>
            <w:shd w:val="clear" w:color="auto" w:fill="auto"/>
            <w:vAlign w:val="center"/>
          </w:tcPr>
          <w:p w14:paraId="4AA7E91C"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上海市建筑科学研究院有限公司</w:t>
            </w:r>
          </w:p>
        </w:tc>
        <w:tc>
          <w:tcPr>
            <w:tcW w:w="1440" w:type="dxa"/>
            <w:vAlign w:val="center"/>
          </w:tcPr>
          <w:p w14:paraId="3C34AE9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50.00</w:t>
            </w:r>
          </w:p>
        </w:tc>
        <w:tc>
          <w:tcPr>
            <w:tcW w:w="1031" w:type="dxa"/>
            <w:vAlign w:val="center"/>
          </w:tcPr>
          <w:p w14:paraId="21016069"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 xml:space="preserve">89.58 </w:t>
            </w:r>
          </w:p>
        </w:tc>
        <w:tc>
          <w:tcPr>
            <w:tcW w:w="1042" w:type="dxa"/>
            <w:vAlign w:val="center"/>
          </w:tcPr>
          <w:p w14:paraId="15D8E0BC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1BA49CAB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</w:p>
    <w:p w14:paraId="1ACEC834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br w:type="page"/>
      </w:r>
    </w:p>
    <w:p w14:paraId="1D1EC001">
      <w:pPr>
        <w:jc w:val="both"/>
        <w:rPr>
          <w:rFonts w:ascii="方正小标宋简体" w:hAnsi="方正小标宋简体" w:eastAsia="方正小标宋简体"/>
          <w:sz w:val="44"/>
          <w:szCs w:val="44"/>
        </w:rPr>
      </w:pPr>
    </w:p>
    <w:p w14:paraId="661499E5">
      <w:pPr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供应商报价、得分和排名一览表</w:t>
      </w:r>
    </w:p>
    <w:p w14:paraId="043B46AC">
      <w:pPr>
        <w:spacing w:line="500" w:lineRule="exact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2025年公路水运工程质量监督检测（采购包3）</w:t>
      </w:r>
    </w:p>
    <w:p w14:paraId="5A7FD72C">
      <w:pPr>
        <w:spacing w:line="500" w:lineRule="exact"/>
        <w:rPr>
          <w:rFonts w:hint="eastAsia" w:ascii="仿宋" w:hAnsi="仿宋" w:eastAsia="仿宋" w:cs="Times New Roman"/>
          <w:szCs w:val="21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  <w:lang w:eastAsia="zh-CN"/>
        </w:rPr>
        <w:t>JSZC-320682-NTJW-C2025-0111</w:t>
      </w:r>
      <w:r>
        <w:rPr>
          <w:rFonts w:hint="eastAsia" w:ascii="仿宋" w:hAnsi="仿宋" w:eastAsia="仿宋"/>
          <w:sz w:val="28"/>
          <w:szCs w:val="28"/>
        </w:rPr>
        <w:t xml:space="preserve"> 评审日期：202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09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/>
          <w:sz w:val="28"/>
          <w:szCs w:val="28"/>
        </w:rPr>
        <w:t>日</w:t>
      </w:r>
    </w:p>
    <w:p w14:paraId="3AA5A91F">
      <w:pPr>
        <w:adjustRightInd w:val="0"/>
        <w:snapToGrid w:val="0"/>
        <w:jc w:val="center"/>
        <w:rPr>
          <w:rFonts w:hint="eastAsia" w:ascii="仿宋" w:hAnsi="仿宋" w:eastAsia="仿宋" w:cs="Times New Roman"/>
          <w:szCs w:val="21"/>
        </w:rPr>
      </w:pPr>
    </w:p>
    <w:tbl>
      <w:tblPr>
        <w:tblStyle w:val="5"/>
        <w:tblW w:w="951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4908"/>
        <w:gridCol w:w="1460"/>
        <w:gridCol w:w="1316"/>
        <w:gridCol w:w="1074"/>
      </w:tblGrid>
      <w:tr w14:paraId="522C08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760" w:type="dxa"/>
            <w:vAlign w:val="center"/>
          </w:tcPr>
          <w:p w14:paraId="2B97AD3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4908" w:type="dxa"/>
            <w:vAlign w:val="center"/>
          </w:tcPr>
          <w:p w14:paraId="0851BDA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供应商名称</w:t>
            </w:r>
          </w:p>
        </w:tc>
        <w:tc>
          <w:tcPr>
            <w:tcW w:w="1460" w:type="dxa"/>
            <w:vAlign w:val="center"/>
          </w:tcPr>
          <w:p w14:paraId="190233EC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最后报价</w:t>
            </w:r>
          </w:p>
          <w:p w14:paraId="075CB2D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费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率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%</w:t>
            </w:r>
            <w:r>
              <w:rPr>
                <w:rFonts w:ascii="仿宋" w:hAnsi="仿宋" w:eastAsia="仿宋"/>
                <w:sz w:val="24"/>
                <w:szCs w:val="24"/>
              </w:rPr>
              <w:t>）</w:t>
            </w:r>
          </w:p>
        </w:tc>
        <w:tc>
          <w:tcPr>
            <w:tcW w:w="1316" w:type="dxa"/>
            <w:vAlign w:val="center"/>
          </w:tcPr>
          <w:p w14:paraId="1E7A15B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总得分</w:t>
            </w:r>
          </w:p>
        </w:tc>
        <w:tc>
          <w:tcPr>
            <w:tcW w:w="1074" w:type="dxa"/>
            <w:vAlign w:val="center"/>
          </w:tcPr>
          <w:p w14:paraId="6CDF599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排名</w:t>
            </w:r>
          </w:p>
        </w:tc>
      </w:tr>
      <w:tr w14:paraId="4F9762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60" w:type="dxa"/>
            <w:vAlign w:val="center"/>
          </w:tcPr>
          <w:p w14:paraId="495292B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4908" w:type="dxa"/>
            <w:vAlign w:val="center"/>
          </w:tcPr>
          <w:p w14:paraId="38E91401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兴化金桥检测有限公司</w:t>
            </w:r>
          </w:p>
        </w:tc>
        <w:tc>
          <w:tcPr>
            <w:tcW w:w="1460" w:type="dxa"/>
            <w:vAlign w:val="center"/>
          </w:tcPr>
          <w:p w14:paraId="7F960D18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36.00</w:t>
            </w:r>
          </w:p>
        </w:tc>
        <w:tc>
          <w:tcPr>
            <w:tcW w:w="1316" w:type="dxa"/>
            <w:vAlign w:val="center"/>
          </w:tcPr>
          <w:p w14:paraId="79100959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87.17</w:t>
            </w:r>
          </w:p>
        </w:tc>
        <w:tc>
          <w:tcPr>
            <w:tcW w:w="1074" w:type="dxa"/>
            <w:vAlign w:val="center"/>
          </w:tcPr>
          <w:p w14:paraId="57FFF37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</w:t>
            </w:r>
          </w:p>
        </w:tc>
      </w:tr>
      <w:tr w14:paraId="423FE4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760" w:type="dxa"/>
            <w:vAlign w:val="center"/>
          </w:tcPr>
          <w:p w14:paraId="6F516C0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4908" w:type="dxa"/>
            <w:vAlign w:val="center"/>
          </w:tcPr>
          <w:p w14:paraId="0B411019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江苏省交通工程集团百润工程检测有限公司</w:t>
            </w:r>
          </w:p>
        </w:tc>
        <w:tc>
          <w:tcPr>
            <w:tcW w:w="1460" w:type="dxa"/>
            <w:vAlign w:val="center"/>
          </w:tcPr>
          <w:p w14:paraId="29033517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16.00</w:t>
            </w:r>
          </w:p>
        </w:tc>
        <w:tc>
          <w:tcPr>
            <w:tcW w:w="1316" w:type="dxa"/>
            <w:vAlign w:val="center"/>
          </w:tcPr>
          <w:p w14:paraId="144096F2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94.53</w:t>
            </w:r>
          </w:p>
        </w:tc>
        <w:tc>
          <w:tcPr>
            <w:tcW w:w="1074" w:type="dxa"/>
            <w:vAlign w:val="center"/>
          </w:tcPr>
          <w:p w14:paraId="479AE9A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</w:tr>
      <w:tr w14:paraId="6975BD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60" w:type="dxa"/>
            <w:vAlign w:val="center"/>
          </w:tcPr>
          <w:p w14:paraId="4FF5922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4908" w:type="dxa"/>
            <w:vAlign w:val="center"/>
          </w:tcPr>
          <w:p w14:paraId="407576FC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江苏省永谊工程咨询有限公司</w:t>
            </w:r>
          </w:p>
        </w:tc>
        <w:tc>
          <w:tcPr>
            <w:tcW w:w="1460" w:type="dxa"/>
            <w:vAlign w:val="center"/>
          </w:tcPr>
          <w:p w14:paraId="09C93F2F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36.00</w:t>
            </w:r>
          </w:p>
        </w:tc>
        <w:tc>
          <w:tcPr>
            <w:tcW w:w="1316" w:type="dxa"/>
            <w:vAlign w:val="center"/>
          </w:tcPr>
          <w:p w14:paraId="440F1D47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86.67</w:t>
            </w:r>
          </w:p>
        </w:tc>
        <w:tc>
          <w:tcPr>
            <w:tcW w:w="1074" w:type="dxa"/>
            <w:vAlign w:val="center"/>
          </w:tcPr>
          <w:p w14:paraId="500AF7E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3ED2E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60" w:type="dxa"/>
            <w:vAlign w:val="center"/>
          </w:tcPr>
          <w:p w14:paraId="2688E21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4908" w:type="dxa"/>
            <w:vAlign w:val="center"/>
          </w:tcPr>
          <w:p w14:paraId="45B3A759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江苏腾达工程检测有限公司</w:t>
            </w:r>
          </w:p>
        </w:tc>
        <w:tc>
          <w:tcPr>
            <w:tcW w:w="1460" w:type="dxa"/>
            <w:vAlign w:val="center"/>
          </w:tcPr>
          <w:p w14:paraId="25B6E14C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36.00</w:t>
            </w:r>
          </w:p>
        </w:tc>
        <w:tc>
          <w:tcPr>
            <w:tcW w:w="1316" w:type="dxa"/>
            <w:vAlign w:val="center"/>
          </w:tcPr>
          <w:p w14:paraId="04B70C2A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86.67</w:t>
            </w:r>
          </w:p>
        </w:tc>
        <w:tc>
          <w:tcPr>
            <w:tcW w:w="1074" w:type="dxa"/>
            <w:vAlign w:val="center"/>
          </w:tcPr>
          <w:p w14:paraId="05A83CA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E79DA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60" w:type="dxa"/>
            <w:vAlign w:val="center"/>
          </w:tcPr>
          <w:p w14:paraId="1F0C46A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4908" w:type="dxa"/>
            <w:vAlign w:val="center"/>
          </w:tcPr>
          <w:p w14:paraId="1D08C33C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昆山市交通工程试验检测中心有限公司</w:t>
            </w:r>
          </w:p>
        </w:tc>
        <w:tc>
          <w:tcPr>
            <w:tcW w:w="1460" w:type="dxa"/>
            <w:vAlign w:val="center"/>
          </w:tcPr>
          <w:p w14:paraId="6F2D538F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40.00</w:t>
            </w:r>
          </w:p>
        </w:tc>
        <w:tc>
          <w:tcPr>
            <w:tcW w:w="1316" w:type="dxa"/>
            <w:vAlign w:val="center"/>
          </w:tcPr>
          <w:p w14:paraId="4BBA8948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85.90</w:t>
            </w:r>
          </w:p>
        </w:tc>
        <w:tc>
          <w:tcPr>
            <w:tcW w:w="1074" w:type="dxa"/>
            <w:vAlign w:val="center"/>
          </w:tcPr>
          <w:p w14:paraId="7475564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6E9B4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60" w:type="dxa"/>
            <w:vAlign w:val="center"/>
          </w:tcPr>
          <w:p w14:paraId="129D529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908" w:type="dxa"/>
            <w:vAlign w:val="center"/>
          </w:tcPr>
          <w:p w14:paraId="3C42A90D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南通市顺通公路交通工程检测有限公司</w:t>
            </w:r>
          </w:p>
        </w:tc>
        <w:tc>
          <w:tcPr>
            <w:tcW w:w="1460" w:type="dxa"/>
            <w:vAlign w:val="center"/>
          </w:tcPr>
          <w:p w14:paraId="407B1026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36.00</w:t>
            </w:r>
          </w:p>
        </w:tc>
        <w:tc>
          <w:tcPr>
            <w:tcW w:w="1316" w:type="dxa"/>
            <w:vAlign w:val="center"/>
          </w:tcPr>
          <w:p w14:paraId="77BC5D95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87.17</w:t>
            </w:r>
          </w:p>
        </w:tc>
        <w:tc>
          <w:tcPr>
            <w:tcW w:w="1074" w:type="dxa"/>
            <w:vAlign w:val="center"/>
          </w:tcPr>
          <w:p w14:paraId="389300D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</w:p>
        </w:tc>
      </w:tr>
      <w:tr w14:paraId="72AFCB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60" w:type="dxa"/>
            <w:vAlign w:val="center"/>
          </w:tcPr>
          <w:p w14:paraId="36A7088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908" w:type="dxa"/>
            <w:vAlign w:val="center"/>
          </w:tcPr>
          <w:p w14:paraId="7850EF46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安徽盛威工程检测有限公司</w:t>
            </w:r>
          </w:p>
        </w:tc>
        <w:tc>
          <w:tcPr>
            <w:tcW w:w="1460" w:type="dxa"/>
            <w:vAlign w:val="center"/>
          </w:tcPr>
          <w:p w14:paraId="5F1614F4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13.80</w:t>
            </w:r>
          </w:p>
        </w:tc>
        <w:tc>
          <w:tcPr>
            <w:tcW w:w="1316" w:type="dxa"/>
            <w:vAlign w:val="center"/>
          </w:tcPr>
          <w:p w14:paraId="1B626271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99.50</w:t>
            </w:r>
          </w:p>
        </w:tc>
        <w:tc>
          <w:tcPr>
            <w:tcW w:w="1074" w:type="dxa"/>
            <w:vAlign w:val="center"/>
          </w:tcPr>
          <w:p w14:paraId="4AC55A6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/</w:t>
            </w:r>
          </w:p>
        </w:tc>
      </w:tr>
      <w:tr w14:paraId="1F73F3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60" w:type="dxa"/>
            <w:vAlign w:val="center"/>
          </w:tcPr>
          <w:p w14:paraId="5A03262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908" w:type="dxa"/>
            <w:vAlign w:val="center"/>
          </w:tcPr>
          <w:p w14:paraId="53028662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上海市建筑科学研究院有限公司</w:t>
            </w:r>
          </w:p>
        </w:tc>
        <w:tc>
          <w:tcPr>
            <w:tcW w:w="1460" w:type="dxa"/>
            <w:vAlign w:val="center"/>
          </w:tcPr>
          <w:p w14:paraId="39BA0DF0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45.00</w:t>
            </w:r>
          </w:p>
        </w:tc>
        <w:tc>
          <w:tcPr>
            <w:tcW w:w="1316" w:type="dxa"/>
            <w:vAlign w:val="center"/>
          </w:tcPr>
          <w:p w14:paraId="58F50781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85.02</w:t>
            </w:r>
          </w:p>
        </w:tc>
        <w:tc>
          <w:tcPr>
            <w:tcW w:w="1074" w:type="dxa"/>
            <w:vAlign w:val="center"/>
          </w:tcPr>
          <w:p w14:paraId="56BF4BE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35FB4C27">
      <w:pPr>
        <w:ind w:firstLine="440" w:firstLineChars="200"/>
        <w:rPr>
          <w:rFonts w:hint="eastAsia" w:ascii="仿宋" w:hAnsi="仿宋" w:eastAsia="仿宋" w:cs="Times New Roman"/>
          <w:sz w:val="22"/>
          <w:szCs w:val="21"/>
          <w:lang w:eastAsia="zh-CN"/>
        </w:rPr>
      </w:pPr>
      <w:r>
        <w:rPr>
          <w:rFonts w:hint="eastAsia" w:ascii="仿宋" w:hAnsi="仿宋" w:eastAsia="仿宋" w:cs="Times New Roman"/>
          <w:sz w:val="22"/>
          <w:szCs w:val="21"/>
        </w:rPr>
        <w:t>安徽盛威工程检测有限公司已经被推荐为采购包</w:t>
      </w:r>
      <w:r>
        <w:rPr>
          <w:rFonts w:hint="eastAsia" w:ascii="仿宋" w:hAnsi="仿宋" w:eastAsia="仿宋" w:cs="Times New Roman"/>
          <w:sz w:val="22"/>
          <w:szCs w:val="21"/>
          <w:lang w:val="en-US" w:eastAsia="zh-CN"/>
        </w:rPr>
        <w:t>2的</w:t>
      </w:r>
      <w:r>
        <w:rPr>
          <w:rFonts w:hint="eastAsia" w:ascii="仿宋" w:hAnsi="仿宋" w:eastAsia="仿宋" w:cs="Times New Roman"/>
          <w:sz w:val="22"/>
          <w:szCs w:val="21"/>
        </w:rPr>
        <w:t>第一</w:t>
      </w:r>
      <w:r>
        <w:rPr>
          <w:rFonts w:hint="eastAsia" w:ascii="仿宋" w:hAnsi="仿宋" w:eastAsia="仿宋" w:cs="Times New Roman"/>
          <w:sz w:val="22"/>
          <w:szCs w:val="21"/>
          <w:lang w:val="en-US" w:eastAsia="zh-CN"/>
        </w:rPr>
        <w:t>成交</w:t>
      </w:r>
      <w:r>
        <w:rPr>
          <w:rFonts w:hint="eastAsia" w:ascii="仿宋" w:hAnsi="仿宋" w:eastAsia="仿宋" w:cs="Times New Roman"/>
          <w:sz w:val="22"/>
          <w:szCs w:val="21"/>
        </w:rPr>
        <w:t>候选人</w:t>
      </w:r>
      <w:r>
        <w:rPr>
          <w:rFonts w:hint="eastAsia" w:ascii="仿宋" w:hAnsi="仿宋" w:eastAsia="仿宋" w:cs="Times New Roman"/>
          <w:sz w:val="22"/>
          <w:szCs w:val="21"/>
          <w:lang w:val="en-US" w:eastAsia="zh-CN"/>
        </w:rPr>
        <w:t>,</w:t>
      </w:r>
      <w:r>
        <w:rPr>
          <w:rFonts w:hint="eastAsia" w:ascii="仿宋" w:hAnsi="仿宋" w:eastAsia="仿宋" w:cs="Times New Roman"/>
          <w:sz w:val="22"/>
          <w:szCs w:val="21"/>
        </w:rPr>
        <w:t>不</w:t>
      </w:r>
      <w:r>
        <w:rPr>
          <w:rFonts w:hint="eastAsia" w:ascii="仿宋" w:hAnsi="仿宋" w:eastAsia="仿宋" w:cs="Times New Roman"/>
          <w:sz w:val="22"/>
          <w:szCs w:val="21"/>
          <w:lang w:eastAsia="zh-CN"/>
        </w:rPr>
        <w:t>再</w:t>
      </w:r>
      <w:r>
        <w:rPr>
          <w:rFonts w:hint="eastAsia" w:ascii="仿宋" w:hAnsi="仿宋" w:eastAsia="仿宋" w:cs="Times New Roman"/>
          <w:sz w:val="22"/>
          <w:szCs w:val="21"/>
        </w:rPr>
        <w:t>参与采购包</w:t>
      </w:r>
      <w:r>
        <w:rPr>
          <w:rFonts w:hint="eastAsia" w:ascii="仿宋" w:hAnsi="仿宋" w:eastAsia="仿宋" w:cs="Times New Roman"/>
          <w:sz w:val="22"/>
          <w:szCs w:val="21"/>
          <w:lang w:val="en-US" w:eastAsia="zh-CN"/>
        </w:rPr>
        <w:t>3的</w:t>
      </w:r>
      <w:r>
        <w:rPr>
          <w:rFonts w:hint="eastAsia" w:ascii="仿宋" w:hAnsi="仿宋" w:eastAsia="仿宋" w:cs="Times New Roman"/>
          <w:sz w:val="22"/>
          <w:szCs w:val="21"/>
        </w:rPr>
        <w:t>排名</w:t>
      </w:r>
      <w:r>
        <w:rPr>
          <w:rFonts w:hint="eastAsia" w:ascii="仿宋" w:hAnsi="仿宋" w:eastAsia="仿宋" w:cs="Times New Roman"/>
          <w:sz w:val="22"/>
          <w:szCs w:val="21"/>
          <w:lang w:eastAsia="zh-CN"/>
        </w:rPr>
        <w:t>。</w:t>
      </w:r>
      <w:r>
        <w:rPr>
          <w:rFonts w:hint="eastAsia" w:ascii="仿宋" w:hAnsi="仿宋" w:eastAsia="仿宋" w:cs="Times New Roman"/>
          <w:sz w:val="22"/>
          <w:szCs w:val="21"/>
        </w:rPr>
        <w:t>兴化金桥检测有限公司</w:t>
      </w:r>
      <w:r>
        <w:rPr>
          <w:rFonts w:hint="eastAsia" w:ascii="仿宋" w:hAnsi="仿宋" w:eastAsia="仿宋" w:cs="Times New Roman"/>
          <w:sz w:val="22"/>
          <w:szCs w:val="21"/>
          <w:lang w:eastAsia="zh-CN"/>
        </w:rPr>
        <w:t>和</w:t>
      </w:r>
      <w:r>
        <w:rPr>
          <w:rFonts w:hint="eastAsia" w:ascii="仿宋" w:hAnsi="仿宋" w:eastAsia="仿宋" w:cs="Times New Roman"/>
          <w:sz w:val="22"/>
          <w:szCs w:val="21"/>
        </w:rPr>
        <w:t>南通市顺通公路交通工程检测有限公司</w:t>
      </w:r>
      <w:r>
        <w:rPr>
          <w:rFonts w:hint="eastAsia" w:ascii="仿宋" w:hAnsi="仿宋" w:eastAsia="仿宋" w:cs="Times New Roman"/>
          <w:sz w:val="22"/>
          <w:szCs w:val="21"/>
          <w:lang w:eastAsia="zh-CN"/>
        </w:rPr>
        <w:t>评审得分相同、报价相同，采取随机抽取方式，确定</w:t>
      </w:r>
      <w:r>
        <w:rPr>
          <w:rFonts w:hint="eastAsia" w:ascii="仿宋" w:hAnsi="仿宋" w:eastAsia="仿宋" w:cs="Times New Roman"/>
          <w:sz w:val="22"/>
          <w:szCs w:val="21"/>
        </w:rPr>
        <w:t>南通市顺通公路交通工程检测有限公司</w:t>
      </w:r>
      <w:r>
        <w:rPr>
          <w:rFonts w:hint="eastAsia" w:ascii="仿宋" w:hAnsi="仿宋" w:eastAsia="仿宋" w:cs="Times New Roman"/>
          <w:sz w:val="22"/>
          <w:szCs w:val="21"/>
          <w:lang w:eastAsia="zh-CN"/>
        </w:rPr>
        <w:t>为第二成交候选人，</w:t>
      </w:r>
      <w:r>
        <w:rPr>
          <w:rFonts w:hint="eastAsia" w:ascii="仿宋" w:hAnsi="仿宋" w:eastAsia="仿宋" w:cs="Times New Roman"/>
          <w:sz w:val="22"/>
          <w:szCs w:val="21"/>
        </w:rPr>
        <w:t>兴化金桥检测有限公司</w:t>
      </w:r>
      <w:r>
        <w:rPr>
          <w:rFonts w:hint="eastAsia" w:ascii="仿宋" w:hAnsi="仿宋" w:eastAsia="仿宋" w:cs="Times New Roman"/>
          <w:sz w:val="22"/>
          <w:szCs w:val="21"/>
          <w:lang w:eastAsia="zh-CN"/>
        </w:rPr>
        <w:t>为第三成交候选人。</w:t>
      </w:r>
    </w:p>
    <w:p w14:paraId="748BA14F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</w:p>
    <w:p w14:paraId="248058A7">
      <w:bookmarkStart w:id="0" w:name="_GoBack"/>
      <w:bookmarkEnd w:id="0"/>
    </w:p>
    <w:sectPr>
      <w:pgSz w:w="11906" w:h="16838"/>
      <w:pgMar w:top="1440" w:right="1349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0A116C"/>
    <w:rsid w:val="304D4C2C"/>
    <w:rsid w:val="48116DF6"/>
    <w:rsid w:val="62447297"/>
    <w:rsid w:val="666B4A1D"/>
    <w:rsid w:val="66C911B5"/>
    <w:rsid w:val="69FB12A1"/>
    <w:rsid w:val="6B201B8E"/>
    <w:rsid w:val="6D24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adjustRightInd w:val="0"/>
      <w:snapToGrid w:val="0"/>
      <w:spacing w:line="360" w:lineRule="auto"/>
      <w:ind w:firstLine="420" w:firstLineChars="200"/>
      <w:jc w:val="left"/>
      <w:textAlignment w:val="baseline"/>
    </w:pPr>
    <w:rPr>
      <w:rFonts w:hAnsi="宋体" w:eastAsia="楷体_GB2312" w:cs="Times New Roman"/>
      <w:szCs w:val="28"/>
    </w:rPr>
  </w:style>
  <w:style w:type="paragraph" w:styleId="3">
    <w:name w:val="Body Text"/>
    <w:basedOn w:val="1"/>
    <w:next w:val="1"/>
    <w:qFormat/>
    <w:uiPriority w:val="0"/>
    <w:rPr>
      <w:rFonts w:ascii="宋体"/>
      <w:sz w:val="28"/>
      <w:szCs w:val="20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620</Words>
  <Characters>816</Characters>
  <Lines>0</Lines>
  <Paragraphs>0</Paragraphs>
  <TotalTime>3</TotalTime>
  <ScaleCrop>false</ScaleCrop>
  <LinksUpToDate>false</LinksUpToDate>
  <CharactersWithSpaces>826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2021-08-19T08:52:00Z</dcterms:created>
  <dc:creator>Administrator</dc:creator>
  <cp:lastModifiedBy>经天纬地 公司账号</cp:lastModifiedBy>
  <dcterms:modified xsi:type="dcterms:W3CDTF">2025-09-26T03:31:12Z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0DEABD301E1C49699953CDD4A08C0B81</vt:lpwstr>
  </property>
  <property fmtid="{D5CDD505-2E9C-101B-9397-08002B2CF9AE}" pid="4" name="KSOTemplateDocerSaveRecord">
    <vt:lpwstr>eyJoZGlkIjoiZTdlNmQ0ZmU4N2Y0NjJlOGZkMDg1ODcyYzU5ZGI5YmYiLCJ1c2VySWQiOiIxMDMxNTEzNjU1In0=</vt:lpwstr>
  </property>
</Properties>
</file>